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140335</wp:posOffset>
            </wp:positionH>
            <wp:positionV relativeFrom="page">
              <wp:posOffset>248920</wp:posOffset>
            </wp:positionV>
            <wp:extent cx="728154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page">
              <wp:posOffset>140335</wp:posOffset>
            </wp:positionH>
            <wp:positionV relativeFrom="page">
              <wp:posOffset>274320</wp:posOffset>
            </wp:positionV>
            <wp:extent cx="728154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1545" cy="635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2914015</wp:posOffset>
            </wp:positionH>
            <wp:positionV relativeFrom="paragraph">
              <wp:posOffset>115570</wp:posOffset>
            </wp:positionV>
            <wp:extent cx="14535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3515" cy="6350"/>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2914015</wp:posOffset>
            </wp:positionH>
            <wp:positionV relativeFrom="paragraph">
              <wp:posOffset>139700</wp:posOffset>
            </wp:positionV>
            <wp:extent cx="145351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3515" cy="635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Quarterly Report Pursuant to Section 13 or 15(d)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November 1, 2014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2914015</wp:posOffset>
            </wp:positionH>
            <wp:positionV relativeFrom="paragraph">
              <wp:posOffset>137160</wp:posOffset>
            </wp:positionV>
            <wp:extent cx="145351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3515" cy="635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2914015</wp:posOffset>
            </wp:positionH>
            <wp:positionV relativeFrom="paragraph">
              <wp:posOffset>121920</wp:posOffset>
            </wp:positionV>
            <wp:extent cx="14535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3515" cy="6350"/>
                    </a:xfrm>
                    <a:prstGeom prst="rect">
                      <a:avLst/>
                    </a:prstGeom>
                    <a:noFill/>
                  </pic:spPr>
                </pic:pic>
              </a:graphicData>
            </a:graphic>
          </wp:anchor>
        </w:drawing>
      </w:r>
    </w:p>
    <w:p>
      <w:pPr>
        <w:spacing w:after="0" w:line="351" w:lineRule="exact"/>
        <w:rPr>
          <w:sz w:val="24"/>
          <w:szCs w:val="24"/>
          <w:color w:val="auto"/>
        </w:rPr>
      </w:pPr>
    </w:p>
    <w:tbl>
      <w:tblPr>
        <w:tblLayout w:type="fixed"/>
        <w:tblInd w:w="1860" w:type="dxa"/>
        <w:tblCellMar>
          <w:top w:w="0" w:type="dxa"/>
          <w:left w:w="0" w:type="dxa"/>
          <w:bottom w:w="0" w:type="dxa"/>
          <w:right w:w="0" w:type="dxa"/>
        </w:tblCellMar>
      </w:tblPr>
      <w:tr>
        <w:trPr>
          <w:trHeight w:val="157"/>
        </w:trPr>
        <w:tc>
          <w:tcPr>
            <w:tcW w:w="2560" w:type="dxa"/>
            <w:vAlign w:val="bottom"/>
          </w:tcPr>
          <w:p>
            <w:pPr>
              <w:jc w:val="center"/>
              <w:ind w:right="581"/>
              <w:spacing w:after="0"/>
              <w:rPr>
                <w:sz w:val="20"/>
                <w:szCs w:val="20"/>
                <w:color w:val="auto"/>
              </w:rPr>
            </w:pPr>
            <w:r>
              <w:rPr>
                <w:rFonts w:ascii="Arial" w:cs="Arial" w:eastAsia="Arial" w:hAnsi="Arial"/>
                <w:sz w:val="13"/>
                <w:szCs w:val="13"/>
                <w:b w:val="1"/>
                <w:bCs w:val="1"/>
                <w:color w:val="auto"/>
                <w:w w:val="98"/>
              </w:rPr>
              <w:t>Delaware</w:t>
            </w:r>
          </w:p>
        </w:tc>
        <w:tc>
          <w:tcPr>
            <w:tcW w:w="4640" w:type="dxa"/>
            <w:vAlign w:val="bottom"/>
          </w:tcPr>
          <w:p>
            <w:pPr>
              <w:jc w:val="right"/>
              <w:ind w:right="41"/>
              <w:spacing w:after="0"/>
              <w:rPr>
                <w:sz w:val="20"/>
                <w:szCs w:val="20"/>
                <w:color w:val="auto"/>
              </w:rPr>
            </w:pPr>
            <w:r>
              <w:rPr>
                <w:rFonts w:ascii="Arial" w:cs="Arial" w:eastAsia="Arial" w:hAnsi="Arial"/>
                <w:sz w:val="13"/>
                <w:szCs w:val="13"/>
                <w:b w:val="1"/>
                <w:bCs w:val="1"/>
                <w:color w:val="auto"/>
              </w:rPr>
              <w:t>04-2623104</w:t>
            </w:r>
          </w:p>
        </w:tc>
      </w:tr>
      <w:tr>
        <w:trPr>
          <w:trHeight w:val="111"/>
        </w:trPr>
        <w:tc>
          <w:tcPr>
            <w:tcW w:w="2560" w:type="dxa"/>
            <w:vAlign w:val="bottom"/>
          </w:tcPr>
          <w:p>
            <w:pPr>
              <w:jc w:val="center"/>
              <w:ind w:right="581"/>
              <w:spacing w:after="0" w:line="111" w:lineRule="exact"/>
              <w:rPr>
                <w:sz w:val="20"/>
                <w:szCs w:val="20"/>
                <w:color w:val="auto"/>
              </w:rPr>
            </w:pPr>
            <w:r>
              <w:rPr>
                <w:rFonts w:ascii="Arial" w:cs="Arial" w:eastAsia="Arial" w:hAnsi="Arial"/>
                <w:sz w:val="11"/>
                <w:szCs w:val="11"/>
                <w:b w:val="1"/>
                <w:bCs w:val="1"/>
                <w:color w:val="auto"/>
                <w:w w:val="90"/>
              </w:rPr>
              <w:t>(State or other jurisdiction of</w:t>
            </w:r>
          </w:p>
        </w:tc>
        <w:tc>
          <w:tcPr>
            <w:tcW w:w="4640" w:type="dxa"/>
            <w:vAlign w:val="bottom"/>
          </w:tcPr>
          <w:p>
            <w:pPr>
              <w:jc w:val="center"/>
              <w:ind w:left="3741"/>
              <w:spacing w:after="0" w:line="111" w:lineRule="exact"/>
              <w:rPr>
                <w:sz w:val="20"/>
                <w:szCs w:val="20"/>
                <w:color w:val="auto"/>
              </w:rPr>
            </w:pPr>
            <w:r>
              <w:rPr>
                <w:rFonts w:ascii="Arial" w:cs="Arial" w:eastAsia="Arial" w:hAnsi="Arial"/>
                <w:sz w:val="11"/>
                <w:szCs w:val="11"/>
                <w:b w:val="1"/>
                <w:bCs w:val="1"/>
                <w:color w:val="auto"/>
                <w:w w:val="90"/>
              </w:rPr>
              <w:t>(IRS Employer</w:t>
            </w:r>
          </w:p>
        </w:tc>
      </w:tr>
      <w:tr>
        <w:trPr>
          <w:trHeight w:val="140"/>
        </w:trPr>
        <w:tc>
          <w:tcPr>
            <w:tcW w:w="2560" w:type="dxa"/>
            <w:vAlign w:val="bottom"/>
          </w:tcPr>
          <w:p>
            <w:pPr>
              <w:jc w:val="center"/>
              <w:ind w:right="581"/>
              <w:spacing w:after="0"/>
              <w:rPr>
                <w:sz w:val="20"/>
                <w:szCs w:val="20"/>
                <w:color w:val="auto"/>
              </w:rPr>
            </w:pPr>
            <w:r>
              <w:rPr>
                <w:rFonts w:ascii="Arial" w:cs="Arial" w:eastAsia="Arial" w:hAnsi="Arial"/>
                <w:sz w:val="11"/>
                <w:szCs w:val="11"/>
                <w:b w:val="1"/>
                <w:bCs w:val="1"/>
                <w:color w:val="auto"/>
                <w:w w:val="89"/>
              </w:rPr>
              <w:t>incorporation or organization)</w:t>
            </w:r>
          </w:p>
        </w:tc>
        <w:tc>
          <w:tcPr>
            <w:tcW w:w="4640" w:type="dxa"/>
            <w:vAlign w:val="bottom"/>
          </w:tcPr>
          <w:p>
            <w:pPr>
              <w:jc w:val="center"/>
              <w:ind w:left="3741"/>
              <w:spacing w:after="0"/>
              <w:rPr>
                <w:sz w:val="20"/>
                <w:szCs w:val="20"/>
                <w:color w:val="auto"/>
              </w:rPr>
            </w:pPr>
            <w:r>
              <w:rPr>
                <w:rFonts w:ascii="Arial" w:cs="Arial" w:eastAsia="Arial" w:hAnsi="Arial"/>
                <w:sz w:val="11"/>
                <w:szCs w:val="11"/>
                <w:b w:val="1"/>
                <w:bCs w:val="1"/>
                <w:color w:val="auto"/>
                <w:w w:val="90"/>
              </w:rPr>
              <w:t>Identification No.)</w:t>
            </w:r>
          </w:p>
        </w:tc>
      </w:tr>
      <w:tr>
        <w:trPr>
          <w:trHeight w:val="294"/>
        </w:trPr>
        <w:tc>
          <w:tcPr>
            <w:tcW w:w="2560" w:type="dxa"/>
            <w:vAlign w:val="bottom"/>
          </w:tcPr>
          <w:p>
            <w:pPr>
              <w:jc w:val="center"/>
              <w:ind w:right="581"/>
              <w:spacing w:after="0"/>
              <w:rPr>
                <w:sz w:val="20"/>
                <w:szCs w:val="20"/>
                <w:color w:val="auto"/>
              </w:rPr>
            </w:pPr>
            <w:r>
              <w:rPr>
                <w:rFonts w:ascii="Arial" w:cs="Arial" w:eastAsia="Arial" w:hAnsi="Arial"/>
                <w:sz w:val="13"/>
                <w:szCs w:val="13"/>
                <w:b w:val="1"/>
                <w:bCs w:val="1"/>
                <w:color w:val="auto"/>
                <w:w w:val="95"/>
              </w:rPr>
              <w:t>555 Turnpike Street, Canton, MA</w:t>
            </w:r>
          </w:p>
        </w:tc>
        <w:tc>
          <w:tcPr>
            <w:tcW w:w="4640" w:type="dxa"/>
            <w:vAlign w:val="bottom"/>
          </w:tcPr>
          <w:p>
            <w:pPr>
              <w:jc w:val="right"/>
              <w:ind w:right="201"/>
              <w:spacing w:after="0"/>
              <w:rPr>
                <w:sz w:val="20"/>
                <w:szCs w:val="20"/>
                <w:color w:val="auto"/>
              </w:rPr>
            </w:pPr>
            <w:r>
              <w:rPr>
                <w:rFonts w:ascii="Arial" w:cs="Arial" w:eastAsia="Arial" w:hAnsi="Arial"/>
                <w:sz w:val="13"/>
                <w:szCs w:val="13"/>
                <w:b w:val="1"/>
                <w:bCs w:val="1"/>
                <w:color w:val="auto"/>
              </w:rPr>
              <w:t>02021</w:t>
            </w:r>
          </w:p>
        </w:tc>
      </w:tr>
      <w:tr>
        <w:trPr>
          <w:trHeight w:val="140"/>
        </w:trPr>
        <w:tc>
          <w:tcPr>
            <w:tcW w:w="2560" w:type="dxa"/>
            <w:vAlign w:val="bottom"/>
          </w:tcPr>
          <w:p>
            <w:pPr>
              <w:jc w:val="center"/>
              <w:ind w:right="581"/>
              <w:spacing w:after="0"/>
              <w:rPr>
                <w:sz w:val="20"/>
                <w:szCs w:val="20"/>
                <w:color w:val="auto"/>
              </w:rPr>
            </w:pPr>
            <w:r>
              <w:rPr>
                <w:rFonts w:ascii="Arial" w:cs="Arial" w:eastAsia="Arial" w:hAnsi="Arial"/>
                <w:sz w:val="11"/>
                <w:szCs w:val="11"/>
                <w:b w:val="1"/>
                <w:bCs w:val="1"/>
                <w:color w:val="auto"/>
                <w:w w:val="85"/>
              </w:rPr>
              <w:t>(Address of principal executive offices)</w:t>
            </w:r>
          </w:p>
        </w:tc>
        <w:tc>
          <w:tcPr>
            <w:tcW w:w="4640" w:type="dxa"/>
            <w:vAlign w:val="bottom"/>
          </w:tcPr>
          <w:p>
            <w:pPr>
              <w:jc w:val="center"/>
              <w:ind w:left="3721"/>
              <w:spacing w:after="0"/>
              <w:rPr>
                <w:sz w:val="20"/>
                <w:szCs w:val="20"/>
                <w:color w:val="auto"/>
              </w:rPr>
            </w:pPr>
            <w:r>
              <w:rPr>
                <w:rFonts w:ascii="Arial" w:cs="Arial" w:eastAsia="Arial" w:hAnsi="Arial"/>
                <w:sz w:val="11"/>
                <w:szCs w:val="11"/>
                <w:b w:val="1"/>
                <w:bCs w:val="1"/>
                <w:color w:val="auto"/>
                <w:w w:val="91"/>
              </w:rPr>
              <w:t>(Zip Code)</w:t>
            </w:r>
          </w:p>
        </w:tc>
      </w:tr>
      <w:tr>
        <w:trPr>
          <w:trHeight w:val="294"/>
        </w:trPr>
        <w:tc>
          <w:tcPr>
            <w:tcW w:w="2560" w:type="dxa"/>
            <w:vAlign w:val="bottom"/>
          </w:tcPr>
          <w:p>
            <w:pPr>
              <w:spacing w:after="0"/>
              <w:rPr>
                <w:sz w:val="24"/>
                <w:szCs w:val="24"/>
                <w:color w:val="auto"/>
              </w:rPr>
            </w:pPr>
          </w:p>
        </w:tc>
        <w:tc>
          <w:tcPr>
            <w:tcW w:w="4640" w:type="dxa"/>
            <w:vAlign w:val="bottom"/>
          </w:tcPr>
          <w:p>
            <w:pPr>
              <w:jc w:val="center"/>
              <w:ind w:right="1941"/>
              <w:spacing w:after="0"/>
              <w:rPr>
                <w:sz w:val="20"/>
                <w:szCs w:val="20"/>
                <w:color w:val="auto"/>
              </w:rPr>
            </w:pPr>
            <w:r>
              <w:rPr>
                <w:rFonts w:ascii="Arial" w:cs="Arial" w:eastAsia="Arial" w:hAnsi="Arial"/>
                <w:sz w:val="13"/>
                <w:szCs w:val="13"/>
                <w:b w:val="1"/>
                <w:bCs w:val="1"/>
                <w:color w:val="auto"/>
                <w:w w:val="94"/>
              </w:rPr>
              <w:t>(781) 828-9300</w:t>
            </w:r>
          </w:p>
        </w:tc>
      </w:tr>
      <w:tr>
        <w:trPr>
          <w:trHeight w:val="111"/>
        </w:trPr>
        <w:tc>
          <w:tcPr>
            <w:tcW w:w="2560" w:type="dxa"/>
            <w:vAlign w:val="bottom"/>
          </w:tcPr>
          <w:p>
            <w:pPr>
              <w:spacing w:after="0"/>
              <w:rPr>
                <w:sz w:val="9"/>
                <w:szCs w:val="9"/>
                <w:color w:val="auto"/>
              </w:rPr>
            </w:pPr>
          </w:p>
        </w:tc>
        <w:tc>
          <w:tcPr>
            <w:tcW w:w="4640" w:type="dxa"/>
            <w:vAlign w:val="bottom"/>
          </w:tcPr>
          <w:p>
            <w:pPr>
              <w:jc w:val="center"/>
              <w:ind w:right="1961"/>
              <w:spacing w:after="0" w:line="111" w:lineRule="exact"/>
              <w:rPr>
                <w:sz w:val="20"/>
                <w:szCs w:val="20"/>
                <w:color w:val="auto"/>
              </w:rPr>
            </w:pPr>
            <w:r>
              <w:rPr>
                <w:rFonts w:ascii="Arial" w:cs="Arial" w:eastAsia="Arial" w:hAnsi="Arial"/>
                <w:sz w:val="11"/>
                <w:szCs w:val="11"/>
                <w:b w:val="1"/>
                <w:bCs w:val="1"/>
                <w:color w:val="auto"/>
                <w:w w:val="86"/>
              </w:rPr>
              <w:t>(Registrant’s telephone</w:t>
            </w:r>
          </w:p>
        </w:tc>
      </w:tr>
      <w:tr>
        <w:trPr>
          <w:trHeight w:val="140"/>
        </w:trPr>
        <w:tc>
          <w:tcPr>
            <w:tcW w:w="2560" w:type="dxa"/>
            <w:vAlign w:val="bottom"/>
          </w:tcPr>
          <w:p>
            <w:pPr>
              <w:spacing w:after="0"/>
              <w:rPr>
                <w:sz w:val="12"/>
                <w:szCs w:val="12"/>
                <w:color w:val="auto"/>
              </w:rPr>
            </w:pPr>
          </w:p>
        </w:tc>
        <w:tc>
          <w:tcPr>
            <w:tcW w:w="4640" w:type="dxa"/>
            <w:vAlign w:val="bottom"/>
          </w:tcPr>
          <w:p>
            <w:pPr>
              <w:jc w:val="center"/>
              <w:ind w:right="1961"/>
              <w:spacing w:after="0"/>
              <w:rPr>
                <w:sz w:val="20"/>
                <w:szCs w:val="20"/>
                <w:color w:val="auto"/>
              </w:rPr>
            </w:pPr>
            <w:r>
              <w:rPr>
                <w:rFonts w:ascii="Arial" w:cs="Arial" w:eastAsia="Arial" w:hAnsi="Arial"/>
                <w:sz w:val="11"/>
                <w:szCs w:val="11"/>
                <w:b w:val="1"/>
                <w:bCs w:val="1"/>
                <w:color w:val="auto"/>
                <w:w w:val="87"/>
              </w:rPr>
              <w:t>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2914015</wp:posOffset>
            </wp:positionH>
            <wp:positionV relativeFrom="paragraph">
              <wp:posOffset>114300</wp:posOffset>
            </wp:positionV>
            <wp:extent cx="145351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3515" cy="6350"/>
                    </a:xfrm>
                    <a:prstGeom prst="rect">
                      <a:avLst/>
                    </a:prstGeom>
                    <a:noFill/>
                  </pic:spPr>
                </pic:pic>
              </a:graphicData>
            </a:graphic>
          </wp:anchor>
        </w:drawing>
      </w:r>
    </w:p>
    <w:p>
      <w:pPr>
        <w:spacing w:after="0" w:line="320" w:lineRule="exact"/>
        <w:rPr>
          <w:sz w:val="24"/>
          <w:szCs w:val="24"/>
          <w:color w:val="auto"/>
        </w:rPr>
      </w:pPr>
    </w:p>
    <w:p>
      <w:pPr>
        <w:ind w:right="60"/>
        <w:spacing w:after="0" w:line="17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8" w:lineRule="exact"/>
        <w:rPr>
          <w:sz w:val="24"/>
          <w:szCs w:val="24"/>
          <w:color w:val="auto"/>
        </w:rPr>
      </w:pPr>
    </w:p>
    <w:p>
      <w:pPr>
        <w:ind w:right="340"/>
        <w:spacing w:after="0" w:line="17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8" w:lineRule="exact"/>
        <w:rPr>
          <w:sz w:val="24"/>
          <w:szCs w:val="24"/>
          <w:color w:val="auto"/>
        </w:rPr>
      </w:pPr>
    </w:p>
    <w:p>
      <w:pPr>
        <w:ind w:right="280"/>
        <w:spacing w:after="0" w:line="29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82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3740" w:type="dxa"/>
            <w:vAlign w:val="bottom"/>
          </w:tcPr>
          <w:p>
            <w:pPr>
              <w:ind w:left="1460"/>
              <w:spacing w:after="0"/>
              <w:rPr>
                <w:sz w:val="20"/>
                <w:szCs w:val="20"/>
                <w:color w:val="auto"/>
              </w:rPr>
            </w:pPr>
            <w:r>
              <w:rPr>
                <w:rFonts w:ascii="Arial" w:cs="Arial" w:eastAsia="Arial" w:hAnsi="Arial"/>
                <w:sz w:val="13"/>
                <w:szCs w:val="13"/>
                <w:color w:val="auto"/>
              </w:rPr>
              <w:t>Accelerated filer</w:t>
            </w:r>
          </w:p>
        </w:tc>
        <w:tc>
          <w:tcPr>
            <w:tcW w:w="104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r>
      <w:tr>
        <w:trPr>
          <w:trHeight w:val="252"/>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4820" w:type="dxa"/>
            <w:vAlign w:val="bottom"/>
          </w:tcPr>
          <w:p>
            <w:pPr>
              <w:ind w:left="68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3740" w:type="dxa"/>
            <w:vAlign w:val="bottom"/>
          </w:tcPr>
          <w:p>
            <w:pPr>
              <w:ind w:left="1460"/>
              <w:spacing w:after="0"/>
              <w:rPr>
                <w:sz w:val="20"/>
                <w:szCs w:val="20"/>
                <w:color w:val="auto"/>
              </w:rPr>
            </w:pPr>
            <w:r>
              <w:rPr>
                <w:rFonts w:ascii="Arial" w:cs="Arial" w:eastAsia="Arial" w:hAnsi="Arial"/>
                <w:sz w:val="13"/>
                <w:szCs w:val="13"/>
                <w:color w:val="auto"/>
              </w:rPr>
              <w:t>Smaller reporting company</w:t>
            </w:r>
          </w:p>
        </w:tc>
        <w:tc>
          <w:tcPr>
            <w:tcW w:w="104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r>
      <w:tr>
        <w:trPr>
          <w:trHeight w:val="323"/>
        </w:trPr>
        <w:tc>
          <w:tcPr>
            <w:tcW w:w="6680" w:type="dxa"/>
            <w:vAlign w:val="bottom"/>
            <w:gridSpan w:val="2"/>
          </w:tcPr>
          <w:p>
            <w:pPr>
              <w:spacing w:after="0" w:line="150" w:lineRule="exact"/>
              <w:rPr>
                <w:sz w:val="20"/>
                <w:szCs w:val="20"/>
                <w:color w:val="auto"/>
              </w:rPr>
            </w:pPr>
            <w:r>
              <w:rPr>
                <w:rFonts w:ascii="Arial" w:cs="Arial" w:eastAsia="Arial" w:hAnsi="Arial"/>
                <w:sz w:val="13"/>
                <w:szCs w:val="13"/>
                <w:color w:val="auto"/>
                <w:w w:val="95"/>
              </w:rPr>
              <w:t xml:space="preserve">Indicate by check mark whether the registrant is a shell company (as defined in Rule 12b-2 of the Exchange Act).  Yes </w:t>
            </w:r>
            <w:r>
              <w:rPr>
                <w:rFonts w:ascii="MS PGothic" w:cs="MS PGothic" w:eastAsia="MS PGothic" w:hAnsi="MS PGothic"/>
                <w:sz w:val="13"/>
                <w:szCs w:val="13"/>
                <w:color w:val="auto"/>
                <w:w w:val="95"/>
              </w:rPr>
              <w:t>☐</w:t>
            </w:r>
          </w:p>
        </w:tc>
        <w:tc>
          <w:tcPr>
            <w:tcW w:w="374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1040" w:type="dxa"/>
            <w:vAlign w:val="bottom"/>
          </w:tcPr>
          <w:p>
            <w:pPr>
              <w:spacing w:after="0"/>
              <w:rPr>
                <w:sz w:val="24"/>
                <w:szCs w:val="24"/>
                <w:color w:val="auto"/>
              </w:rPr>
            </w:pPr>
          </w:p>
        </w:tc>
      </w:tr>
      <w:tr>
        <w:trPr>
          <w:trHeight w:val="309"/>
        </w:trPr>
        <w:tc>
          <w:tcPr>
            <w:tcW w:w="6680" w:type="dxa"/>
            <w:vAlign w:val="bottom"/>
            <w:gridSpan w:val="2"/>
          </w:tcPr>
          <w:p>
            <w:pPr>
              <w:spacing w:after="0"/>
              <w:rPr>
                <w:sz w:val="20"/>
                <w:szCs w:val="20"/>
                <w:color w:val="auto"/>
              </w:rPr>
            </w:pPr>
            <w:r>
              <w:rPr>
                <w:rFonts w:ascii="Arial" w:cs="Arial" w:eastAsia="Arial" w:hAnsi="Arial"/>
                <w:sz w:val="13"/>
                <w:szCs w:val="13"/>
                <w:color w:val="auto"/>
              </w:rPr>
              <w:t>The number of shares of the registrant’s common stock outstanding as of October 31, 2014 was 50,682,322.</w:t>
            </w:r>
          </w:p>
        </w:tc>
        <w:tc>
          <w:tcPr>
            <w:tcW w:w="37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1"/>
        </w:trPr>
        <w:tc>
          <w:tcPr>
            <w:tcW w:w="1860" w:type="dxa"/>
            <w:vAlign w:val="bottom"/>
            <w:tcBorders>
              <w:bottom w:val="single" w:sz="8" w:color="auto"/>
            </w:tcBorders>
          </w:tcPr>
          <w:p>
            <w:pPr>
              <w:spacing w:after="0"/>
              <w:rPr>
                <w:sz w:val="11"/>
                <w:szCs w:val="11"/>
                <w:color w:val="auto"/>
              </w:rPr>
            </w:pPr>
          </w:p>
        </w:tc>
        <w:tc>
          <w:tcPr>
            <w:tcW w:w="482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20" w:top="491" w:right="219" w:bottom="144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PART I. 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color w:val="auto"/>
        </w:rPr>
        <w:t>Item 1.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DESTINATION XL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 except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1"/>
                <w:szCs w:val="11"/>
                <w:color w:val="auto"/>
                <w:w w:val="88"/>
              </w:rPr>
              <w:t>November 1, 2014</w:t>
            </w:r>
          </w:p>
        </w:tc>
        <w:tc>
          <w:tcPr>
            <w:tcW w:w="220" w:type="dxa"/>
            <w:vAlign w:val="bottom"/>
          </w:tcPr>
          <w:p>
            <w:pPr>
              <w:spacing w:after="0"/>
              <w:rPr>
                <w:sz w:val="10"/>
                <w:szCs w:val="1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1"/>
                <w:szCs w:val="11"/>
                <w:color w:val="auto"/>
              </w:rPr>
              <w:t>February 1, 2014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center"/>
              <w:ind w:right="420"/>
              <w:spacing w:after="0" w:line="124" w:lineRule="exact"/>
              <w:rPr>
                <w:sz w:val="20"/>
                <w:szCs w:val="20"/>
                <w:color w:val="auto"/>
              </w:rPr>
            </w:pPr>
            <w:r>
              <w:rPr>
                <w:rFonts w:ascii="Arial" w:cs="Arial" w:eastAsia="Arial" w:hAnsi="Arial"/>
                <w:sz w:val="11"/>
                <w:szCs w:val="11"/>
                <w:color w:val="auto"/>
                <w:w w:val="88"/>
              </w:rPr>
              <w:t>(Fiscal 2014)</w:t>
            </w:r>
          </w:p>
        </w:tc>
        <w:tc>
          <w:tcPr>
            <w:tcW w:w="220" w:type="dxa"/>
            <w:vAlign w:val="bottom"/>
          </w:tcPr>
          <w:p>
            <w:pPr>
              <w:spacing w:after="0"/>
              <w:rPr>
                <w:sz w:val="10"/>
                <w:szCs w:val="10"/>
                <w:color w:val="auto"/>
              </w:rPr>
            </w:pPr>
          </w:p>
        </w:tc>
        <w:tc>
          <w:tcPr>
            <w:tcW w:w="1320" w:type="dxa"/>
            <w:vAlign w:val="bottom"/>
            <w:gridSpan w:val="2"/>
          </w:tcPr>
          <w:p>
            <w:pPr>
              <w:jc w:val="right"/>
              <w:ind w:right="520"/>
              <w:spacing w:after="0" w:line="124" w:lineRule="exact"/>
              <w:rPr>
                <w:sz w:val="20"/>
                <w:szCs w:val="20"/>
                <w:color w:val="auto"/>
              </w:rPr>
            </w:pPr>
            <w:r>
              <w:rPr>
                <w:rFonts w:ascii="Arial" w:cs="Arial" w:eastAsia="Arial" w:hAnsi="Arial"/>
                <w:sz w:val="11"/>
                <w:szCs w:val="11"/>
                <w:color w:val="auto"/>
              </w:rPr>
              <w:t>(Fiscal 2013)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center"/>
              <w:ind w:right="134"/>
              <w:spacing w:after="0" w:line="111" w:lineRule="exact"/>
              <w:rPr>
                <w:sz w:val="20"/>
                <w:szCs w:val="20"/>
                <w:color w:val="auto"/>
              </w:rPr>
            </w:pPr>
            <w:r>
              <w:rPr>
                <w:rFonts w:ascii="Arial" w:cs="Arial" w:eastAsia="Arial" w:hAnsi="Arial"/>
                <w:sz w:val="11"/>
                <w:szCs w:val="11"/>
                <w:color w:val="auto"/>
                <w:w w:val="90"/>
              </w:rPr>
              <w:t>(Unaudited)</w:t>
            </w:r>
          </w:p>
        </w:tc>
        <w:tc>
          <w:tcPr>
            <w:tcW w:w="2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ASSETS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spacing w:after="0"/>
              <w:rPr>
                <w:sz w:val="20"/>
                <w:szCs w:val="20"/>
                <w:color w:val="auto"/>
              </w:rPr>
            </w:pPr>
            <w:r>
              <w:rPr>
                <w:rFonts w:ascii="Arial" w:cs="Arial" w:eastAsia="Arial" w:hAnsi="Arial"/>
                <w:sz w:val="13"/>
                <w:szCs w:val="13"/>
                <w:i w:val="1"/>
                <w:iCs w:val="1"/>
                <w:color w:val="auto"/>
              </w:rPr>
              <w:t>Current assets:</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6,066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Accounts receivable</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7,514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8,347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Inventories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126,403</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105,556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Borders>
              <w:bottom w:val="single" w:sz="8" w:color="CFF0FC"/>
            </w:tcBorders>
          </w:tcPr>
          <w:p>
            <w:pPr>
              <w:ind w:left="16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9,523</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7,994</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current assets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149,506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126,441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Property and equipment, net of accumulated depreciation and amortization</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122,370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102,939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Other assets: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Intangible assets</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3,549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4,393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Other assets</w:t>
            </w:r>
          </w:p>
        </w:tc>
        <w:tc>
          <w:tcPr>
            <w:tcW w:w="2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4,527</w:t>
            </w: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3,608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0" w:type="dxa"/>
            <w:vAlign w:val="bottom"/>
            <w:tcBorders>
              <w:bottom w:val="single" w:sz="8" w:color="CFF0FC"/>
            </w:tcBorders>
          </w:tcPr>
          <w:p>
            <w:pPr>
              <w:ind w:left="340"/>
              <w:spacing w:after="0"/>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279,952</w:t>
            </w:r>
          </w:p>
        </w:tc>
        <w:tc>
          <w:tcPr>
            <w:tcW w:w="2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237,381</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8200" w:type="dxa"/>
            <w:vAlign w:val="bottom"/>
          </w:tcPr>
          <w:p>
            <w:pPr>
              <w:spacing w:after="0"/>
              <w:rPr>
                <w:sz w:val="20"/>
                <w:szCs w:val="20"/>
                <w:color w:val="auto"/>
              </w:rPr>
            </w:pPr>
            <w:r>
              <w:rPr>
                <w:rFonts w:ascii="Arial" w:cs="Arial" w:eastAsia="Arial" w:hAnsi="Arial"/>
                <w:sz w:val="13"/>
                <w:szCs w:val="13"/>
                <w:color w:val="auto"/>
              </w:rPr>
              <w:t>LIABILITIES AND STOCKHOLDERS' EQUITY</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Current liabilities: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Current portion of long-term debt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7,473</w:t>
            </w:r>
          </w:p>
        </w:tc>
        <w:tc>
          <w:tcPr>
            <w:tcW w:w="22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4,561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Current portion of deferred gain on sale-leaseback</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Accounts payable</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28,545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32,945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Accrued expenses and other current liabilities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34,732</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28,227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Borders>
              <w:bottom w:val="single" w:sz="8" w:color="CFF0FC"/>
            </w:tcBorders>
          </w:tcPr>
          <w:p>
            <w:pPr>
              <w:ind w:left="160"/>
              <w:spacing w:after="0"/>
              <w:rPr>
                <w:sz w:val="20"/>
                <w:szCs w:val="20"/>
                <w:color w:val="auto"/>
              </w:rPr>
            </w:pPr>
            <w:r>
              <w:rPr>
                <w:rFonts w:ascii="Arial" w:cs="Arial" w:eastAsia="Arial" w:hAnsi="Arial"/>
                <w:sz w:val="13"/>
                <w:szCs w:val="13"/>
                <w:color w:val="auto"/>
              </w:rPr>
              <w:t>Borrowings under credit facility</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37,954</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9,029</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current liabilities</w:t>
            </w:r>
          </w:p>
        </w:tc>
        <w:tc>
          <w:tcPr>
            <w:tcW w:w="2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110,169</w:t>
            </w: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76,227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Long-term liabilities: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Long-term debt, net of current portion</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28,516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12,145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Deferred rent and lease incentives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28,424</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22,835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Deferred gain on sale-leaseback, net of current portion</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16,120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Deferred tax liability</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Borders>
              <w:bottom w:val="single" w:sz="8" w:color="CFF0FC"/>
            </w:tcBorders>
          </w:tcPr>
          <w:p>
            <w:pPr>
              <w:ind w:left="160"/>
              <w:spacing w:after="0"/>
              <w:rPr>
                <w:sz w:val="20"/>
                <w:szCs w:val="20"/>
                <w:color w:val="auto"/>
              </w:rPr>
            </w:pPr>
            <w:r>
              <w:rPr>
                <w:rFonts w:ascii="Arial" w:cs="Arial" w:eastAsia="Arial" w:hAnsi="Arial"/>
                <w:sz w:val="13"/>
                <w:szCs w:val="13"/>
                <w:color w:val="auto"/>
              </w:rPr>
              <w:t>Other long-term liabilities</w:t>
            </w: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3,763</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5,083</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long-term liabilities</w:t>
            </w:r>
          </w:p>
        </w:tc>
        <w:tc>
          <w:tcPr>
            <w:tcW w:w="20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75,789</w:t>
            </w: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56,183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Commitments and contingencies</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820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Stockholders' equity:</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Preferred stock, $0.01 par value, 1,000,000 shares authorized, none issued</w:t>
            </w:r>
          </w:p>
        </w:tc>
        <w:tc>
          <w:tcPr>
            <w:tcW w:w="2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5"/>
              </w:rPr>
              <w:t>Common stock, $0.01 par value, 100,000,000 shares authorized, 61,559,761 and 61,473,083 shares issued at November 1, 2014 and February 1,</w:t>
            </w: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2014, respectively</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298,985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296,501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Treasury stock at cost, 10,877,439 shares at November 1, 2014 and February 1, 2014</w:t>
            </w: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(87,977)</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(87,977)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tcPr>
          <w:p>
            <w:pPr>
              <w:ind w:left="160"/>
              <w:spacing w:after="0"/>
              <w:rPr>
                <w:sz w:val="20"/>
                <w:szCs w:val="20"/>
                <w:color w:val="auto"/>
              </w:rPr>
            </w:pPr>
            <w:r>
              <w:rPr>
                <w:rFonts w:ascii="Arial" w:cs="Arial" w:eastAsia="Arial" w:hAnsi="Arial"/>
                <w:sz w:val="13"/>
                <w:szCs w:val="13"/>
                <w:color w:val="auto"/>
              </w:rPr>
              <w:t>Accumulated deficit</w:t>
            </w:r>
          </w:p>
        </w:tc>
        <w:tc>
          <w:tcPr>
            <w:tcW w:w="200" w:type="dxa"/>
            <w:vAlign w:val="bottom"/>
          </w:tcPr>
          <w:p>
            <w:pPr>
              <w:spacing w:after="0"/>
              <w:rPr>
                <w:sz w:val="14"/>
                <w:szCs w:val="14"/>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(113,457)</w:t>
            </w:r>
          </w:p>
        </w:tc>
        <w:tc>
          <w:tcPr>
            <w:tcW w:w="2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(99,608)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Accumulated other comprehensive loss</w:t>
            </w:r>
          </w:p>
        </w:tc>
        <w:tc>
          <w:tcPr>
            <w:tcW w:w="2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(4,173)</w:t>
            </w:r>
          </w:p>
        </w:tc>
        <w:tc>
          <w:tcPr>
            <w:tcW w:w="2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tcBorders>
              <w:bottom w:val="single" w:sz="8" w:color="CFF0FC"/>
            </w:tcBorders>
          </w:tcPr>
          <w:p>
            <w:pPr>
              <w:ind w:left="340"/>
              <w:spacing w:after="0"/>
              <w:rPr>
                <w:sz w:val="20"/>
                <w:szCs w:val="20"/>
                <w:color w:val="auto"/>
              </w:rPr>
            </w:pPr>
            <w:r>
              <w:rPr>
                <w:rFonts w:ascii="Arial" w:cs="Arial" w:eastAsia="Arial" w:hAnsi="Arial"/>
                <w:sz w:val="13"/>
                <w:szCs w:val="13"/>
                <w:color w:val="auto"/>
              </w:rPr>
              <w:t>Total stockholders' equity</w:t>
            </w:r>
          </w:p>
        </w:tc>
        <w:tc>
          <w:tcPr>
            <w:tcW w:w="2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93,994</w:t>
            </w:r>
          </w:p>
        </w:tc>
        <w:tc>
          <w:tcPr>
            <w:tcW w:w="22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104,971</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3"/>
                <w:szCs w:val="13"/>
                <w:color w:val="auto"/>
              </w:rPr>
              <w:t>Total liabilities and stockholders' equity</w:t>
            </w: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279,952</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237,381</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290"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color w:val="auto"/>
        </w:rPr>
        <w:t>DESTINATION XL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 except per share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gridSpan w:val="6"/>
          </w:tcPr>
          <w:p>
            <w:pPr>
              <w:jc w:val="right"/>
              <w:ind w:right="880"/>
              <w:spacing w:after="0"/>
              <w:rPr>
                <w:sz w:val="20"/>
                <w:szCs w:val="20"/>
                <w:color w:val="auto"/>
              </w:rPr>
            </w:pPr>
            <w:r>
              <w:rPr>
                <w:rFonts w:ascii="Arial" w:cs="Arial" w:eastAsia="Arial" w:hAnsi="Arial"/>
                <w:sz w:val="11"/>
                <w:szCs w:val="11"/>
                <w:color w:val="auto"/>
              </w:rPr>
              <w:t>For the three months ended</w:t>
            </w:r>
          </w:p>
        </w:tc>
        <w:tc>
          <w:tcPr>
            <w:tcW w:w="120" w:type="dxa"/>
            <w:vAlign w:val="bottom"/>
          </w:tcPr>
          <w:p>
            <w:pPr>
              <w:spacing w:after="0"/>
              <w:rPr>
                <w:sz w:val="11"/>
                <w:szCs w:val="11"/>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1"/>
                <w:szCs w:val="11"/>
                <w:color w:val="auto"/>
              </w:rPr>
              <w:t>For the nine months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1"/>
                <w:szCs w:val="11"/>
                <w:color w:val="auto"/>
                <w:w w:val="90"/>
              </w:rPr>
              <w:t>November 1, 2014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1"/>
                <w:szCs w:val="11"/>
                <w:color w:val="auto"/>
                <w:w w:val="92"/>
              </w:rPr>
              <w:t>November 2, 2013</w:t>
            </w:r>
          </w:p>
        </w:tc>
        <w:tc>
          <w:tcPr>
            <w:tcW w:w="120" w:type="dxa"/>
            <w:vAlign w:val="bottom"/>
          </w:tcPr>
          <w:p>
            <w:pPr>
              <w:spacing w:after="0"/>
              <w:rPr>
                <w:sz w:val="12"/>
                <w:szCs w:val="12"/>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1"/>
                <w:szCs w:val="11"/>
                <w:color w:val="auto"/>
                <w:w w:val="92"/>
              </w:rPr>
              <w:t>November 1, 2014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w w:val="92"/>
              </w:rPr>
              <w:t>November 2, 2013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420"/>
              <w:spacing w:after="0" w:line="124" w:lineRule="exact"/>
              <w:rPr>
                <w:sz w:val="20"/>
                <w:szCs w:val="20"/>
                <w:color w:val="auto"/>
              </w:rPr>
            </w:pPr>
            <w:r>
              <w:rPr>
                <w:rFonts w:ascii="Arial" w:cs="Arial" w:eastAsia="Arial" w:hAnsi="Arial"/>
                <w:sz w:val="11"/>
                <w:szCs w:val="11"/>
                <w:color w:val="auto"/>
              </w:rPr>
              <w:t>(Fiscal 2014)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500"/>
              <w:spacing w:after="0" w:line="124" w:lineRule="exact"/>
              <w:rPr>
                <w:sz w:val="20"/>
                <w:szCs w:val="20"/>
                <w:color w:val="auto"/>
              </w:rPr>
            </w:pPr>
            <w:r>
              <w:rPr>
                <w:rFonts w:ascii="Arial" w:cs="Arial" w:eastAsia="Arial" w:hAnsi="Arial"/>
                <w:sz w:val="11"/>
                <w:szCs w:val="11"/>
                <w:color w:val="auto"/>
              </w:rPr>
              <w:t>(Fiscal 2013)</w:t>
            </w:r>
          </w:p>
        </w:tc>
        <w:tc>
          <w:tcPr>
            <w:tcW w:w="120" w:type="dxa"/>
            <w:vAlign w:val="bottom"/>
          </w:tcPr>
          <w:p>
            <w:pPr>
              <w:spacing w:after="0"/>
              <w:rPr>
                <w:sz w:val="10"/>
                <w:szCs w:val="10"/>
                <w:color w:val="auto"/>
              </w:rPr>
            </w:pPr>
          </w:p>
        </w:tc>
        <w:tc>
          <w:tcPr>
            <w:tcW w:w="1160" w:type="dxa"/>
            <w:vAlign w:val="bottom"/>
            <w:gridSpan w:val="2"/>
          </w:tcPr>
          <w:p>
            <w:pPr>
              <w:jc w:val="right"/>
              <w:ind w:right="420"/>
              <w:spacing w:after="0" w:line="124" w:lineRule="exact"/>
              <w:rPr>
                <w:sz w:val="20"/>
                <w:szCs w:val="20"/>
                <w:color w:val="auto"/>
              </w:rPr>
            </w:pPr>
            <w:r>
              <w:rPr>
                <w:rFonts w:ascii="Arial" w:cs="Arial" w:eastAsia="Arial" w:hAnsi="Arial"/>
                <w:sz w:val="11"/>
                <w:szCs w:val="11"/>
                <w:color w:val="auto"/>
              </w:rPr>
              <w:t>(Fiscal 2014)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auto"/>
              </w:rPr>
              <w:t>(Fiscal 2013)</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3"/>
                <w:szCs w:val="13"/>
                <w:color w:val="auto"/>
              </w:rPr>
              <w:t>Sales</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93,640</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88,682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294,114</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280,685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Cost of goods sold including occupancy costs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53,126</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49,515</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162,249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151,931</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3"/>
                <w:szCs w:val="13"/>
                <w:color w:val="auto"/>
              </w:rPr>
              <w:t>Gross profit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40,514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39,167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131,865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128,754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3"/>
                <w:szCs w:val="13"/>
                <w:color w:val="auto"/>
              </w:rPr>
              <w:t>Expenses:</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ind w:left="160"/>
              <w:spacing w:after="0"/>
              <w:rPr>
                <w:sz w:val="20"/>
                <w:szCs w:val="20"/>
                <w:color w:val="auto"/>
              </w:rPr>
            </w:pPr>
            <w:r>
              <w:rPr>
                <w:rFonts w:ascii="Arial" w:cs="Arial" w:eastAsia="Arial" w:hAnsi="Arial"/>
                <w:sz w:val="13"/>
                <w:szCs w:val="13"/>
                <w:color w:val="auto"/>
              </w:rPr>
              <w:t>Selling, general and administrative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40,185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40,988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127,004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122,252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Depreciation and amortization</w:t>
            </w: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6,041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4,867</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17,169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13,550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3"/>
                <w:szCs w:val="13"/>
                <w:color w:val="auto"/>
              </w:rPr>
              <w:t>Total expenses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46,226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45,855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144,173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135,802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Operating loss</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(5,712)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(6,688)</w:t>
            </w:r>
          </w:p>
        </w:tc>
        <w:tc>
          <w:tcPr>
            <w:tcW w:w="1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(12,308)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(7,048)</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(506)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(280)</w:t>
            </w:r>
          </w:p>
        </w:tc>
        <w:tc>
          <w:tcPr>
            <w:tcW w:w="1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(1,368)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Loss before provision (benefit) for income taxes</w:t>
            </w:r>
          </w:p>
        </w:tc>
        <w:tc>
          <w:tcPr>
            <w:tcW w:w="12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(6,218)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(6,968)</w:t>
            </w:r>
          </w:p>
        </w:tc>
        <w:tc>
          <w:tcPr>
            <w:tcW w:w="1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(13,676)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(7,747)</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Provision (benefit) for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(2,905)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(3,108)</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Net loss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(6,281)</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(4,063)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(13,849)</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(4,639)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Net loss per share - basic and diluted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(0.13)</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(0.08)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80"/>
              <w:spacing w:after="0"/>
              <w:rPr>
                <w:sz w:val="20"/>
                <w:szCs w:val="20"/>
                <w:color w:val="auto"/>
              </w:rPr>
            </w:pPr>
            <w:r>
              <w:rPr>
                <w:rFonts w:ascii="Arial" w:cs="Arial" w:eastAsia="Arial" w:hAnsi="Arial"/>
                <w:sz w:val="13"/>
                <w:szCs w:val="13"/>
                <w:color w:val="auto"/>
              </w:rPr>
              <w:t>(0.28)</w:t>
            </w: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3"/>
                <w:szCs w:val="13"/>
                <w:color w:val="auto"/>
              </w:rPr>
              <w:t>Weighted-average number of common shares outstanding:</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48,773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48,553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48,724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48,441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60" w:type="dxa"/>
            <w:vAlign w:val="bottom"/>
          </w:tcPr>
          <w:p>
            <w:pPr>
              <w:ind w:left="34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48,773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48,553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48,724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48,441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460"/>
          </w:cols>
          <w:pgMar w:left="220" w:top="290"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color w:val="auto"/>
        </w:rPr>
        <w:t>DESTINATION XL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COMPREHENSIVE INCOME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gridSpan w:val="5"/>
          </w:tcPr>
          <w:p>
            <w:pPr>
              <w:jc w:val="right"/>
              <w:ind w:right="1020"/>
              <w:spacing w:after="0"/>
              <w:rPr>
                <w:sz w:val="20"/>
                <w:szCs w:val="20"/>
                <w:color w:val="auto"/>
              </w:rPr>
            </w:pPr>
            <w:r>
              <w:rPr>
                <w:rFonts w:ascii="Arial" w:cs="Arial" w:eastAsia="Arial" w:hAnsi="Arial"/>
                <w:sz w:val="11"/>
                <w:szCs w:val="11"/>
                <w:color w:val="auto"/>
              </w:rPr>
              <w:t>Three Months Ended</w:t>
            </w:r>
          </w:p>
        </w:tc>
        <w:tc>
          <w:tcPr>
            <w:tcW w:w="120" w:type="dxa"/>
            <w:vAlign w:val="bottom"/>
          </w:tcPr>
          <w:p>
            <w:pPr>
              <w:spacing w:after="0"/>
              <w:rPr>
                <w:sz w:val="11"/>
                <w:szCs w:val="11"/>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1"/>
                <w:szCs w:val="11"/>
                <w:color w:val="auto"/>
              </w:rPr>
              <w:t>Nine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1"/>
                <w:szCs w:val="11"/>
                <w:color w:val="auto"/>
                <w:w w:val="90"/>
              </w:rPr>
              <w:t>November 1, 2014</w:t>
            </w:r>
          </w:p>
        </w:tc>
        <w:tc>
          <w:tcPr>
            <w:tcW w:w="120" w:type="dxa"/>
            <w:vAlign w:val="bottom"/>
          </w:tcPr>
          <w:p>
            <w:pPr>
              <w:spacing w:after="0"/>
              <w:rPr>
                <w:sz w:val="11"/>
                <w:szCs w:val="1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1"/>
                <w:szCs w:val="11"/>
                <w:color w:val="auto"/>
                <w:w w:val="92"/>
              </w:rPr>
              <w:t>November 2, 2013</w:t>
            </w:r>
          </w:p>
        </w:tc>
        <w:tc>
          <w:tcPr>
            <w:tcW w:w="120" w:type="dxa"/>
            <w:vAlign w:val="bottom"/>
          </w:tcPr>
          <w:p>
            <w:pPr>
              <w:spacing w:after="0"/>
              <w:rPr>
                <w:sz w:val="11"/>
                <w:szCs w:val="1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1"/>
                <w:szCs w:val="11"/>
                <w:color w:val="auto"/>
                <w:w w:val="92"/>
              </w:rPr>
              <w:t>November 1, 2014</w:t>
            </w:r>
          </w:p>
        </w:tc>
        <w:tc>
          <w:tcPr>
            <w:tcW w:w="120" w:type="dxa"/>
            <w:vAlign w:val="bottom"/>
          </w:tcPr>
          <w:p>
            <w:pPr>
              <w:spacing w:after="0"/>
              <w:rPr>
                <w:sz w:val="11"/>
                <w:szCs w:val="1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w w:val="92"/>
              </w:rPr>
              <w:t>November 2, 2013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500"/>
              <w:spacing w:after="0" w:line="124" w:lineRule="exact"/>
              <w:rPr>
                <w:sz w:val="20"/>
                <w:szCs w:val="20"/>
                <w:color w:val="auto"/>
              </w:rPr>
            </w:pPr>
            <w:r>
              <w:rPr>
                <w:rFonts w:ascii="Arial" w:cs="Arial" w:eastAsia="Arial" w:hAnsi="Arial"/>
                <w:sz w:val="11"/>
                <w:szCs w:val="11"/>
                <w:color w:val="auto"/>
              </w:rPr>
              <w:t>(Fiscal 2014)</w:t>
            </w:r>
          </w:p>
        </w:tc>
        <w:tc>
          <w:tcPr>
            <w:tcW w:w="120" w:type="dxa"/>
            <w:vAlign w:val="bottom"/>
          </w:tcPr>
          <w:p>
            <w:pPr>
              <w:spacing w:after="0"/>
              <w:rPr>
                <w:sz w:val="10"/>
                <w:szCs w:val="10"/>
                <w:color w:val="auto"/>
              </w:rPr>
            </w:pPr>
          </w:p>
        </w:tc>
        <w:tc>
          <w:tcPr>
            <w:tcW w:w="1240" w:type="dxa"/>
            <w:vAlign w:val="bottom"/>
            <w:gridSpan w:val="2"/>
          </w:tcPr>
          <w:p>
            <w:pPr>
              <w:jc w:val="right"/>
              <w:ind w:right="500"/>
              <w:spacing w:after="0" w:line="124" w:lineRule="exact"/>
              <w:rPr>
                <w:sz w:val="20"/>
                <w:szCs w:val="20"/>
                <w:color w:val="auto"/>
              </w:rPr>
            </w:pPr>
            <w:r>
              <w:rPr>
                <w:rFonts w:ascii="Arial" w:cs="Arial" w:eastAsia="Arial" w:hAnsi="Arial"/>
                <w:sz w:val="11"/>
                <w:szCs w:val="11"/>
                <w:color w:val="auto"/>
              </w:rPr>
              <w:t>(Fiscal 2013)</w:t>
            </w:r>
          </w:p>
        </w:tc>
        <w:tc>
          <w:tcPr>
            <w:tcW w:w="120" w:type="dxa"/>
            <w:vAlign w:val="bottom"/>
          </w:tcPr>
          <w:p>
            <w:pPr>
              <w:spacing w:after="0"/>
              <w:rPr>
                <w:sz w:val="10"/>
                <w:szCs w:val="10"/>
                <w:color w:val="auto"/>
              </w:rPr>
            </w:pPr>
          </w:p>
        </w:tc>
        <w:tc>
          <w:tcPr>
            <w:tcW w:w="1240" w:type="dxa"/>
            <w:vAlign w:val="bottom"/>
            <w:gridSpan w:val="2"/>
          </w:tcPr>
          <w:p>
            <w:pPr>
              <w:jc w:val="right"/>
              <w:ind w:right="500"/>
              <w:spacing w:after="0" w:line="124" w:lineRule="exact"/>
              <w:rPr>
                <w:sz w:val="20"/>
                <w:szCs w:val="20"/>
                <w:color w:val="auto"/>
              </w:rPr>
            </w:pPr>
            <w:r>
              <w:rPr>
                <w:rFonts w:ascii="Arial" w:cs="Arial" w:eastAsia="Arial" w:hAnsi="Arial"/>
                <w:sz w:val="11"/>
                <w:szCs w:val="11"/>
                <w:color w:val="auto"/>
              </w:rPr>
              <w:t>(Fiscal 2014)</w:t>
            </w:r>
          </w:p>
        </w:tc>
        <w:tc>
          <w:tcPr>
            <w:tcW w:w="120" w:type="dxa"/>
            <w:vAlign w:val="bottom"/>
          </w:tcPr>
          <w:p>
            <w:pPr>
              <w:spacing w:after="0"/>
              <w:rPr>
                <w:sz w:val="10"/>
                <w:szCs w:val="10"/>
                <w:color w:val="auto"/>
              </w:rPr>
            </w:pPr>
          </w:p>
        </w:tc>
        <w:tc>
          <w:tcPr>
            <w:tcW w:w="108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auto"/>
              </w:rPr>
              <w:t>(Fiscal 2013)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Net loss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(6,281)</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(4,063)</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(13,849)</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(4,639)</w:t>
            </w:r>
          </w:p>
        </w:tc>
        <w:tc>
          <w:tcPr>
            <w:tcW w:w="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3"/>
                <w:szCs w:val="13"/>
                <w:color w:val="auto"/>
              </w:rPr>
              <w:t>Other comprehensive income (loss) before taxes:</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ind w:left="160"/>
              <w:spacing w:after="0"/>
              <w:rPr>
                <w:sz w:val="20"/>
                <w:szCs w:val="20"/>
                <w:color w:val="auto"/>
              </w:rPr>
            </w:pPr>
            <w:r>
              <w:rPr>
                <w:rFonts w:ascii="Arial" w:cs="Arial" w:eastAsia="Arial" w:hAnsi="Arial"/>
                <w:sz w:val="13"/>
                <w:szCs w:val="13"/>
                <w:color w:val="auto"/>
              </w:rPr>
              <w:t>Foreign currency translation</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(144)</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Pension plan</w:t>
            </w: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180</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424</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60" w:type="dxa"/>
            <w:vAlign w:val="bottom"/>
          </w:tcPr>
          <w:p>
            <w:pPr>
              <w:ind w:left="340"/>
              <w:spacing w:after="0"/>
              <w:rPr>
                <w:sz w:val="20"/>
                <w:szCs w:val="20"/>
                <w:color w:val="auto"/>
              </w:rPr>
            </w:pPr>
            <w:r>
              <w:rPr>
                <w:rFonts w:ascii="Arial" w:cs="Arial" w:eastAsia="Arial" w:hAnsi="Arial"/>
                <w:sz w:val="13"/>
                <w:szCs w:val="13"/>
                <w:color w:val="auto"/>
              </w:rPr>
              <w:t>Other comprehensive income (loss) before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shd w:val="clear" w:color="auto" w:fill="CFF0FC"/>
          </w:tcPr>
          <w:p>
            <w:pPr>
              <w:spacing w:after="0"/>
              <w:rPr>
                <w:sz w:val="20"/>
                <w:szCs w:val="20"/>
                <w:color w:val="auto"/>
              </w:rPr>
            </w:pPr>
            <w:r>
              <w:rPr>
                <w:rFonts w:ascii="Arial" w:cs="Arial" w:eastAsia="Arial" w:hAnsi="Arial"/>
                <w:sz w:val="13"/>
                <w:szCs w:val="13"/>
                <w:color w:val="auto"/>
              </w:rPr>
              <w:t>Tax (provision) benefit related to items of other comprehensive income (loss)</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(197)</w:t>
            </w:r>
          </w:p>
        </w:tc>
        <w:tc>
          <w:tcPr>
            <w:tcW w:w="0" w:type="dxa"/>
            <w:vAlign w:val="bottom"/>
          </w:tcPr>
          <w:p>
            <w:pPr>
              <w:spacing w:after="0"/>
              <w:rPr>
                <w:sz w:val="1"/>
                <w:szCs w:val="1"/>
                <w:color w:val="auto"/>
              </w:rPr>
            </w:pPr>
          </w:p>
        </w:tc>
      </w:tr>
      <w:tr>
        <w:trPr>
          <w:trHeight w:val="162"/>
        </w:trPr>
        <w:tc>
          <w:tcPr>
            <w:tcW w:w="6180" w:type="dxa"/>
            <w:vAlign w:val="bottom"/>
            <w:gridSpan w:val="2"/>
          </w:tcPr>
          <w:p>
            <w:pPr>
              <w:spacing w:after="0"/>
              <w:rPr>
                <w:sz w:val="20"/>
                <w:szCs w:val="20"/>
                <w:color w:val="auto"/>
              </w:rPr>
            </w:pPr>
            <w:r>
              <w:rPr>
                <w:rFonts w:ascii="Arial" w:cs="Arial" w:eastAsia="Arial" w:hAnsi="Arial"/>
                <w:sz w:val="13"/>
                <w:szCs w:val="13"/>
                <w:color w:val="auto"/>
              </w:rPr>
              <w:t>Other comprehensive income (loss), net of tax</w:t>
            </w: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387</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(6,278)</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(3,892)</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(13,462)</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(4,447)</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460"/>
          </w:cols>
          <w:pgMar w:left="220" w:top="290"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color w:val="auto"/>
        </w:rPr>
        <w:t>DESTINATION XL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CHANGES IN STOCKHOLDERS’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color w:val="auto"/>
              </w:rPr>
              <w:t>Accumulated</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340"/>
              <w:spacing w:after="0" w:line="121" w:lineRule="exact"/>
              <w:rPr>
                <w:sz w:val="20"/>
                <w:szCs w:val="20"/>
                <w:color w:val="auto"/>
              </w:rPr>
            </w:pPr>
            <w:r>
              <w:rPr>
                <w:rFonts w:ascii="Arial" w:cs="Arial" w:eastAsia="Arial" w:hAnsi="Arial"/>
                <w:sz w:val="11"/>
                <w:szCs w:val="11"/>
                <w:color w:val="auto"/>
                <w:w w:val="95"/>
              </w:rPr>
              <w:t>Additional</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460"/>
              <w:spacing w:after="0" w:line="121" w:lineRule="exact"/>
              <w:rPr>
                <w:sz w:val="20"/>
                <w:szCs w:val="20"/>
                <w:color w:val="auto"/>
              </w:rPr>
            </w:pPr>
            <w:r>
              <w:rPr>
                <w:rFonts w:ascii="Arial" w:cs="Arial" w:eastAsia="Arial" w:hAnsi="Arial"/>
                <w:sz w:val="11"/>
                <w:szCs w:val="11"/>
                <w:color w:val="auto"/>
              </w:rPr>
              <w:t>Other</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940" w:type="dxa"/>
            <w:vAlign w:val="bottom"/>
            <w:gridSpan w:val="2"/>
          </w:tcPr>
          <w:p>
            <w:pPr>
              <w:jc w:val="center"/>
              <w:ind w:right="240"/>
              <w:spacing w:after="0" w:line="121" w:lineRule="exact"/>
              <w:rPr>
                <w:sz w:val="20"/>
                <w:szCs w:val="20"/>
                <w:color w:val="auto"/>
              </w:rPr>
            </w:pPr>
            <w:r>
              <w:rPr>
                <w:rFonts w:ascii="Arial" w:cs="Arial" w:eastAsia="Arial" w:hAnsi="Arial"/>
                <w:sz w:val="11"/>
                <w:szCs w:val="11"/>
                <w:color w:val="auto"/>
                <w:w w:val="87"/>
              </w:rPr>
              <w:t>Common Stock</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00"/>
              <w:spacing w:after="0" w:line="121" w:lineRule="exact"/>
              <w:rPr>
                <w:sz w:val="20"/>
                <w:szCs w:val="20"/>
                <w:color w:val="auto"/>
              </w:rPr>
            </w:pPr>
            <w:r>
              <w:rPr>
                <w:rFonts w:ascii="Arial" w:cs="Arial" w:eastAsia="Arial" w:hAnsi="Arial"/>
                <w:sz w:val="11"/>
                <w:szCs w:val="11"/>
                <w:color w:val="auto"/>
              </w:rPr>
              <w:t>Paid-in</w:t>
            </w:r>
          </w:p>
        </w:tc>
        <w:tc>
          <w:tcPr>
            <w:tcW w:w="900" w:type="dxa"/>
            <w:vAlign w:val="bottom"/>
            <w:gridSpan w:val="2"/>
          </w:tcPr>
          <w:p>
            <w:pPr>
              <w:jc w:val="center"/>
              <w:ind w:right="240"/>
              <w:spacing w:after="0" w:line="121" w:lineRule="exact"/>
              <w:rPr>
                <w:sz w:val="20"/>
                <w:szCs w:val="20"/>
                <w:color w:val="auto"/>
              </w:rPr>
            </w:pPr>
            <w:r>
              <w:rPr>
                <w:rFonts w:ascii="Arial" w:cs="Arial" w:eastAsia="Arial" w:hAnsi="Arial"/>
                <w:sz w:val="11"/>
                <w:szCs w:val="11"/>
                <w:color w:val="auto"/>
                <w:w w:val="89"/>
              </w:rPr>
              <w:t>Treasury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3"/>
          </w:tcPr>
          <w:p>
            <w:pPr>
              <w:jc w:val="right"/>
              <w:ind w:right="241"/>
              <w:spacing w:after="0" w:line="121" w:lineRule="exact"/>
              <w:rPr>
                <w:sz w:val="20"/>
                <w:szCs w:val="20"/>
                <w:color w:val="auto"/>
              </w:rPr>
            </w:pPr>
            <w:r>
              <w:rPr>
                <w:rFonts w:ascii="Arial" w:cs="Arial" w:eastAsia="Arial" w:hAnsi="Arial"/>
                <w:sz w:val="11"/>
                <w:szCs w:val="11"/>
                <w:color w:val="auto"/>
                <w:w w:val="94"/>
              </w:rPr>
              <w:t>Accumulated</w:t>
            </w:r>
          </w:p>
        </w:tc>
        <w:tc>
          <w:tcPr>
            <w:tcW w:w="900" w:type="dxa"/>
            <w:vAlign w:val="bottom"/>
            <w:gridSpan w:val="3"/>
          </w:tcPr>
          <w:p>
            <w:pPr>
              <w:spacing w:after="0" w:line="121" w:lineRule="exact"/>
              <w:rPr>
                <w:sz w:val="20"/>
                <w:szCs w:val="20"/>
                <w:color w:val="auto"/>
              </w:rPr>
            </w:pPr>
            <w:r>
              <w:rPr>
                <w:rFonts w:ascii="Arial" w:cs="Arial" w:eastAsia="Arial" w:hAnsi="Arial"/>
                <w:sz w:val="11"/>
                <w:szCs w:val="11"/>
                <w:color w:val="auto"/>
              </w:rPr>
              <w:t>Comprehensive</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940" w:type="dxa"/>
            <w:vAlign w:val="bottom"/>
            <w:gridSpan w:val="2"/>
          </w:tcPr>
          <w:p>
            <w:pPr>
              <w:jc w:val="center"/>
              <w:ind w:right="240"/>
              <w:spacing w:after="0" w:line="124" w:lineRule="exact"/>
              <w:rPr>
                <w:sz w:val="20"/>
                <w:szCs w:val="20"/>
                <w:color w:val="auto"/>
              </w:rPr>
            </w:pPr>
            <w:r>
              <w:rPr>
                <w:rFonts w:ascii="Arial" w:cs="Arial" w:eastAsia="Arial" w:hAnsi="Arial"/>
                <w:sz w:val="11"/>
                <w:szCs w:val="11"/>
                <w:color w:val="auto"/>
                <w:w w:val="85"/>
              </w:rPr>
              <w:t>Shares</w:t>
            </w:r>
          </w:p>
        </w:tc>
        <w:tc>
          <w:tcPr>
            <w:tcW w:w="120" w:type="dxa"/>
            <w:vAlign w:val="bottom"/>
          </w:tcPr>
          <w:p>
            <w:pPr>
              <w:spacing w:after="0"/>
              <w:rPr>
                <w:sz w:val="10"/>
                <w:szCs w:val="10"/>
                <w:color w:val="auto"/>
              </w:rPr>
            </w:pPr>
          </w:p>
        </w:tc>
        <w:tc>
          <w:tcPr>
            <w:tcW w:w="580" w:type="dxa"/>
            <w:vAlign w:val="bottom"/>
          </w:tcPr>
          <w:p>
            <w:pPr>
              <w:jc w:val="right"/>
              <w:ind w:right="95"/>
              <w:spacing w:after="0" w:line="124" w:lineRule="exact"/>
              <w:rPr>
                <w:sz w:val="20"/>
                <w:szCs w:val="20"/>
                <w:color w:val="auto"/>
              </w:rPr>
            </w:pPr>
            <w:r>
              <w:rPr>
                <w:rFonts w:ascii="Arial" w:cs="Arial" w:eastAsia="Arial" w:hAnsi="Arial"/>
                <w:sz w:val="11"/>
                <w:szCs w:val="11"/>
                <w:color w:val="auto"/>
                <w:w w:val="92"/>
              </w:rPr>
              <w:t>Amounts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00"/>
              <w:spacing w:after="0" w:line="124" w:lineRule="exact"/>
              <w:rPr>
                <w:sz w:val="20"/>
                <w:szCs w:val="20"/>
                <w:color w:val="auto"/>
              </w:rPr>
            </w:pPr>
            <w:r>
              <w:rPr>
                <w:rFonts w:ascii="Arial" w:cs="Arial" w:eastAsia="Arial" w:hAnsi="Arial"/>
                <w:sz w:val="11"/>
                <w:szCs w:val="11"/>
                <w:color w:val="auto"/>
              </w:rPr>
              <w:t>Capital</w:t>
            </w:r>
          </w:p>
        </w:tc>
        <w:tc>
          <w:tcPr>
            <w:tcW w:w="900" w:type="dxa"/>
            <w:vAlign w:val="bottom"/>
            <w:gridSpan w:val="2"/>
          </w:tcPr>
          <w:p>
            <w:pPr>
              <w:jc w:val="center"/>
              <w:ind w:right="220"/>
              <w:spacing w:after="0" w:line="124" w:lineRule="exact"/>
              <w:rPr>
                <w:sz w:val="20"/>
                <w:szCs w:val="20"/>
                <w:color w:val="auto"/>
              </w:rPr>
            </w:pPr>
            <w:r>
              <w:rPr>
                <w:rFonts w:ascii="Arial" w:cs="Arial" w:eastAsia="Arial" w:hAnsi="Arial"/>
                <w:sz w:val="11"/>
                <w:szCs w:val="11"/>
                <w:color w:val="auto"/>
                <w:w w:val="80"/>
              </w:rPr>
              <w:t>Shares</w:t>
            </w:r>
          </w:p>
        </w:tc>
        <w:tc>
          <w:tcPr>
            <w:tcW w:w="100" w:type="dxa"/>
            <w:vAlign w:val="bottom"/>
          </w:tcPr>
          <w:p>
            <w:pPr>
              <w:spacing w:after="0"/>
              <w:rPr>
                <w:sz w:val="10"/>
                <w:szCs w:val="10"/>
                <w:color w:val="auto"/>
              </w:rPr>
            </w:pPr>
          </w:p>
        </w:tc>
        <w:tc>
          <w:tcPr>
            <w:tcW w:w="800" w:type="dxa"/>
            <w:vAlign w:val="bottom"/>
            <w:gridSpan w:val="2"/>
          </w:tcPr>
          <w:p>
            <w:pPr>
              <w:jc w:val="right"/>
              <w:ind w:right="341"/>
              <w:spacing w:after="0" w:line="124" w:lineRule="exact"/>
              <w:rPr>
                <w:sz w:val="20"/>
                <w:szCs w:val="20"/>
                <w:color w:val="auto"/>
              </w:rPr>
            </w:pPr>
            <w:r>
              <w:rPr>
                <w:rFonts w:ascii="Arial" w:cs="Arial" w:eastAsia="Arial" w:hAnsi="Arial"/>
                <w:sz w:val="11"/>
                <w:szCs w:val="11"/>
                <w:color w:val="auto"/>
                <w:w w:val="92"/>
              </w:rPr>
              <w:t>Amounts</w:t>
            </w:r>
          </w:p>
        </w:tc>
        <w:tc>
          <w:tcPr>
            <w:tcW w:w="120" w:type="dxa"/>
            <w:vAlign w:val="bottom"/>
          </w:tcPr>
          <w:p>
            <w:pPr>
              <w:spacing w:after="0"/>
              <w:rPr>
                <w:sz w:val="10"/>
                <w:szCs w:val="10"/>
                <w:color w:val="auto"/>
              </w:rPr>
            </w:pPr>
          </w:p>
        </w:tc>
        <w:tc>
          <w:tcPr>
            <w:tcW w:w="780" w:type="dxa"/>
            <w:vAlign w:val="bottom"/>
            <w:gridSpan w:val="2"/>
          </w:tcPr>
          <w:p>
            <w:pPr>
              <w:jc w:val="right"/>
              <w:ind w:right="381"/>
              <w:spacing w:after="0" w:line="124" w:lineRule="exact"/>
              <w:rPr>
                <w:sz w:val="20"/>
                <w:szCs w:val="20"/>
                <w:color w:val="auto"/>
              </w:rPr>
            </w:pPr>
            <w:r>
              <w:rPr>
                <w:rFonts w:ascii="Arial" w:cs="Arial" w:eastAsia="Arial" w:hAnsi="Arial"/>
                <w:sz w:val="11"/>
                <w:szCs w:val="11"/>
                <w:color w:val="auto"/>
              </w:rPr>
              <w:t>Deficit</w:t>
            </w:r>
          </w:p>
        </w:tc>
        <w:tc>
          <w:tcPr>
            <w:tcW w:w="900" w:type="dxa"/>
            <w:vAlign w:val="bottom"/>
            <w:gridSpan w:val="3"/>
          </w:tcPr>
          <w:p>
            <w:pPr>
              <w:ind w:left="20"/>
              <w:spacing w:after="0" w:line="124" w:lineRule="exact"/>
              <w:rPr>
                <w:sz w:val="20"/>
                <w:szCs w:val="20"/>
                <w:color w:val="auto"/>
              </w:rPr>
            </w:pPr>
            <w:r>
              <w:rPr>
                <w:rFonts w:ascii="Arial" w:cs="Arial" w:eastAsia="Arial" w:hAnsi="Arial"/>
                <w:sz w:val="11"/>
                <w:szCs w:val="11"/>
                <w:color w:val="auto"/>
              </w:rPr>
              <w:t>Income (Loss)</w:t>
            </w:r>
          </w:p>
        </w:tc>
        <w:tc>
          <w:tcPr>
            <w:tcW w:w="140" w:type="dxa"/>
            <w:vAlign w:val="bottom"/>
          </w:tcPr>
          <w:p>
            <w:pPr>
              <w:spacing w:after="0"/>
              <w:rPr>
                <w:sz w:val="10"/>
                <w:szCs w:val="10"/>
                <w:color w:val="auto"/>
              </w:rPr>
            </w:pPr>
          </w:p>
        </w:tc>
        <w:tc>
          <w:tcPr>
            <w:tcW w:w="580" w:type="dxa"/>
            <w:vAlign w:val="bottom"/>
            <w:gridSpan w:val="2"/>
          </w:tcPr>
          <w:p>
            <w:pPr>
              <w:jc w:val="right"/>
              <w:ind w:right="280"/>
              <w:spacing w:after="0" w:line="124"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Balance at February 1, 2014</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61,473</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615</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296,501</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(10,877)</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(87,977</w:t>
            </w:r>
          </w:p>
        </w:tc>
        <w:tc>
          <w:tcPr>
            <w:tcW w:w="22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(99,608</w:t>
            </w:r>
          </w:p>
        </w:tc>
        <w:tc>
          <w:tcPr>
            <w:tcW w:w="22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(4,560)</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104,971</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3"/>
                <w:szCs w:val="13"/>
                <w:color w:val="auto"/>
              </w:rPr>
              <w:t>Stock compensation expense</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2,203</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Exercises under option program</w:t>
            </w:r>
          </w:p>
        </w:tc>
        <w:tc>
          <w:tcPr>
            <w:tcW w:w="70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3"/>
                <w:szCs w:val="13"/>
                <w:color w:val="auto"/>
              </w:rPr>
              <w:t>Issuances of restricted stock, net of cancels</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w:t>
            </w: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Board of Directors compensation</w:t>
            </w:r>
          </w:p>
        </w:tc>
        <w:tc>
          <w:tcPr>
            <w:tcW w:w="70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159</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3"/>
                <w:szCs w:val="13"/>
                <w:color w:val="auto"/>
              </w:rPr>
              <w:t>Accumulated other comprehensive income (loss):</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3"/>
                <w:szCs w:val="13"/>
                <w:color w:val="auto"/>
              </w:rPr>
              <w:t>Unrecognized loss associated with Pension Plan</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w:t>
            </w:r>
          </w:p>
        </w:tc>
        <w:tc>
          <w:tcPr>
            <w:tcW w:w="1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3"/>
                <w:szCs w:val="13"/>
                <w:color w:val="auto"/>
              </w:rPr>
              <w:t>Net loss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3"/>
                <w:szCs w:val="13"/>
                <w:color w:val="auto"/>
              </w:rPr>
              <w:t>(13,849)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(13,849)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Balance at November 1, 2014</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61,560</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616</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298,985</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(10,877)</w:t>
            </w:r>
          </w:p>
        </w:tc>
        <w:tc>
          <w:tcPr>
            <w:tcW w:w="22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(87,977</w:t>
            </w:r>
          </w:p>
        </w:tc>
        <w:tc>
          <w:tcPr>
            <w:tcW w:w="22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(113,457</w:t>
            </w:r>
          </w:p>
        </w:tc>
        <w:tc>
          <w:tcPr>
            <w:tcW w:w="22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(4,173)</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93,994</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460"/>
          </w:cols>
          <w:pgMar w:left="220" w:top="290"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color w:val="auto"/>
        </w:rPr>
        <w:t>DESTINATION XL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3"/>
          </w:tcPr>
          <w:p>
            <w:pPr>
              <w:jc w:val="right"/>
              <w:spacing w:after="0"/>
              <w:rPr>
                <w:sz w:val="20"/>
                <w:szCs w:val="20"/>
                <w:color w:val="auto"/>
              </w:rPr>
            </w:pPr>
            <w:r>
              <w:rPr>
                <w:rFonts w:ascii="Arial" w:cs="Arial" w:eastAsia="Arial" w:hAnsi="Arial"/>
                <w:sz w:val="11"/>
                <w:szCs w:val="11"/>
                <w:color w:val="auto"/>
              </w:rPr>
              <w:t>Nine Months Ended</w:t>
            </w: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jc w:val="right"/>
              <w:ind w:right="600"/>
              <w:spacing w:after="0" w:line="121" w:lineRule="exact"/>
              <w:rPr>
                <w:sz w:val="20"/>
                <w:szCs w:val="20"/>
                <w:color w:val="auto"/>
              </w:rPr>
            </w:pPr>
            <w:r>
              <w:rPr>
                <w:rFonts w:ascii="Arial" w:cs="Arial" w:eastAsia="Arial" w:hAnsi="Arial"/>
                <w:sz w:val="11"/>
                <w:szCs w:val="11"/>
                <w:color w:val="auto"/>
              </w:rPr>
              <w:t>November 1, 2014</w:t>
            </w:r>
          </w:p>
        </w:tc>
        <w:tc>
          <w:tcPr>
            <w:tcW w:w="340" w:type="dxa"/>
            <w:vAlign w:val="bottom"/>
          </w:tcPr>
          <w:p>
            <w:pPr>
              <w:spacing w:after="0"/>
              <w:rPr>
                <w:sz w:val="10"/>
                <w:szCs w:val="10"/>
                <w:color w:val="auto"/>
              </w:rPr>
            </w:pPr>
          </w:p>
        </w:tc>
        <w:tc>
          <w:tcPr>
            <w:tcW w:w="1340" w:type="dxa"/>
            <w:vAlign w:val="bottom"/>
            <w:gridSpan w:val="2"/>
          </w:tcPr>
          <w:p>
            <w:pPr>
              <w:jc w:val="right"/>
              <w:ind w:right="500"/>
              <w:spacing w:after="0" w:line="121" w:lineRule="exact"/>
              <w:rPr>
                <w:sz w:val="20"/>
                <w:szCs w:val="20"/>
                <w:color w:val="auto"/>
              </w:rPr>
            </w:pPr>
            <w:r>
              <w:rPr>
                <w:rFonts w:ascii="Arial" w:cs="Arial" w:eastAsia="Arial" w:hAnsi="Arial"/>
                <w:sz w:val="11"/>
                <w:szCs w:val="11"/>
                <w:color w:val="auto"/>
                <w:w w:val="90"/>
              </w:rPr>
              <w:t>November 2, 2013</w:t>
            </w:r>
          </w:p>
        </w:tc>
        <w:tc>
          <w:tcPr>
            <w:tcW w:w="0" w:type="dxa"/>
            <w:vAlign w:val="bottom"/>
          </w:tcPr>
          <w:p>
            <w:pPr>
              <w:spacing w:after="0"/>
              <w:rPr>
                <w:sz w:val="1"/>
                <w:szCs w:val="1"/>
                <w:color w:val="auto"/>
              </w:rPr>
            </w:pPr>
          </w:p>
        </w:tc>
      </w:tr>
      <w:tr>
        <w:trPr>
          <w:trHeight w:val="124"/>
        </w:trPr>
        <w:tc>
          <w:tcPr>
            <w:tcW w:w="8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2"/>
          </w:tcPr>
          <w:p>
            <w:pPr>
              <w:jc w:val="right"/>
              <w:ind w:right="720"/>
              <w:spacing w:after="0" w:line="124" w:lineRule="exact"/>
              <w:rPr>
                <w:sz w:val="20"/>
                <w:szCs w:val="20"/>
                <w:color w:val="auto"/>
              </w:rPr>
            </w:pPr>
            <w:r>
              <w:rPr>
                <w:rFonts w:ascii="Arial" w:cs="Arial" w:eastAsia="Arial" w:hAnsi="Arial"/>
                <w:sz w:val="11"/>
                <w:szCs w:val="11"/>
                <w:color w:val="auto"/>
              </w:rPr>
              <w:t>(Fiscal 2014)</w:t>
            </w:r>
          </w:p>
        </w:tc>
        <w:tc>
          <w:tcPr>
            <w:tcW w:w="340" w:type="dxa"/>
            <w:vAlign w:val="bottom"/>
          </w:tcPr>
          <w:p>
            <w:pPr>
              <w:spacing w:after="0"/>
              <w:rPr>
                <w:sz w:val="10"/>
                <w:szCs w:val="10"/>
                <w:color w:val="auto"/>
              </w:rPr>
            </w:pPr>
          </w:p>
        </w:tc>
        <w:tc>
          <w:tcPr>
            <w:tcW w:w="1340" w:type="dxa"/>
            <w:vAlign w:val="bottom"/>
            <w:gridSpan w:val="2"/>
          </w:tcPr>
          <w:p>
            <w:pPr>
              <w:jc w:val="right"/>
              <w:ind w:right="620"/>
              <w:spacing w:after="0" w:line="124" w:lineRule="exact"/>
              <w:rPr>
                <w:sz w:val="20"/>
                <w:szCs w:val="20"/>
                <w:color w:val="auto"/>
              </w:rPr>
            </w:pPr>
            <w:r>
              <w:rPr>
                <w:rFonts w:ascii="Arial" w:cs="Arial" w:eastAsia="Arial" w:hAnsi="Arial"/>
                <w:sz w:val="11"/>
                <w:szCs w:val="11"/>
                <w:color w:val="auto"/>
              </w:rPr>
              <w:t>(Fiscal 2013)</w:t>
            </w:r>
          </w:p>
        </w:tc>
        <w:tc>
          <w:tcPr>
            <w:tcW w:w="0" w:type="dxa"/>
            <w:vAlign w:val="bottom"/>
          </w:tcPr>
          <w:p>
            <w:pPr>
              <w:spacing w:after="0"/>
              <w:rPr>
                <w:sz w:val="1"/>
                <w:szCs w:val="1"/>
                <w:color w:val="auto"/>
              </w:rPr>
            </w:pPr>
          </w:p>
        </w:tc>
      </w:tr>
      <w:tr>
        <w:trPr>
          <w:trHeight w:val="162"/>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Cash flows from operating activities:</w:t>
            </w:r>
          </w:p>
        </w:tc>
        <w:tc>
          <w:tcPr>
            <w:tcW w:w="2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00" w:type="dxa"/>
            <w:vAlign w:val="bottom"/>
          </w:tcPr>
          <w:p>
            <w:pPr>
              <w:ind w:left="180"/>
              <w:spacing w:after="0"/>
              <w:rPr>
                <w:sz w:val="20"/>
                <w:szCs w:val="20"/>
                <w:color w:val="auto"/>
              </w:rPr>
            </w:pPr>
            <w:r>
              <w:rPr>
                <w:rFonts w:ascii="Arial" w:cs="Arial" w:eastAsia="Arial" w:hAnsi="Arial"/>
                <w:sz w:val="12"/>
                <w:szCs w:val="12"/>
                <w:color w:val="auto"/>
              </w:rPr>
              <w:t>Net loss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2"/>
                <w:szCs w:val="12"/>
                <w:color w:val="auto"/>
              </w:rPr>
              <w:t>(13,849)</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(4,639)</w:t>
            </w: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180"/>
              <w:spacing w:after="0"/>
              <w:rPr>
                <w:sz w:val="20"/>
                <w:szCs w:val="20"/>
                <w:color w:val="auto"/>
              </w:rPr>
            </w:pPr>
            <w:r>
              <w:rPr>
                <w:rFonts w:ascii="Arial" w:cs="Arial" w:eastAsia="Arial" w:hAnsi="Arial"/>
                <w:sz w:val="12"/>
                <w:szCs w:val="12"/>
                <w:color w:val="auto"/>
              </w:rPr>
              <w:t>Adjustments to reconcile net loss to net cash used for operating activities:</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00" w:type="dxa"/>
            <w:vAlign w:val="bottom"/>
          </w:tcPr>
          <w:p>
            <w:pPr>
              <w:ind w:left="360"/>
              <w:spacing w:after="0"/>
              <w:rPr>
                <w:sz w:val="20"/>
                <w:szCs w:val="20"/>
                <w:color w:val="auto"/>
              </w:rPr>
            </w:pPr>
            <w:r>
              <w:rPr>
                <w:rFonts w:ascii="Arial" w:cs="Arial" w:eastAsia="Arial" w:hAnsi="Arial"/>
                <w:sz w:val="12"/>
                <w:szCs w:val="12"/>
                <w:color w:val="auto"/>
              </w:rPr>
              <w:t>Amortization of deferred gain on sale leaseback</w:t>
            </w:r>
          </w:p>
        </w:tc>
        <w:tc>
          <w:tcPr>
            <w:tcW w:w="220" w:type="dxa"/>
            <w:vAlign w:val="bottom"/>
          </w:tcPr>
          <w:p>
            <w:pPr>
              <w:spacing w:after="0"/>
              <w:rPr>
                <w:sz w:val="13"/>
                <w:szCs w:val="13"/>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2"/>
                <w:szCs w:val="12"/>
                <w:color w:val="auto"/>
              </w:rPr>
              <w:t>(1,099)</w:t>
            </w: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(1,099)</w:t>
            </w: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Depreciation and amortization</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17,169</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00" w:type="dxa"/>
            <w:vAlign w:val="bottom"/>
          </w:tcPr>
          <w:p>
            <w:pPr>
              <w:ind w:left="360"/>
              <w:spacing w:after="0"/>
              <w:rPr>
                <w:sz w:val="20"/>
                <w:szCs w:val="20"/>
                <w:color w:val="auto"/>
              </w:rPr>
            </w:pPr>
            <w:r>
              <w:rPr>
                <w:rFonts w:ascii="Arial" w:cs="Arial" w:eastAsia="Arial" w:hAnsi="Arial"/>
                <w:sz w:val="12"/>
                <w:szCs w:val="12"/>
                <w:color w:val="auto"/>
              </w:rPr>
              <w:t>Deferred taxes, net of valuation allowance</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65</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(3,133)</w:t>
            </w:r>
          </w:p>
        </w:tc>
        <w:tc>
          <w:tcPr>
            <w:tcW w:w="0" w:type="dxa"/>
            <w:vAlign w:val="bottom"/>
          </w:tcPr>
          <w:p>
            <w:pPr>
              <w:spacing w:after="0"/>
              <w:rPr>
                <w:sz w:val="1"/>
                <w:szCs w:val="1"/>
                <w:color w:val="auto"/>
              </w:rPr>
            </w:pPr>
          </w:p>
        </w:tc>
      </w:tr>
      <w:tr>
        <w:trPr>
          <w:trHeight w:val="17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Stock compensation expense</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00" w:type="dxa"/>
            <w:vAlign w:val="bottom"/>
          </w:tcPr>
          <w:p>
            <w:pPr>
              <w:ind w:left="360"/>
              <w:spacing w:after="0"/>
              <w:rPr>
                <w:sz w:val="20"/>
                <w:szCs w:val="20"/>
                <w:color w:val="auto"/>
              </w:rPr>
            </w:pPr>
            <w:r>
              <w:rPr>
                <w:rFonts w:ascii="Arial" w:cs="Arial" w:eastAsia="Arial" w:hAnsi="Arial"/>
                <w:sz w:val="12"/>
                <w:szCs w:val="12"/>
                <w:color w:val="auto"/>
              </w:rPr>
              <w:t>Issuance of common stock to Board of Directors</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159</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00" w:type="dxa"/>
            <w:vAlign w:val="bottom"/>
          </w:tcPr>
          <w:p>
            <w:pPr>
              <w:ind w:left="180"/>
              <w:spacing w:after="0"/>
              <w:rPr>
                <w:sz w:val="20"/>
                <w:szCs w:val="20"/>
                <w:color w:val="auto"/>
              </w:rPr>
            </w:pPr>
            <w:r>
              <w:rPr>
                <w:rFonts w:ascii="Arial" w:cs="Arial" w:eastAsia="Arial" w:hAnsi="Arial"/>
                <w:sz w:val="12"/>
                <w:szCs w:val="12"/>
                <w:color w:val="auto"/>
              </w:rPr>
              <w:t>Changes in operating assets and liabilities :</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Accounts receivable</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(2,953)</w:t>
            </w:r>
          </w:p>
        </w:tc>
        <w:tc>
          <w:tcPr>
            <w:tcW w:w="0" w:type="dxa"/>
            <w:vAlign w:val="bottom"/>
          </w:tcPr>
          <w:p>
            <w:pPr>
              <w:spacing w:after="0"/>
              <w:rPr>
                <w:sz w:val="1"/>
                <w:szCs w:val="1"/>
                <w:color w:val="auto"/>
              </w:rPr>
            </w:pPr>
          </w:p>
        </w:tc>
      </w:tr>
      <w:tr>
        <w:trPr>
          <w:trHeight w:val="159"/>
        </w:trPr>
        <w:tc>
          <w:tcPr>
            <w:tcW w:w="8000" w:type="dxa"/>
            <w:vAlign w:val="bottom"/>
          </w:tcPr>
          <w:p>
            <w:pPr>
              <w:ind w:left="360"/>
              <w:spacing w:after="0"/>
              <w:rPr>
                <w:sz w:val="20"/>
                <w:szCs w:val="20"/>
                <w:color w:val="auto"/>
              </w:rPr>
            </w:pPr>
            <w:r>
              <w:rPr>
                <w:rFonts w:ascii="Arial" w:cs="Arial" w:eastAsia="Arial" w:hAnsi="Arial"/>
                <w:sz w:val="12"/>
                <w:szCs w:val="12"/>
                <w:color w:val="auto"/>
              </w:rPr>
              <w:t>Inventories</w:t>
            </w:r>
          </w:p>
        </w:tc>
        <w:tc>
          <w:tcPr>
            <w:tcW w:w="220" w:type="dxa"/>
            <w:vAlign w:val="bottom"/>
          </w:tcPr>
          <w:p>
            <w:pPr>
              <w:spacing w:after="0"/>
              <w:rPr>
                <w:sz w:val="13"/>
                <w:szCs w:val="13"/>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2"/>
                <w:szCs w:val="12"/>
                <w:color w:val="auto"/>
              </w:rPr>
              <w:t>(20,847)</w:t>
            </w: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(15,339)</w:t>
            </w: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(1,529)</w:t>
            </w: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159"/>
        </w:trPr>
        <w:tc>
          <w:tcPr>
            <w:tcW w:w="8000" w:type="dxa"/>
            <w:vAlign w:val="bottom"/>
          </w:tcPr>
          <w:p>
            <w:pPr>
              <w:ind w:left="360"/>
              <w:spacing w:after="0"/>
              <w:rPr>
                <w:sz w:val="20"/>
                <w:szCs w:val="20"/>
                <w:color w:val="auto"/>
              </w:rPr>
            </w:pPr>
            <w:r>
              <w:rPr>
                <w:rFonts w:ascii="Arial" w:cs="Arial" w:eastAsia="Arial" w:hAnsi="Arial"/>
                <w:sz w:val="12"/>
                <w:szCs w:val="12"/>
                <w:color w:val="auto"/>
              </w:rPr>
              <w:t>Other assets</w:t>
            </w:r>
          </w:p>
        </w:tc>
        <w:tc>
          <w:tcPr>
            <w:tcW w:w="220" w:type="dxa"/>
            <w:vAlign w:val="bottom"/>
          </w:tcPr>
          <w:p>
            <w:pPr>
              <w:spacing w:after="0"/>
              <w:rPr>
                <w:sz w:val="13"/>
                <w:szCs w:val="13"/>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2"/>
                <w:szCs w:val="12"/>
                <w:color w:val="auto"/>
              </w:rPr>
              <w:t>(321)</w:t>
            </w: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(742)</w:t>
            </w: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Accounts payable</w:t>
            </w:r>
          </w:p>
        </w:tc>
        <w:tc>
          <w:tcPr>
            <w:tcW w:w="22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(4,400)</w:t>
            </w: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00" w:type="dxa"/>
            <w:vAlign w:val="bottom"/>
          </w:tcPr>
          <w:p>
            <w:pPr>
              <w:ind w:left="360"/>
              <w:spacing w:after="0"/>
              <w:rPr>
                <w:sz w:val="20"/>
                <w:szCs w:val="20"/>
                <w:color w:val="auto"/>
              </w:rPr>
            </w:pPr>
            <w:r>
              <w:rPr>
                <w:rFonts w:ascii="Arial" w:cs="Arial" w:eastAsia="Arial" w:hAnsi="Arial"/>
                <w:sz w:val="12"/>
                <w:szCs w:val="12"/>
                <w:color w:val="auto"/>
              </w:rPr>
              <w:t>Deferred rent and lease incentives</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5,589</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5,891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Accrued expenses and other liabilities</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651</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(4,031)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80"/>
              <w:spacing w:after="0"/>
              <w:rPr>
                <w:sz w:val="20"/>
                <w:szCs w:val="20"/>
                <w:color w:val="auto"/>
              </w:rPr>
            </w:pPr>
            <w:r>
              <w:rPr>
                <w:rFonts w:ascii="Arial" w:cs="Arial" w:eastAsia="Arial" w:hAnsi="Arial"/>
                <w:sz w:val="12"/>
                <w:szCs w:val="12"/>
                <w:color w:val="auto"/>
              </w:rPr>
              <w:t>Net cash used for operating activities</w:t>
            </w: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2"/>
                <w:szCs w:val="12"/>
                <w:color w:val="auto"/>
              </w:rPr>
              <w:t>(15,376)</w:t>
            </w:r>
          </w:p>
        </w:tc>
        <w:tc>
          <w:tcPr>
            <w:tcW w:w="34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(5,498)</w:t>
            </w:r>
          </w:p>
        </w:tc>
        <w:tc>
          <w:tcPr>
            <w:tcW w:w="0" w:type="dxa"/>
            <w:vAlign w:val="bottom"/>
          </w:tcPr>
          <w:p>
            <w:pPr>
              <w:spacing w:after="0"/>
              <w:rPr>
                <w:sz w:val="1"/>
                <w:szCs w:val="1"/>
                <w:color w:val="auto"/>
              </w:rPr>
            </w:pPr>
          </w:p>
        </w:tc>
      </w:tr>
      <w:tr>
        <w:trPr>
          <w:trHeight w:val="154"/>
        </w:trPr>
        <w:tc>
          <w:tcPr>
            <w:tcW w:w="80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Additions to property and equipment, net</w:t>
            </w:r>
          </w:p>
        </w:tc>
        <w:tc>
          <w:tcPr>
            <w:tcW w:w="22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(30,835)</w:t>
            </w: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(38,179)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80"/>
              <w:spacing w:after="0"/>
              <w:rPr>
                <w:sz w:val="20"/>
                <w:szCs w:val="20"/>
                <w:color w:val="auto"/>
              </w:rPr>
            </w:pPr>
            <w:r>
              <w:rPr>
                <w:rFonts w:ascii="Arial" w:cs="Arial" w:eastAsia="Arial" w:hAnsi="Arial"/>
                <w:sz w:val="12"/>
                <w:szCs w:val="12"/>
                <w:color w:val="auto"/>
              </w:rPr>
              <w:t>Net cash used for investing activities</w:t>
            </w: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2"/>
                <w:szCs w:val="12"/>
                <w:color w:val="auto"/>
              </w:rPr>
              <w:t>(30,835)</w:t>
            </w:r>
          </w:p>
        </w:tc>
        <w:tc>
          <w:tcPr>
            <w:tcW w:w="34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(38,179)</w:t>
            </w:r>
          </w:p>
        </w:tc>
        <w:tc>
          <w:tcPr>
            <w:tcW w:w="0" w:type="dxa"/>
            <w:vAlign w:val="bottom"/>
          </w:tcPr>
          <w:p>
            <w:pPr>
              <w:spacing w:after="0"/>
              <w:rPr>
                <w:sz w:val="1"/>
                <w:szCs w:val="1"/>
                <w:color w:val="auto"/>
              </w:rPr>
            </w:pPr>
          </w:p>
        </w:tc>
      </w:tr>
      <w:tr>
        <w:trPr>
          <w:trHeight w:val="154"/>
        </w:trPr>
        <w:tc>
          <w:tcPr>
            <w:tcW w:w="80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Proceeds from the exercise of stock options</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00" w:type="dxa"/>
            <w:vAlign w:val="bottom"/>
          </w:tcPr>
          <w:p>
            <w:pPr>
              <w:ind w:left="360"/>
              <w:spacing w:after="0"/>
              <w:rPr>
                <w:sz w:val="20"/>
                <w:szCs w:val="20"/>
                <w:color w:val="auto"/>
              </w:rPr>
            </w:pPr>
            <w:r>
              <w:rPr>
                <w:rFonts w:ascii="Arial" w:cs="Arial" w:eastAsia="Arial" w:hAnsi="Arial"/>
                <w:sz w:val="12"/>
                <w:szCs w:val="12"/>
                <w:color w:val="auto"/>
              </w:rPr>
              <w:t>Proceeds from the issuance of long-term debt</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23,923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13,878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Principal payments on long-term debt</w:t>
            </w:r>
          </w:p>
        </w:tc>
        <w:tc>
          <w:tcPr>
            <w:tcW w:w="22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(4,640)</w:t>
            </w:r>
          </w:p>
        </w:tc>
        <w:tc>
          <w:tcPr>
            <w:tcW w:w="34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9"/>
        </w:trPr>
        <w:tc>
          <w:tcPr>
            <w:tcW w:w="8000" w:type="dxa"/>
            <w:vAlign w:val="bottom"/>
          </w:tcPr>
          <w:p>
            <w:pPr>
              <w:ind w:left="360"/>
              <w:spacing w:after="0"/>
              <w:rPr>
                <w:sz w:val="20"/>
                <w:szCs w:val="20"/>
                <w:color w:val="auto"/>
              </w:rPr>
            </w:pPr>
            <w:r>
              <w:rPr>
                <w:rFonts w:ascii="Arial" w:cs="Arial" w:eastAsia="Arial" w:hAnsi="Arial"/>
                <w:sz w:val="12"/>
                <w:szCs w:val="12"/>
                <w:color w:val="auto"/>
              </w:rPr>
              <w:t>Costs associated with amendment to credit facility and long-term debt issuances</w:t>
            </w:r>
          </w:p>
        </w:tc>
        <w:tc>
          <w:tcPr>
            <w:tcW w:w="220" w:type="dxa"/>
            <w:vAlign w:val="bottom"/>
          </w:tcPr>
          <w:p>
            <w:pPr>
              <w:spacing w:after="0"/>
              <w:rPr>
                <w:sz w:val="13"/>
                <w:szCs w:val="13"/>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2"/>
                <w:szCs w:val="12"/>
                <w:color w:val="auto"/>
              </w:rPr>
              <w:t>(598)</w:t>
            </w: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(454)</w:t>
            </w: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360"/>
              <w:spacing w:after="0"/>
              <w:rPr>
                <w:sz w:val="20"/>
                <w:szCs w:val="20"/>
                <w:color w:val="auto"/>
              </w:rPr>
            </w:pPr>
            <w:r>
              <w:rPr>
                <w:rFonts w:ascii="Arial" w:cs="Arial" w:eastAsia="Arial" w:hAnsi="Arial"/>
                <w:sz w:val="12"/>
                <w:szCs w:val="12"/>
                <w:color w:val="auto"/>
              </w:rPr>
              <w:t>Net borrowings under credit facility</w:t>
            </w:r>
          </w:p>
        </w:tc>
        <w:tc>
          <w:tcPr>
            <w:tcW w:w="22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28,925</w:t>
            </w:r>
          </w:p>
        </w:tc>
        <w:tc>
          <w:tcPr>
            <w:tcW w:w="2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27,001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Borders>
              <w:bottom w:val="single" w:sz="8" w:color="CFF0FC"/>
            </w:tcBorders>
          </w:tcPr>
          <w:p>
            <w:pPr>
              <w:ind w:left="180"/>
              <w:spacing w:after="0"/>
              <w:rPr>
                <w:sz w:val="20"/>
                <w:szCs w:val="20"/>
                <w:color w:val="auto"/>
              </w:rPr>
            </w:pPr>
            <w:r>
              <w:rPr>
                <w:rFonts w:ascii="Arial" w:cs="Arial" w:eastAsia="Arial" w:hAnsi="Arial"/>
                <w:sz w:val="12"/>
                <w:szCs w:val="12"/>
                <w:color w:val="auto"/>
              </w:rPr>
              <w:t>Net cash provided by financing activities</w:t>
            </w: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47,733</w:t>
            </w: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40,747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000" w:type="dxa"/>
            <w:vAlign w:val="bottom"/>
            <w:shd w:val="clear" w:color="auto" w:fill="CFF0FC"/>
          </w:tcPr>
          <w:p>
            <w:pPr>
              <w:spacing w:after="0"/>
              <w:rPr>
                <w:sz w:val="20"/>
                <w:szCs w:val="20"/>
                <w:color w:val="auto"/>
              </w:rPr>
            </w:pPr>
            <w:r>
              <w:rPr>
                <w:rFonts w:ascii="Arial" w:cs="Arial" w:eastAsia="Arial" w:hAnsi="Arial"/>
                <w:sz w:val="12"/>
                <w:szCs w:val="12"/>
                <w:color w:val="auto"/>
              </w:rPr>
              <w:t>Net increase (decrease) in cash and cash equivalents</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1,522</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(2,930)</w:t>
            </w:r>
          </w:p>
        </w:tc>
        <w:tc>
          <w:tcPr>
            <w:tcW w:w="0" w:type="dxa"/>
            <w:vAlign w:val="bottom"/>
          </w:tcPr>
          <w:p>
            <w:pPr>
              <w:spacing w:after="0"/>
              <w:rPr>
                <w:sz w:val="1"/>
                <w:szCs w:val="1"/>
                <w:color w:val="auto"/>
              </w:rPr>
            </w:pPr>
          </w:p>
        </w:tc>
      </w:tr>
      <w:tr>
        <w:trPr>
          <w:trHeight w:val="159"/>
        </w:trPr>
        <w:tc>
          <w:tcPr>
            <w:tcW w:w="80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00" w:type="dxa"/>
            <w:vAlign w:val="bottom"/>
            <w:shd w:val="clear" w:color="auto" w:fill="CFF0FC"/>
          </w:tcPr>
          <w:p>
            <w:pPr>
              <w:ind w:left="180"/>
              <w:spacing w:after="0"/>
              <w:rPr>
                <w:sz w:val="20"/>
                <w:szCs w:val="20"/>
                <w:color w:val="auto"/>
              </w:rPr>
            </w:pPr>
            <w:r>
              <w:rPr>
                <w:rFonts w:ascii="Arial" w:cs="Arial" w:eastAsia="Arial" w:hAnsi="Arial"/>
                <w:sz w:val="12"/>
                <w:szCs w:val="12"/>
                <w:color w:val="auto"/>
              </w:rPr>
              <w:t>Beginning of period</w:t>
            </w:r>
          </w:p>
        </w:tc>
        <w:tc>
          <w:tcPr>
            <w:tcW w:w="22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4,544</w:t>
            </w:r>
          </w:p>
        </w:tc>
        <w:tc>
          <w:tcPr>
            <w:tcW w:w="22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180"/>
              <w:spacing w:after="0"/>
              <w:rPr>
                <w:sz w:val="20"/>
                <w:szCs w:val="20"/>
                <w:color w:val="auto"/>
              </w:rPr>
            </w:pPr>
            <w:r>
              <w:rPr>
                <w:rFonts w:ascii="Arial" w:cs="Arial" w:eastAsia="Arial" w:hAnsi="Arial"/>
                <w:sz w:val="12"/>
                <w:szCs w:val="12"/>
                <w:color w:val="auto"/>
              </w:rPr>
              <w:t>End of period</w:t>
            </w: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6,066</w:t>
            </w:r>
          </w:p>
        </w:tc>
        <w:tc>
          <w:tcPr>
            <w:tcW w:w="220" w:type="dxa"/>
            <w:vAlign w:val="bottom"/>
          </w:tcPr>
          <w:p>
            <w:pPr>
              <w:spacing w:after="0"/>
              <w:rPr>
                <w:sz w:val="12"/>
                <w:szCs w:val="12"/>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460"/>
          </w:cols>
          <w:pgMar w:left="220" w:top="290" w:right="2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t>DESTINATION XL GROUP, INC.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Basis of Presentation</w:t>
      </w:r>
    </w:p>
    <w:p>
      <w:pPr>
        <w:spacing w:after="0" w:line="95" w:lineRule="exact"/>
        <w:rPr>
          <w:sz w:val="20"/>
          <w:szCs w:val="20"/>
          <w:color w:val="auto"/>
        </w:rPr>
      </w:pPr>
    </w:p>
    <w:p>
      <w:pPr>
        <w:ind w:right="40"/>
        <w:spacing w:after="0" w:line="270" w:lineRule="auto"/>
        <w:rPr>
          <w:sz w:val="20"/>
          <w:szCs w:val="20"/>
          <w:color w:val="auto"/>
        </w:rPr>
      </w:pPr>
      <w:r>
        <w:rPr>
          <w:rFonts w:ascii="Arial" w:cs="Arial" w:eastAsia="Arial" w:hAnsi="Arial"/>
          <w:sz w:val="13"/>
          <w:szCs w:val="13"/>
          <w:color w:val="auto"/>
        </w:rPr>
        <w:t>In the opinion of management of Destination XL Group, Inc., a Delaware corporation (formerly known as Casual Male Retail Group, Inc. and collectively with its subsidiaries is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2014 included in the Company’s Annual Report on Form 10-K, which was filed with the Securities and Exchange Commission on March 17, 2014.</w:t>
      </w:r>
    </w:p>
    <w:p>
      <w:pPr>
        <w:spacing w:after="0" w:line="134"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 Company’s fiscal year is a 52- or 53- week period ending on the Saturday closest to January 31. Fiscal 2014 and fiscal 2013 are 52-week periods ending January 31, 2015 and February 1, 2014,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Segment Information</w:t>
      </w:r>
    </w:p>
    <w:p>
      <w:pPr>
        <w:spacing w:after="0" w:line="93" w:lineRule="exact"/>
        <w:rPr>
          <w:sz w:val="20"/>
          <w:szCs w:val="20"/>
          <w:color w:val="auto"/>
        </w:rPr>
      </w:pPr>
    </w:p>
    <w:p>
      <w:pPr>
        <w:ind w:right="100"/>
        <w:spacing w:after="0" w:line="282" w:lineRule="auto"/>
        <w:rPr>
          <w:sz w:val="20"/>
          <w:szCs w:val="20"/>
          <w:color w:val="auto"/>
        </w:rPr>
      </w:pPr>
      <w:r>
        <w:rPr>
          <w:rFonts w:ascii="Arial" w:cs="Arial" w:eastAsia="Arial" w:hAnsi="Arial"/>
          <w:sz w:val="13"/>
          <w:szCs w:val="13"/>
          <w:color w:val="auto"/>
        </w:rPr>
        <w:t>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w:t>
      </w:r>
      <w:r>
        <w:rPr>
          <w:rFonts w:ascii="Arial" w:cs="Arial" w:eastAsia="Arial" w:hAnsi="Arial"/>
          <w:sz w:val="19"/>
          <w:szCs w:val="19"/>
          <w:color w:val="auto"/>
          <w:vertAlign w:val="superscript"/>
        </w:rPr>
        <w:t>®</w:t>
      </w:r>
      <w:r>
        <w:rPr>
          <w:rFonts w:ascii="Arial" w:cs="Arial" w:eastAsia="Arial" w:hAnsi="Arial"/>
          <w:sz w:val="13"/>
          <w:szCs w:val="13"/>
          <w:color w:val="auto"/>
        </w:rPr>
        <w:t xml:space="preserve"> and ShoesXL</w:t>
      </w:r>
      <w:r>
        <w:rPr>
          <w:rFonts w:ascii="Arial" w:cs="Arial" w:eastAsia="Arial" w:hAnsi="Arial"/>
          <w:sz w:val="19"/>
          <w:szCs w:val="19"/>
          <w:color w:val="auto"/>
          <w:vertAlign w:val="superscript"/>
        </w:rPr>
        <w:t>®</w:t>
      </w: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Reclassifications</w:t>
      </w:r>
    </w:p>
    <w:p>
      <w:pPr>
        <w:spacing w:after="0" w:line="93"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Beginning in the first quarter of fiscal 2014, the Company is reporting revenue from its on-site tailoring and the related tailoring costs associated with such revenue as part of “Sales” and “Cost of Goods Sold Including Occupancy Costs,” respectively, on the Consolidated Statement of Operations. The Company has reclassified the revenue and related cost of goods sold for the third quarter and first nine months of fiscal 2013 from “Selling, General and Administrative Expenses,” where the amounts were previously netted, to “Sales” and “Cost of Goods Sold Including Occupancy Costs.”</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Intangibles</w:t>
      </w:r>
    </w:p>
    <w:p>
      <w:pPr>
        <w:spacing w:after="0" w:line="93" w:lineRule="exact"/>
        <w:rPr>
          <w:sz w:val="20"/>
          <w:szCs w:val="20"/>
          <w:color w:val="auto"/>
        </w:rPr>
      </w:pPr>
    </w:p>
    <w:p>
      <w:pPr>
        <w:ind w:right="260"/>
        <w:spacing w:after="0" w:line="294" w:lineRule="auto"/>
        <w:rPr>
          <w:sz w:val="20"/>
          <w:szCs w:val="20"/>
          <w:color w:val="auto"/>
        </w:rPr>
      </w:pPr>
      <w:r>
        <w:rPr>
          <w:rFonts w:ascii="Arial" w:cs="Arial" w:eastAsia="Arial" w:hAnsi="Arial"/>
          <w:sz w:val="13"/>
          <w:szCs w:val="13"/>
          <w:color w:val="auto"/>
        </w:rPr>
        <w:t>At November 1, 2014, the “Casual Male” trademark had a carrying value of $1.7 million and is considered a definite-lived asset. The Company is amortizing the remaining carrying value of $1.7 million on an accelerated basis, consistent with projected cash flows through fiscal 2018, its estimated remaining useful life.</w:t>
      </w:r>
    </w:p>
    <w:p>
      <w:pPr>
        <w:spacing w:after="0" w:line="118" w:lineRule="exact"/>
        <w:rPr>
          <w:sz w:val="20"/>
          <w:szCs w:val="20"/>
          <w:color w:val="auto"/>
        </w:rPr>
      </w:pPr>
    </w:p>
    <w:p>
      <w:pPr>
        <w:ind w:right="260"/>
        <w:spacing w:after="0" w:line="294" w:lineRule="auto"/>
        <w:rPr>
          <w:sz w:val="20"/>
          <w:szCs w:val="20"/>
          <w:color w:val="auto"/>
        </w:rPr>
      </w:pPr>
      <w:r>
        <w:rPr>
          <w:rFonts w:ascii="Arial" w:cs="Arial" w:eastAsia="Arial" w:hAnsi="Arial"/>
          <w:sz w:val="13"/>
          <w:szCs w:val="13"/>
          <w:color w:val="auto"/>
        </w:rPr>
        <w:t>The Company’s “Rochester” trademark is considered an indefinite-lived intangible asset and has a carrying value of $1.5 million. During the first nine months of fiscal 2014, no event or circumstance occurred which would cause a reduction in the fair value of the Company’s reporting units, requiring interim testing of the Company’s “Rochester” trademark.</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Fair Value of Financial Instruments</w:t>
      </w:r>
    </w:p>
    <w:p>
      <w:pPr>
        <w:spacing w:after="0" w:line="93"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ASC Topic 825, Financial Instruments, requires disclosure of the fair value of certain financial instruments. ASC Topic 820, Fair Value Measurements and Disclosures, defines fair value, establishes a framework for measuring fair value and enhances disclosures about fair value measurements.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0"/>
          </w:cols>
          <w:pgMar w:left="220" w:top="288" w:right="219" w:bottom="1440" w:gutter="0" w:footer="0" w:header="0"/>
        </w:sectPr>
      </w:pPr>
    </w:p>
    <w:bookmarkStart w:id="7" w:name="page8"/>
    <w:bookmarkEnd w:id="7"/>
    <w:p>
      <w:pPr>
        <w:ind w:right="160"/>
        <w:spacing w:after="0" w:line="294" w:lineRule="auto"/>
        <w:rPr>
          <w:sz w:val="20"/>
          <w:szCs w:val="20"/>
          <w:color w:val="auto"/>
        </w:rPr>
      </w:pPr>
      <w:r>
        <w:rPr>
          <w:rFonts w:ascii="Arial" w:cs="Arial" w:eastAsia="Arial" w:hAnsi="Arial"/>
          <w:sz w:val="13"/>
          <w:szCs w:val="13"/>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Level 1 – Quoted prices in active markets for identical assets or liabilities.</w:t>
      </w:r>
    </w:p>
    <w:p>
      <w:pPr>
        <w:spacing w:after="0" w:line="93" w:lineRule="exact"/>
        <w:rPr>
          <w:sz w:val="20"/>
          <w:szCs w:val="20"/>
          <w:color w:val="auto"/>
        </w:rPr>
      </w:pPr>
    </w:p>
    <w:p>
      <w:pPr>
        <w:ind w:left="260" w:right="20"/>
        <w:spacing w:after="0" w:line="294" w:lineRule="auto"/>
        <w:rPr>
          <w:sz w:val="20"/>
          <w:szCs w:val="20"/>
          <w:color w:val="auto"/>
        </w:rPr>
      </w:pPr>
      <w:r>
        <w:rPr>
          <w:rFonts w:ascii="Arial" w:cs="Arial" w:eastAsia="Arial" w:hAnsi="Arial"/>
          <w:sz w:val="13"/>
          <w:szCs w:val="13"/>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Level 3 – Unobservable inputs that are supported by little or no market activity and that are significant to the fair value of assets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The Company utilizes observable market inputs (quoted market prices) when measuring fair value whenever possible.</w:t>
      </w:r>
    </w:p>
    <w:p>
      <w:pPr>
        <w:spacing w:after="0" w:line="173" w:lineRule="exact"/>
        <w:rPr>
          <w:sz w:val="20"/>
          <w:szCs w:val="20"/>
          <w:color w:val="auto"/>
        </w:rPr>
      </w:pPr>
    </w:p>
    <w:p>
      <w:pPr>
        <w:ind w:right="380"/>
        <w:spacing w:after="0" w:line="294" w:lineRule="auto"/>
        <w:rPr>
          <w:sz w:val="20"/>
          <w:szCs w:val="20"/>
          <w:color w:val="auto"/>
        </w:rPr>
      </w:pPr>
      <w:r>
        <w:rPr>
          <w:rFonts w:ascii="Arial" w:cs="Arial" w:eastAsia="Arial" w:hAnsi="Arial"/>
          <w:sz w:val="13"/>
          <w:szCs w:val="13"/>
          <w:color w:val="auto"/>
        </w:rPr>
        <w:t>The fair value of long-term debt is classified within Level 2 of the valuation hierarchy. At November 1, 2014, the fair value approximates the carrying amount based upon terms available to the Company for borrowings with similar arrangements and remaining maturities.</w:t>
      </w:r>
    </w:p>
    <w:p>
      <w:pPr>
        <w:spacing w:after="0" w:line="118" w:lineRule="exact"/>
        <w:rPr>
          <w:sz w:val="20"/>
          <w:szCs w:val="20"/>
          <w:color w:val="auto"/>
        </w:rPr>
      </w:pPr>
    </w:p>
    <w:p>
      <w:pPr>
        <w:ind w:right="80"/>
        <w:spacing w:after="0" w:line="339" w:lineRule="auto"/>
        <w:rPr>
          <w:sz w:val="20"/>
          <w:szCs w:val="20"/>
          <w:color w:val="auto"/>
        </w:rPr>
      </w:pPr>
      <w:r>
        <w:rPr>
          <w:rFonts w:ascii="Arial" w:cs="Arial" w:eastAsia="Arial" w:hAnsi="Arial"/>
          <w:sz w:val="12"/>
          <w:szCs w:val="12"/>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2"/>
          <w:szCs w:val="12"/>
          <w:i w:val="1"/>
          <w:iCs w:val="1"/>
          <w:color w:val="auto"/>
        </w:rPr>
        <w:t>Intangibles</w:t>
      </w:r>
      <w:r>
        <w:rPr>
          <w:rFonts w:ascii="Arial" w:cs="Arial" w:eastAsia="Arial" w:hAnsi="Arial"/>
          <w:sz w:val="12"/>
          <w:szCs w:val="12"/>
          <w:color w:val="auto"/>
        </w:rPr>
        <w:t xml:space="preserve"> above.</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Accumulated Other Comprehensive Income (Loss) - (“AOCI”)</w:t>
      </w:r>
    </w:p>
    <w:p>
      <w:pPr>
        <w:spacing w:after="0" w:line="93" w:lineRule="exact"/>
        <w:rPr>
          <w:sz w:val="20"/>
          <w:szCs w:val="20"/>
          <w:color w:val="auto"/>
        </w:rPr>
      </w:pPr>
    </w:p>
    <w:p>
      <w:pPr>
        <w:ind w:right="100"/>
        <w:spacing w:after="0" w:line="294" w:lineRule="auto"/>
        <w:rPr>
          <w:sz w:val="20"/>
          <w:szCs w:val="20"/>
          <w:color w:val="auto"/>
        </w:rPr>
      </w:pPr>
      <w:r>
        <w:rPr>
          <w:rFonts w:ascii="Arial" w:cs="Arial" w:eastAsia="Arial" w:hAnsi="Arial"/>
          <w:sz w:val="13"/>
          <w:szCs w:val="13"/>
          <w:color w:val="auto"/>
        </w:rPr>
        <w:t>Other comprehensive income (loss) includes amounts related to foreign currency and pension plans and is reported in the Consolidated Statements of Comprehensive Income (Loss). Other comprehensive income and reclassifications from AOCI for the three and nine months ended November 1, 2014 and November 2, 2013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20" w:type="dxa"/>
            <w:vAlign w:val="bottom"/>
            <w:gridSpan w:val="2"/>
            <w:vMerge w:val="restart"/>
          </w:tcPr>
          <w:p>
            <w:pPr>
              <w:spacing w:after="0"/>
              <w:rPr>
                <w:sz w:val="20"/>
                <w:szCs w:val="20"/>
                <w:color w:val="auto"/>
              </w:rPr>
            </w:pPr>
            <w:r>
              <w:rPr>
                <w:rFonts w:ascii="Arial" w:cs="Arial" w:eastAsia="Arial" w:hAnsi="Arial"/>
                <w:sz w:val="11"/>
                <w:szCs w:val="11"/>
                <w:i w:val="1"/>
                <w:iCs w:val="1"/>
                <w:color w:val="auto"/>
              </w:rPr>
              <w:t>For the three months ended:</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color w:val="auto"/>
              </w:rPr>
              <w:t>November 1, 2014</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color w:val="auto"/>
                <w:w w:val="86"/>
              </w:rPr>
              <w:t>November 2, 2013</w:t>
            </w: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1"/>
                <w:szCs w:val="11"/>
                <w:color w:val="auto"/>
                <w:w w:val="85"/>
              </w:rPr>
              <w:t>Pension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1"/>
                <w:szCs w:val="11"/>
                <w:color w:val="auto"/>
              </w:rPr>
              <w:t>Foreign</w:t>
            </w:r>
          </w:p>
        </w:tc>
        <w:tc>
          <w:tcPr>
            <w:tcW w:w="160" w:type="dxa"/>
            <w:vAlign w:val="bottom"/>
          </w:tcPr>
          <w:p>
            <w:pPr>
              <w:spacing w:after="0"/>
              <w:rPr>
                <w:sz w:val="10"/>
                <w:szCs w:val="10"/>
                <w:color w:val="auto"/>
              </w:rPr>
            </w:pPr>
          </w:p>
        </w:tc>
        <w:tc>
          <w:tcPr>
            <w:tcW w:w="106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720" w:type="dxa"/>
            <w:vAlign w:val="bottom"/>
            <w:gridSpan w:val="2"/>
            <w:vMerge w:val="restart"/>
          </w:tcPr>
          <w:p>
            <w:pPr>
              <w:jc w:val="center"/>
              <w:ind w:right="340"/>
              <w:spacing w:after="0"/>
              <w:rPr>
                <w:sz w:val="20"/>
                <w:szCs w:val="20"/>
                <w:color w:val="auto"/>
              </w:rPr>
            </w:pPr>
            <w:r>
              <w:rPr>
                <w:rFonts w:ascii="Arial" w:cs="Arial" w:eastAsia="Arial" w:hAnsi="Arial"/>
                <w:sz w:val="11"/>
                <w:szCs w:val="11"/>
                <w:color w:val="auto"/>
                <w:w w:val="85"/>
              </w:rPr>
              <w:t>Pension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7"/>
              <w:spacing w:after="0"/>
              <w:rPr>
                <w:sz w:val="20"/>
                <w:szCs w:val="20"/>
                <w:color w:val="auto"/>
              </w:rPr>
            </w:pPr>
            <w:r>
              <w:rPr>
                <w:rFonts w:ascii="Arial" w:cs="Arial" w:eastAsia="Arial" w:hAnsi="Arial"/>
                <w:sz w:val="11"/>
                <w:szCs w:val="11"/>
                <w:color w:val="auto"/>
              </w:rPr>
              <w:t>Foreign</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5520" w:type="dxa"/>
            <w:vAlign w:val="bottom"/>
            <w:gridSpan w:val="2"/>
            <w:vMerge w:val="restart"/>
          </w:tcPr>
          <w:p>
            <w:pPr>
              <w:spacing w:after="0"/>
              <w:rPr>
                <w:sz w:val="20"/>
                <w:szCs w:val="20"/>
                <w:color w:val="auto"/>
              </w:rPr>
            </w:pPr>
            <w:r>
              <w:rPr>
                <w:rFonts w:ascii="Arial" w:cs="Arial" w:eastAsia="Arial" w:hAnsi="Arial"/>
                <w:sz w:val="13"/>
                <w:szCs w:val="13"/>
                <w:color w:val="auto"/>
              </w:rPr>
              <w:t>Balance at beginning of the quarter</w:t>
            </w:r>
          </w:p>
        </w:tc>
        <w:tc>
          <w:tcPr>
            <w:tcW w:w="120" w:type="dxa"/>
            <w:vAlign w:val="bottom"/>
          </w:tcPr>
          <w:p>
            <w:pPr>
              <w:spacing w:after="0"/>
              <w:rPr>
                <w:sz w:val="10"/>
                <w:szCs w:val="10"/>
                <w:color w:val="auto"/>
              </w:rPr>
            </w:pPr>
          </w:p>
        </w:tc>
        <w:tc>
          <w:tcPr>
            <w:tcW w:w="800" w:type="dxa"/>
            <w:vAlign w:val="bottom"/>
            <w:gridSpan w:val="2"/>
          </w:tcPr>
          <w:p>
            <w:pPr>
              <w:jc w:val="center"/>
              <w:ind w:right="260"/>
              <w:spacing w:after="0" w:line="124" w:lineRule="exact"/>
              <w:rPr>
                <w:sz w:val="20"/>
                <w:szCs w:val="20"/>
                <w:color w:val="auto"/>
              </w:rPr>
            </w:pPr>
            <w:r>
              <w:rPr>
                <w:rFonts w:ascii="Arial" w:cs="Arial" w:eastAsia="Arial" w:hAnsi="Arial"/>
                <w:sz w:val="11"/>
                <w:szCs w:val="11"/>
                <w:color w:val="auto"/>
                <w:w w:val="79"/>
              </w:rPr>
              <w:t>Plans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124" w:lineRule="exact"/>
              <w:rPr>
                <w:sz w:val="20"/>
                <w:szCs w:val="20"/>
                <w:color w:val="auto"/>
              </w:rPr>
            </w:pPr>
            <w:r>
              <w:rPr>
                <w:rFonts w:ascii="Arial" w:cs="Arial" w:eastAsia="Arial" w:hAnsi="Arial"/>
                <w:sz w:val="11"/>
                <w:szCs w:val="11"/>
                <w:color w:val="auto"/>
                <w:w w:val="98"/>
              </w:rPr>
              <w:t>Currency</w:t>
            </w:r>
          </w:p>
        </w:tc>
        <w:tc>
          <w:tcPr>
            <w:tcW w:w="160" w:type="dxa"/>
            <w:vAlign w:val="bottom"/>
          </w:tcPr>
          <w:p>
            <w:pPr>
              <w:spacing w:after="0"/>
              <w:rPr>
                <w:sz w:val="10"/>
                <w:szCs w:val="10"/>
                <w:color w:val="auto"/>
              </w:rPr>
            </w:pPr>
          </w:p>
        </w:tc>
        <w:tc>
          <w:tcPr>
            <w:tcW w:w="860" w:type="dxa"/>
            <w:vAlign w:val="bottom"/>
            <w:gridSpan w:val="2"/>
          </w:tcPr>
          <w:p>
            <w:pPr>
              <w:jc w:val="right"/>
              <w:ind w:right="520"/>
              <w:spacing w:after="0" w:line="124" w:lineRule="exact"/>
              <w:rPr>
                <w:sz w:val="20"/>
                <w:szCs w:val="20"/>
                <w:color w:val="auto"/>
              </w:rPr>
            </w:pPr>
            <w:r>
              <w:rPr>
                <w:rFonts w:ascii="Arial" w:cs="Arial" w:eastAsia="Arial" w:hAnsi="Arial"/>
                <w:sz w:val="11"/>
                <w:szCs w:val="11"/>
                <w:color w:val="auto"/>
              </w:rPr>
              <w:t>Total</w:t>
            </w:r>
          </w:p>
        </w:tc>
        <w:tc>
          <w:tcPr>
            <w:tcW w:w="200" w:type="dxa"/>
            <w:vAlign w:val="bottom"/>
          </w:tcPr>
          <w:p>
            <w:pPr>
              <w:spacing w:after="0"/>
              <w:rPr>
                <w:sz w:val="10"/>
                <w:szCs w:val="10"/>
                <w:color w:val="auto"/>
              </w:rPr>
            </w:pPr>
          </w:p>
        </w:tc>
        <w:tc>
          <w:tcPr>
            <w:tcW w:w="720" w:type="dxa"/>
            <w:vAlign w:val="bottom"/>
            <w:gridSpan w:val="2"/>
          </w:tcPr>
          <w:p>
            <w:pPr>
              <w:jc w:val="center"/>
              <w:ind w:right="360"/>
              <w:spacing w:after="0" w:line="124" w:lineRule="exact"/>
              <w:rPr>
                <w:sz w:val="20"/>
                <w:szCs w:val="20"/>
                <w:color w:val="auto"/>
              </w:rPr>
            </w:pPr>
            <w:r>
              <w:rPr>
                <w:rFonts w:ascii="Arial" w:cs="Arial" w:eastAsia="Arial" w:hAnsi="Arial"/>
                <w:sz w:val="11"/>
                <w:szCs w:val="11"/>
                <w:color w:val="auto"/>
                <w:w w:val="87"/>
              </w:rPr>
              <w:t>Plans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37"/>
              <w:spacing w:after="0" w:line="124" w:lineRule="exact"/>
              <w:rPr>
                <w:sz w:val="20"/>
                <w:szCs w:val="20"/>
                <w:color w:val="auto"/>
              </w:rPr>
            </w:pPr>
            <w:r>
              <w:rPr>
                <w:rFonts w:ascii="Arial" w:cs="Arial" w:eastAsia="Arial" w:hAnsi="Arial"/>
                <w:sz w:val="11"/>
                <w:szCs w:val="11"/>
                <w:color w:val="auto"/>
                <w:w w:val="98"/>
              </w:rPr>
              <w:t>Currency</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62"/>
        </w:trPr>
        <w:tc>
          <w:tcPr>
            <w:tcW w:w="5520" w:type="dxa"/>
            <w:vAlign w:val="bottom"/>
            <w:gridSpan w:val="2"/>
            <w:vMerge w:val="continue"/>
          </w:tcPr>
          <w:p>
            <w:pPr>
              <w:spacing w:after="0"/>
              <w:rPr>
                <w:sz w:val="14"/>
                <w:szCs w:val="14"/>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(4,270)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220" w:type="dxa"/>
            <w:vAlign w:val="bottom"/>
          </w:tcPr>
          <w:p>
            <w:pPr>
              <w:spacing w:after="0"/>
              <w:rPr>
                <w:sz w:val="14"/>
                <w:szCs w:val="14"/>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(4,176)</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240" w:type="dxa"/>
            <w:vAlign w:val="bottom"/>
          </w:tcPr>
          <w:p>
            <w:pPr>
              <w:spacing w:after="0"/>
              <w:rPr>
                <w:sz w:val="14"/>
                <w:szCs w:val="14"/>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5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Other comprehensive income (loss) before</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Arial" w:cs="Arial" w:eastAsia="Arial" w:hAnsi="Arial"/>
                <w:sz w:val="13"/>
                <w:szCs w:val="13"/>
                <w:color w:val="auto"/>
              </w:rPr>
              <w:t>reclassifications, net of taxes</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(144)</w:t>
            </w:r>
          </w:p>
        </w:tc>
        <w:tc>
          <w:tcPr>
            <w:tcW w:w="1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(62)</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Amounts reclassified from accumulated other</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Arial" w:cs="Arial" w:eastAsia="Arial" w:hAnsi="Arial"/>
                <w:sz w:val="13"/>
                <w:szCs w:val="13"/>
                <w:color w:val="auto"/>
              </w:rPr>
              <w:t xml:space="preserve">comprehensive income (loss), net of taxes </w:t>
            </w: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Other comprehensive income (loss) for the period</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(144)</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gridSpan w:val="2"/>
          </w:tcPr>
          <w:p>
            <w:pPr>
              <w:spacing w:after="0"/>
              <w:rPr>
                <w:sz w:val="20"/>
                <w:szCs w:val="20"/>
                <w:color w:val="auto"/>
              </w:rPr>
            </w:pPr>
            <w:r>
              <w:rPr>
                <w:rFonts w:ascii="Arial" w:cs="Arial" w:eastAsia="Arial" w:hAnsi="Arial"/>
                <w:sz w:val="13"/>
                <w:szCs w:val="13"/>
                <w:color w:val="auto"/>
              </w:rPr>
              <w:t>Balance at end of quarter</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(4,173)</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496"/>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451" w:right="2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20" w:type="dxa"/>
            <w:vAlign w:val="bottom"/>
            <w:gridSpan w:val="2"/>
            <w:vMerge w:val="restart"/>
          </w:tcPr>
          <w:p>
            <w:pPr>
              <w:spacing w:after="0"/>
              <w:rPr>
                <w:sz w:val="20"/>
                <w:szCs w:val="20"/>
                <w:color w:val="auto"/>
              </w:rPr>
            </w:pPr>
            <w:r>
              <w:rPr>
                <w:rFonts w:ascii="Arial" w:cs="Arial" w:eastAsia="Arial" w:hAnsi="Arial"/>
                <w:sz w:val="11"/>
                <w:szCs w:val="11"/>
                <w:i w:val="1"/>
                <w:iCs w:val="1"/>
                <w:color w:val="auto"/>
              </w:rPr>
              <w:t>For the nine months ended:</w:t>
            </w: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color w:val="auto"/>
              </w:rPr>
              <w:t>November 1, 2014</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1"/>
                <w:szCs w:val="11"/>
                <w:color w:val="auto"/>
              </w:rPr>
              <w:t>November 2, 2013</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auto"/>
                <w:w w:val="85"/>
              </w:rPr>
              <w:t>Pension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1"/>
                <w:szCs w:val="11"/>
                <w:color w:val="auto"/>
              </w:rPr>
              <w:t>Foreign</w:t>
            </w:r>
          </w:p>
        </w:tc>
        <w:tc>
          <w:tcPr>
            <w:tcW w:w="160" w:type="dxa"/>
            <w:vAlign w:val="bottom"/>
          </w:tcPr>
          <w:p>
            <w:pPr>
              <w:spacing w:after="0"/>
              <w:rPr>
                <w:sz w:val="10"/>
                <w:szCs w:val="10"/>
                <w:color w:val="auto"/>
              </w:rPr>
            </w:pPr>
          </w:p>
        </w:tc>
        <w:tc>
          <w:tcPr>
            <w:tcW w:w="1060" w:type="dxa"/>
            <w:vAlign w:val="bottom"/>
            <w:gridSpan w:val="3"/>
          </w:tcPr>
          <w:p>
            <w:pPr>
              <w:jc w:val="right"/>
              <w:spacing w:after="0"/>
              <w:rPr>
                <w:sz w:val="20"/>
                <w:szCs w:val="20"/>
                <w:color w:val="auto"/>
              </w:rPr>
            </w:pPr>
            <w:r>
              <w:rPr>
                <w:rFonts w:ascii="Arial" w:cs="Arial" w:eastAsia="Arial" w:hAnsi="Arial"/>
                <w:sz w:val="11"/>
                <w:szCs w:val="11"/>
                <w:i w:val="1"/>
                <w:iCs w:val="1"/>
                <w:color w:val="auto"/>
              </w:rPr>
              <w:t>(in thousands)</w:t>
            </w:r>
          </w:p>
        </w:tc>
        <w:tc>
          <w:tcPr>
            <w:tcW w:w="720" w:type="dxa"/>
            <w:vAlign w:val="bottom"/>
            <w:gridSpan w:val="2"/>
            <w:vMerge w:val="restart"/>
          </w:tcPr>
          <w:p>
            <w:pPr>
              <w:jc w:val="center"/>
              <w:ind w:right="340"/>
              <w:spacing w:after="0"/>
              <w:rPr>
                <w:sz w:val="20"/>
                <w:szCs w:val="20"/>
                <w:color w:val="auto"/>
              </w:rPr>
            </w:pPr>
            <w:r>
              <w:rPr>
                <w:rFonts w:ascii="Arial" w:cs="Arial" w:eastAsia="Arial" w:hAnsi="Arial"/>
                <w:sz w:val="11"/>
                <w:szCs w:val="11"/>
                <w:color w:val="auto"/>
                <w:w w:val="85"/>
              </w:rPr>
              <w:t>Pension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1"/>
                <w:szCs w:val="11"/>
                <w:color w:val="auto"/>
              </w:rPr>
              <w:t>Foreign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5520" w:type="dxa"/>
            <w:vAlign w:val="bottom"/>
            <w:gridSpan w:val="2"/>
            <w:vMerge w:val="restart"/>
          </w:tcPr>
          <w:p>
            <w:pPr>
              <w:spacing w:after="0"/>
              <w:rPr>
                <w:sz w:val="20"/>
                <w:szCs w:val="20"/>
                <w:color w:val="auto"/>
              </w:rPr>
            </w:pPr>
            <w:r>
              <w:rPr>
                <w:rFonts w:ascii="Arial" w:cs="Arial" w:eastAsia="Arial" w:hAnsi="Arial"/>
                <w:sz w:val="13"/>
                <w:szCs w:val="13"/>
                <w:color w:val="auto"/>
              </w:rPr>
              <w:t>Balance at beginning of fiscal year</w:t>
            </w:r>
          </w:p>
        </w:tc>
        <w:tc>
          <w:tcPr>
            <w:tcW w:w="140" w:type="dxa"/>
            <w:vAlign w:val="bottom"/>
          </w:tcPr>
          <w:p>
            <w:pPr>
              <w:spacing w:after="0"/>
              <w:rPr>
                <w:sz w:val="10"/>
                <w:szCs w:val="10"/>
                <w:color w:val="auto"/>
              </w:rPr>
            </w:pPr>
          </w:p>
        </w:tc>
        <w:tc>
          <w:tcPr>
            <w:tcW w:w="780" w:type="dxa"/>
            <w:vAlign w:val="bottom"/>
            <w:gridSpan w:val="2"/>
          </w:tcPr>
          <w:p>
            <w:pPr>
              <w:jc w:val="center"/>
              <w:ind w:right="280"/>
              <w:spacing w:after="0" w:line="124" w:lineRule="exact"/>
              <w:rPr>
                <w:sz w:val="20"/>
                <w:szCs w:val="20"/>
                <w:color w:val="auto"/>
              </w:rPr>
            </w:pPr>
            <w:r>
              <w:rPr>
                <w:rFonts w:ascii="Arial" w:cs="Arial" w:eastAsia="Arial" w:hAnsi="Arial"/>
                <w:sz w:val="11"/>
                <w:szCs w:val="11"/>
                <w:color w:val="auto"/>
                <w:w w:val="79"/>
              </w:rPr>
              <w:t>Plans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124" w:lineRule="exact"/>
              <w:rPr>
                <w:sz w:val="20"/>
                <w:szCs w:val="20"/>
                <w:color w:val="auto"/>
              </w:rPr>
            </w:pPr>
            <w:r>
              <w:rPr>
                <w:rFonts w:ascii="Arial" w:cs="Arial" w:eastAsia="Arial" w:hAnsi="Arial"/>
                <w:sz w:val="11"/>
                <w:szCs w:val="11"/>
                <w:color w:val="auto"/>
                <w:w w:val="98"/>
              </w:rPr>
              <w:t>Currency</w:t>
            </w:r>
          </w:p>
        </w:tc>
        <w:tc>
          <w:tcPr>
            <w:tcW w:w="160" w:type="dxa"/>
            <w:vAlign w:val="bottom"/>
          </w:tcPr>
          <w:p>
            <w:pPr>
              <w:spacing w:after="0"/>
              <w:rPr>
                <w:sz w:val="10"/>
                <w:szCs w:val="10"/>
                <w:color w:val="auto"/>
              </w:rPr>
            </w:pPr>
          </w:p>
        </w:tc>
        <w:tc>
          <w:tcPr>
            <w:tcW w:w="86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Total</w:t>
            </w:r>
          </w:p>
        </w:tc>
        <w:tc>
          <w:tcPr>
            <w:tcW w:w="200" w:type="dxa"/>
            <w:vAlign w:val="bottom"/>
          </w:tcPr>
          <w:p>
            <w:pPr>
              <w:spacing w:after="0"/>
              <w:rPr>
                <w:sz w:val="10"/>
                <w:szCs w:val="10"/>
                <w:color w:val="auto"/>
              </w:rPr>
            </w:pPr>
          </w:p>
        </w:tc>
        <w:tc>
          <w:tcPr>
            <w:tcW w:w="720" w:type="dxa"/>
            <w:vAlign w:val="bottom"/>
            <w:gridSpan w:val="2"/>
          </w:tcPr>
          <w:p>
            <w:pPr>
              <w:jc w:val="center"/>
              <w:ind w:right="360"/>
              <w:spacing w:after="0" w:line="124" w:lineRule="exact"/>
              <w:rPr>
                <w:sz w:val="20"/>
                <w:szCs w:val="20"/>
                <w:color w:val="auto"/>
              </w:rPr>
            </w:pPr>
            <w:r>
              <w:rPr>
                <w:rFonts w:ascii="Arial" w:cs="Arial" w:eastAsia="Arial" w:hAnsi="Arial"/>
                <w:sz w:val="11"/>
                <w:szCs w:val="11"/>
                <w:color w:val="auto"/>
                <w:w w:val="87"/>
              </w:rPr>
              <w:t>Plans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40"/>
              <w:spacing w:after="0" w:line="124" w:lineRule="exact"/>
              <w:rPr>
                <w:sz w:val="20"/>
                <w:szCs w:val="20"/>
                <w:color w:val="auto"/>
              </w:rPr>
            </w:pPr>
            <w:r>
              <w:rPr>
                <w:rFonts w:ascii="Arial" w:cs="Arial" w:eastAsia="Arial" w:hAnsi="Arial"/>
                <w:sz w:val="11"/>
                <w:szCs w:val="11"/>
                <w:color w:val="auto"/>
                <w:w w:val="98"/>
              </w:rPr>
              <w:t>Currency</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ind w:left="120"/>
              <w:spacing w:after="0" w:line="124"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62"/>
        </w:trPr>
        <w:tc>
          <w:tcPr>
            <w:tcW w:w="5520" w:type="dxa"/>
            <w:vAlign w:val="bottom"/>
            <w:gridSpan w:val="2"/>
            <w:vMerge w:val="continue"/>
          </w:tcPr>
          <w:p>
            <w:pPr>
              <w:spacing w:after="0"/>
              <w:rPr>
                <w:sz w:val="14"/>
                <w:szCs w:val="14"/>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(4,547)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220" w:type="dxa"/>
            <w:vAlign w:val="bottom"/>
          </w:tcPr>
          <w:p>
            <w:pPr>
              <w:spacing w:after="0"/>
              <w:rPr>
                <w:sz w:val="14"/>
                <w:szCs w:val="14"/>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(4,560)</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jc w:val="right"/>
              <w:ind w:right="78"/>
              <w:spacing w:after="0"/>
              <w:rPr>
                <w:sz w:val="20"/>
                <w:szCs w:val="20"/>
                <w:color w:val="auto"/>
              </w:rPr>
            </w:pPr>
            <w:r>
              <w:rPr>
                <w:rFonts w:ascii="Arial" w:cs="Arial" w:eastAsia="Arial" w:hAnsi="Arial"/>
                <w:sz w:val="4"/>
                <w:szCs w:val="4"/>
                <w:color w:val="auto"/>
                <w:w w:val="87"/>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5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Other comprehensive income (loss) before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Arial" w:cs="Arial" w:eastAsia="Arial" w:hAnsi="Arial"/>
                <w:sz w:val="13"/>
                <w:szCs w:val="13"/>
                <w:color w:val="auto"/>
              </w:rPr>
              <w:t>reclassifications, net of taxes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Amounts reclassified from accumulated other</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00" w:type="dxa"/>
            <w:vAlign w:val="bottom"/>
          </w:tcPr>
          <w:p>
            <w:pPr>
              <w:ind w:left="80"/>
              <w:spacing w:after="0"/>
              <w:rPr>
                <w:sz w:val="20"/>
                <w:szCs w:val="20"/>
                <w:color w:val="auto"/>
              </w:rPr>
            </w:pPr>
            <w:r>
              <w:rPr>
                <w:rFonts w:ascii="Arial" w:cs="Arial" w:eastAsia="Arial" w:hAnsi="Arial"/>
                <w:sz w:val="13"/>
                <w:szCs w:val="13"/>
                <w:color w:val="auto"/>
              </w:rPr>
              <w:t xml:space="preserve">comprehensive income (loss), net of taxes </w:t>
            </w:r>
            <w:r>
              <w:rPr>
                <w:rFonts w:ascii="Arial" w:cs="Arial" w:eastAsia="Arial" w:hAnsi="Arial"/>
                <w:sz w:val="11"/>
                <w:szCs w:val="11"/>
                <w:color w:val="auto"/>
              </w:rPr>
              <w:t>(2)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Other comprehensive income (loss) for the period</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(37)</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(110)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gridSpan w:val="2"/>
          </w:tcPr>
          <w:p>
            <w:pPr>
              <w:spacing w:after="0"/>
              <w:rPr>
                <w:sz w:val="20"/>
                <w:szCs w:val="20"/>
                <w:color w:val="auto"/>
              </w:rPr>
            </w:pPr>
            <w:r>
              <w:rPr>
                <w:rFonts w:ascii="Arial" w:cs="Arial" w:eastAsia="Arial" w:hAnsi="Arial"/>
                <w:sz w:val="13"/>
                <w:szCs w:val="13"/>
                <w:color w:val="auto"/>
              </w:rPr>
              <w:t>Balance at end of quarter</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(4,173)</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78"/>
              <w:spacing w:after="0"/>
              <w:rPr>
                <w:sz w:val="20"/>
                <w:szCs w:val="20"/>
                <w:color w:val="auto"/>
              </w:rPr>
            </w:pPr>
            <w:r>
              <w:rPr>
                <w:rFonts w:ascii="Arial" w:cs="Arial" w:eastAsia="Arial" w:hAnsi="Arial"/>
                <w:sz w:val="4"/>
                <w:szCs w:val="4"/>
                <w:color w:val="auto"/>
                <w:w w:val="87"/>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20" w:hanging="499"/>
        <w:spacing w:after="0" w:line="310" w:lineRule="auto"/>
        <w:tabs>
          <w:tab w:leader="none" w:pos="102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the amortization of the unrecognized (gain)/loss on pension plans which was charged to “Selling, General and Administrative” Expense on the Consolidated Statement of Operations for all periods presented. The amortization of the unrecognized loss, before tax, was $65,000 and $109,000 for the three months ended November 1, 2014 and November 2, 2013, respectively. The corresponding tax benefit was $43,000 for the three months ended November 2, 2013. There was no tax benefit for the three months ended November 1, 2014.</w:t>
      </w:r>
    </w:p>
    <w:p>
      <w:pPr>
        <w:spacing w:after="0" w:line="30" w:lineRule="exact"/>
        <w:rPr>
          <w:rFonts w:ascii="Arial" w:cs="Arial" w:eastAsia="Arial" w:hAnsi="Arial"/>
          <w:sz w:val="12"/>
          <w:szCs w:val="12"/>
          <w:color w:val="auto"/>
        </w:rPr>
      </w:pPr>
    </w:p>
    <w:p>
      <w:pPr>
        <w:ind w:left="1020" w:right="240" w:hanging="499"/>
        <w:spacing w:after="0" w:line="294" w:lineRule="auto"/>
        <w:tabs>
          <w:tab w:leader="none" w:pos="1020" w:val="left"/>
        </w:tabs>
        <w:numPr>
          <w:ilvl w:val="0"/>
          <w:numId w:val="1"/>
        </w:numPr>
        <w:rPr>
          <w:rFonts w:ascii="Arial" w:cs="Arial" w:eastAsia="Arial" w:hAnsi="Arial"/>
          <w:sz w:val="13"/>
          <w:szCs w:val="13"/>
          <w:color w:val="auto"/>
        </w:rPr>
      </w:pPr>
      <w:r>
        <w:rPr>
          <w:rFonts w:ascii="Arial" w:cs="Arial" w:eastAsia="Arial" w:hAnsi="Arial"/>
          <w:sz w:val="13"/>
          <w:szCs w:val="13"/>
          <w:color w:val="auto"/>
        </w:rPr>
        <w:t>For the nine months ended November 1, 2014 and November 2, 2013, the amortization of the unrecognized loss, before tax, was $178,000 and $285,000, respectively. The corresponding tax benefit was $112,000 for the nine months ended November 2, 2013. There was no tax benefit for the nine months ended November 1, 2014.</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 Recognition</w:t>
      </w:r>
    </w:p>
    <w:p>
      <w:pPr>
        <w:spacing w:after="0" w:line="93"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Revenue from the Company’s retail store operation is recorded upon purchase of merchandise by customers, net of an allowance for sales returns. Revenue from the Company’s catalog and e-commerce operations is recognized at the time a customer order is delivered, net of an allowance for sales returns. Revenue is recognized by the operating segment that fulfills a customer’s order.</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Stock-based Compensation</w:t>
      </w:r>
    </w:p>
    <w:p>
      <w:pPr>
        <w:spacing w:after="0" w:line="93" w:lineRule="exact"/>
        <w:rPr>
          <w:sz w:val="20"/>
          <w:szCs w:val="20"/>
          <w:color w:val="auto"/>
        </w:rPr>
      </w:pPr>
    </w:p>
    <w:p>
      <w:pPr>
        <w:ind w:right="60"/>
        <w:spacing w:after="0" w:line="292" w:lineRule="auto"/>
        <w:rPr>
          <w:sz w:val="20"/>
          <w:szCs w:val="20"/>
          <w:color w:val="auto"/>
        </w:rPr>
      </w:pPr>
      <w:r>
        <w:rPr>
          <w:rFonts w:ascii="Arial" w:cs="Arial" w:eastAsia="Arial" w:hAnsi="Arial"/>
          <w:sz w:val="12"/>
          <w:szCs w:val="12"/>
          <w:color w:val="auto"/>
        </w:rPr>
        <w:t>All share-based payments, including grants of employee stock options and restricted stock, are recognized as an expense in the Consolidated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Recently Issued Accounting Pronouncements</w:t>
      </w:r>
    </w:p>
    <w:p>
      <w:pPr>
        <w:spacing w:after="0" w:line="93"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 xml:space="preserve">In April 2014, the FASB issued ASU No. 2014-08, </w:t>
      </w:r>
      <w:r>
        <w:rPr>
          <w:rFonts w:ascii="Arial" w:cs="Arial" w:eastAsia="Arial" w:hAnsi="Arial"/>
          <w:sz w:val="13"/>
          <w:szCs w:val="13"/>
          <w:i w:val="1"/>
          <w:iCs w:val="1"/>
          <w:color w:val="auto"/>
        </w:rPr>
        <w:t>Presentation of Financial Statements (Top 205): Reporting Discontinued Operations and Disclosure of Disposals of Components of an Entity</w:t>
      </w:r>
      <w:r>
        <w:rPr>
          <w:rFonts w:ascii="Arial" w:cs="Arial" w:eastAsia="Arial" w:hAnsi="Arial"/>
          <w:sz w:val="13"/>
          <w:szCs w:val="13"/>
          <w:color w:val="auto"/>
        </w:rPr>
        <w:t xml:space="preserve"> (“ASU 2014-08”). The objective of ASU No. 2014-08 is to clarify the criteria for determining which disposals can be presented as discontinued operations and also modifies related disclosure requirements. The standard is required to be adopted by public business entities in annual periods beginning on or after December 15, 2014, and interim periods within those annual periods. Early adoption is permitted for new disposals beginning in the first quarter of 2014, provided financial statements have not been issued before the release of this standard. The Company is in the process of evaluating the impact of ASU 2014-08 on its Consolidated Financial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60"/>
          </w:cols>
          <w:pgMar w:left="220" w:top="416" w:right="219" w:bottom="1440" w:gutter="0" w:footer="0" w:header="0"/>
        </w:sectPr>
      </w:pPr>
    </w:p>
    <w:bookmarkStart w:id="9" w:name="page10"/>
    <w:bookmarkEnd w:id="9"/>
    <w:p>
      <w:pPr>
        <w:spacing w:after="0" w:line="264" w:lineRule="auto"/>
        <w:rPr>
          <w:sz w:val="20"/>
          <w:szCs w:val="20"/>
          <w:color w:val="auto"/>
        </w:rPr>
      </w:pPr>
      <w:r>
        <w:rPr>
          <w:rFonts w:ascii="Arial" w:cs="Arial" w:eastAsia="Arial" w:hAnsi="Arial"/>
          <w:sz w:val="13"/>
          <w:szCs w:val="13"/>
          <w:color w:val="auto"/>
        </w:rPr>
        <w:t>In May 2014, the FASB issued ASU 2014-09,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which supersedes the revenue recognition requirements in ASC 605, “Revenue Recognition,” as well as various other sections of the ASC, such as, but not limited to, ASC 340-20, “Other Assets and Deferred Costs-Capitalized Advertising Costs.” The core principle of ASU 2014-09 is that an entity should recognize revenue in a way that depicts the transfer of promised goods or services to customers in an amount that reflects the consideration to which the entity expects to be entitled in exchange for those goods or services. ASU 2014-09 also includes a cohesive set of disclosure requirements that would result in an entity providing users of financial statements with comprehensive information about the nature, amount, timing and uncertainty of revenue and cash flows arising from the entity’s contracts with customers. ASU 2014-09 is effective for fiscal years, and interim periods within those years, beginning after December 15, 2016,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not permitted. The Company is in the process of evaluating the impact of ASU 2014-09 on its Consolidated Financial Statements, including the choice of retrospective application upon adoption.</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Debt</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Agreement with Bank of America, N.A.</w:t>
      </w:r>
    </w:p>
    <w:p>
      <w:pPr>
        <w:spacing w:after="0" w:line="95" w:lineRule="exact"/>
        <w:rPr>
          <w:sz w:val="20"/>
          <w:szCs w:val="20"/>
          <w:color w:val="auto"/>
        </w:rPr>
      </w:pPr>
    </w:p>
    <w:p>
      <w:pPr>
        <w:ind w:right="20"/>
        <w:spacing w:after="0" w:line="294" w:lineRule="auto"/>
        <w:rPr>
          <w:sz w:val="20"/>
          <w:szCs w:val="20"/>
          <w:color w:val="auto"/>
        </w:rPr>
      </w:pPr>
      <w:r>
        <w:rPr>
          <w:rFonts w:ascii="Arial" w:cs="Arial" w:eastAsia="Arial" w:hAnsi="Arial"/>
          <w:sz w:val="13"/>
          <w:szCs w:val="13"/>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18" w:lineRule="exact"/>
        <w:rPr>
          <w:sz w:val="20"/>
          <w:szCs w:val="20"/>
          <w:color w:val="auto"/>
        </w:rPr>
      </w:pPr>
    </w:p>
    <w:p>
      <w:pPr>
        <w:ind w:right="120"/>
        <w:spacing w:after="0" w:line="295" w:lineRule="auto"/>
        <w:rPr>
          <w:sz w:val="20"/>
          <w:szCs w:val="20"/>
          <w:color w:val="auto"/>
        </w:rPr>
      </w:pPr>
      <w:r>
        <w:rPr>
          <w:rFonts w:ascii="Arial" w:cs="Arial" w:eastAsia="Arial" w:hAnsi="Arial"/>
          <w:sz w:val="12"/>
          <w:szCs w:val="12"/>
          <w:color w:val="auto"/>
        </w:rPr>
        <w:t>The Credit Facility provides for an increase in the maximum committed borrowings from $100 million to $125 million. The Credit Facility continues to include, pursuant to an accordion feature, the ability to increase the Amended Credit Facility by an additional $50 million upon the request of the Company and the agreement of the lender(s) participating in the increase. The Credit Facility includes a sublimit of $20 million for commercial and standby letter of credits and a sublimit of up to $15 million for swingline loans. The Company’s ability to borrow under the Credit Facility is determined using an availability formula based on eligible assets. The maturity date of the Credit Facility was extended from June 26, 2018 to October 29, 2019. The Company’s obligations under the Credit Facility are secured by a lien on substantially all of its assets, excluding (i) a first priority lien held by the lenders of the Term Loan Facility on certain equipment of the Company and (ii) intellectual property.</w:t>
      </w:r>
    </w:p>
    <w:p>
      <w:pPr>
        <w:spacing w:after="0" w:line="120" w:lineRule="exact"/>
        <w:rPr>
          <w:sz w:val="20"/>
          <w:szCs w:val="20"/>
          <w:color w:val="auto"/>
        </w:rPr>
      </w:pPr>
    </w:p>
    <w:p>
      <w:pPr>
        <w:ind w:right="20"/>
        <w:spacing w:after="0" w:line="292" w:lineRule="auto"/>
        <w:rPr>
          <w:sz w:val="20"/>
          <w:szCs w:val="20"/>
          <w:color w:val="auto"/>
        </w:rPr>
      </w:pPr>
      <w:r>
        <w:rPr>
          <w:rFonts w:ascii="Arial" w:cs="Arial" w:eastAsia="Arial" w:hAnsi="Arial"/>
          <w:sz w:val="12"/>
          <w:szCs w:val="12"/>
          <w:color w:val="auto"/>
        </w:rPr>
        <w:t>At November 1, 2014, the Company had outstanding borrowings under the Credit Facility of $38.0 million. Outstanding standby letters of credit were $2.2 million and documentary letters of credit were $0.3 million. Unused excess availability at November 1, 2014 was $75.1 million. Average monthly borrowings outstanding under the Credit Facility during the first nine months of fiscal 2014 were $31.9 million, resulting in an average unused excess availability of approximately $62.7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10% of the Loan Cap (the lesser of the Revolving Credit Commitments at such time or the Borrowing Base at such time) and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Borrowings made pursuant to the Credit Facility will bear interest at a rate equal to the base rate (determined as the highest of (a) Bank of America N.A.’s prime rate, (b) the Federal Funds rate plus 0.50% or</w:t>
      </w:r>
    </w:p>
    <w:p>
      <w:pPr>
        <w:spacing w:after="0" w:line="34" w:lineRule="exact"/>
        <w:rPr>
          <w:sz w:val="20"/>
          <w:szCs w:val="20"/>
          <w:color w:val="auto"/>
        </w:rPr>
      </w:pPr>
    </w:p>
    <w:p>
      <w:pPr>
        <w:jc w:val="both"/>
        <w:ind w:right="160" w:firstLine="1"/>
        <w:spacing w:after="0" w:line="294"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annual ICE-LIBOR rate (“LIBOR”) for the respective interest period) plus a varying percentage, based on the Company’s borrowing base, of 0.50%-0.75% for prime-based borrowings and 1.50%-1.75% for LIBOR-based borrowings. The Company is also subject to an unused line fee of 0.25%. At November 1, 2014, the Company’s prime-based interest rate was 3.75%. At November 1, 2014, the Company had approximately $30.0 million of its outstanding borrowings in a LIBOR-based contract with an interest rate of 1.62%. The LIBOR-based contracts expired November 4, 2014 through November 6, 2014. When a LIBOR-based borrowing expires, the borrowings revert back to prime-based borrowings unless the Company enters into a new LIBOR-based borrowing arrangement.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40"/>
          </w:cols>
          <w:pgMar w:left="220" w:top="451" w:right="239" w:bottom="1440" w:gutter="0" w:footer="0" w:header="0"/>
        </w:sectPr>
      </w:pPr>
    </w:p>
    <w:bookmarkStart w:id="10" w:name="page11"/>
    <w:bookmarkEnd w:id="10"/>
    <w:p>
      <w:pPr>
        <w:spacing w:after="0"/>
        <w:rPr>
          <w:sz w:val="20"/>
          <w:szCs w:val="20"/>
          <w:color w:val="auto"/>
        </w:rPr>
      </w:pPr>
      <w:r>
        <w:rPr>
          <w:rFonts w:ascii="Arial" w:cs="Arial" w:eastAsia="Arial" w:hAnsi="Arial"/>
          <w:sz w:val="13"/>
          <w:szCs w:val="13"/>
          <w:color w:val="auto"/>
        </w:rPr>
        <w:t>The fair value of the amount outstanding under the Credit Facility at November 1, 2014 approximated the carrying value.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Components of long-term debt are as follows: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5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197"/>
              <w:spacing w:after="0"/>
              <w:rPr>
                <w:sz w:val="20"/>
                <w:szCs w:val="20"/>
                <w:color w:val="auto"/>
              </w:rPr>
            </w:pPr>
            <w:r>
              <w:rPr>
                <w:rFonts w:ascii="Arial" w:cs="Arial" w:eastAsia="Arial" w:hAnsi="Arial"/>
                <w:sz w:val="11"/>
                <w:szCs w:val="11"/>
                <w:color w:val="auto"/>
              </w:rPr>
              <w:t>November 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color w:val="auto"/>
              </w:rPr>
              <w:t>February 1,</w:t>
            </w:r>
          </w:p>
        </w:tc>
      </w:tr>
      <w:tr>
        <w:trPr>
          <w:trHeight w:val="124"/>
        </w:trPr>
        <w:tc>
          <w:tcPr>
            <w:tcW w:w="554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i w:val="1"/>
                <w:iCs w:val="1"/>
                <w:color w:val="auto"/>
              </w:rPr>
              <w:t>(in thousands)</w:t>
            </w:r>
          </w:p>
        </w:tc>
        <w:tc>
          <w:tcPr>
            <w:tcW w:w="8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77"/>
              <w:spacing w:after="0" w:line="124" w:lineRule="exact"/>
              <w:rPr>
                <w:sz w:val="20"/>
                <w:szCs w:val="20"/>
                <w:color w:val="auto"/>
              </w:rPr>
            </w:pPr>
            <w:r>
              <w:rPr>
                <w:rFonts w:ascii="Arial" w:cs="Arial" w:eastAsia="Arial" w:hAnsi="Arial"/>
                <w:sz w:val="11"/>
                <w:szCs w:val="11"/>
                <w:color w:val="auto"/>
              </w:rPr>
              <w:t>2014</w:t>
            </w:r>
          </w:p>
        </w:tc>
        <w:tc>
          <w:tcPr>
            <w:tcW w:w="14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77"/>
              <w:spacing w:after="0" w:line="124" w:lineRule="exact"/>
              <w:rPr>
                <w:sz w:val="20"/>
                <w:szCs w:val="20"/>
                <w:color w:val="auto"/>
              </w:rPr>
            </w:pPr>
            <w:r>
              <w:rPr>
                <w:rFonts w:ascii="Arial" w:cs="Arial" w:eastAsia="Arial" w:hAnsi="Arial"/>
                <w:sz w:val="11"/>
                <w:szCs w:val="11"/>
                <w:color w:val="auto"/>
              </w:rPr>
              <w:t>2014</w:t>
            </w:r>
          </w:p>
        </w:tc>
        <w:tc>
          <w:tcPr>
            <w:tcW w:w="80" w:type="dxa"/>
            <w:vAlign w:val="bottom"/>
            <w:tcBorders>
              <w:bottom w:val="single" w:sz="8" w:color="CFF0FC"/>
            </w:tcBorders>
          </w:tcPr>
          <w:p>
            <w:pPr>
              <w:spacing w:after="0"/>
              <w:rPr>
                <w:sz w:val="10"/>
                <w:szCs w:val="10"/>
                <w:color w:val="auto"/>
              </w:rPr>
            </w:pPr>
          </w:p>
        </w:tc>
      </w:tr>
      <w:tr>
        <w:trPr>
          <w:trHeight w:val="162"/>
        </w:trPr>
        <w:tc>
          <w:tcPr>
            <w:tcW w:w="5540" w:type="dxa"/>
            <w:vAlign w:val="bottom"/>
            <w:shd w:val="clear" w:color="auto" w:fill="CFF0FC"/>
          </w:tcPr>
          <w:p>
            <w:pPr>
              <w:spacing w:after="0"/>
              <w:rPr>
                <w:sz w:val="20"/>
                <w:szCs w:val="20"/>
                <w:color w:val="auto"/>
              </w:rPr>
            </w:pPr>
            <w:r>
              <w:rPr>
                <w:rFonts w:ascii="Arial" w:cs="Arial" w:eastAsia="Arial" w:hAnsi="Arial"/>
                <w:sz w:val="13"/>
                <w:szCs w:val="13"/>
                <w:color w:val="auto"/>
              </w:rPr>
              <w:t>Equipment financing notes</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20,989</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16,706</w:t>
            </w:r>
          </w:p>
        </w:tc>
        <w:tc>
          <w:tcPr>
            <w:tcW w:w="80" w:type="dxa"/>
            <w:vAlign w:val="bottom"/>
            <w:shd w:val="clear" w:color="auto" w:fill="CFF0FC"/>
          </w:tcPr>
          <w:p>
            <w:pPr>
              <w:spacing w:after="0"/>
              <w:rPr>
                <w:sz w:val="14"/>
                <w:szCs w:val="14"/>
                <w:color w:val="auto"/>
              </w:rPr>
            </w:pPr>
          </w:p>
        </w:tc>
      </w:tr>
      <w:tr>
        <w:trPr>
          <w:trHeight w:val="171"/>
        </w:trPr>
        <w:tc>
          <w:tcPr>
            <w:tcW w:w="5540" w:type="dxa"/>
            <w:vAlign w:val="bottom"/>
          </w:tcPr>
          <w:p>
            <w:pPr>
              <w:spacing w:after="0"/>
              <w:rPr>
                <w:sz w:val="20"/>
                <w:szCs w:val="20"/>
                <w:color w:val="auto"/>
              </w:rPr>
            </w:pPr>
            <w:r>
              <w:rPr>
                <w:rFonts w:ascii="Arial" w:cs="Arial" w:eastAsia="Arial" w:hAnsi="Arial"/>
                <w:sz w:val="13"/>
                <w:szCs w:val="13"/>
                <w:color w:val="auto"/>
              </w:rPr>
              <w:t>Term loan, due 2019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15,000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2"/>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Total long-term debt</w:t>
            </w:r>
          </w:p>
        </w:tc>
        <w:tc>
          <w:tcPr>
            <w:tcW w:w="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35,989</w:t>
            </w:r>
          </w:p>
        </w:tc>
        <w:tc>
          <w:tcPr>
            <w:tcW w:w="1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16,706</w:t>
            </w:r>
          </w:p>
        </w:tc>
        <w:tc>
          <w:tcPr>
            <w:tcW w:w="80" w:type="dxa"/>
            <w:vAlign w:val="bottom"/>
            <w:tcBorders>
              <w:top w:val="single" w:sz="8" w:color="CFF0FC"/>
            </w:tcBorders>
            <w:shd w:val="clear" w:color="auto" w:fill="CFF0FC"/>
          </w:tcPr>
          <w:p>
            <w:pPr>
              <w:spacing w:after="0"/>
              <w:rPr>
                <w:sz w:val="14"/>
                <w:szCs w:val="14"/>
                <w:color w:val="auto"/>
              </w:rPr>
            </w:pPr>
          </w:p>
        </w:tc>
      </w:tr>
      <w:tr>
        <w:trPr>
          <w:trHeight w:val="171"/>
        </w:trPr>
        <w:tc>
          <w:tcPr>
            <w:tcW w:w="55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Less: current portion of long-term debt</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7,473</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4,561</w:t>
            </w:r>
          </w:p>
        </w:tc>
        <w:tc>
          <w:tcPr>
            <w:tcW w:w="80" w:type="dxa"/>
            <w:vAlign w:val="bottom"/>
            <w:tcBorders>
              <w:bottom w:val="single" w:sz="8" w:color="CFF0FC"/>
            </w:tcBorders>
          </w:tcPr>
          <w:p>
            <w:pPr>
              <w:spacing w:after="0"/>
              <w:rPr>
                <w:sz w:val="14"/>
                <w:szCs w:val="14"/>
                <w:color w:val="auto"/>
              </w:rPr>
            </w:pPr>
          </w:p>
        </w:tc>
      </w:tr>
      <w:tr>
        <w:trPr>
          <w:trHeight w:val="162"/>
        </w:trPr>
        <w:tc>
          <w:tcPr>
            <w:tcW w:w="5540" w:type="dxa"/>
            <w:vAlign w:val="bottom"/>
            <w:shd w:val="clear" w:color="auto" w:fill="CFF0FC"/>
          </w:tcPr>
          <w:p>
            <w:pPr>
              <w:spacing w:after="0"/>
              <w:rPr>
                <w:sz w:val="20"/>
                <w:szCs w:val="20"/>
                <w:color w:val="auto"/>
              </w:rPr>
            </w:pPr>
            <w:r>
              <w:rPr>
                <w:rFonts w:ascii="Arial" w:cs="Arial" w:eastAsia="Arial" w:hAnsi="Arial"/>
                <w:sz w:val="13"/>
                <w:szCs w:val="13"/>
                <w:color w:val="auto"/>
              </w:rPr>
              <w:t>Long-term debt, net of current portion</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28,516</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12,145</w:t>
            </w:r>
          </w:p>
        </w:tc>
        <w:tc>
          <w:tcPr>
            <w:tcW w:w="80" w:type="dxa"/>
            <w:vAlign w:val="bottom"/>
            <w:shd w:val="clear" w:color="auto" w:fill="CFF0FC"/>
          </w:tcPr>
          <w:p>
            <w:pPr>
              <w:spacing w:after="0"/>
              <w:rPr>
                <w:sz w:val="14"/>
                <w:szCs w:val="14"/>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Equipment Financing Loans</w:t>
      </w:r>
    </w:p>
    <w:p>
      <w:pPr>
        <w:spacing w:after="0" w:line="93" w:lineRule="exact"/>
        <w:rPr>
          <w:sz w:val="20"/>
          <w:szCs w:val="20"/>
          <w:color w:val="auto"/>
        </w:rPr>
      </w:pPr>
    </w:p>
    <w:p>
      <w:pPr>
        <w:ind w:right="40"/>
        <w:spacing w:after="0" w:line="310" w:lineRule="auto"/>
        <w:rPr>
          <w:sz w:val="20"/>
          <w:szCs w:val="20"/>
          <w:color w:val="auto"/>
        </w:rPr>
      </w:pPr>
      <w:r>
        <w:rPr>
          <w:rFonts w:ascii="Arial" w:cs="Arial" w:eastAsia="Arial" w:hAnsi="Arial"/>
          <w:sz w:val="12"/>
          <w:szCs w:val="12"/>
          <w:color w:val="auto"/>
        </w:rPr>
        <w:t>Pursuant to a Master Loan and Security Agreement with Banc of America Leasing &amp; Capital, LLC, dated July 20, 2007 and amended September 30, 2013 (the “Master Agreement”), the Company has entered into twelve equipment security notes (in aggregate, the “Notes”). The Company borrowed an aggregate of $26.4 million between September 2013 and June 2014, of which $8.9 million was borrowed during the first nine months of fiscal 2014. The Notes are for a term of 48 months and accrue interest at fixed rates ranging from 3.07% and 3.50%. Principal and interest are paid monthly, in arrears.</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Notes are secured by a security interest in all of the Company’s rights, title and interest in and to certain equipment. The Company is subject to a prepayment penalty equal to 1% of the prepaid principal of the Notes until the first anniversary, 0.5% of the prepaid principal from the first anniversary until the second anniversary and no prepayment penalty thereafter. The Master Agreement includes default provisions that are customary for financings of this type and are similar and no more restrictive than the Company’s existing Credit Facility.</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Term Loan</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5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commencing the first business day of January 2015, in an aggregate principal amount equal to $250,000, subject to adjustment, with the balance payable on the termination date.</w:t>
      </w:r>
    </w:p>
    <w:p>
      <w:pPr>
        <w:spacing w:after="0" w:line="154"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the first anniversary of the Effective Date; (b) 2% of the amount prepaid if the prepayment is after the first anniversary, but prior to the second anniversary, of the Effective Date; and (c) 1% of the amount prepaid if the prepayment is after the second anniversary, but prior to the third anniversary, of the Effective Date. There is no prepayment penalty after the third anniversary of the Effective Date.</w:t>
      </w:r>
    </w:p>
    <w:p>
      <w:pPr>
        <w:spacing w:after="0" w:line="137"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460"/>
          </w:cols>
          <w:pgMar w:left="220" w:top="451" w:right="2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color w:val="auto"/>
        </w:rPr>
        <w:t>3. Stock-Based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2013-2016 LTIP</w:t>
      </w:r>
    </w:p>
    <w:p>
      <w:pPr>
        <w:spacing w:after="0" w:line="93" w:lineRule="exact"/>
        <w:rPr>
          <w:sz w:val="20"/>
          <w:szCs w:val="20"/>
          <w:color w:val="auto"/>
        </w:rPr>
      </w:pPr>
    </w:p>
    <w:p>
      <w:pPr>
        <w:ind w:right="240"/>
        <w:spacing w:after="0" w:line="267" w:lineRule="auto"/>
        <w:rPr>
          <w:sz w:val="20"/>
          <w:szCs w:val="20"/>
          <w:color w:val="auto"/>
        </w:rPr>
      </w:pPr>
      <w:r>
        <w:rPr>
          <w:rFonts w:ascii="Arial" w:cs="Arial" w:eastAsia="Arial" w:hAnsi="Arial"/>
          <w:sz w:val="13"/>
          <w:szCs w:val="13"/>
          <w:color w:val="auto"/>
        </w:rPr>
        <w:t>During the second quarter of fiscal 2013, the 2013-2016 Destination XL Group, Inc. Long-Term Incentive Plan (the “2013-2016 LTIP”) was approved and implemented. Pursuant to the terms of the 2013-2016 LTIP, on the date of grant, each participant was granted an unearned and unvested award equal in value to four times his/her annual salary multiplied by the applicable long-term incentive program percentage, which is 100% for the Company’s Chief Executive Officer, 70% for its senior executives and 50% for other participants in the plan, which the Company refers to as the “Projected Benefit Amount.” Each participant was granted 50% of the Projected Benefit Amount in shares of restricted stock, 25% in stock options and the remaining 25% in cash. All shares were granted from the Company’s 2006 Incentive Compensation Plan.</w:t>
      </w:r>
    </w:p>
    <w:p>
      <w:pPr>
        <w:spacing w:after="0" w:line="137" w:lineRule="exact"/>
        <w:rPr>
          <w:sz w:val="20"/>
          <w:szCs w:val="20"/>
          <w:color w:val="auto"/>
        </w:rPr>
      </w:pPr>
    </w:p>
    <w:p>
      <w:pPr>
        <w:ind w:right="180"/>
        <w:spacing w:after="0" w:line="339" w:lineRule="auto"/>
        <w:rPr>
          <w:sz w:val="20"/>
          <w:szCs w:val="20"/>
          <w:color w:val="auto"/>
        </w:rPr>
      </w:pPr>
      <w:r>
        <w:rPr>
          <w:rFonts w:ascii="Arial" w:cs="Arial" w:eastAsia="Arial" w:hAnsi="Arial"/>
          <w:sz w:val="12"/>
          <w:szCs w:val="12"/>
          <w:color w:val="auto"/>
        </w:rPr>
        <w:t>Of the total Projected Benefit Amount, 50% is subject to time-based vesting and 50% is subject to performance-based vesting. The time-vested portion of the award (half of the shares of restricted stock, options and cash) vests in three installments with 20% of the time-vested portion vesting at the end of fiscal 2014, 40% at the end of fiscal 2015 and the remaining 40% vesting at the end of fiscal 2016.</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of not less than 8.0% during any rolling fiscal four quarters prior to fiscal 2016, then the total Projected Benefit Amount vests in full.</w:t>
      </w:r>
    </w:p>
    <w:p>
      <w:pPr>
        <w:spacing w:after="0" w:line="150" w:lineRule="exact"/>
        <w:rPr>
          <w:sz w:val="20"/>
          <w:szCs w:val="20"/>
          <w:color w:val="auto"/>
        </w:rPr>
      </w:pPr>
    </w:p>
    <w:p>
      <w:pPr>
        <w:ind w:right="100"/>
        <w:spacing w:after="0" w:line="300" w:lineRule="auto"/>
        <w:rPr>
          <w:sz w:val="20"/>
          <w:szCs w:val="20"/>
          <w:color w:val="auto"/>
        </w:rPr>
      </w:pPr>
      <w:r>
        <w:rPr>
          <w:rFonts w:ascii="Arial" w:cs="Arial" w:eastAsia="Arial" w:hAnsi="Arial"/>
          <w:sz w:val="12"/>
          <w:szCs w:val="12"/>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137"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Assuming the Company achieves the performance target and 100% of the Projected Benefit Amount vests, excluding estimated forfeitures, the total potential value of all awards over this four-year period, as of November 1, 2014, would be approximately $19.5 million. Approximately half of the compensation expense relates to the time-vested awards, which is being expensed over forty-four months, based on the respective vesting dates. As the performance targets were not deemed probable at November 1, 2014, no expense for the performance-based awards has been recognized through the first nine months of fiscal 2014. However, as a result of two terminations during the first nine months of fiscal 2014, the Company did recognize additional stock compensation expense of approximately $77,000 related to the partial pro-rata vesting of the performance awards that each former employee was entitled to pursuant to the terms of the 2013-2016 LTIP. In total, 10,200 shares of performance-related restricted stock vested and performance-related options to purchase 12,418 shares of common stock vested as a result of such terminations.</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2016 Long-Term Incentive Wrap-Around Plan</w:t>
      </w:r>
    </w:p>
    <w:p>
      <w:pPr>
        <w:spacing w:after="0" w:line="93"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On November 7, 2014, subsequent to the end of the third quarter of fiscal 2014, the Company’s Compensation Committee approved the 2016 Long-Term Incentive Wrap-Around Plan (the “Wrap-Around Plan”). The Wrap-Around Plan is a supplemental performance-based incentive plan that is only effective if there is no vesting of the performance-based awards under the 2013-2016 LTIP and, as a result, all performance-based awards under that plan are forfeited. Under the Wrap-Around Plan, if the target level performance metrics for fiscal 2016 are met, participants will be eligible to receive a payout equal to 80% of the dollar value of the performance-based compensation they were eligible to receive under the 2013-2016 LTIP. If the target level performance metrics for fiscal 2016 under the Wrap-Around Plan are exceeded, the greatest payout that participants will be eligible to receive is 100% of the dollar value of the performance-based compensation they were eligible to receive under the 2013-2016 LTIP. Any award earned will be paid 50% in cash and 50% in shares of restricted stock.</w:t>
      </w:r>
    </w:p>
    <w:p>
      <w:pPr>
        <w:spacing w:after="0" w:line="135"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The performance target under the Wrap-Around Plan consists of two metrics, Sales and EBITDA, with threshold (50%), target (80%) and maximum (100%) payout levels. Each metric is weighted as 50% of the total performance target. However, in order for there to be any payout under either metric, EBITDA for fiscal 2016 must be equal to or greater than the minimum threshold.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460"/>
          </w:cols>
          <w:pgMar w:left="220" w:top="288" w:right="219" w:bottom="1440" w:gutter="0" w:footer="0" w:header="0"/>
        </w:sectPr>
      </w:pPr>
    </w:p>
    <w:bookmarkStart w:id="12" w:name="page13"/>
    <w:bookmarkEnd w:id="12"/>
    <w:p>
      <w:pPr>
        <w:ind w:right="80"/>
        <w:spacing w:after="0" w:line="268" w:lineRule="auto"/>
        <w:rPr>
          <w:sz w:val="20"/>
          <w:szCs w:val="20"/>
          <w:color w:val="auto"/>
        </w:rPr>
      </w:pPr>
      <w:r>
        <w:rPr>
          <w:rFonts w:ascii="Arial" w:cs="Arial" w:eastAsia="Arial" w:hAnsi="Arial"/>
          <w:sz w:val="13"/>
          <w:szCs w:val="13"/>
          <w:color w:val="auto"/>
        </w:rPr>
        <w:t>The Wrap-Around Plan also provides for an opportunity to receive additional shares of restricted stock if the performance targets are achieved and the Company’s closing stock price is $6.75 or higher on the day earnings for fiscal 2016 are publicly released. If the Company’s stock price is $6.75, the 50% payout in restricted shares will be increased by 20% and if the stock price is $7.25 or higher, the 50% payout in restricted shares will be increased by 30%. All awards granted pursuant to the Wrap-Around Plan will not vest until the last day of the second quarter of fiscal 2017</w:t>
      </w:r>
      <w:r>
        <w:rPr>
          <w:rFonts w:ascii="Arial" w:cs="Arial" w:eastAsia="Arial" w:hAnsi="Arial"/>
          <w:sz w:val="16"/>
          <w:szCs w:val="16"/>
          <w:color w:val="auto"/>
        </w:rPr>
        <w: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2006 Plan—Stock Option and Restricted Share Award Activity</w:t>
      </w:r>
    </w:p>
    <w:p>
      <w:pPr>
        <w:spacing w:after="0" w:line="173"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Pursuant to the Company’s 2006 Incentive Compensation Plan, as amended (the “2006 Plan”), the Company has 7,250,000 shares authorized for issuance, of which 4,250,000 shares may be subject to the granting of awards other than stock options and stock appreciation rights.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summarize the stock option activity and restricted share activity under the 2006 Plan for the first nine months of fiscal 2014:</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5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color w:val="auto"/>
                <w:w w:val="86"/>
              </w:rPr>
              <w:t>Weighted-average</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Weighted-average</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1"/>
        </w:trPr>
        <w:tc>
          <w:tcPr>
            <w:tcW w:w="5180" w:type="dxa"/>
            <w:vAlign w:val="bottom"/>
          </w:tcPr>
          <w:p>
            <w:pPr>
              <w:spacing w:after="0"/>
              <w:rPr>
                <w:sz w:val="9"/>
                <w:szCs w:val="9"/>
                <w:color w:val="auto"/>
              </w:rPr>
            </w:pPr>
          </w:p>
        </w:tc>
        <w:tc>
          <w:tcPr>
            <w:tcW w:w="1280" w:type="dxa"/>
            <w:vAlign w:val="bottom"/>
            <w:gridSpan w:val="2"/>
          </w:tcPr>
          <w:p>
            <w:pPr>
              <w:jc w:val="right"/>
              <w:ind w:right="480"/>
              <w:spacing w:after="0" w:line="111" w:lineRule="exact"/>
              <w:rPr>
                <w:sz w:val="20"/>
                <w:szCs w:val="20"/>
                <w:color w:val="auto"/>
              </w:rPr>
            </w:pPr>
            <w:r>
              <w:rPr>
                <w:rFonts w:ascii="Arial" w:cs="Arial" w:eastAsia="Arial" w:hAnsi="Arial"/>
                <w:sz w:val="11"/>
                <w:szCs w:val="11"/>
                <w:color w:val="auto"/>
              </w:rPr>
              <w:t>Number of</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360"/>
              <w:spacing w:after="0" w:line="111" w:lineRule="exact"/>
              <w:rPr>
                <w:sz w:val="20"/>
                <w:szCs w:val="20"/>
                <w:color w:val="auto"/>
              </w:rPr>
            </w:pPr>
            <w:r>
              <w:rPr>
                <w:rFonts w:ascii="Arial" w:cs="Arial" w:eastAsia="Arial" w:hAnsi="Arial"/>
                <w:sz w:val="11"/>
                <w:szCs w:val="11"/>
                <w:color w:val="auto"/>
                <w:w w:val="88"/>
              </w:rPr>
              <w:t>exercise price</w:t>
            </w:r>
          </w:p>
        </w:tc>
        <w:tc>
          <w:tcPr>
            <w:tcW w:w="1140" w:type="dxa"/>
            <w:vAlign w:val="bottom"/>
            <w:gridSpan w:val="2"/>
          </w:tcPr>
          <w:p>
            <w:pPr>
              <w:jc w:val="center"/>
              <w:ind w:right="120"/>
              <w:spacing w:after="0" w:line="111" w:lineRule="exact"/>
              <w:rPr>
                <w:sz w:val="20"/>
                <w:szCs w:val="20"/>
                <w:color w:val="auto"/>
              </w:rPr>
            </w:pPr>
            <w:r>
              <w:rPr>
                <w:rFonts w:ascii="Arial" w:cs="Arial" w:eastAsia="Arial" w:hAnsi="Arial"/>
                <w:sz w:val="11"/>
                <w:szCs w:val="11"/>
                <w:color w:val="auto"/>
                <w:w w:val="86"/>
              </w:rPr>
              <w:t>remaining</w:t>
            </w:r>
          </w:p>
        </w:tc>
        <w:tc>
          <w:tcPr>
            <w:tcW w:w="160" w:type="dxa"/>
            <w:vAlign w:val="bottom"/>
          </w:tcPr>
          <w:p>
            <w:pPr>
              <w:spacing w:after="0"/>
              <w:rPr>
                <w:sz w:val="9"/>
                <w:szCs w:val="9"/>
                <w:color w:val="auto"/>
              </w:rPr>
            </w:pPr>
          </w:p>
        </w:tc>
        <w:tc>
          <w:tcPr>
            <w:tcW w:w="112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w w:val="90"/>
              </w:rPr>
              <w:t>Aggregate</w:t>
            </w:r>
          </w:p>
        </w:tc>
      </w:tr>
      <w:tr>
        <w:trPr>
          <w:trHeight w:val="124"/>
        </w:trPr>
        <w:tc>
          <w:tcPr>
            <w:tcW w:w="5180" w:type="dxa"/>
            <w:vAlign w:val="bottom"/>
          </w:tcPr>
          <w:p>
            <w:pPr>
              <w:spacing w:after="0"/>
              <w:rPr>
                <w:sz w:val="10"/>
                <w:szCs w:val="10"/>
                <w:color w:val="auto"/>
              </w:rPr>
            </w:pPr>
          </w:p>
        </w:tc>
        <w:tc>
          <w:tcPr>
            <w:tcW w:w="1280" w:type="dxa"/>
            <w:vAlign w:val="bottom"/>
            <w:gridSpan w:val="2"/>
          </w:tcPr>
          <w:p>
            <w:pPr>
              <w:jc w:val="right"/>
              <w:ind w:right="580"/>
              <w:spacing w:after="0" w:line="124" w:lineRule="exact"/>
              <w:rPr>
                <w:sz w:val="20"/>
                <w:szCs w:val="20"/>
                <w:color w:val="auto"/>
              </w:rPr>
            </w:pPr>
            <w:r>
              <w:rPr>
                <w:rFonts w:ascii="Arial" w:cs="Arial" w:eastAsia="Arial" w:hAnsi="Arial"/>
                <w:sz w:val="11"/>
                <w:szCs w:val="11"/>
                <w:color w:val="auto"/>
              </w:rPr>
              <w:t>Shares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60"/>
              <w:spacing w:after="0" w:line="124" w:lineRule="exact"/>
              <w:rPr>
                <w:sz w:val="20"/>
                <w:szCs w:val="20"/>
                <w:color w:val="auto"/>
              </w:rPr>
            </w:pPr>
            <w:r>
              <w:rPr>
                <w:rFonts w:ascii="Arial" w:cs="Arial" w:eastAsia="Arial" w:hAnsi="Arial"/>
                <w:sz w:val="11"/>
                <w:szCs w:val="11"/>
                <w:color w:val="auto"/>
                <w:w w:val="89"/>
              </w:rPr>
              <w:t>per option</w:t>
            </w:r>
          </w:p>
        </w:tc>
        <w:tc>
          <w:tcPr>
            <w:tcW w:w="1140" w:type="dxa"/>
            <w:vAlign w:val="bottom"/>
            <w:gridSpan w:val="2"/>
          </w:tcPr>
          <w:p>
            <w:pPr>
              <w:jc w:val="center"/>
              <w:ind w:right="120"/>
              <w:spacing w:after="0" w:line="124" w:lineRule="exact"/>
              <w:rPr>
                <w:sz w:val="20"/>
                <w:szCs w:val="20"/>
                <w:color w:val="auto"/>
              </w:rPr>
            </w:pPr>
            <w:r>
              <w:rPr>
                <w:rFonts w:ascii="Arial" w:cs="Arial" w:eastAsia="Arial" w:hAnsi="Arial"/>
                <w:sz w:val="11"/>
                <w:szCs w:val="11"/>
                <w:color w:val="auto"/>
                <w:w w:val="88"/>
              </w:rPr>
              <w:t>contractual term</w:t>
            </w:r>
          </w:p>
        </w:tc>
        <w:tc>
          <w:tcPr>
            <w:tcW w:w="160" w:type="dxa"/>
            <w:vAlign w:val="bottom"/>
          </w:tcPr>
          <w:p>
            <w:pPr>
              <w:spacing w:after="0"/>
              <w:rPr>
                <w:sz w:val="10"/>
                <w:szCs w:val="10"/>
                <w:color w:val="auto"/>
              </w:rPr>
            </w:pPr>
          </w:p>
        </w:tc>
        <w:tc>
          <w:tcPr>
            <w:tcW w:w="1120" w:type="dxa"/>
            <w:vAlign w:val="bottom"/>
            <w:gridSpan w:val="2"/>
          </w:tcPr>
          <w:p>
            <w:pPr>
              <w:jc w:val="center"/>
              <w:ind w:right="300"/>
              <w:spacing w:after="0" w:line="124" w:lineRule="exact"/>
              <w:rPr>
                <w:sz w:val="20"/>
                <w:szCs w:val="20"/>
                <w:color w:val="auto"/>
              </w:rPr>
            </w:pPr>
            <w:r>
              <w:rPr>
                <w:rFonts w:ascii="Arial" w:cs="Arial" w:eastAsia="Arial" w:hAnsi="Arial"/>
                <w:sz w:val="11"/>
                <w:szCs w:val="11"/>
                <w:color w:val="auto"/>
                <w:w w:val="92"/>
              </w:rPr>
              <w:t>intrinsic value</w:t>
            </w:r>
          </w:p>
        </w:tc>
      </w:tr>
      <w:tr>
        <w:trPr>
          <w:trHeight w:val="162"/>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Stock Options</w:t>
            </w:r>
          </w:p>
        </w:tc>
        <w:tc>
          <w:tcPr>
            <w:tcW w:w="11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1"/>
        </w:trPr>
        <w:tc>
          <w:tcPr>
            <w:tcW w:w="5180" w:type="dxa"/>
            <w:vAlign w:val="bottom"/>
          </w:tcPr>
          <w:p>
            <w:pPr>
              <w:ind w:left="180"/>
              <w:spacing w:after="0"/>
              <w:rPr>
                <w:sz w:val="20"/>
                <w:szCs w:val="20"/>
                <w:color w:val="auto"/>
              </w:rPr>
            </w:pPr>
            <w:r>
              <w:rPr>
                <w:rFonts w:ascii="Arial" w:cs="Arial" w:eastAsia="Arial" w:hAnsi="Arial"/>
                <w:sz w:val="13"/>
                <w:szCs w:val="13"/>
                <w:color w:val="auto"/>
              </w:rPr>
              <w:t>Outstanding options at beginning of year</w:t>
            </w:r>
          </w:p>
        </w:tc>
        <w:tc>
          <w:tcPr>
            <w:tcW w:w="1140" w:type="dxa"/>
            <w:vAlign w:val="bottom"/>
          </w:tcPr>
          <w:p>
            <w:pPr>
              <w:jc w:val="right"/>
              <w:spacing w:after="0"/>
              <w:rPr>
                <w:sz w:val="20"/>
                <w:szCs w:val="20"/>
                <w:color w:val="auto"/>
              </w:rPr>
            </w:pPr>
            <w:r>
              <w:rPr>
                <w:rFonts w:ascii="Arial" w:cs="Arial" w:eastAsia="Arial" w:hAnsi="Arial"/>
                <w:sz w:val="13"/>
                <w:szCs w:val="13"/>
                <w:color w:val="auto"/>
              </w:rPr>
              <w:t>2,721,569</w:t>
            </w:r>
          </w:p>
        </w:tc>
        <w:tc>
          <w:tcPr>
            <w:tcW w:w="14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4.95</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Options granted</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141,684</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5180" w:type="dxa"/>
            <w:vAlign w:val="bottom"/>
          </w:tcPr>
          <w:p>
            <w:pPr>
              <w:ind w:left="180"/>
              <w:spacing w:after="0"/>
              <w:rPr>
                <w:sz w:val="20"/>
                <w:szCs w:val="20"/>
                <w:color w:val="auto"/>
              </w:rPr>
            </w:pPr>
            <w:r>
              <w:rPr>
                <w:rFonts w:ascii="Arial" w:cs="Arial" w:eastAsia="Arial" w:hAnsi="Arial"/>
                <w:sz w:val="13"/>
                <w:szCs w:val="13"/>
                <w:color w:val="auto"/>
              </w:rPr>
              <w:t>Options canceled</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(87,306)</w:t>
            </w: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5.04</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 xml:space="preserve">Options exercised </w:t>
            </w:r>
            <w:r>
              <w:rPr>
                <w:rFonts w:ascii="Arial" w:cs="Arial" w:eastAsia="Arial" w:hAnsi="Arial"/>
                <w:sz w:val="11"/>
                <w:szCs w:val="11"/>
                <w:color w:val="auto"/>
              </w:rPr>
              <w:t>(1)</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(26,224)</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Outstanding options at end of quarter</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2,749,723</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8.2 years</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862,978</w:t>
            </w:r>
          </w:p>
        </w:tc>
        <w:tc>
          <w:tcPr>
            <w:tcW w:w="120" w:type="dxa"/>
            <w:vAlign w:val="bottom"/>
            <w:shd w:val="clear" w:color="auto" w:fill="CFF0FC"/>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Arial" w:cs="Arial" w:eastAsia="Arial" w:hAnsi="Arial"/>
                <w:sz w:val="13"/>
                <w:szCs w:val="13"/>
                <w:color w:val="auto"/>
              </w:rPr>
              <w:t>Options exercisable at end of quarter</w:t>
            </w:r>
          </w:p>
        </w:tc>
        <w:tc>
          <w:tcPr>
            <w:tcW w:w="1140" w:type="dxa"/>
            <w:vAlign w:val="bottom"/>
          </w:tcPr>
          <w:p>
            <w:pPr>
              <w:jc w:val="right"/>
              <w:spacing w:after="0"/>
              <w:rPr>
                <w:sz w:val="20"/>
                <w:szCs w:val="20"/>
                <w:color w:val="auto"/>
              </w:rPr>
            </w:pPr>
            <w:r>
              <w:rPr>
                <w:rFonts w:ascii="Arial" w:cs="Arial" w:eastAsia="Arial" w:hAnsi="Arial"/>
                <w:sz w:val="13"/>
                <w:szCs w:val="13"/>
                <w:color w:val="auto"/>
              </w:rPr>
              <w:t>338,810</w:t>
            </w:r>
          </w:p>
        </w:tc>
        <w:tc>
          <w:tcPr>
            <w:tcW w:w="14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4.55</w:t>
            </w:r>
          </w:p>
        </w:tc>
        <w:tc>
          <w:tcPr>
            <w:tcW w:w="220" w:type="dxa"/>
            <w:vAlign w:val="bottom"/>
          </w:tcPr>
          <w:p>
            <w:pPr>
              <w:spacing w:after="0"/>
              <w:rPr>
                <w:sz w:val="14"/>
                <w:szCs w:val="14"/>
                <w:color w:val="auto"/>
              </w:rPr>
            </w:pPr>
          </w:p>
        </w:tc>
        <w:tc>
          <w:tcPr>
            <w:tcW w:w="1140" w:type="dxa"/>
            <w:vAlign w:val="bottom"/>
            <w:gridSpan w:val="2"/>
          </w:tcPr>
          <w:p>
            <w:pPr>
              <w:ind w:left="540"/>
              <w:spacing w:after="0"/>
              <w:rPr>
                <w:sz w:val="20"/>
                <w:szCs w:val="20"/>
                <w:color w:val="auto"/>
              </w:rPr>
            </w:pPr>
            <w:r>
              <w:rPr>
                <w:rFonts w:ascii="Arial" w:cs="Arial" w:eastAsia="Arial" w:hAnsi="Arial"/>
                <w:sz w:val="13"/>
                <w:szCs w:val="13"/>
                <w:color w:val="auto"/>
              </w:rPr>
              <w:t>5.0 years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341,453</w:t>
            </w:r>
          </w:p>
        </w:tc>
        <w:tc>
          <w:tcPr>
            <w:tcW w:w="120" w:type="dxa"/>
            <w:vAlign w:val="bottom"/>
          </w:tcPr>
          <w:p>
            <w:pPr>
              <w:spacing w:after="0"/>
              <w:rPr>
                <w:sz w:val="14"/>
                <w:szCs w:val="14"/>
                <w:color w:val="auto"/>
              </w:rPr>
            </w:pPr>
          </w:p>
        </w:tc>
      </w:tr>
    </w:tbl>
    <w:p>
      <w:pPr>
        <w:spacing w:after="0" w:line="170" w:lineRule="exact"/>
        <w:rPr>
          <w:sz w:val="20"/>
          <w:szCs w:val="20"/>
          <w:color w:val="auto"/>
        </w:rPr>
      </w:pPr>
    </w:p>
    <w:p>
      <w:pPr>
        <w:ind w:left="1020" w:hanging="499"/>
        <w:spacing w:after="0"/>
        <w:tabs>
          <w:tab w:leader="none" w:pos="10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intrinsic value of options exercised was immaterial.</w:t>
      </w:r>
    </w:p>
    <w:p>
      <w:pPr>
        <w:spacing w:after="0" w:line="145"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74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color w:val="auto"/>
                <w:w w:val="86"/>
              </w:rPr>
              <w:t>Weighted-average</w:t>
            </w:r>
          </w:p>
        </w:tc>
      </w:tr>
      <w:tr>
        <w:trPr>
          <w:trHeight w:val="111"/>
        </w:trPr>
        <w:tc>
          <w:tcPr>
            <w:tcW w:w="7460" w:type="dxa"/>
            <w:vAlign w:val="bottom"/>
          </w:tcPr>
          <w:p>
            <w:pPr>
              <w:spacing w:after="0"/>
              <w:rPr>
                <w:sz w:val="9"/>
                <w:szCs w:val="9"/>
                <w:color w:val="auto"/>
              </w:rPr>
            </w:pPr>
          </w:p>
        </w:tc>
        <w:tc>
          <w:tcPr>
            <w:tcW w:w="1380" w:type="dxa"/>
            <w:vAlign w:val="bottom"/>
            <w:gridSpan w:val="2"/>
          </w:tcPr>
          <w:p>
            <w:pPr>
              <w:jc w:val="right"/>
              <w:ind w:right="520"/>
              <w:spacing w:after="0" w:line="111" w:lineRule="exact"/>
              <w:rPr>
                <w:sz w:val="20"/>
                <w:szCs w:val="20"/>
                <w:color w:val="auto"/>
              </w:rPr>
            </w:pPr>
            <w:r>
              <w:rPr>
                <w:rFonts w:ascii="Arial" w:cs="Arial" w:eastAsia="Arial" w:hAnsi="Arial"/>
                <w:sz w:val="11"/>
                <w:szCs w:val="11"/>
                <w:color w:val="auto"/>
              </w:rPr>
              <w:t>Number of</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80"/>
              <w:spacing w:after="0" w:line="111" w:lineRule="exact"/>
              <w:rPr>
                <w:sz w:val="20"/>
                <w:szCs w:val="20"/>
                <w:color w:val="auto"/>
              </w:rPr>
            </w:pPr>
            <w:r>
              <w:rPr>
                <w:rFonts w:ascii="Arial" w:cs="Arial" w:eastAsia="Arial" w:hAnsi="Arial"/>
                <w:sz w:val="11"/>
                <w:szCs w:val="11"/>
                <w:color w:val="auto"/>
                <w:w w:val="87"/>
              </w:rPr>
              <w:t>grant-date</w:t>
            </w:r>
          </w:p>
        </w:tc>
      </w:tr>
      <w:tr>
        <w:trPr>
          <w:trHeight w:val="124"/>
        </w:trPr>
        <w:tc>
          <w:tcPr>
            <w:tcW w:w="7460" w:type="dxa"/>
            <w:vAlign w:val="bottom"/>
          </w:tcPr>
          <w:p>
            <w:pPr>
              <w:spacing w:after="0"/>
              <w:rPr>
                <w:sz w:val="10"/>
                <w:szCs w:val="10"/>
                <w:color w:val="auto"/>
              </w:rPr>
            </w:pPr>
          </w:p>
        </w:tc>
        <w:tc>
          <w:tcPr>
            <w:tcW w:w="1380" w:type="dxa"/>
            <w:vAlign w:val="bottom"/>
            <w:gridSpan w:val="2"/>
          </w:tcPr>
          <w:p>
            <w:pPr>
              <w:jc w:val="right"/>
              <w:ind w:right="620"/>
              <w:spacing w:after="0" w:line="124" w:lineRule="exact"/>
              <w:rPr>
                <w:sz w:val="20"/>
                <w:szCs w:val="20"/>
                <w:color w:val="auto"/>
              </w:rPr>
            </w:pPr>
            <w:r>
              <w:rPr>
                <w:rFonts w:ascii="Arial" w:cs="Arial" w:eastAsia="Arial" w:hAnsi="Arial"/>
                <w:sz w:val="11"/>
                <w:szCs w:val="11"/>
                <w:color w:val="auto"/>
              </w:rPr>
              <w:t>Shares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00"/>
              <w:spacing w:after="0" w:line="124" w:lineRule="exact"/>
              <w:rPr>
                <w:sz w:val="20"/>
                <w:szCs w:val="20"/>
                <w:color w:val="auto"/>
              </w:rPr>
            </w:pPr>
            <w:r>
              <w:rPr>
                <w:rFonts w:ascii="Arial" w:cs="Arial" w:eastAsia="Arial" w:hAnsi="Arial"/>
                <w:sz w:val="11"/>
                <w:szCs w:val="11"/>
                <w:color w:val="auto"/>
                <w:w w:val="91"/>
              </w:rPr>
              <w:t xml:space="preserve">fair value </w:t>
            </w:r>
            <w:r>
              <w:rPr>
                <w:rFonts w:ascii="Arial" w:cs="Arial" w:eastAsia="Arial" w:hAnsi="Arial"/>
                <w:sz w:val="9"/>
                <w:szCs w:val="9"/>
                <w:color w:val="auto"/>
                <w:w w:val="91"/>
              </w:rPr>
              <w:t>(1)</w:t>
            </w:r>
          </w:p>
        </w:tc>
      </w:tr>
      <w:tr>
        <w:trPr>
          <w:trHeight w:val="162"/>
        </w:trPr>
        <w:tc>
          <w:tcPr>
            <w:tcW w:w="7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Restricted Shares</w:t>
            </w:r>
          </w:p>
        </w:tc>
        <w:tc>
          <w:tcPr>
            <w:tcW w:w="12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1"/>
        </w:trPr>
        <w:tc>
          <w:tcPr>
            <w:tcW w:w="7460" w:type="dxa"/>
            <w:vAlign w:val="bottom"/>
          </w:tcPr>
          <w:p>
            <w:pPr>
              <w:ind w:left="180"/>
              <w:spacing w:after="0"/>
              <w:rPr>
                <w:sz w:val="20"/>
                <w:szCs w:val="20"/>
                <w:color w:val="auto"/>
              </w:rPr>
            </w:pPr>
            <w:r>
              <w:rPr>
                <w:rFonts w:ascii="Arial" w:cs="Arial" w:eastAsia="Arial" w:hAnsi="Arial"/>
                <w:sz w:val="13"/>
                <w:szCs w:val="13"/>
                <w:color w:val="auto"/>
              </w:rPr>
              <w:t>Restricted shares outstanding at beginning of year</w:t>
            </w:r>
          </w:p>
        </w:tc>
        <w:tc>
          <w:tcPr>
            <w:tcW w:w="1240" w:type="dxa"/>
            <w:vAlign w:val="bottom"/>
          </w:tcPr>
          <w:p>
            <w:pPr>
              <w:jc w:val="right"/>
              <w:spacing w:after="0"/>
              <w:rPr>
                <w:sz w:val="20"/>
                <w:szCs w:val="20"/>
                <w:color w:val="auto"/>
              </w:rPr>
            </w:pPr>
            <w:r>
              <w:rPr>
                <w:rFonts w:ascii="Arial" w:cs="Arial" w:eastAsia="Arial" w:hAnsi="Arial"/>
                <w:sz w:val="13"/>
                <w:szCs w:val="13"/>
                <w:color w:val="auto"/>
              </w:rPr>
              <w:t>2,017,940</w:t>
            </w:r>
          </w:p>
        </w:tc>
        <w:tc>
          <w:tcPr>
            <w:tcW w:w="14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14"/>
                <w:szCs w:val="14"/>
                <w:color w:val="auto"/>
              </w:rPr>
            </w:pPr>
          </w:p>
        </w:tc>
      </w:tr>
      <w:tr>
        <w:trPr>
          <w:trHeight w:val="171"/>
        </w:trPr>
        <w:tc>
          <w:tcPr>
            <w:tcW w:w="74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Restricted shares granted</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97,950</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120" w:type="dxa"/>
            <w:vAlign w:val="bottom"/>
            <w:shd w:val="clear" w:color="auto" w:fill="CFF0FC"/>
          </w:tcPr>
          <w:p>
            <w:pPr>
              <w:spacing w:after="0"/>
              <w:rPr>
                <w:sz w:val="14"/>
                <w:szCs w:val="14"/>
                <w:color w:val="auto"/>
              </w:rPr>
            </w:pPr>
          </w:p>
        </w:tc>
      </w:tr>
      <w:tr>
        <w:trPr>
          <w:trHeight w:val="171"/>
        </w:trPr>
        <w:tc>
          <w:tcPr>
            <w:tcW w:w="7460" w:type="dxa"/>
            <w:vAlign w:val="bottom"/>
          </w:tcPr>
          <w:p>
            <w:pPr>
              <w:ind w:left="180"/>
              <w:spacing w:after="0"/>
              <w:rPr>
                <w:sz w:val="20"/>
                <w:szCs w:val="20"/>
                <w:color w:val="auto"/>
              </w:rPr>
            </w:pPr>
            <w:r>
              <w:rPr>
                <w:rFonts w:ascii="Arial" w:cs="Arial" w:eastAsia="Arial" w:hAnsi="Arial"/>
                <w:sz w:val="13"/>
                <w:szCs w:val="13"/>
                <w:color w:val="auto"/>
              </w:rPr>
              <w:t xml:space="preserve">Deferred shares granted </w:t>
            </w:r>
            <w:r>
              <w:rPr>
                <w:rFonts w:ascii="Arial" w:cs="Arial" w:eastAsia="Arial" w:hAnsi="Arial"/>
                <w:sz w:val="11"/>
                <w:szCs w:val="11"/>
                <w:color w:val="auto"/>
              </w:rPr>
              <w:t>(2)</w:t>
            </w:r>
          </w:p>
        </w:tc>
        <w:tc>
          <w:tcPr>
            <w:tcW w:w="1240" w:type="dxa"/>
            <w:vAlign w:val="bottom"/>
          </w:tcPr>
          <w:p>
            <w:pPr>
              <w:jc w:val="right"/>
              <w:spacing w:after="0"/>
              <w:rPr>
                <w:sz w:val="20"/>
                <w:szCs w:val="20"/>
                <w:color w:val="auto"/>
              </w:rPr>
            </w:pPr>
            <w:r>
              <w:rPr>
                <w:rFonts w:ascii="Arial" w:cs="Arial" w:eastAsia="Arial" w:hAnsi="Arial"/>
                <w:sz w:val="13"/>
                <w:szCs w:val="13"/>
                <w:color w:val="auto"/>
              </w:rPr>
              <w:t>8,345</w:t>
            </w:r>
          </w:p>
        </w:tc>
        <w:tc>
          <w:tcPr>
            <w:tcW w:w="14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14"/>
                <w:szCs w:val="14"/>
                <w:color w:val="auto"/>
              </w:rPr>
            </w:pPr>
          </w:p>
        </w:tc>
      </w:tr>
      <w:tr>
        <w:trPr>
          <w:trHeight w:val="171"/>
        </w:trPr>
        <w:tc>
          <w:tcPr>
            <w:tcW w:w="74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Restricted shares vested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(143,203)</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4.31</w:t>
            </w:r>
          </w:p>
        </w:tc>
        <w:tc>
          <w:tcPr>
            <w:tcW w:w="120" w:type="dxa"/>
            <w:vAlign w:val="bottom"/>
            <w:shd w:val="clear" w:color="auto" w:fill="CFF0FC"/>
          </w:tcPr>
          <w:p>
            <w:pPr>
              <w:spacing w:after="0"/>
              <w:rPr>
                <w:sz w:val="14"/>
                <w:szCs w:val="14"/>
                <w:color w:val="auto"/>
              </w:rPr>
            </w:pPr>
          </w:p>
        </w:tc>
      </w:tr>
      <w:tr>
        <w:trPr>
          <w:trHeight w:val="171"/>
        </w:trPr>
        <w:tc>
          <w:tcPr>
            <w:tcW w:w="7460" w:type="dxa"/>
            <w:vAlign w:val="bottom"/>
          </w:tcPr>
          <w:p>
            <w:pPr>
              <w:ind w:left="180"/>
              <w:spacing w:after="0"/>
              <w:rPr>
                <w:sz w:val="20"/>
                <w:szCs w:val="20"/>
                <w:color w:val="auto"/>
              </w:rPr>
            </w:pPr>
            <w:r>
              <w:rPr>
                <w:rFonts w:ascii="Arial" w:cs="Arial" w:eastAsia="Arial" w:hAnsi="Arial"/>
                <w:sz w:val="13"/>
                <w:szCs w:val="13"/>
                <w:color w:val="auto"/>
              </w:rPr>
              <w:t>Restricted shares canceled</w:t>
            </w:r>
          </w:p>
        </w:tc>
        <w:tc>
          <w:tcPr>
            <w:tcW w:w="1380" w:type="dxa"/>
            <w:vAlign w:val="bottom"/>
            <w:gridSpan w:val="2"/>
          </w:tcPr>
          <w:p>
            <w:pPr>
              <w:jc w:val="right"/>
              <w:ind w:right="80"/>
              <w:spacing w:after="0"/>
              <w:rPr>
                <w:sz w:val="20"/>
                <w:szCs w:val="20"/>
                <w:color w:val="auto"/>
              </w:rPr>
            </w:pPr>
            <w:r>
              <w:rPr>
                <w:rFonts w:ascii="Arial" w:cs="Arial" w:eastAsia="Arial" w:hAnsi="Arial"/>
                <w:sz w:val="13"/>
                <w:szCs w:val="13"/>
                <w:color w:val="auto"/>
              </w:rPr>
              <w:t>(67,974)</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4"/>
                <w:szCs w:val="14"/>
                <w:color w:val="auto"/>
              </w:rPr>
            </w:pPr>
          </w:p>
        </w:tc>
      </w:tr>
      <w:tr>
        <w:trPr>
          <w:trHeight w:val="162"/>
        </w:trPr>
        <w:tc>
          <w:tcPr>
            <w:tcW w:w="7460" w:type="dxa"/>
            <w:vAlign w:val="bottom"/>
            <w:tcBorders>
              <w:top w:val="single" w:sz="8" w:color="CFF0FC"/>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2"/>
        </w:trPr>
        <w:tc>
          <w:tcPr>
            <w:tcW w:w="7460" w:type="dxa"/>
            <w:vAlign w:val="bottom"/>
          </w:tcPr>
          <w:p>
            <w:pPr>
              <w:ind w:left="180"/>
              <w:spacing w:after="0"/>
              <w:rPr>
                <w:sz w:val="20"/>
                <w:szCs w:val="20"/>
                <w:color w:val="auto"/>
              </w:rPr>
            </w:pPr>
            <w:r>
              <w:rPr>
                <w:rFonts w:ascii="Arial" w:cs="Arial" w:eastAsia="Arial" w:hAnsi="Arial"/>
                <w:sz w:val="13"/>
                <w:szCs w:val="13"/>
                <w:color w:val="auto"/>
              </w:rPr>
              <w:t>Restricted and Deferred shares outstanding at end of quarter</w:t>
            </w:r>
          </w:p>
        </w:tc>
        <w:tc>
          <w:tcPr>
            <w:tcW w:w="1240" w:type="dxa"/>
            <w:vAlign w:val="bottom"/>
          </w:tcPr>
          <w:p>
            <w:pPr>
              <w:jc w:val="right"/>
              <w:spacing w:after="0"/>
              <w:rPr>
                <w:sz w:val="20"/>
                <w:szCs w:val="20"/>
                <w:color w:val="auto"/>
              </w:rPr>
            </w:pPr>
            <w:r>
              <w:rPr>
                <w:rFonts w:ascii="Arial" w:cs="Arial" w:eastAsia="Arial" w:hAnsi="Arial"/>
                <w:sz w:val="13"/>
                <w:szCs w:val="13"/>
                <w:color w:val="auto"/>
              </w:rPr>
              <w:t>1,913,058</w:t>
            </w:r>
          </w:p>
        </w:tc>
        <w:tc>
          <w:tcPr>
            <w:tcW w:w="14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5.08</w:t>
            </w:r>
          </w:p>
        </w:tc>
        <w:tc>
          <w:tcPr>
            <w:tcW w:w="120" w:type="dxa"/>
            <w:vAlign w:val="bottom"/>
          </w:tcPr>
          <w:p>
            <w:pPr>
              <w:spacing w:after="0"/>
              <w:rPr>
                <w:sz w:val="14"/>
                <w:szCs w:val="14"/>
                <w:color w:val="auto"/>
              </w:rPr>
            </w:pPr>
          </w:p>
        </w:tc>
      </w:tr>
    </w:tbl>
    <w:p>
      <w:pPr>
        <w:spacing w:after="0" w:line="170" w:lineRule="exact"/>
        <w:rPr>
          <w:sz w:val="20"/>
          <w:szCs w:val="20"/>
          <w:color w:val="auto"/>
        </w:rPr>
      </w:pPr>
    </w:p>
    <w:p>
      <w:pPr>
        <w:ind w:left="1020" w:hanging="499"/>
        <w:spacing w:after="0"/>
        <w:tabs>
          <w:tab w:leader="none" w:pos="10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fair value of a restricted share is equal to the Company’s closing stock price on the date of grant.</w:t>
      </w:r>
    </w:p>
    <w:p>
      <w:pPr>
        <w:spacing w:after="0" w:line="92" w:lineRule="exact"/>
        <w:rPr>
          <w:rFonts w:ascii="Arial" w:cs="Arial" w:eastAsia="Arial" w:hAnsi="Arial"/>
          <w:sz w:val="13"/>
          <w:szCs w:val="13"/>
          <w:color w:val="auto"/>
        </w:rPr>
      </w:pPr>
    </w:p>
    <w:p>
      <w:pPr>
        <w:ind w:left="1020" w:right="80" w:hanging="499"/>
        <w:spacing w:after="0" w:line="294" w:lineRule="auto"/>
        <w:tabs>
          <w:tab w:leader="none" w:pos="1020" w:val="left"/>
        </w:tabs>
        <w:numPr>
          <w:ilvl w:val="0"/>
          <w:numId w:val="4"/>
        </w:numPr>
        <w:rPr>
          <w:rFonts w:ascii="Arial" w:cs="Arial" w:eastAsia="Arial" w:hAnsi="Arial"/>
          <w:sz w:val="13"/>
          <w:szCs w:val="13"/>
          <w:color w:val="auto"/>
        </w:rPr>
      </w:pPr>
      <w:r>
        <w:rPr>
          <w:rFonts w:ascii="Arial" w:cs="Arial" w:eastAsia="Arial" w:hAnsi="Arial"/>
          <w:sz w:val="13"/>
          <w:szCs w:val="13"/>
          <w:color w:val="auto"/>
        </w:rPr>
        <w:t>During the first nine months of fiscal 2014, the Company granted 8,345 shares of deferred stock, with a fair value of approximately $43,561 to a director as compensation in lieu of cash and in accordance with his irrevocable election. The shares of deferred stock will vest three years from the date of grant.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420"/>
          </w:cols>
          <w:pgMar w:left="220" w:top="451" w:right="259" w:bottom="1440" w:gutter="0" w:footer="0" w:header="0"/>
        </w:sectPr>
      </w:pPr>
    </w:p>
    <w:bookmarkStart w:id="13" w:name="page14"/>
    <w:bookmarkEnd w:id="13"/>
    <w:p>
      <w:pPr>
        <w:ind w:left="3880"/>
        <w:spacing w:after="0"/>
        <w:rPr>
          <w:sz w:val="20"/>
          <w:szCs w:val="20"/>
          <w:color w:val="auto"/>
        </w:rPr>
      </w:pPr>
      <w:r>
        <w:rPr>
          <w:rFonts w:ascii="Arial" w:cs="Arial" w:eastAsia="Arial" w:hAnsi="Arial"/>
          <w:sz w:val="13"/>
          <w:szCs w:val="13"/>
          <w:u w:val="single" w:color="auto"/>
          <w:color w:val="auto"/>
        </w:rPr>
        <w:t>1992 Stock Incentive Plan (the “1992 Plan”)—Stock Option Activity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summarizes stock option activity under the 1992 Plan for the first nine months of fiscal 2014:</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5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color w:val="auto"/>
                <w:w w:val="86"/>
              </w:rPr>
              <w:t>Weighted-average</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Weighted-average</w:t>
            </w: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1"/>
        </w:trPr>
        <w:tc>
          <w:tcPr>
            <w:tcW w:w="5180" w:type="dxa"/>
            <w:vAlign w:val="bottom"/>
          </w:tcPr>
          <w:p>
            <w:pPr>
              <w:spacing w:after="0"/>
              <w:rPr>
                <w:sz w:val="9"/>
                <w:szCs w:val="9"/>
                <w:color w:val="auto"/>
              </w:rPr>
            </w:pPr>
          </w:p>
        </w:tc>
        <w:tc>
          <w:tcPr>
            <w:tcW w:w="1280" w:type="dxa"/>
            <w:vAlign w:val="bottom"/>
            <w:gridSpan w:val="2"/>
          </w:tcPr>
          <w:p>
            <w:pPr>
              <w:jc w:val="right"/>
              <w:ind w:right="480"/>
              <w:spacing w:after="0" w:line="111" w:lineRule="exact"/>
              <w:rPr>
                <w:sz w:val="20"/>
                <w:szCs w:val="20"/>
                <w:color w:val="auto"/>
              </w:rPr>
            </w:pPr>
            <w:r>
              <w:rPr>
                <w:rFonts w:ascii="Arial" w:cs="Arial" w:eastAsia="Arial" w:hAnsi="Arial"/>
                <w:sz w:val="11"/>
                <w:szCs w:val="11"/>
                <w:color w:val="auto"/>
              </w:rPr>
              <w:t>Number of</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360"/>
              <w:spacing w:after="0" w:line="111" w:lineRule="exact"/>
              <w:rPr>
                <w:sz w:val="20"/>
                <w:szCs w:val="20"/>
                <w:color w:val="auto"/>
              </w:rPr>
            </w:pPr>
            <w:r>
              <w:rPr>
                <w:rFonts w:ascii="Arial" w:cs="Arial" w:eastAsia="Arial" w:hAnsi="Arial"/>
                <w:sz w:val="11"/>
                <w:szCs w:val="11"/>
                <w:color w:val="auto"/>
                <w:w w:val="88"/>
              </w:rPr>
              <w:t>exercise price</w:t>
            </w:r>
          </w:p>
        </w:tc>
        <w:tc>
          <w:tcPr>
            <w:tcW w:w="1140" w:type="dxa"/>
            <w:vAlign w:val="bottom"/>
            <w:gridSpan w:val="2"/>
          </w:tcPr>
          <w:p>
            <w:pPr>
              <w:jc w:val="center"/>
              <w:ind w:right="120"/>
              <w:spacing w:after="0" w:line="111" w:lineRule="exact"/>
              <w:rPr>
                <w:sz w:val="20"/>
                <w:szCs w:val="20"/>
                <w:color w:val="auto"/>
              </w:rPr>
            </w:pPr>
            <w:r>
              <w:rPr>
                <w:rFonts w:ascii="Arial" w:cs="Arial" w:eastAsia="Arial" w:hAnsi="Arial"/>
                <w:sz w:val="11"/>
                <w:szCs w:val="11"/>
                <w:color w:val="auto"/>
                <w:w w:val="86"/>
              </w:rPr>
              <w:t>remaining</w:t>
            </w:r>
          </w:p>
        </w:tc>
        <w:tc>
          <w:tcPr>
            <w:tcW w:w="1280" w:type="dxa"/>
            <w:vAlign w:val="bottom"/>
            <w:gridSpan w:val="2"/>
          </w:tcPr>
          <w:p>
            <w:pPr>
              <w:jc w:val="center"/>
              <w:ind w:right="140"/>
              <w:spacing w:after="0" w:line="111" w:lineRule="exact"/>
              <w:rPr>
                <w:sz w:val="20"/>
                <w:szCs w:val="20"/>
                <w:color w:val="auto"/>
              </w:rPr>
            </w:pPr>
            <w:r>
              <w:rPr>
                <w:rFonts w:ascii="Arial" w:cs="Arial" w:eastAsia="Arial" w:hAnsi="Arial"/>
                <w:sz w:val="11"/>
                <w:szCs w:val="11"/>
                <w:color w:val="auto"/>
                <w:w w:val="90"/>
              </w:rPr>
              <w:t>Aggregate</w:t>
            </w:r>
          </w:p>
        </w:tc>
      </w:tr>
      <w:tr>
        <w:trPr>
          <w:trHeight w:val="124"/>
        </w:trPr>
        <w:tc>
          <w:tcPr>
            <w:tcW w:w="5180" w:type="dxa"/>
            <w:vAlign w:val="bottom"/>
          </w:tcPr>
          <w:p>
            <w:pPr>
              <w:spacing w:after="0"/>
              <w:rPr>
                <w:sz w:val="10"/>
                <w:szCs w:val="10"/>
                <w:color w:val="auto"/>
              </w:rPr>
            </w:pPr>
          </w:p>
        </w:tc>
        <w:tc>
          <w:tcPr>
            <w:tcW w:w="1280" w:type="dxa"/>
            <w:vAlign w:val="bottom"/>
            <w:gridSpan w:val="2"/>
          </w:tcPr>
          <w:p>
            <w:pPr>
              <w:jc w:val="right"/>
              <w:ind w:right="580"/>
              <w:spacing w:after="0" w:line="124" w:lineRule="exact"/>
              <w:rPr>
                <w:sz w:val="20"/>
                <w:szCs w:val="20"/>
                <w:color w:val="auto"/>
              </w:rPr>
            </w:pPr>
            <w:r>
              <w:rPr>
                <w:rFonts w:ascii="Arial" w:cs="Arial" w:eastAsia="Arial" w:hAnsi="Arial"/>
                <w:sz w:val="11"/>
                <w:szCs w:val="11"/>
                <w:color w:val="auto"/>
              </w:rPr>
              <w:t>Shares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60"/>
              <w:spacing w:after="0" w:line="124" w:lineRule="exact"/>
              <w:rPr>
                <w:sz w:val="20"/>
                <w:szCs w:val="20"/>
                <w:color w:val="auto"/>
              </w:rPr>
            </w:pPr>
            <w:r>
              <w:rPr>
                <w:rFonts w:ascii="Arial" w:cs="Arial" w:eastAsia="Arial" w:hAnsi="Arial"/>
                <w:sz w:val="11"/>
                <w:szCs w:val="11"/>
                <w:color w:val="auto"/>
                <w:w w:val="89"/>
              </w:rPr>
              <w:t>per option</w:t>
            </w:r>
          </w:p>
        </w:tc>
        <w:tc>
          <w:tcPr>
            <w:tcW w:w="1140" w:type="dxa"/>
            <w:vAlign w:val="bottom"/>
            <w:gridSpan w:val="2"/>
          </w:tcPr>
          <w:p>
            <w:pPr>
              <w:jc w:val="center"/>
              <w:ind w:right="120"/>
              <w:spacing w:after="0" w:line="124" w:lineRule="exact"/>
              <w:rPr>
                <w:sz w:val="20"/>
                <w:szCs w:val="20"/>
                <w:color w:val="auto"/>
              </w:rPr>
            </w:pPr>
            <w:r>
              <w:rPr>
                <w:rFonts w:ascii="Arial" w:cs="Arial" w:eastAsia="Arial" w:hAnsi="Arial"/>
                <w:sz w:val="11"/>
                <w:szCs w:val="11"/>
                <w:color w:val="auto"/>
                <w:w w:val="88"/>
              </w:rPr>
              <w:t>contractual term</w:t>
            </w:r>
          </w:p>
        </w:tc>
        <w:tc>
          <w:tcPr>
            <w:tcW w:w="1280" w:type="dxa"/>
            <w:vAlign w:val="bottom"/>
            <w:gridSpan w:val="2"/>
          </w:tcPr>
          <w:p>
            <w:pPr>
              <w:jc w:val="center"/>
              <w:ind w:right="140"/>
              <w:spacing w:after="0" w:line="124" w:lineRule="exact"/>
              <w:rPr>
                <w:sz w:val="20"/>
                <w:szCs w:val="20"/>
                <w:color w:val="auto"/>
              </w:rPr>
            </w:pPr>
            <w:r>
              <w:rPr>
                <w:rFonts w:ascii="Arial" w:cs="Arial" w:eastAsia="Arial" w:hAnsi="Arial"/>
                <w:sz w:val="11"/>
                <w:szCs w:val="11"/>
                <w:color w:val="auto"/>
                <w:w w:val="91"/>
              </w:rPr>
              <w:t xml:space="preserve">intrinsic value </w:t>
            </w:r>
            <w:r>
              <w:rPr>
                <w:rFonts w:ascii="Arial" w:cs="Arial" w:eastAsia="Arial" w:hAnsi="Arial"/>
                <w:sz w:val="9"/>
                <w:szCs w:val="9"/>
                <w:color w:val="auto"/>
                <w:w w:val="91"/>
              </w:rPr>
              <w:t>(1)</w:t>
            </w:r>
          </w:p>
        </w:tc>
      </w:tr>
      <w:tr>
        <w:trPr>
          <w:trHeight w:val="162"/>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Stock Options</w:t>
            </w:r>
          </w:p>
        </w:tc>
        <w:tc>
          <w:tcPr>
            <w:tcW w:w="114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1"/>
        </w:trPr>
        <w:tc>
          <w:tcPr>
            <w:tcW w:w="5180" w:type="dxa"/>
            <w:vAlign w:val="bottom"/>
          </w:tcPr>
          <w:p>
            <w:pPr>
              <w:ind w:left="180"/>
              <w:spacing w:after="0"/>
              <w:rPr>
                <w:sz w:val="20"/>
                <w:szCs w:val="20"/>
                <w:color w:val="auto"/>
              </w:rPr>
            </w:pPr>
            <w:r>
              <w:rPr>
                <w:rFonts w:ascii="Arial" w:cs="Arial" w:eastAsia="Arial" w:hAnsi="Arial"/>
                <w:sz w:val="13"/>
                <w:szCs w:val="13"/>
                <w:color w:val="auto"/>
              </w:rPr>
              <w:t>Outstanding options at beginning of year</w:t>
            </w:r>
          </w:p>
        </w:tc>
        <w:tc>
          <w:tcPr>
            <w:tcW w:w="1140" w:type="dxa"/>
            <w:vAlign w:val="bottom"/>
          </w:tcPr>
          <w:p>
            <w:pPr>
              <w:jc w:val="right"/>
              <w:spacing w:after="0"/>
              <w:rPr>
                <w:sz w:val="20"/>
                <w:szCs w:val="20"/>
                <w:color w:val="auto"/>
              </w:rPr>
            </w:pPr>
            <w:r>
              <w:rPr>
                <w:rFonts w:ascii="Arial" w:cs="Arial" w:eastAsia="Arial" w:hAnsi="Arial"/>
                <w:sz w:val="13"/>
                <w:szCs w:val="13"/>
                <w:color w:val="auto"/>
              </w:rPr>
              <w:t>911,775</w:t>
            </w:r>
          </w:p>
        </w:tc>
        <w:tc>
          <w:tcPr>
            <w:tcW w:w="14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6.82</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Options granted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5180" w:type="dxa"/>
            <w:vAlign w:val="bottom"/>
          </w:tcPr>
          <w:p>
            <w:pPr>
              <w:ind w:left="180"/>
              <w:spacing w:after="0"/>
              <w:rPr>
                <w:sz w:val="20"/>
                <w:szCs w:val="20"/>
                <w:color w:val="auto"/>
              </w:rPr>
            </w:pPr>
            <w:r>
              <w:rPr>
                <w:rFonts w:ascii="Arial" w:cs="Arial" w:eastAsia="Arial" w:hAnsi="Arial"/>
                <w:sz w:val="13"/>
                <w:szCs w:val="13"/>
                <w:color w:val="auto"/>
              </w:rPr>
              <w:t>Options canceled</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(684,775)</w:t>
            </w: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6.77</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 xml:space="preserve">Options exercised </w:t>
            </w:r>
            <w:r>
              <w:rPr>
                <w:rFonts w:ascii="Arial" w:cs="Arial" w:eastAsia="Arial" w:hAnsi="Arial"/>
                <w:sz w:val="11"/>
                <w:szCs w:val="11"/>
                <w:color w:val="auto"/>
              </w:rPr>
              <w:t>(2)</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(7,500)</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1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Outstanding options at end of quarter</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219,500</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7.02</w:t>
            </w:r>
          </w:p>
        </w:tc>
        <w:tc>
          <w:tcPr>
            <w:tcW w:w="2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0.6 years</w:t>
            </w:r>
          </w:p>
        </w:tc>
        <w:tc>
          <w:tcPr>
            <w:tcW w:w="1280" w:type="dxa"/>
            <w:vAlign w:val="bottom"/>
            <w:gridSpan w:val="2"/>
            <w:shd w:val="clear" w:color="auto" w:fill="CFF0FC"/>
          </w:tcPr>
          <w:p>
            <w:pPr>
              <w:ind w:left="1000"/>
              <w:spacing w:after="0"/>
              <w:rPr>
                <w:sz w:val="20"/>
                <w:szCs w:val="20"/>
                <w:color w:val="auto"/>
              </w:rPr>
            </w:pPr>
            <w:r>
              <w:rPr>
                <w:rFonts w:ascii="Arial" w:cs="Arial" w:eastAsia="Arial" w:hAnsi="Arial"/>
                <w:sz w:val="13"/>
                <w:szCs w:val="13"/>
                <w:color w:val="auto"/>
              </w:rPr>
              <w:t>—</w:t>
            </w:r>
          </w:p>
        </w:tc>
      </w:tr>
      <w:tr>
        <w:trPr>
          <w:trHeight w:val="172"/>
        </w:trPr>
        <w:tc>
          <w:tcPr>
            <w:tcW w:w="5180" w:type="dxa"/>
            <w:vAlign w:val="bottom"/>
          </w:tcPr>
          <w:p>
            <w:pPr>
              <w:ind w:left="180"/>
              <w:spacing w:after="0"/>
              <w:rPr>
                <w:sz w:val="20"/>
                <w:szCs w:val="20"/>
                <w:color w:val="auto"/>
              </w:rPr>
            </w:pPr>
            <w:r>
              <w:rPr>
                <w:rFonts w:ascii="Arial" w:cs="Arial" w:eastAsia="Arial" w:hAnsi="Arial"/>
                <w:sz w:val="13"/>
                <w:szCs w:val="13"/>
                <w:color w:val="auto"/>
              </w:rPr>
              <w:t>Options exercisable at end of quarter</w:t>
            </w:r>
          </w:p>
        </w:tc>
        <w:tc>
          <w:tcPr>
            <w:tcW w:w="1140" w:type="dxa"/>
            <w:vAlign w:val="bottom"/>
          </w:tcPr>
          <w:p>
            <w:pPr>
              <w:jc w:val="right"/>
              <w:spacing w:after="0"/>
              <w:rPr>
                <w:sz w:val="20"/>
                <w:szCs w:val="20"/>
                <w:color w:val="auto"/>
              </w:rPr>
            </w:pPr>
            <w:r>
              <w:rPr>
                <w:rFonts w:ascii="Arial" w:cs="Arial" w:eastAsia="Arial" w:hAnsi="Arial"/>
                <w:sz w:val="13"/>
                <w:szCs w:val="13"/>
                <w:color w:val="auto"/>
              </w:rPr>
              <w:t>219,500</w:t>
            </w:r>
          </w:p>
        </w:tc>
        <w:tc>
          <w:tcPr>
            <w:tcW w:w="14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7.02</w:t>
            </w:r>
          </w:p>
        </w:tc>
        <w:tc>
          <w:tcPr>
            <w:tcW w:w="220" w:type="dxa"/>
            <w:vAlign w:val="bottom"/>
          </w:tcPr>
          <w:p>
            <w:pPr>
              <w:spacing w:after="0"/>
              <w:rPr>
                <w:sz w:val="14"/>
                <w:szCs w:val="14"/>
                <w:color w:val="auto"/>
              </w:rPr>
            </w:pPr>
          </w:p>
        </w:tc>
        <w:tc>
          <w:tcPr>
            <w:tcW w:w="1140" w:type="dxa"/>
            <w:vAlign w:val="bottom"/>
            <w:gridSpan w:val="2"/>
          </w:tcPr>
          <w:p>
            <w:pPr>
              <w:ind w:left="540"/>
              <w:spacing w:after="0"/>
              <w:rPr>
                <w:sz w:val="20"/>
                <w:szCs w:val="20"/>
                <w:color w:val="auto"/>
              </w:rPr>
            </w:pPr>
            <w:r>
              <w:rPr>
                <w:rFonts w:ascii="Arial" w:cs="Arial" w:eastAsia="Arial" w:hAnsi="Arial"/>
                <w:sz w:val="13"/>
                <w:szCs w:val="13"/>
                <w:color w:val="auto"/>
              </w:rPr>
              <w:t>0.6 years</w:t>
            </w:r>
          </w:p>
        </w:tc>
        <w:tc>
          <w:tcPr>
            <w:tcW w:w="1280" w:type="dxa"/>
            <w:vAlign w:val="bottom"/>
            <w:gridSpan w:val="2"/>
          </w:tcPr>
          <w:p>
            <w:pPr>
              <w:ind w:left="1000"/>
              <w:spacing w:after="0"/>
              <w:rPr>
                <w:sz w:val="20"/>
                <w:szCs w:val="20"/>
                <w:color w:val="auto"/>
              </w:rPr>
            </w:pPr>
            <w:r>
              <w:rPr>
                <w:rFonts w:ascii="Arial" w:cs="Arial" w:eastAsia="Arial" w:hAnsi="Arial"/>
                <w:sz w:val="13"/>
                <w:szCs w:val="13"/>
                <w:color w:val="auto"/>
              </w:rPr>
              <w:t>—</w:t>
            </w:r>
          </w:p>
        </w:tc>
      </w:tr>
    </w:tbl>
    <w:p>
      <w:pPr>
        <w:spacing w:after="0" w:line="170" w:lineRule="exact"/>
        <w:rPr>
          <w:sz w:val="20"/>
          <w:szCs w:val="20"/>
          <w:color w:val="auto"/>
        </w:rPr>
      </w:pPr>
    </w:p>
    <w:p>
      <w:pPr>
        <w:ind w:left="1020" w:hanging="499"/>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intrinsic value of the options outstanding at November 1, 2014 was immaterial.</w:t>
      </w:r>
    </w:p>
    <w:p>
      <w:pPr>
        <w:spacing w:after="0" w:line="22" w:lineRule="exact"/>
        <w:rPr>
          <w:rFonts w:ascii="Arial" w:cs="Arial" w:eastAsia="Arial" w:hAnsi="Arial"/>
          <w:sz w:val="13"/>
          <w:szCs w:val="13"/>
          <w:color w:val="auto"/>
        </w:rPr>
      </w:pPr>
    </w:p>
    <w:p>
      <w:pPr>
        <w:ind w:left="1020" w:hanging="499"/>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Options were exercised through net share settlement. As a result, no shares were issued. The intrinsic value of options exercised was immaterial.</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Share Availability Under the 2006 Plan</w:t>
      </w:r>
    </w:p>
    <w:p>
      <w:pPr>
        <w:spacing w:after="0" w:line="93" w:lineRule="exact"/>
        <w:rPr>
          <w:sz w:val="20"/>
          <w:szCs w:val="20"/>
          <w:color w:val="auto"/>
        </w:rPr>
      </w:pPr>
    </w:p>
    <w:p>
      <w:pPr>
        <w:ind w:right="640"/>
        <w:spacing w:after="0" w:line="294" w:lineRule="auto"/>
        <w:rPr>
          <w:sz w:val="20"/>
          <w:szCs w:val="20"/>
          <w:color w:val="auto"/>
        </w:rPr>
      </w:pPr>
      <w:r>
        <w:rPr>
          <w:rFonts w:ascii="Arial" w:cs="Arial" w:eastAsia="Arial" w:hAnsi="Arial"/>
          <w:sz w:val="13"/>
          <w:szCs w:val="13"/>
          <w:color w:val="auto"/>
        </w:rPr>
        <w:t>At November 1, 2014, the Company had 1,113,841 shares available for future grant under the 2006 Plan, of which 1,008,401 remain available under the sublimit for awards other than options and stock appreciation rights. No further grants can be made under the 1992 Plan.</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Non-Employee Director Stock Purchase Plan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The Company granted 30,349 shares of common stock, with a fair value of approximately $158,911, to certain of its non-employee directors as compensation in lieu of cash in the first nine months of fiscal 2014.</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Valuation Assumptions for Stock Options and Restricted Stock</w:t>
      </w:r>
    </w:p>
    <w:p>
      <w:pPr>
        <w:spacing w:after="0" w:line="93"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color w:val="auto"/>
        </w:rPr>
        <w:t>For the first nine months of fiscal 2014, the Company granted 97,950 shares of restricted stock, 8,345 shares of deferred stock and stock options to purchase 141,684 shares of common stock. For the first nine months of fiscal 2013, the Company granted stock options to purchase 2,765,414 shares of common stock and 2,229,364 shares of restricted stock. The majority of the stock option and restricted stock grants for both periods is attributable to the Company’s 2013-2016 LTIP and include a combination of time-based and performance-based awards.</w:t>
      </w:r>
    </w:p>
    <w:p>
      <w:pPr>
        <w:spacing w:after="0" w:line="130" w:lineRule="exact"/>
        <w:rPr>
          <w:sz w:val="20"/>
          <w:szCs w:val="20"/>
          <w:color w:val="auto"/>
        </w:rPr>
      </w:pPr>
    </w:p>
    <w:p>
      <w:pPr>
        <w:ind w:right="220"/>
        <w:spacing w:after="0" w:line="294" w:lineRule="auto"/>
        <w:rPr>
          <w:sz w:val="20"/>
          <w:szCs w:val="20"/>
          <w:color w:val="auto"/>
        </w:rPr>
      </w:pPr>
      <w:r>
        <w:rPr>
          <w:rFonts w:ascii="Arial" w:cs="Arial" w:eastAsia="Arial" w:hAnsi="Arial"/>
          <w:sz w:val="13"/>
          <w:szCs w:val="13"/>
          <w:color w:val="auto"/>
        </w:rPr>
        <w:t>The fair value of each option granted is estimated on the date of grant using the Black-Scholes option-pricing model. The following assumptions were used for grants for the first nine months of fiscal 2014 and fiscal 2013:</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4660" w:type="dxa"/>
            <w:vAlign w:val="bottom"/>
            <w:tcBorders>
              <w:bottom w:val="single" w:sz="8" w:color="CFF0FC"/>
            </w:tcBorders>
          </w:tcPr>
          <w:p>
            <w:pPr>
              <w:spacing w:after="0"/>
              <w:rPr>
                <w:sz w:val="10"/>
                <w:szCs w:val="10"/>
                <w:color w:val="auto"/>
              </w:rPr>
            </w:pPr>
          </w:p>
        </w:tc>
        <w:tc>
          <w:tcPr>
            <w:tcW w:w="146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color w:val="auto"/>
              </w:rPr>
              <w:t>November 1, 2014</w:t>
            </w:r>
          </w:p>
        </w:tc>
        <w:tc>
          <w:tcPr>
            <w:tcW w:w="260" w:type="dxa"/>
            <w:vAlign w:val="bottom"/>
            <w:tcBorders>
              <w:bottom w:val="single" w:sz="8" w:color="CFF0FC"/>
            </w:tcBorders>
          </w:tcPr>
          <w:p>
            <w:pPr>
              <w:spacing w:after="0"/>
              <w:rPr>
                <w:sz w:val="10"/>
                <w:szCs w:val="10"/>
                <w:color w:val="auto"/>
              </w:rPr>
            </w:pPr>
          </w:p>
        </w:tc>
        <w:tc>
          <w:tcPr>
            <w:tcW w:w="148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color w:val="auto"/>
              </w:rPr>
              <w:t>November 2, 2013</w:t>
            </w:r>
          </w:p>
        </w:tc>
        <w:tc>
          <w:tcPr>
            <w:tcW w:w="160" w:type="dxa"/>
            <w:vAlign w:val="bottom"/>
            <w:tcBorders>
              <w:bottom w:val="single" w:sz="8" w:color="CFF0FC"/>
            </w:tcBorders>
          </w:tcPr>
          <w:p>
            <w:pPr>
              <w:spacing w:after="0"/>
              <w:rPr>
                <w:sz w:val="10"/>
                <w:szCs w:val="10"/>
                <w:color w:val="auto"/>
              </w:rPr>
            </w:pPr>
          </w:p>
        </w:tc>
      </w:tr>
      <w:tr>
        <w:trPr>
          <w:trHeight w:val="162"/>
        </w:trPr>
        <w:tc>
          <w:tcPr>
            <w:tcW w:w="4660" w:type="dxa"/>
            <w:vAlign w:val="bottom"/>
            <w:shd w:val="clear" w:color="auto" w:fill="CFF0FC"/>
          </w:tcPr>
          <w:p>
            <w:pPr>
              <w:spacing w:after="0"/>
              <w:rPr>
                <w:sz w:val="20"/>
                <w:szCs w:val="20"/>
                <w:color w:val="auto"/>
              </w:rPr>
            </w:pPr>
            <w:r>
              <w:rPr>
                <w:rFonts w:ascii="Arial" w:cs="Arial" w:eastAsia="Arial" w:hAnsi="Arial"/>
                <w:sz w:val="13"/>
                <w:szCs w:val="13"/>
                <w:color w:val="auto"/>
              </w:rPr>
              <w:t>Expected volatility</w:t>
            </w: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46.0%</w:t>
            </w: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52.0%</w:t>
            </w:r>
          </w:p>
        </w:tc>
      </w:tr>
      <w:tr>
        <w:trPr>
          <w:trHeight w:val="171"/>
        </w:trPr>
        <w:tc>
          <w:tcPr>
            <w:tcW w:w="46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3"/>
                <w:szCs w:val="13"/>
                <w:color w:val="auto"/>
              </w:rPr>
              <w:t>0.79%-0.93%</w:t>
            </w:r>
          </w:p>
        </w:tc>
        <w:tc>
          <w:tcPr>
            <w:tcW w:w="2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0.34-0.79%</w:t>
            </w:r>
          </w:p>
        </w:tc>
        <w:tc>
          <w:tcPr>
            <w:tcW w:w="160" w:type="dxa"/>
            <w:vAlign w:val="bottom"/>
          </w:tcPr>
          <w:p>
            <w:pPr>
              <w:spacing w:after="0"/>
              <w:rPr>
                <w:sz w:val="14"/>
                <w:szCs w:val="14"/>
                <w:color w:val="auto"/>
              </w:rPr>
            </w:pPr>
          </w:p>
        </w:tc>
      </w:tr>
      <w:tr>
        <w:trPr>
          <w:trHeight w:val="171"/>
        </w:trPr>
        <w:tc>
          <w:tcPr>
            <w:tcW w:w="4660" w:type="dxa"/>
            <w:vAlign w:val="bottom"/>
            <w:shd w:val="clear" w:color="auto" w:fill="CFF0FC"/>
          </w:tcPr>
          <w:p>
            <w:pPr>
              <w:spacing w:after="0"/>
              <w:rPr>
                <w:sz w:val="20"/>
                <w:szCs w:val="20"/>
                <w:color w:val="auto"/>
              </w:rPr>
            </w:pPr>
            <w:r>
              <w:rPr>
                <w:rFonts w:ascii="Arial" w:cs="Arial" w:eastAsia="Arial" w:hAnsi="Arial"/>
                <w:sz w:val="13"/>
                <w:szCs w:val="13"/>
                <w:color w:val="auto"/>
              </w:rPr>
              <w:t>Expected life</w:t>
            </w:r>
          </w:p>
        </w:tc>
        <w:tc>
          <w:tcPr>
            <w:tcW w:w="17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3.1-3.5 yrs</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3.0-4.1 yrs</w:t>
            </w:r>
          </w:p>
        </w:tc>
      </w:tr>
      <w:tr>
        <w:trPr>
          <w:trHeight w:val="172"/>
        </w:trPr>
        <w:tc>
          <w:tcPr>
            <w:tcW w:w="4660" w:type="dxa"/>
            <w:vAlign w:val="bottom"/>
          </w:tcPr>
          <w:p>
            <w:pPr>
              <w:spacing w:after="0"/>
              <w:rPr>
                <w:sz w:val="20"/>
                <w:szCs w:val="20"/>
                <w:color w:val="auto"/>
              </w:rPr>
            </w:pPr>
            <w:r>
              <w:rPr>
                <w:rFonts w:ascii="Arial" w:cs="Arial" w:eastAsia="Arial" w:hAnsi="Arial"/>
                <w:sz w:val="13"/>
                <w:szCs w:val="13"/>
                <w:color w:val="auto"/>
              </w:rPr>
              <w:t>Dividend rate</w:t>
            </w:r>
          </w:p>
        </w:tc>
        <w:tc>
          <w:tcPr>
            <w:tcW w:w="1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bl>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For the first nine months of fiscal 2014 and fiscal 2013, the Company recognized total stock-based compensation expense of $2.2 million and $1.5 million, respectively. The total compensation cost related to time-vested stock options and time-based restricted stock awards not yet recognized as of November 1, 2014 is approximately $3.3 million, net of estimated forfeitures, which will be expensed over a weighted average remaining life of 22 months. At November 1, 2014, the Company had $7.2 million of unrecognized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460"/>
          </w:cols>
          <w:pgMar w:left="220" w:top="613" w:right="219" w:bottom="1440" w:gutter="0" w:footer="0" w:header="0"/>
        </w:sectPr>
      </w:pPr>
    </w:p>
    <w:bookmarkStart w:id="14" w:name="page15"/>
    <w:bookmarkEnd w:id="14"/>
    <w:p>
      <w:pPr>
        <w:ind w:right="440"/>
        <w:spacing w:after="0" w:line="294" w:lineRule="auto"/>
        <w:rPr>
          <w:sz w:val="20"/>
          <w:szCs w:val="20"/>
          <w:color w:val="auto"/>
        </w:rPr>
      </w:pPr>
      <w:r>
        <w:rPr>
          <w:rFonts w:ascii="Arial" w:cs="Arial" w:eastAsia="Arial" w:hAnsi="Arial"/>
          <w:sz w:val="13"/>
          <w:szCs w:val="13"/>
          <w:color w:val="auto"/>
        </w:rPr>
        <w:t>compensation expense, net of estimated forfeitures, related to its performance-based stock options and restricted stock. As discussed above, the Company will begin recognizing compensation if, and when, achievement of the performance targets becomes probable.</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Earnings per Share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reconciliation of the number of shares outstanding for basic and diluted earnings per share:</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5380" w:type="dxa"/>
            <w:vAlign w:val="bottom"/>
          </w:tcPr>
          <w:p>
            <w:pPr>
              <w:spacing w:after="0"/>
              <w:rPr>
                <w:sz w:val="10"/>
                <w:szCs w:val="10"/>
                <w:color w:val="auto"/>
              </w:rPr>
            </w:pPr>
          </w:p>
        </w:tc>
        <w:tc>
          <w:tcPr>
            <w:tcW w:w="2500" w:type="dxa"/>
            <w:vAlign w:val="bottom"/>
            <w:gridSpan w:val="4"/>
          </w:tcPr>
          <w:p>
            <w:pPr>
              <w:ind w:left="540"/>
              <w:spacing w:after="0"/>
              <w:rPr>
                <w:sz w:val="20"/>
                <w:szCs w:val="20"/>
                <w:color w:val="auto"/>
              </w:rPr>
            </w:pPr>
            <w:r>
              <w:rPr>
                <w:rFonts w:ascii="Arial" w:cs="Arial" w:eastAsia="Arial" w:hAnsi="Arial"/>
                <w:sz w:val="11"/>
                <w:szCs w:val="11"/>
                <w:color w:val="auto"/>
              </w:rPr>
              <w:t>For the three months ended</w:t>
            </w:r>
          </w:p>
        </w:tc>
        <w:tc>
          <w:tcPr>
            <w:tcW w:w="2440" w:type="dxa"/>
            <w:vAlign w:val="bottom"/>
            <w:gridSpan w:val="4"/>
          </w:tcPr>
          <w:p>
            <w:pPr>
              <w:ind w:left="580"/>
              <w:spacing w:after="0"/>
              <w:rPr>
                <w:sz w:val="20"/>
                <w:szCs w:val="20"/>
                <w:color w:val="auto"/>
              </w:rPr>
            </w:pPr>
            <w:r>
              <w:rPr>
                <w:rFonts w:ascii="Arial" w:cs="Arial" w:eastAsia="Arial" w:hAnsi="Arial"/>
                <w:sz w:val="11"/>
                <w:szCs w:val="11"/>
                <w:color w:val="auto"/>
              </w:rPr>
              <w:t>For the nine months ended</w:t>
            </w:r>
          </w:p>
        </w:tc>
        <w:tc>
          <w:tcPr>
            <w:tcW w:w="0" w:type="dxa"/>
            <w:vAlign w:val="bottom"/>
          </w:tcPr>
          <w:p>
            <w:pPr>
              <w:spacing w:after="0"/>
              <w:rPr>
                <w:sz w:val="1"/>
                <w:szCs w:val="1"/>
                <w:color w:val="auto"/>
              </w:rPr>
            </w:pPr>
          </w:p>
        </w:tc>
      </w:tr>
      <w:tr>
        <w:trPr>
          <w:trHeight w:val="111"/>
        </w:trPr>
        <w:tc>
          <w:tcPr>
            <w:tcW w:w="5380" w:type="dxa"/>
            <w:vAlign w:val="bottom"/>
          </w:tcPr>
          <w:p>
            <w:pPr>
              <w:spacing w:after="0"/>
              <w:rPr>
                <w:sz w:val="9"/>
                <w:szCs w:val="9"/>
                <w:color w:val="auto"/>
              </w:rPr>
            </w:pPr>
          </w:p>
        </w:tc>
        <w:tc>
          <w:tcPr>
            <w:tcW w:w="1240" w:type="dxa"/>
            <w:vAlign w:val="bottom"/>
            <w:gridSpan w:val="2"/>
          </w:tcPr>
          <w:p>
            <w:pPr>
              <w:ind w:left="220"/>
              <w:spacing w:after="0" w:line="111" w:lineRule="exact"/>
              <w:rPr>
                <w:sz w:val="20"/>
                <w:szCs w:val="20"/>
                <w:color w:val="auto"/>
              </w:rPr>
            </w:pPr>
            <w:r>
              <w:rPr>
                <w:rFonts w:ascii="Arial" w:cs="Arial" w:eastAsia="Arial" w:hAnsi="Arial"/>
                <w:sz w:val="11"/>
                <w:szCs w:val="11"/>
                <w:color w:val="auto"/>
              </w:rPr>
              <w:t>November 1,</w:t>
            </w:r>
          </w:p>
        </w:tc>
        <w:tc>
          <w:tcPr>
            <w:tcW w:w="1260" w:type="dxa"/>
            <w:vAlign w:val="bottom"/>
            <w:gridSpan w:val="2"/>
          </w:tcPr>
          <w:p>
            <w:pPr>
              <w:ind w:left="240"/>
              <w:spacing w:after="0" w:line="111" w:lineRule="exact"/>
              <w:rPr>
                <w:sz w:val="20"/>
                <w:szCs w:val="20"/>
                <w:color w:val="auto"/>
              </w:rPr>
            </w:pPr>
            <w:r>
              <w:rPr>
                <w:rFonts w:ascii="Arial" w:cs="Arial" w:eastAsia="Arial" w:hAnsi="Arial"/>
                <w:sz w:val="11"/>
                <w:szCs w:val="11"/>
                <w:color w:val="auto"/>
              </w:rPr>
              <w:t>November 2,</w:t>
            </w:r>
          </w:p>
        </w:tc>
        <w:tc>
          <w:tcPr>
            <w:tcW w:w="1260" w:type="dxa"/>
            <w:vAlign w:val="bottom"/>
            <w:gridSpan w:val="2"/>
          </w:tcPr>
          <w:p>
            <w:pPr>
              <w:ind w:left="240"/>
              <w:spacing w:after="0" w:line="111" w:lineRule="exact"/>
              <w:rPr>
                <w:sz w:val="20"/>
                <w:szCs w:val="20"/>
                <w:color w:val="auto"/>
              </w:rPr>
            </w:pPr>
            <w:r>
              <w:rPr>
                <w:rFonts w:ascii="Arial" w:cs="Arial" w:eastAsia="Arial" w:hAnsi="Arial"/>
                <w:sz w:val="11"/>
                <w:szCs w:val="11"/>
                <w:color w:val="auto"/>
              </w:rPr>
              <w:t>November 1,</w:t>
            </w:r>
          </w:p>
        </w:tc>
        <w:tc>
          <w:tcPr>
            <w:tcW w:w="1180" w:type="dxa"/>
            <w:vAlign w:val="bottom"/>
            <w:gridSpan w:val="2"/>
          </w:tcPr>
          <w:p>
            <w:pPr>
              <w:ind w:left="240"/>
              <w:spacing w:after="0" w:line="111" w:lineRule="exact"/>
              <w:rPr>
                <w:sz w:val="20"/>
                <w:szCs w:val="20"/>
                <w:color w:val="auto"/>
              </w:rPr>
            </w:pPr>
            <w:r>
              <w:rPr>
                <w:rFonts w:ascii="Arial" w:cs="Arial" w:eastAsia="Arial" w:hAnsi="Arial"/>
                <w:sz w:val="11"/>
                <w:szCs w:val="11"/>
                <w:color w:val="auto"/>
              </w:rPr>
              <w:t>November 2,</w:t>
            </w:r>
          </w:p>
        </w:tc>
        <w:tc>
          <w:tcPr>
            <w:tcW w:w="0" w:type="dxa"/>
            <w:vAlign w:val="bottom"/>
          </w:tcPr>
          <w:p>
            <w:pPr>
              <w:spacing w:after="0"/>
              <w:rPr>
                <w:sz w:val="1"/>
                <w:szCs w:val="1"/>
                <w:color w:val="auto"/>
              </w:rPr>
            </w:pPr>
          </w:p>
        </w:tc>
      </w:tr>
      <w:tr>
        <w:trPr>
          <w:trHeight w:val="124"/>
        </w:trPr>
        <w:tc>
          <w:tcPr>
            <w:tcW w:w="5380" w:type="dxa"/>
            <w:vAlign w:val="bottom"/>
            <w:vMerge w:val="restart"/>
          </w:tcPr>
          <w:p>
            <w:pPr>
              <w:spacing w:after="0"/>
              <w:rPr>
                <w:sz w:val="20"/>
                <w:szCs w:val="20"/>
                <w:color w:val="auto"/>
              </w:rPr>
            </w:pPr>
            <w:r>
              <w:rPr>
                <w:rFonts w:ascii="Arial" w:cs="Arial" w:eastAsia="Arial" w:hAnsi="Arial"/>
                <w:sz w:val="11"/>
                <w:szCs w:val="11"/>
                <w:i w:val="1"/>
                <w:iCs w:val="1"/>
                <w:color w:val="auto"/>
              </w:rPr>
              <w:t>(in thousands</w:t>
            </w:r>
            <w:r>
              <w:rPr>
                <w:rFonts w:ascii="Arial" w:cs="Arial" w:eastAsia="Arial" w:hAnsi="Arial"/>
                <w:sz w:val="11"/>
                <w:szCs w:val="11"/>
                <w:b w:val="1"/>
                <w:bCs w:val="1"/>
                <w:i w:val="1"/>
                <w:iCs w:val="1"/>
                <w:color w:val="auto"/>
              </w:rPr>
              <w:t>)</w:t>
            </w:r>
          </w:p>
        </w:tc>
        <w:tc>
          <w:tcPr>
            <w:tcW w:w="1040" w:type="dxa"/>
            <w:vAlign w:val="bottom"/>
            <w:tcBorders>
              <w:bottom w:val="single" w:sz="8" w:color="auto"/>
            </w:tcBorders>
          </w:tcPr>
          <w:p>
            <w:pPr>
              <w:jc w:val="right"/>
              <w:ind w:right="362"/>
              <w:spacing w:after="0" w:line="124" w:lineRule="exact"/>
              <w:rPr>
                <w:sz w:val="20"/>
                <w:szCs w:val="20"/>
                <w:color w:val="auto"/>
              </w:rPr>
            </w:pPr>
            <w:r>
              <w:rPr>
                <w:rFonts w:ascii="Arial" w:cs="Arial" w:eastAsia="Arial" w:hAnsi="Arial"/>
                <w:sz w:val="11"/>
                <w:szCs w:val="11"/>
                <w:color w:val="auto"/>
              </w:rPr>
              <w:t>2014</w:t>
            </w:r>
          </w:p>
        </w:tc>
        <w:tc>
          <w:tcPr>
            <w:tcW w:w="200" w:type="dxa"/>
            <w:vAlign w:val="bottom"/>
          </w:tcPr>
          <w:p>
            <w:pPr>
              <w:spacing w:after="0"/>
              <w:rPr>
                <w:sz w:val="10"/>
                <w:szCs w:val="10"/>
                <w:color w:val="auto"/>
              </w:rPr>
            </w:pPr>
          </w:p>
        </w:tc>
        <w:tc>
          <w:tcPr>
            <w:tcW w:w="1060" w:type="dxa"/>
            <w:vAlign w:val="bottom"/>
            <w:tcBorders>
              <w:bottom w:val="single" w:sz="8" w:color="auto"/>
            </w:tcBorders>
          </w:tcPr>
          <w:p>
            <w:pPr>
              <w:jc w:val="right"/>
              <w:ind w:right="380"/>
              <w:spacing w:after="0" w:line="124" w:lineRule="exact"/>
              <w:rPr>
                <w:sz w:val="20"/>
                <w:szCs w:val="20"/>
                <w:color w:val="auto"/>
              </w:rPr>
            </w:pPr>
            <w:r>
              <w:rPr>
                <w:rFonts w:ascii="Arial" w:cs="Arial" w:eastAsia="Arial" w:hAnsi="Arial"/>
                <w:sz w:val="11"/>
                <w:szCs w:val="11"/>
                <w:color w:val="auto"/>
              </w:rPr>
              <w:t>2013</w:t>
            </w:r>
          </w:p>
        </w:tc>
        <w:tc>
          <w:tcPr>
            <w:tcW w:w="200" w:type="dxa"/>
            <w:vAlign w:val="bottom"/>
          </w:tcPr>
          <w:p>
            <w:pPr>
              <w:spacing w:after="0"/>
              <w:rPr>
                <w:sz w:val="10"/>
                <w:szCs w:val="10"/>
                <w:color w:val="auto"/>
              </w:rPr>
            </w:pPr>
          </w:p>
        </w:tc>
        <w:tc>
          <w:tcPr>
            <w:tcW w:w="1060" w:type="dxa"/>
            <w:vAlign w:val="bottom"/>
            <w:tcBorders>
              <w:bottom w:val="single" w:sz="8" w:color="auto"/>
            </w:tcBorders>
          </w:tcPr>
          <w:p>
            <w:pPr>
              <w:jc w:val="right"/>
              <w:ind w:right="382"/>
              <w:spacing w:after="0" w:line="124" w:lineRule="exact"/>
              <w:rPr>
                <w:sz w:val="20"/>
                <w:szCs w:val="20"/>
                <w:color w:val="auto"/>
              </w:rPr>
            </w:pPr>
            <w:r>
              <w:rPr>
                <w:rFonts w:ascii="Arial" w:cs="Arial" w:eastAsia="Arial" w:hAnsi="Arial"/>
                <w:sz w:val="11"/>
                <w:szCs w:val="11"/>
                <w:color w:val="auto"/>
              </w:rPr>
              <w:t>2014</w:t>
            </w:r>
          </w:p>
        </w:tc>
        <w:tc>
          <w:tcPr>
            <w:tcW w:w="200" w:type="dxa"/>
            <w:vAlign w:val="bottom"/>
          </w:tcPr>
          <w:p>
            <w:pPr>
              <w:spacing w:after="0"/>
              <w:rPr>
                <w:sz w:val="10"/>
                <w:szCs w:val="10"/>
                <w:color w:val="auto"/>
              </w:rPr>
            </w:pPr>
          </w:p>
        </w:tc>
        <w:tc>
          <w:tcPr>
            <w:tcW w:w="1060" w:type="dxa"/>
            <w:vAlign w:val="bottom"/>
            <w:tcBorders>
              <w:bottom w:val="single" w:sz="8" w:color="auto"/>
            </w:tcBorders>
          </w:tcPr>
          <w:p>
            <w:pPr>
              <w:jc w:val="right"/>
              <w:ind w:right="382"/>
              <w:spacing w:after="0" w:line="124" w:lineRule="exact"/>
              <w:rPr>
                <w:sz w:val="20"/>
                <w:szCs w:val="20"/>
                <w:color w:val="auto"/>
              </w:rPr>
            </w:pPr>
            <w:r>
              <w:rPr>
                <w:rFonts w:ascii="Arial" w:cs="Arial" w:eastAsia="Arial" w:hAnsi="Arial"/>
                <w:sz w:val="11"/>
                <w:szCs w:val="11"/>
                <w:color w:val="auto"/>
              </w:rPr>
              <w:t>2013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53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380" w:type="dxa"/>
            <w:vAlign w:val="bottom"/>
            <w:shd w:val="clear" w:color="auto" w:fill="CFF0FC"/>
          </w:tcPr>
          <w:p>
            <w:pPr>
              <w:spacing w:after="0"/>
              <w:rPr>
                <w:sz w:val="20"/>
                <w:szCs w:val="20"/>
                <w:color w:val="auto"/>
              </w:rPr>
            </w:pPr>
            <w:r>
              <w:rPr>
                <w:rFonts w:ascii="Arial" w:cs="Arial" w:eastAsia="Arial" w:hAnsi="Arial"/>
                <w:sz w:val="13"/>
                <w:szCs w:val="13"/>
                <w:color w:val="auto"/>
              </w:rPr>
              <w:t>Common Stock Outstanding:</w:t>
            </w: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20"/>
                <w:szCs w:val="20"/>
                <w:color w:val="auto"/>
              </w:rPr>
            </w:pPr>
            <w:r>
              <w:rPr>
                <w:rFonts w:ascii="Arial" w:cs="Arial" w:eastAsia="Arial" w:hAnsi="Arial"/>
                <w:sz w:val="13"/>
                <w:szCs w:val="13"/>
                <w:color w:val="auto"/>
              </w:rPr>
              <w:t>Basic weighted average common shares outstanding</w:t>
            </w:r>
          </w:p>
        </w:tc>
        <w:tc>
          <w:tcPr>
            <w:tcW w:w="1040" w:type="dxa"/>
            <w:vAlign w:val="bottom"/>
          </w:tcPr>
          <w:p>
            <w:pPr>
              <w:jc w:val="right"/>
              <w:spacing w:after="0"/>
              <w:rPr>
                <w:sz w:val="20"/>
                <w:szCs w:val="20"/>
                <w:color w:val="auto"/>
              </w:rPr>
            </w:pPr>
            <w:r>
              <w:rPr>
                <w:rFonts w:ascii="Arial" w:cs="Arial" w:eastAsia="Arial" w:hAnsi="Arial"/>
                <w:sz w:val="12"/>
                <w:szCs w:val="12"/>
                <w:color w:val="auto"/>
              </w:rPr>
              <w:t>48,773</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48,553</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48,724</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48,441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Common stock equivalents – stock options and restricted stock </w:t>
            </w:r>
            <w:r>
              <w:rPr>
                <w:rFonts w:ascii="Arial" w:cs="Arial" w:eastAsia="Arial" w:hAnsi="Arial"/>
                <w:sz w:val="11"/>
                <w:szCs w:val="11"/>
                <w:color w:val="auto"/>
              </w:rPr>
              <w:t>(1)</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20"/>
                <w:szCs w:val="20"/>
                <w:color w:val="auto"/>
              </w:rPr>
            </w:pPr>
            <w:r>
              <w:rPr>
                <w:rFonts w:ascii="Arial" w:cs="Arial" w:eastAsia="Arial" w:hAnsi="Arial"/>
                <w:sz w:val="13"/>
                <w:szCs w:val="13"/>
                <w:color w:val="auto"/>
              </w:rPr>
              <w:t>Diluted weighted average common shares outstanding</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48,773</w:t>
            </w:r>
          </w:p>
        </w:tc>
        <w:tc>
          <w:tcPr>
            <w:tcW w:w="20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48,553</w:t>
            </w:r>
          </w:p>
        </w:tc>
        <w:tc>
          <w:tcPr>
            <w:tcW w:w="20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48,724</w:t>
            </w:r>
          </w:p>
        </w:tc>
        <w:tc>
          <w:tcPr>
            <w:tcW w:w="200" w:type="dxa"/>
            <w:vAlign w:val="bottom"/>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48,441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020" w:right="480" w:hanging="499"/>
        <w:spacing w:after="0" w:line="294" w:lineRule="auto"/>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Common Stock equivalents of 558 and 594 shares for the three months ended November 1, 2014 and November 2, 2013, respectively, and 534 and 282 shares for the nine months ended November 1, 2014 and November 2, 2013, respectively, were excluded due to the net loss.</w:t>
      </w:r>
    </w:p>
    <w:p>
      <w:pPr>
        <w:spacing w:after="0" w:line="138" w:lineRule="exact"/>
        <w:rPr>
          <w:sz w:val="20"/>
          <w:szCs w:val="20"/>
          <w:color w:val="auto"/>
        </w:rPr>
      </w:pPr>
    </w:p>
    <w:p>
      <w:pPr>
        <w:ind w:right="100"/>
        <w:spacing w:after="0" w:line="294" w:lineRule="auto"/>
        <w:rPr>
          <w:sz w:val="20"/>
          <w:szCs w:val="20"/>
          <w:color w:val="auto"/>
        </w:rPr>
      </w:pPr>
      <w:r>
        <w:rPr>
          <w:rFonts w:ascii="Arial" w:cs="Arial" w:eastAsia="Arial" w:hAnsi="Arial"/>
          <w:sz w:val="13"/>
          <w:szCs w:val="13"/>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880" w:type="dxa"/>
            <w:vAlign w:val="bottom"/>
            <w:gridSpan w:val="4"/>
          </w:tcPr>
          <w:p>
            <w:pPr>
              <w:ind w:left="640"/>
              <w:spacing w:after="0"/>
              <w:rPr>
                <w:sz w:val="20"/>
                <w:szCs w:val="20"/>
                <w:color w:val="auto"/>
              </w:rPr>
            </w:pPr>
            <w:r>
              <w:rPr>
                <w:rFonts w:ascii="Arial" w:cs="Arial" w:eastAsia="Arial" w:hAnsi="Arial"/>
                <w:sz w:val="11"/>
                <w:szCs w:val="11"/>
                <w:color w:val="auto"/>
              </w:rPr>
              <w:t>For the three months ended</w:t>
            </w:r>
          </w:p>
        </w:tc>
        <w:tc>
          <w:tcPr>
            <w:tcW w:w="1660" w:type="dxa"/>
            <w:vAlign w:val="bottom"/>
            <w:gridSpan w:val="3"/>
          </w:tcPr>
          <w:p>
            <w:pPr>
              <w:ind w:left="460"/>
              <w:spacing w:after="0"/>
              <w:rPr>
                <w:sz w:val="20"/>
                <w:szCs w:val="20"/>
                <w:color w:val="auto"/>
              </w:rPr>
            </w:pPr>
            <w:r>
              <w:rPr>
                <w:rFonts w:ascii="Arial" w:cs="Arial" w:eastAsia="Arial" w:hAnsi="Arial"/>
                <w:sz w:val="11"/>
                <w:szCs w:val="11"/>
                <w:color w:val="auto"/>
                <w:w w:val="89"/>
              </w:rPr>
              <w:t>For the nine months ended</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1"/>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340" w:type="dxa"/>
            <w:vAlign w:val="bottom"/>
            <w:gridSpan w:val="2"/>
          </w:tcPr>
          <w:p>
            <w:pPr>
              <w:ind w:left="280"/>
              <w:spacing w:after="0" w:line="111" w:lineRule="exact"/>
              <w:rPr>
                <w:sz w:val="20"/>
                <w:szCs w:val="20"/>
                <w:color w:val="auto"/>
              </w:rPr>
            </w:pPr>
            <w:r>
              <w:rPr>
                <w:rFonts w:ascii="Arial" w:cs="Arial" w:eastAsia="Arial" w:hAnsi="Arial"/>
                <w:sz w:val="11"/>
                <w:szCs w:val="11"/>
                <w:color w:val="auto"/>
              </w:rPr>
              <w:t>November 1,</w:t>
            </w:r>
          </w:p>
        </w:tc>
        <w:tc>
          <w:tcPr>
            <w:tcW w:w="1540" w:type="dxa"/>
            <w:vAlign w:val="bottom"/>
            <w:gridSpan w:val="2"/>
          </w:tcPr>
          <w:p>
            <w:pPr>
              <w:ind w:left="380"/>
              <w:spacing w:after="0" w:line="111" w:lineRule="exact"/>
              <w:rPr>
                <w:sz w:val="20"/>
                <w:szCs w:val="20"/>
                <w:color w:val="auto"/>
              </w:rPr>
            </w:pPr>
            <w:r>
              <w:rPr>
                <w:rFonts w:ascii="Arial" w:cs="Arial" w:eastAsia="Arial" w:hAnsi="Arial"/>
                <w:sz w:val="11"/>
                <w:szCs w:val="11"/>
                <w:color w:val="auto"/>
              </w:rPr>
              <w:t>November 2,</w:t>
            </w:r>
          </w:p>
        </w:tc>
        <w:tc>
          <w:tcPr>
            <w:tcW w:w="1660" w:type="dxa"/>
            <w:vAlign w:val="bottom"/>
            <w:gridSpan w:val="3"/>
          </w:tcPr>
          <w:p>
            <w:pPr>
              <w:ind w:left="260"/>
              <w:spacing w:after="0" w:line="111" w:lineRule="exact"/>
              <w:rPr>
                <w:sz w:val="20"/>
                <w:szCs w:val="20"/>
                <w:color w:val="auto"/>
              </w:rPr>
            </w:pPr>
            <w:r>
              <w:rPr>
                <w:rFonts w:ascii="Arial" w:cs="Arial" w:eastAsia="Arial" w:hAnsi="Arial"/>
                <w:sz w:val="11"/>
                <w:szCs w:val="11"/>
                <w:color w:val="auto"/>
              </w:rPr>
              <w:t>November 1,</w:t>
            </w:r>
          </w:p>
        </w:tc>
        <w:tc>
          <w:tcPr>
            <w:tcW w:w="10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November 2,</w:t>
            </w:r>
          </w:p>
        </w:tc>
      </w:tr>
      <w:tr>
        <w:trPr>
          <w:trHeight w:val="124"/>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140" w:type="dxa"/>
            <w:vAlign w:val="bottom"/>
            <w:tcBorders>
              <w:bottom w:val="single" w:sz="8" w:color="auto"/>
            </w:tcBorders>
          </w:tcPr>
          <w:p>
            <w:pPr>
              <w:jc w:val="right"/>
              <w:ind w:right="400"/>
              <w:spacing w:after="0" w:line="124" w:lineRule="exact"/>
              <w:rPr>
                <w:sz w:val="20"/>
                <w:szCs w:val="20"/>
                <w:color w:val="auto"/>
              </w:rPr>
            </w:pPr>
            <w:r>
              <w:rPr>
                <w:rFonts w:ascii="Arial" w:cs="Arial" w:eastAsia="Arial" w:hAnsi="Arial"/>
                <w:sz w:val="11"/>
                <w:szCs w:val="11"/>
                <w:color w:val="auto"/>
              </w:rPr>
              <w:t>2014</w:t>
            </w:r>
          </w:p>
        </w:tc>
        <w:tc>
          <w:tcPr>
            <w:tcW w:w="200" w:type="dxa"/>
            <w:vAlign w:val="bottom"/>
          </w:tcPr>
          <w:p>
            <w:pPr>
              <w:spacing w:after="0"/>
              <w:rPr>
                <w:sz w:val="10"/>
                <w:szCs w:val="10"/>
                <w:color w:val="auto"/>
              </w:rPr>
            </w:pPr>
          </w:p>
        </w:tc>
        <w:tc>
          <w:tcPr>
            <w:tcW w:w="1340" w:type="dxa"/>
            <w:vAlign w:val="bottom"/>
            <w:tcBorders>
              <w:bottom w:val="single" w:sz="8" w:color="auto"/>
            </w:tcBorders>
          </w:tcPr>
          <w:p>
            <w:pPr>
              <w:jc w:val="right"/>
              <w:ind w:right="518"/>
              <w:spacing w:after="0" w:line="124" w:lineRule="exact"/>
              <w:rPr>
                <w:sz w:val="20"/>
                <w:szCs w:val="20"/>
                <w:color w:val="auto"/>
              </w:rPr>
            </w:pPr>
            <w:r>
              <w:rPr>
                <w:rFonts w:ascii="Arial" w:cs="Arial" w:eastAsia="Arial" w:hAnsi="Arial"/>
                <w:sz w:val="11"/>
                <w:szCs w:val="11"/>
                <w:color w:val="auto"/>
              </w:rPr>
              <w:t>2013</w:t>
            </w:r>
          </w:p>
        </w:tc>
        <w:tc>
          <w:tcPr>
            <w:tcW w:w="200" w:type="dxa"/>
            <w:vAlign w:val="bottom"/>
          </w:tcPr>
          <w:p>
            <w:pPr>
              <w:spacing w:after="0"/>
              <w:rPr>
                <w:sz w:val="10"/>
                <w:szCs w:val="10"/>
                <w:color w:val="auto"/>
              </w:rPr>
            </w:pPr>
          </w:p>
        </w:tc>
        <w:tc>
          <w:tcPr>
            <w:tcW w:w="1120" w:type="dxa"/>
            <w:vAlign w:val="bottom"/>
            <w:tcBorders>
              <w:bottom w:val="single" w:sz="8" w:color="auto"/>
            </w:tcBorders>
          </w:tcPr>
          <w:p>
            <w:pPr>
              <w:jc w:val="right"/>
              <w:ind w:right="400"/>
              <w:spacing w:after="0" w:line="124" w:lineRule="exact"/>
              <w:rPr>
                <w:sz w:val="20"/>
                <w:szCs w:val="20"/>
                <w:color w:val="auto"/>
              </w:rPr>
            </w:pPr>
            <w:r>
              <w:rPr>
                <w:rFonts w:ascii="Arial" w:cs="Arial" w:eastAsia="Arial" w:hAnsi="Arial"/>
                <w:sz w:val="11"/>
                <w:szCs w:val="11"/>
                <w:color w:val="auto"/>
              </w:rPr>
              <w:t>2014</w:t>
            </w:r>
          </w:p>
        </w:tc>
        <w:tc>
          <w:tcPr>
            <w:tcW w:w="2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98"/>
              <w:spacing w:after="0" w:line="124" w:lineRule="exact"/>
              <w:rPr>
                <w:sz w:val="20"/>
                <w:szCs w:val="20"/>
                <w:color w:val="auto"/>
              </w:rPr>
            </w:pPr>
            <w:r>
              <w:rPr>
                <w:rFonts w:ascii="Arial" w:cs="Arial" w:eastAsia="Arial" w:hAnsi="Arial"/>
                <w:sz w:val="11"/>
                <w:szCs w:val="11"/>
                <w:color w:val="auto"/>
              </w:rPr>
              <w:t>2013</w:t>
            </w:r>
          </w:p>
        </w:tc>
        <w:tc>
          <w:tcPr>
            <w:tcW w:w="40" w:type="dxa"/>
            <w:vAlign w:val="bottom"/>
          </w:tcPr>
          <w:p>
            <w:pPr>
              <w:spacing w:after="0"/>
              <w:rPr>
                <w:sz w:val="10"/>
                <w:szCs w:val="10"/>
                <w:color w:val="auto"/>
              </w:rPr>
            </w:pPr>
          </w:p>
        </w:tc>
      </w:tr>
      <w:tr>
        <w:trPr>
          <w:trHeight w:val="121"/>
        </w:trPr>
        <w:tc>
          <w:tcPr>
            <w:tcW w:w="5260" w:type="dxa"/>
            <w:vAlign w:val="bottom"/>
            <w:gridSpan w:val="2"/>
          </w:tcPr>
          <w:p>
            <w:pPr>
              <w:spacing w:after="0" w:line="121" w:lineRule="exact"/>
              <w:rPr>
                <w:sz w:val="20"/>
                <w:szCs w:val="20"/>
                <w:color w:val="auto"/>
              </w:rPr>
            </w:pPr>
            <w:r>
              <w:rPr>
                <w:rFonts w:ascii="Arial" w:cs="Arial" w:eastAsia="Arial" w:hAnsi="Arial"/>
                <w:sz w:val="11"/>
                <w:szCs w:val="11"/>
                <w:i w:val="1"/>
                <w:iCs w:val="1"/>
                <w:color w:val="auto"/>
              </w:rPr>
              <w:t>(in thousands, except exercise prices)</w:t>
            </w: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Stock Options (time-vested)</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1,759</w:t>
            </w: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1,480</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2,214</w:t>
            </w:r>
          </w:p>
        </w:tc>
        <w:tc>
          <w:tcPr>
            <w:tcW w:w="40" w:type="dxa"/>
            <w:vAlign w:val="bottom"/>
            <w:shd w:val="clear" w:color="auto" w:fill="CFF0FC"/>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3"/>
                <w:szCs w:val="13"/>
                <w:color w:val="auto"/>
              </w:rPr>
              <w:t>Restricted Stock (time-vested)</w:t>
            </w:r>
          </w:p>
        </w:tc>
        <w:tc>
          <w:tcPr>
            <w:tcW w:w="13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6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1,099</w:t>
            </w: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Range of exercise prices of such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$4.96-$7.52</w:t>
            </w: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$4.96 - $10.26</w:t>
            </w: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$4.96-$7.52</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$4.54 - $10.26</w:t>
            </w:r>
          </w:p>
        </w:tc>
        <w:tc>
          <w:tcPr>
            <w:tcW w:w="40" w:type="dxa"/>
            <w:vAlign w:val="bottom"/>
            <w:shd w:val="clear" w:color="auto" w:fill="CFF0FC"/>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The above options, which were outstanding at November 1, 2014, expire from May 5, 2015 to January 31, 2024.</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Excluded from the Company’s computation of basic and diluted earnings per share for the third quarter and first nine months of fiscal 2014, were 948,190 shares of unvested performance-based restricted stock and 1,175,971 performance-based stock options. These performance-based awards will be included in the computation of basic and diluted earnings per share if, and when, the respective performance targets are achieved. In addition, another 948,190 shares of unvested time-based restricted stock were excluded from the computation of basic earnings per share until such shares vest. See Note 3, Stock-Based Compensation, for a discussion of the Company’s 2013-2016 LTIP and the respective performance targets.</w:t>
      </w:r>
    </w:p>
    <w:p>
      <w:pPr>
        <w:spacing w:after="0" w:line="134"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Although the shares of performance-based and time-based restricted stock issued in connection with the 2013-2016 LTIP are not considered outstanding or common stock equivalents for earnings per share purposes until certain vesting and performance thresholds are achieved, all 1,896,380 shares of restricted stock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Income Taxes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At November 1, 2014, the Company had total deferred tax assets of approximately $75.4 million, total deferred tax liabilities of $15.8 million and a corresponding valuation allowance of $59.7 million.</w:t>
      </w:r>
    </w:p>
    <w:p>
      <w:pPr>
        <w:spacing w:after="0" w:line="173" w:lineRule="exact"/>
        <w:rPr>
          <w:sz w:val="20"/>
          <w:szCs w:val="20"/>
          <w:color w:val="auto"/>
        </w:rPr>
      </w:pPr>
    </w:p>
    <w:p>
      <w:pPr>
        <w:ind w:right="200"/>
        <w:spacing w:after="0" w:line="270" w:lineRule="auto"/>
        <w:rPr>
          <w:sz w:val="20"/>
          <w:szCs w:val="20"/>
          <w:color w:val="auto"/>
        </w:rPr>
      </w:pPr>
      <w:r>
        <w:rPr>
          <w:rFonts w:ascii="Arial" w:cs="Arial" w:eastAsia="Arial" w:hAnsi="Arial"/>
          <w:sz w:val="13"/>
          <w:szCs w:val="13"/>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2014, the Company believes that a full allowance remains appropriate at this time.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460"/>
          </w:cols>
          <w:pgMar w:left="220" w:top="451" w:right="219" w:bottom="1440" w:gutter="0" w:footer="0" w:header="0"/>
        </w:sectPr>
      </w:pPr>
    </w:p>
    <w:bookmarkStart w:id="15" w:name="page16"/>
    <w:bookmarkEnd w:id="15"/>
    <w:p>
      <w:pPr>
        <w:ind w:right="80"/>
        <w:spacing w:after="0" w:line="267" w:lineRule="auto"/>
        <w:rPr>
          <w:sz w:val="20"/>
          <w:szCs w:val="20"/>
          <w:color w:val="auto"/>
        </w:rPr>
      </w:pPr>
      <w:r>
        <w:rPr>
          <w:rFonts w:ascii="Arial" w:cs="Arial" w:eastAsia="Arial" w:hAnsi="Arial"/>
          <w:sz w:val="13"/>
          <w:szCs w:val="13"/>
          <w:color w:val="auto"/>
        </w:rPr>
        <w:t>As of November 1, 2014, the Company had net operating loss carryforwards of $115.5 million for federal income tax purposes and $64.8 million for state income tax purposes that are available to offset future taxable income through fiscal year 2034. Additionally, the Company has alternative minimum tax credit carryforwards of $2.3 million, which are available to further reduce income taxes over an indefinite period. Additionally, the Company has $0.1 million and $2.5 million of net operating loss for tax purposes related to the Company’s operations in the Netherlands and Canada, respectively, though both are expected to expire largely unutilized. Included in the net operating loss carryforwards for both federal and state income tax is approximately $13.3 million relating to stock compensation deductions, the tax benefit from which, if realized, will be credited to additional paid-in capital.</w:t>
      </w:r>
    </w:p>
    <w:p>
      <w:pPr>
        <w:spacing w:after="0" w:line="137" w:lineRule="exact"/>
        <w:rPr>
          <w:sz w:val="20"/>
          <w:szCs w:val="20"/>
          <w:color w:val="auto"/>
        </w:rPr>
      </w:pPr>
    </w:p>
    <w:p>
      <w:pPr>
        <w:ind w:right="40"/>
        <w:spacing w:after="0" w:line="339" w:lineRule="auto"/>
        <w:rPr>
          <w:sz w:val="20"/>
          <w:szCs w:val="20"/>
          <w:color w:val="auto"/>
        </w:rPr>
      </w:pPr>
      <w:r>
        <w:rPr>
          <w:rFonts w:ascii="Arial" w:cs="Arial" w:eastAsia="Arial" w:hAnsi="Arial"/>
          <w:sz w:val="12"/>
          <w:szCs w:val="12"/>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Company’s tax provision for the third quarter and first nine months of fiscal 2014, which was computed on a discrete basis, reflects the increase in state gross margin tax and foreign income tax as well as an increase in the valuation allowance against the deferred tax assets. The Company’s effective tax rate for the first nine months of fiscal 2013 was 40.1%, which was consistent with the statutory rate applicable to the U.S. and the blended state rate for the states in which the Company conducts business.</w:t>
      </w:r>
    </w:p>
    <w:p>
      <w:pPr>
        <w:spacing w:after="0" w:line="130" w:lineRule="exact"/>
        <w:rPr>
          <w:sz w:val="20"/>
          <w:szCs w:val="20"/>
          <w:color w:val="auto"/>
        </w:rPr>
      </w:pPr>
    </w:p>
    <w:p>
      <w:pPr>
        <w:jc w:val="both"/>
        <w:ind w:right="60"/>
        <w:spacing w:after="0" w:line="286" w:lineRule="auto"/>
        <w:rPr>
          <w:sz w:val="20"/>
          <w:szCs w:val="20"/>
          <w:color w:val="auto"/>
        </w:rPr>
      </w:pPr>
      <w:r>
        <w:rPr>
          <w:rFonts w:ascii="Arial" w:cs="Arial" w:eastAsia="Arial" w:hAnsi="Arial"/>
          <w:sz w:val="12"/>
          <w:szCs w:val="12"/>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2"/>
          <w:szCs w:val="12"/>
          <w:color w:val="auto"/>
        </w:rPr>
        <w:t>Pursuant to Topic 740, Income Taxes, the Company will recognize the benefit from a tax position only if it is more likely than not that the position would be sustained upon audit based solely on the technical merits of the tax position. The liability for unrecognized tax benefits at November 1, 2014 was $3.0 million. This amount is directly associated with a prior year tax position related to exiting the European direct business. The amount of unrecognized tax benefit has been presented as a reduction in the reported amounts of its federal and state NOL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The Company is subject to U.S. federal income tax as well as income tax of multiple state and foreign jurisdictions. The Company has concluded all U.S. federal income tax matters for years through fiscal 1998, with remaining fiscal years subject to income tax examination by federal tax authorities.</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Subsequent Event</w:t>
      </w:r>
    </w:p>
    <w:p>
      <w:pPr>
        <w:spacing w:after="0" w:line="175"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Subsequent to the end of the third quarter of fiscal 2014, on November 10, 2014, the Company entered into a lease termination agreement with the landlord of its San Francisco Rochester store (“Lease Termination Agreement”). Pursuant to the terms of the Lease Termination Agreement, the Company has agreed to the early termination of its existing lease agreement and will exit the store location by January 23, 2015. In consideration of the Company’s agreement to terminate the lease agreement prior to the existing termination date, the landlord will pay the Company a termination fee of approximately $2.5 million. The $2.5 million termination fee will be recognized by the Company in the fourth quarter of fiscal 2014 and will be recorded as a reduction in “Costs of Goods Sold, Including Occupancy Costs” in the Company’s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460"/>
          </w:cols>
          <w:pgMar w:left="220" w:top="451" w:right="21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95" w:lineRule="exact"/>
        <w:rPr>
          <w:sz w:val="20"/>
          <w:szCs w:val="20"/>
          <w:color w:val="auto"/>
        </w:rPr>
      </w:pPr>
    </w:p>
    <w:p>
      <w:pPr>
        <w:spacing w:after="0" w:line="287" w:lineRule="auto"/>
        <w:rPr>
          <w:sz w:val="20"/>
          <w:szCs w:val="20"/>
          <w:color w:val="auto"/>
        </w:rPr>
      </w:pPr>
      <w:r>
        <w:rPr>
          <w:rFonts w:ascii="Arial" w:cs="Arial" w:eastAsia="Arial" w:hAnsi="Arial"/>
          <w:sz w:val="12"/>
          <w:szCs w:val="12"/>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operating and gross profit margins, store counts, costs, capital expenditures, borrowings, sales and earnings expectations for fiscal 2014 and beyond, the expected benefit of marketing initiatives and the anticipated pace and number of store openings in fiscal 2014.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the Quarterly Report on Form 10-Q and our audited consolidated financial statement for the year ended February 1, 2014, included in our Annual Report on Form -10K, filed with the Securities and Exchange Commission on March 17, 2014.</w:t>
      </w:r>
    </w:p>
    <w:p>
      <w:pPr>
        <w:spacing w:after="0" w:line="48" w:lineRule="exact"/>
        <w:rPr>
          <w:sz w:val="20"/>
          <w:szCs w:val="20"/>
          <w:color w:val="auto"/>
        </w:rPr>
      </w:pPr>
    </w:p>
    <w:p>
      <w:pPr>
        <w:ind w:right="20"/>
        <w:spacing w:after="0" w:line="310" w:lineRule="auto"/>
        <w:rPr>
          <w:sz w:val="20"/>
          <w:szCs w:val="20"/>
          <w:color w:val="auto"/>
        </w:rPr>
      </w:pPr>
      <w:r>
        <w:rPr>
          <w:rFonts w:ascii="Arial" w:cs="Arial" w:eastAsia="Arial" w:hAnsi="Arial"/>
          <w:sz w:val="12"/>
          <w:szCs w:val="12"/>
          <w:color w:val="auto"/>
        </w:rPr>
        <w:t>Numerous factors could cause our actual results to differ materially from such forward-looking statements. We encourage readers to refer to “Risk Factors” set forth in Part I, Item 1A of our Annual Report on Form 10-K for the fiscal year ended February 1, 2014, that sets forth certain risks and uncertainties that may have an impact on future results and direction of our Company, including risks relating to the execution of our DXL strategy and ability to grow our market share, our ability to predict customer tastes and fashion trends and to compete successfully in the United States men’s big &amp; tall apparel market.</w:t>
      </w:r>
    </w:p>
    <w:p>
      <w:pPr>
        <w:spacing w:after="0" w:line="111"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SUMMARY</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2"/>
          <w:szCs w:val="12"/>
          <w:color w:val="auto"/>
        </w:rPr>
        <w:t>Destination XL Group, Inc. (formerly known as Casual Male Retail Group, Inc., and together with our consolidated subsidiaries the “Company”) is the largest specialty retailer of big &amp; tall men’s apparel with retail and direct operations in the United States, London, England and direct businesses throughout the United States and Canada. We operate under the trade names of Destination XL</w:t>
      </w:r>
      <w:r>
        <w:rPr>
          <w:rFonts w:ascii="Arial" w:cs="Arial" w:eastAsia="Arial" w:hAnsi="Arial"/>
          <w:sz w:val="17"/>
          <w:szCs w:val="17"/>
          <w:color w:val="auto"/>
          <w:vertAlign w:val="superscript"/>
        </w:rPr>
        <w:t>®</w:t>
      </w:r>
      <w:r>
        <w:rPr>
          <w:rFonts w:ascii="Arial" w:cs="Arial" w:eastAsia="Arial" w:hAnsi="Arial"/>
          <w:sz w:val="12"/>
          <w:szCs w:val="12"/>
          <w:color w:val="auto"/>
        </w:rPr>
        <w:t>, DXL</w:t>
      </w:r>
      <w:r>
        <w:rPr>
          <w:rFonts w:ascii="Arial" w:cs="Arial" w:eastAsia="Arial" w:hAnsi="Arial"/>
          <w:sz w:val="17"/>
          <w:szCs w:val="17"/>
          <w:color w:val="auto"/>
          <w:vertAlign w:val="superscript"/>
        </w:rPr>
        <w:t>®</w:t>
      </w:r>
      <w:r>
        <w:rPr>
          <w:rFonts w:ascii="Arial" w:cs="Arial" w:eastAsia="Arial" w:hAnsi="Arial"/>
          <w:sz w:val="12"/>
          <w:szCs w:val="12"/>
          <w:color w:val="auto"/>
        </w:rPr>
        <w:t>, Casual Male XL</w:t>
      </w:r>
      <w:r>
        <w:rPr>
          <w:rFonts w:ascii="Arial" w:cs="Arial" w:eastAsia="Arial" w:hAnsi="Arial"/>
          <w:sz w:val="17"/>
          <w:szCs w:val="17"/>
          <w:color w:val="auto"/>
          <w:vertAlign w:val="superscript"/>
        </w:rPr>
        <w:t>®</w:t>
      </w:r>
      <w:r>
        <w:rPr>
          <w:rFonts w:ascii="Arial" w:cs="Arial" w:eastAsia="Arial" w:hAnsi="Arial"/>
          <w:sz w:val="12"/>
          <w:szCs w:val="12"/>
          <w:color w:val="auto"/>
        </w:rPr>
        <w:t>, Casual Male XL Outlets, Rochester Clothing, B&amp;T Factory Direct™, ShoesXL</w:t>
      </w:r>
      <w:r>
        <w:rPr>
          <w:rFonts w:ascii="Arial" w:cs="Arial" w:eastAsia="Arial" w:hAnsi="Arial"/>
          <w:sz w:val="17"/>
          <w:szCs w:val="17"/>
          <w:color w:val="auto"/>
          <w:vertAlign w:val="superscript"/>
        </w:rPr>
        <w:t>®</w:t>
      </w:r>
      <w:r>
        <w:rPr>
          <w:rFonts w:ascii="Arial" w:cs="Arial" w:eastAsia="Arial" w:hAnsi="Arial"/>
          <w:sz w:val="12"/>
          <w:szCs w:val="12"/>
          <w:color w:val="auto"/>
        </w:rPr>
        <w:t xml:space="preserve"> and LivingXL</w:t>
      </w:r>
      <w:r>
        <w:rPr>
          <w:rFonts w:ascii="Arial" w:cs="Arial" w:eastAsia="Arial" w:hAnsi="Arial"/>
          <w:sz w:val="17"/>
          <w:szCs w:val="17"/>
          <w:color w:val="auto"/>
          <w:vertAlign w:val="superscript"/>
        </w:rPr>
        <w:t>®</w:t>
      </w:r>
      <w:r>
        <w:rPr>
          <w:rFonts w:ascii="Arial" w:cs="Arial" w:eastAsia="Arial" w:hAnsi="Arial"/>
          <w:sz w:val="12"/>
          <w:szCs w:val="12"/>
          <w:color w:val="auto"/>
        </w:rPr>
        <w:t>. At November 1, 2014, we operated 128 Destination XL stores, 175 Casual Male XL retail stores, 49 Casual Male XL outlet stores and 9 Rochester Clothing stores. Our direct business includes our DestinationXL.com e-commerce site and several mailers which support our brands and product extensions.</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3"/>
          <w:szCs w:val="13"/>
          <w:color w:val="auto"/>
        </w:rPr>
        <w:t>Unless the context indicates otherwise, all references to “we,” “our,” “ours,” “us” and “the Company” refer to Destination XL Group, Inc. and our consolidated subsidiaries. We refer to our fiscal years which end on January 31, 2015 and February 1, 2014 as “fiscal 2014” and “fiscal 2013,” respectively. Both fiscal years are 52-week periods.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REPORTING</w:t>
      </w:r>
    </w:p>
    <w:p>
      <w:pPr>
        <w:spacing w:after="0" w:line="95"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COMPARABLE SALES</w:t>
      </w:r>
    </w:p>
    <w:p>
      <w:pPr>
        <w:spacing w:after="0" w:line="95"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Beginning in the first quarter of fiscal 2014, total comparable sales for all periods include our retail stores that have been open for at least 13 months and our U.S. direct business. Our U.S. direct business is included as part of our calculation of total comparable sales because we are an omni-channel retailer offering our customers convenient alternatives for their shopping needs. The method of calculating comparable sales varies across the retail industry and, as a result, our calculation of comparable sales is not necessarily comparable to similarly titled measures reported by other companies. As noted below, because of this omni-channel approach to retailing, beginning with the third quarter of fiscal 2014, we no longer report our direct business sales on a stand-alone basis.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440"/>
          </w:cols>
          <w:pgMar w:left="220" w:top="288" w:right="239" w:bottom="1440" w:gutter="0" w:footer="0" w:header="0"/>
        </w:sectPr>
      </w:pPr>
    </w:p>
    <w:bookmarkStart w:id="17" w:name="page18"/>
    <w:bookmarkEnd w:id="17"/>
    <w:p>
      <w:pPr>
        <w:spacing w:after="0" w:line="270" w:lineRule="auto"/>
        <w:rPr>
          <w:sz w:val="20"/>
          <w:szCs w:val="20"/>
          <w:color w:val="auto"/>
        </w:rPr>
      </w:pPr>
      <w:r>
        <w:rPr>
          <w:rFonts w:ascii="Arial" w:cs="Arial" w:eastAsia="Arial" w:hAnsi="Arial"/>
          <w:sz w:val="13"/>
          <w:szCs w:val="13"/>
          <w:color w:val="auto"/>
        </w:rPr>
        <w:t>Through the end of fiscal 2013, the majority of our DXL stores were considered relocations and comparable to all the closed Casual Male XL and/or Rochester stores in each respective market area for the first twelve months. Due to the small number of DXL stores opened for more than a year, we believed that this was a useful comparison as to how a DXL store was performing in the market when compared to the sales of the predecessor stores. However, with 73 DXL stores open at least 13 months, we believe that a traditional DXL comparable will have more meaning going forward. Therefore, beginning with fiscal year 2014, only DXL stores that have been open at least 13 months will be included in comparable store sales.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SEARS CANADA BUSINESS</w:t>
      </w:r>
    </w:p>
    <w:p>
      <w:pPr>
        <w:spacing w:after="0" w:line="95"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In the second quarter of fiscal 2014, we notified Sears Canada of our intent to exit the business and began the process of an orderly wind-down. Because we are winding down the business, beginning in the second quarter of fiscal 2014, sales from our Sears Canada business were no longer included in our comparable sales results. We anticipate concluding the wind-down in the fourth quarter of fiscal 2014. Sears Canada represented less than 5% of our total direct business in fiscal 2013.</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RECLASSIFICATIONS</w:t>
      </w:r>
    </w:p>
    <w:p>
      <w:pPr>
        <w:spacing w:after="0" w:line="95"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Beginning in the first quarter of fiscal 2014, we began reporting alterations revenue in top line sales with the associated tailor wages in cost of goods sold. As alterations and tailors become a more significant part of our business model, we believe the revenue and cost should be shown within gross margin rather than encompassed in selling, general and administrative expenses (“SG&amp;A”). We have reclassified the results for the third quarter and first nine months of fiscal 2013 to reflect this presentation on a comparative basis.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95"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The following is a summary of results for the third quarter and first nine months of fiscal 2014, which includes EBITDA (Earnings before interest, taxes and depreciation and amortization), a Non-GAAP measure, and Net loss on both a GAAP and Non-GAAP basis. See “Presentation of Non-GAAP Measures” below for a reconciliation of these Non-GAAP measures.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20" w:type="dxa"/>
            <w:vAlign w:val="bottom"/>
            <w:gridSpan w:val="5"/>
          </w:tcPr>
          <w:p>
            <w:pPr>
              <w:jc w:val="right"/>
              <w:ind w:right="446"/>
              <w:spacing w:after="0"/>
              <w:rPr>
                <w:sz w:val="20"/>
                <w:szCs w:val="20"/>
                <w:color w:val="auto"/>
              </w:rPr>
            </w:pPr>
            <w:r>
              <w:rPr>
                <w:rFonts w:ascii="Arial" w:cs="Arial" w:eastAsia="Arial" w:hAnsi="Arial"/>
                <w:sz w:val="11"/>
                <w:szCs w:val="11"/>
                <w:color w:val="auto"/>
              </w:rPr>
              <w:t>For the Third Quarter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gridSpan w:val="4"/>
          </w:tcPr>
          <w:p>
            <w:pPr>
              <w:jc w:val="right"/>
              <w:ind w:right="346"/>
              <w:spacing w:after="0"/>
              <w:rPr>
                <w:sz w:val="20"/>
                <w:szCs w:val="20"/>
                <w:color w:val="auto"/>
              </w:rPr>
            </w:pPr>
            <w:r>
              <w:rPr>
                <w:rFonts w:ascii="Arial" w:cs="Arial" w:eastAsia="Arial" w:hAnsi="Arial"/>
                <w:sz w:val="11"/>
                <w:szCs w:val="11"/>
                <w:color w:val="auto"/>
              </w:rPr>
              <w:t>For the First Nine Months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Projected</w:t>
            </w:r>
          </w:p>
        </w:tc>
      </w:tr>
      <w:tr>
        <w:trPr>
          <w:trHeight w:val="124"/>
        </w:trPr>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jc w:val="right"/>
              <w:ind w:right="6"/>
              <w:spacing w:after="0" w:line="124" w:lineRule="exact"/>
              <w:rPr>
                <w:sz w:val="20"/>
                <w:szCs w:val="20"/>
                <w:color w:val="auto"/>
              </w:rPr>
            </w:pPr>
            <w:r>
              <w:rPr>
                <w:rFonts w:ascii="Arial" w:cs="Arial" w:eastAsia="Arial" w:hAnsi="Arial"/>
                <w:sz w:val="11"/>
                <w:szCs w:val="11"/>
                <w:color w:val="auto"/>
              </w:rPr>
              <w:t>Fiscal 2014</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line="124" w:lineRule="exact"/>
              <w:rPr>
                <w:sz w:val="20"/>
                <w:szCs w:val="20"/>
                <w:color w:val="auto"/>
              </w:rPr>
            </w:pPr>
            <w:r>
              <w:rPr>
                <w:rFonts w:ascii="Arial" w:cs="Arial" w:eastAsia="Arial" w:hAnsi="Arial"/>
                <w:sz w:val="11"/>
                <w:szCs w:val="11"/>
                <w:color w:val="auto"/>
              </w:rPr>
              <w:t>Fiscal 2013</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440"/>
              <w:spacing w:after="0" w:line="124" w:lineRule="exact"/>
              <w:rPr>
                <w:sz w:val="20"/>
                <w:szCs w:val="20"/>
                <w:color w:val="auto"/>
              </w:rPr>
            </w:pPr>
            <w:r>
              <w:rPr>
                <w:rFonts w:ascii="Arial" w:cs="Arial" w:eastAsia="Arial" w:hAnsi="Arial"/>
                <w:sz w:val="11"/>
                <w:szCs w:val="11"/>
                <w:color w:val="auto"/>
              </w:rPr>
              <w:t>Fiscal 2014</w:t>
            </w:r>
          </w:p>
        </w:tc>
        <w:tc>
          <w:tcPr>
            <w:tcW w:w="100" w:type="dxa"/>
            <w:vAlign w:val="bottom"/>
          </w:tcPr>
          <w:p>
            <w:pPr>
              <w:spacing w:after="0"/>
              <w:rPr>
                <w:sz w:val="10"/>
                <w:szCs w:val="10"/>
                <w:color w:val="auto"/>
              </w:rPr>
            </w:pPr>
          </w:p>
        </w:tc>
        <w:tc>
          <w:tcPr>
            <w:tcW w:w="860" w:type="dxa"/>
            <w:vAlign w:val="bottom"/>
          </w:tcPr>
          <w:p>
            <w:pPr>
              <w:jc w:val="right"/>
              <w:spacing w:after="0" w:line="124" w:lineRule="exact"/>
              <w:rPr>
                <w:sz w:val="20"/>
                <w:szCs w:val="20"/>
                <w:color w:val="auto"/>
              </w:rPr>
            </w:pPr>
            <w:r>
              <w:rPr>
                <w:rFonts w:ascii="Arial" w:cs="Arial" w:eastAsia="Arial" w:hAnsi="Arial"/>
                <w:sz w:val="11"/>
                <w:szCs w:val="11"/>
                <w:color w:val="auto"/>
              </w:rPr>
              <w:t>Fiscal 2013</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center"/>
              <w:ind w:right="120"/>
              <w:spacing w:after="0" w:line="124" w:lineRule="exact"/>
              <w:rPr>
                <w:sz w:val="20"/>
                <w:szCs w:val="20"/>
                <w:color w:val="auto"/>
              </w:rPr>
            </w:pPr>
            <w:r>
              <w:rPr>
                <w:rFonts w:ascii="Arial" w:cs="Arial" w:eastAsia="Arial" w:hAnsi="Arial"/>
                <w:sz w:val="11"/>
                <w:szCs w:val="11"/>
                <w:color w:val="auto"/>
                <w:w w:val="88"/>
              </w:rPr>
              <w:t>Fiscal 2014</w:t>
            </w:r>
          </w:p>
        </w:tc>
      </w:tr>
      <w:tr>
        <w:trPr>
          <w:trHeight w:val="142"/>
        </w:trPr>
        <w:tc>
          <w:tcPr>
            <w:tcW w:w="3000" w:type="dxa"/>
            <w:vAlign w:val="bottom"/>
            <w:tcBorders>
              <w:top w:val="single" w:sz="8" w:color="CFF0FC"/>
            </w:tcBorders>
            <w:gridSpan w:val="3"/>
            <w:shd w:val="clear" w:color="auto" w:fill="CFF0FC"/>
          </w:tcPr>
          <w:p>
            <w:pPr>
              <w:spacing w:after="0" w:line="121" w:lineRule="exact"/>
              <w:rPr>
                <w:sz w:val="20"/>
                <w:szCs w:val="20"/>
                <w:color w:val="auto"/>
              </w:rPr>
            </w:pPr>
            <w:r>
              <w:rPr>
                <w:rFonts w:ascii="Arial" w:cs="Arial" w:eastAsia="Arial" w:hAnsi="Arial"/>
                <w:sz w:val="11"/>
                <w:szCs w:val="11"/>
                <w:i w:val="1"/>
                <w:iCs w:val="1"/>
                <w:color w:val="auto"/>
              </w:rPr>
              <w:t>(in millions, except per share data)</w:t>
            </w:r>
          </w:p>
        </w:tc>
        <w:tc>
          <w:tcPr>
            <w:tcW w:w="84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71"/>
        </w:trPr>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Operating Loss</w:t>
            </w:r>
          </w:p>
        </w:tc>
        <w:tc>
          <w:tcPr>
            <w:tcW w:w="1500" w:type="dxa"/>
            <w:vAlign w:val="bottom"/>
            <w:tcBorders>
              <w:top w:val="single" w:sz="8" w:color="CFF0FC"/>
            </w:tcBorders>
          </w:tcPr>
          <w:p>
            <w:pPr>
              <w:spacing w:after="0"/>
              <w:rPr>
                <w:sz w:val="14"/>
                <w:szCs w:val="14"/>
                <w:color w:val="auto"/>
              </w:rPr>
            </w:pPr>
          </w:p>
        </w:tc>
        <w:tc>
          <w:tcPr>
            <w:tcW w:w="1720" w:type="dxa"/>
            <w:vAlign w:val="bottom"/>
            <w:tcBorders>
              <w:top w:val="single" w:sz="8" w:color="CFF0FC"/>
            </w:tcBorders>
            <w:gridSpan w:val="2"/>
          </w:tcPr>
          <w:p>
            <w:pPr>
              <w:jc w:val="right"/>
              <w:ind w:right="766"/>
              <w:spacing w:after="0"/>
              <w:rPr>
                <w:sz w:val="20"/>
                <w:szCs w:val="20"/>
                <w:color w:val="auto"/>
              </w:rPr>
            </w:pPr>
            <w:r>
              <w:rPr>
                <w:rFonts w:ascii="Arial" w:cs="Arial" w:eastAsia="Arial" w:hAnsi="Arial"/>
                <w:sz w:val="11"/>
                <w:szCs w:val="11"/>
                <w:color w:val="auto"/>
              </w:rPr>
              <w:t>$</w:t>
            </w:r>
          </w:p>
        </w:tc>
        <w:tc>
          <w:tcPr>
            <w:tcW w:w="38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1"/>
                <w:szCs w:val="11"/>
                <w:color w:val="auto"/>
              </w:rPr>
              <w:t>(5.7)</w:t>
            </w:r>
          </w:p>
        </w:tc>
        <w:tc>
          <w:tcPr>
            <w:tcW w:w="960" w:type="dxa"/>
            <w:vAlign w:val="bottom"/>
            <w:tcBorders>
              <w:top w:val="single" w:sz="8" w:color="CFF0FC"/>
            </w:tcBorders>
            <w:gridSpan w:val="2"/>
          </w:tcPr>
          <w:p>
            <w:pPr>
              <w:jc w:val="right"/>
              <w:ind w:right="766"/>
              <w:spacing w:after="0"/>
              <w:rPr>
                <w:sz w:val="20"/>
                <w:szCs w:val="20"/>
                <w:color w:val="auto"/>
              </w:rPr>
            </w:pPr>
            <w:r>
              <w:rPr>
                <w:rFonts w:ascii="Arial" w:cs="Arial" w:eastAsia="Arial" w:hAnsi="Arial"/>
                <w:sz w:val="11"/>
                <w:szCs w:val="11"/>
                <w:color w:val="auto"/>
              </w:rPr>
              <w:t>$</w:t>
            </w:r>
          </w:p>
        </w:tc>
        <w:tc>
          <w:tcPr>
            <w:tcW w:w="38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1"/>
                <w:szCs w:val="11"/>
                <w:color w:val="auto"/>
              </w:rPr>
              <w:t>(6.7)</w:t>
            </w:r>
          </w:p>
        </w:tc>
        <w:tc>
          <w:tcPr>
            <w:tcW w:w="28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tcBorders>
              <w:top w:val="single" w:sz="8" w:color="CFF0FC"/>
            </w:tcBorders>
            <w:gridSpan w:val="2"/>
          </w:tcPr>
          <w:p>
            <w:pPr>
              <w:jc w:val="right"/>
              <w:ind w:right="60"/>
              <w:spacing w:after="0"/>
              <w:rPr>
                <w:sz w:val="20"/>
                <w:szCs w:val="20"/>
                <w:color w:val="auto"/>
              </w:rPr>
            </w:pPr>
            <w:r>
              <w:rPr>
                <w:rFonts w:ascii="Arial" w:cs="Arial" w:eastAsia="Arial" w:hAnsi="Arial"/>
                <w:sz w:val="11"/>
                <w:szCs w:val="11"/>
                <w:color w:val="auto"/>
              </w:rPr>
              <w:t>(12.3)</w:t>
            </w:r>
          </w:p>
        </w:tc>
        <w:tc>
          <w:tcPr>
            <w:tcW w:w="960" w:type="dxa"/>
            <w:vAlign w:val="bottom"/>
            <w:tcBorders>
              <w:top w:val="single" w:sz="8" w:color="CFF0FC"/>
            </w:tcBorders>
            <w:gridSpan w:val="2"/>
          </w:tcPr>
          <w:p>
            <w:pPr>
              <w:jc w:val="right"/>
              <w:ind w:right="76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CFF0FC"/>
            </w:tcBorders>
            <w:gridSpan w:val="2"/>
          </w:tcPr>
          <w:p>
            <w:pPr>
              <w:jc w:val="right"/>
              <w:ind w:right="160"/>
              <w:spacing w:after="0"/>
              <w:rPr>
                <w:sz w:val="20"/>
                <w:szCs w:val="20"/>
                <w:color w:val="auto"/>
              </w:rPr>
            </w:pPr>
            <w:r>
              <w:rPr>
                <w:rFonts w:ascii="Arial" w:cs="Arial" w:eastAsia="Arial" w:hAnsi="Arial"/>
                <w:sz w:val="11"/>
                <w:szCs w:val="11"/>
                <w:color w:val="auto"/>
              </w:rPr>
              <w:t>(7.0)</w:t>
            </w:r>
          </w:p>
        </w:tc>
        <w:tc>
          <w:tcPr>
            <w:tcW w:w="1200" w:type="dxa"/>
            <w:vAlign w:val="bottom"/>
            <w:tcBorders>
              <w:top w:val="single" w:sz="8" w:color="CFF0FC"/>
            </w:tcBorders>
          </w:tcPr>
          <w:p>
            <w:pPr>
              <w:jc w:val="center"/>
              <w:spacing w:after="0"/>
              <w:rPr>
                <w:sz w:val="20"/>
                <w:szCs w:val="20"/>
                <w:color w:val="auto"/>
              </w:rPr>
            </w:pPr>
            <w:r>
              <w:rPr>
                <w:rFonts w:ascii="Arial" w:cs="Arial" w:eastAsia="Arial" w:hAnsi="Arial"/>
                <w:sz w:val="11"/>
                <w:szCs w:val="11"/>
                <w:color w:val="auto"/>
                <w:w w:val="90"/>
              </w:rPr>
              <w:t>$ (11.6)-(8.4)</w:t>
            </w:r>
          </w:p>
        </w:tc>
        <w:tc>
          <w:tcPr>
            <w:tcW w:w="100" w:type="dxa"/>
            <w:vAlign w:val="bottom"/>
            <w:tcBorders>
              <w:top w:val="single" w:sz="8" w:color="CFF0FC"/>
            </w:tcBorders>
          </w:tcPr>
          <w:p>
            <w:pPr>
              <w:spacing w:after="0"/>
              <w:rPr>
                <w:sz w:val="14"/>
                <w:szCs w:val="14"/>
                <w:color w:val="auto"/>
              </w:rPr>
            </w:pPr>
          </w:p>
        </w:tc>
      </w:tr>
      <w:tr>
        <w:trPr>
          <w:trHeight w:val="171"/>
        </w:trPr>
        <w:tc>
          <w:tcPr>
            <w:tcW w:w="3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Add back: Depreciation and amortization expense</w:t>
            </w:r>
          </w:p>
        </w:tc>
        <w:tc>
          <w:tcPr>
            <w:tcW w:w="84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4.9</w:t>
            </w: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17.2</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13.6</w:t>
            </w:r>
          </w:p>
        </w:tc>
        <w:tc>
          <w:tcPr>
            <w:tcW w:w="200" w:type="dxa"/>
            <w:vAlign w:val="bottom"/>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406"/>
              <w:spacing w:after="0"/>
              <w:rPr>
                <w:sz w:val="20"/>
                <w:szCs w:val="20"/>
                <w:color w:val="auto"/>
              </w:rPr>
            </w:pPr>
            <w:r>
              <w:rPr>
                <w:rFonts w:ascii="Arial" w:cs="Arial" w:eastAsia="Arial" w:hAnsi="Arial"/>
                <w:sz w:val="11"/>
                <w:szCs w:val="11"/>
                <w:color w:val="auto"/>
              </w:rPr>
              <w:t>24.0</w:t>
            </w:r>
          </w:p>
        </w:tc>
        <w:tc>
          <w:tcPr>
            <w:tcW w:w="100" w:type="dxa"/>
            <w:vAlign w:val="bottom"/>
            <w:shd w:val="clear" w:color="auto" w:fill="CFF0FC"/>
          </w:tcPr>
          <w:p>
            <w:pPr>
              <w:spacing w:after="0"/>
              <w:rPr>
                <w:sz w:val="14"/>
                <w:szCs w:val="14"/>
                <w:color w:val="auto"/>
              </w:rPr>
            </w:pPr>
          </w:p>
        </w:tc>
      </w:tr>
      <w:tr>
        <w:trPr>
          <w:trHeight w:val="162"/>
        </w:trPr>
        <w:tc>
          <w:tcPr>
            <w:tcW w:w="3000" w:type="dxa"/>
            <w:vAlign w:val="bottom"/>
            <w:gridSpan w:val="3"/>
          </w:tcPr>
          <w:p>
            <w:pPr>
              <w:spacing w:after="0"/>
              <w:rPr>
                <w:sz w:val="20"/>
                <w:szCs w:val="20"/>
                <w:color w:val="auto"/>
              </w:rPr>
            </w:pPr>
            <w:r>
              <w:rPr>
                <w:rFonts w:ascii="Arial" w:cs="Arial" w:eastAsia="Arial" w:hAnsi="Arial"/>
                <w:sz w:val="11"/>
                <w:szCs w:val="11"/>
                <w:color w:val="auto"/>
              </w:rPr>
              <w:t>EBITDA (Non-GAAP basis)</w:t>
            </w:r>
          </w:p>
        </w:tc>
        <w:tc>
          <w:tcPr>
            <w:tcW w:w="1720" w:type="dxa"/>
            <w:vAlign w:val="bottom"/>
            <w:gridSpan w:val="2"/>
          </w:tcPr>
          <w:p>
            <w:pPr>
              <w:jc w:val="right"/>
              <w:ind w:right="766"/>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4"/>
                <w:szCs w:val="14"/>
                <w:color w:val="auto"/>
              </w:rPr>
            </w:pPr>
          </w:p>
        </w:tc>
        <w:tc>
          <w:tcPr>
            <w:tcW w:w="960" w:type="dxa"/>
            <w:vAlign w:val="bottom"/>
            <w:gridSpan w:val="2"/>
          </w:tcPr>
          <w:p>
            <w:pPr>
              <w:jc w:val="right"/>
              <w:ind w:right="766"/>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4"/>
                <w:szCs w:val="14"/>
                <w:color w:val="auto"/>
              </w:rPr>
            </w:pPr>
          </w:p>
        </w:tc>
        <w:tc>
          <w:tcPr>
            <w:tcW w:w="960" w:type="dxa"/>
            <w:vAlign w:val="bottom"/>
            <w:gridSpan w:val="2"/>
          </w:tcPr>
          <w:p>
            <w:pPr>
              <w:jc w:val="right"/>
              <w:ind w:right="766"/>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6.6</w:t>
            </w: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w w:val="88"/>
              </w:rPr>
              <w:t>$ 12.4- 15.6</w:t>
            </w:r>
          </w:p>
        </w:tc>
        <w:tc>
          <w:tcPr>
            <w:tcW w:w="100" w:type="dxa"/>
            <w:vAlign w:val="bottom"/>
          </w:tcPr>
          <w:p>
            <w:pPr>
              <w:spacing w:after="0"/>
              <w:rPr>
                <w:sz w:val="14"/>
                <w:szCs w:val="14"/>
                <w:color w:val="auto"/>
              </w:rPr>
            </w:pPr>
          </w:p>
        </w:tc>
      </w:tr>
      <w:tr>
        <w:trPr>
          <w:trHeight w:val="171"/>
        </w:trPr>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1"/>
        </w:trPr>
        <w:tc>
          <w:tcPr>
            <w:tcW w:w="3000" w:type="dxa"/>
            <w:vAlign w:val="bottom"/>
            <w:gridSpan w:val="3"/>
          </w:tcPr>
          <w:p>
            <w:pPr>
              <w:spacing w:after="0"/>
              <w:rPr>
                <w:sz w:val="20"/>
                <w:szCs w:val="20"/>
                <w:color w:val="auto"/>
              </w:rPr>
            </w:pPr>
            <w:r>
              <w:rPr>
                <w:rFonts w:ascii="Arial" w:cs="Arial" w:eastAsia="Arial" w:hAnsi="Arial"/>
                <w:sz w:val="11"/>
                <w:szCs w:val="11"/>
                <w:color w:val="auto"/>
              </w:rPr>
              <w:t>Diluted earnings (loss) per share:</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1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1"/>
        </w:trPr>
        <w:tc>
          <w:tcPr>
            <w:tcW w:w="3000" w:type="dxa"/>
            <w:vAlign w:val="bottom"/>
            <w:gridSpan w:val="3"/>
            <w:shd w:val="clear" w:color="auto" w:fill="CFF0FC"/>
          </w:tcPr>
          <w:p>
            <w:pPr>
              <w:spacing w:after="0"/>
              <w:rPr>
                <w:sz w:val="20"/>
                <w:szCs w:val="20"/>
                <w:color w:val="auto"/>
              </w:rPr>
            </w:pPr>
            <w:r>
              <w:rPr>
                <w:rFonts w:ascii="Arial" w:cs="Arial" w:eastAsia="Arial" w:hAnsi="Arial"/>
                <w:sz w:val="11"/>
                <w:szCs w:val="11"/>
                <w:color w:val="auto"/>
              </w:rPr>
              <w:t>Net loss</w:t>
            </w:r>
          </w:p>
        </w:tc>
        <w:tc>
          <w:tcPr>
            <w:tcW w:w="1720" w:type="dxa"/>
            <w:vAlign w:val="bottom"/>
            <w:gridSpan w:val="2"/>
            <w:shd w:val="clear" w:color="auto" w:fill="CFF0FC"/>
          </w:tcPr>
          <w:p>
            <w:pPr>
              <w:jc w:val="right"/>
              <w:ind w:right="766"/>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(0.13)</w:t>
            </w:r>
          </w:p>
        </w:tc>
        <w:tc>
          <w:tcPr>
            <w:tcW w:w="960" w:type="dxa"/>
            <w:vAlign w:val="bottom"/>
            <w:gridSpan w:val="2"/>
            <w:shd w:val="clear" w:color="auto" w:fill="CFF0FC"/>
          </w:tcPr>
          <w:p>
            <w:pPr>
              <w:jc w:val="right"/>
              <w:ind w:right="766"/>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(0.08)</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(0.28)</w:t>
            </w:r>
          </w:p>
        </w:tc>
        <w:tc>
          <w:tcPr>
            <w:tcW w:w="960" w:type="dxa"/>
            <w:vAlign w:val="bottom"/>
            <w:gridSpan w:val="2"/>
            <w:shd w:val="clear" w:color="auto" w:fill="CFF0FC"/>
          </w:tcPr>
          <w:p>
            <w:pPr>
              <w:jc w:val="right"/>
              <w:ind w:right="766"/>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(0.10)</w:t>
            </w:r>
          </w:p>
        </w:tc>
        <w:tc>
          <w:tcPr>
            <w:tcW w:w="12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($0.21)-($0.27)</w:t>
            </w:r>
          </w:p>
        </w:tc>
        <w:tc>
          <w:tcPr>
            <w:tcW w:w="100" w:type="dxa"/>
            <w:vAlign w:val="bottom"/>
            <w:shd w:val="clear" w:color="auto" w:fill="CFF0FC"/>
          </w:tcPr>
          <w:p>
            <w:pPr>
              <w:spacing w:after="0"/>
              <w:rPr>
                <w:sz w:val="14"/>
                <w:szCs w:val="14"/>
                <w:color w:val="auto"/>
              </w:rPr>
            </w:pPr>
          </w:p>
        </w:tc>
      </w:tr>
      <w:tr>
        <w:trPr>
          <w:trHeight w:val="183"/>
        </w:trPr>
        <w:tc>
          <w:tcPr>
            <w:tcW w:w="3000" w:type="dxa"/>
            <w:vAlign w:val="bottom"/>
            <w:gridSpan w:val="3"/>
          </w:tcPr>
          <w:p>
            <w:pPr>
              <w:spacing w:after="0"/>
              <w:rPr>
                <w:sz w:val="20"/>
                <w:szCs w:val="20"/>
                <w:color w:val="auto"/>
              </w:rPr>
            </w:pPr>
            <w:r>
              <w:rPr>
                <w:rFonts w:ascii="Arial" w:cs="Arial" w:eastAsia="Arial" w:hAnsi="Arial"/>
                <w:sz w:val="11"/>
                <w:szCs w:val="11"/>
                <w:color w:val="auto"/>
              </w:rPr>
              <w:t>Net loss (Non-GAAP basis)</w:t>
            </w:r>
            <w:r>
              <w:rPr>
                <w:rFonts w:ascii="Arial" w:cs="Arial" w:eastAsia="Arial" w:hAnsi="Arial"/>
                <w:sz w:val="9"/>
                <w:szCs w:val="9"/>
                <w:color w:val="auto"/>
              </w:rPr>
              <w:t>(1)</w:t>
            </w:r>
          </w:p>
        </w:tc>
        <w:tc>
          <w:tcPr>
            <w:tcW w:w="1720" w:type="dxa"/>
            <w:vAlign w:val="bottom"/>
            <w:gridSpan w:val="2"/>
          </w:tcPr>
          <w:p>
            <w:pPr>
              <w:jc w:val="right"/>
              <w:ind w:right="766"/>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(0.08)</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1"/>
                <w:szCs w:val="11"/>
                <w:color w:val="auto"/>
              </w:rPr>
              <w:t>(0.17)</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1"/>
                <w:szCs w:val="11"/>
                <w:color w:val="auto"/>
              </w:rPr>
              <w:t>n/a</w:t>
            </w:r>
          </w:p>
        </w:tc>
        <w:tc>
          <w:tcPr>
            <w:tcW w:w="1200" w:type="dxa"/>
            <w:vAlign w:val="bottom"/>
          </w:tcPr>
          <w:p>
            <w:pPr>
              <w:jc w:val="center"/>
              <w:spacing w:after="0"/>
              <w:rPr>
                <w:sz w:val="20"/>
                <w:szCs w:val="20"/>
                <w:color w:val="auto"/>
              </w:rPr>
            </w:pPr>
            <w:r>
              <w:rPr>
                <w:rFonts w:ascii="Arial" w:cs="Arial" w:eastAsia="Arial" w:hAnsi="Arial"/>
                <w:sz w:val="11"/>
                <w:szCs w:val="11"/>
                <w:color w:val="auto"/>
                <w:w w:val="89"/>
              </w:rPr>
              <w:t>($0.12)-($0.16)</w:t>
            </w:r>
          </w:p>
        </w:tc>
        <w:tc>
          <w:tcPr>
            <w:tcW w:w="100" w:type="dxa"/>
            <w:vAlign w:val="bottom"/>
          </w:tcPr>
          <w:p>
            <w:pPr>
              <w:spacing w:after="0"/>
              <w:rPr>
                <w:sz w:val="15"/>
                <w:szCs w:val="15"/>
                <w:color w:val="auto"/>
              </w:rPr>
            </w:pPr>
          </w:p>
        </w:tc>
      </w:tr>
    </w:tbl>
    <w:p>
      <w:pPr>
        <w:ind w:left="1020" w:hanging="499"/>
        <w:spacing w:after="0" w:line="226" w:lineRule="auto"/>
        <w:tabs>
          <w:tab w:leader="none" w:pos="1020" w:val="left"/>
        </w:tabs>
        <w:numPr>
          <w:ilvl w:val="0"/>
          <w:numId w:val="7"/>
        </w:numPr>
        <w:rPr>
          <w:rFonts w:ascii="Arial" w:cs="Arial" w:eastAsia="Arial" w:hAnsi="Arial"/>
          <w:sz w:val="27"/>
          <w:szCs w:val="27"/>
          <w:color w:val="auto"/>
          <w:vertAlign w:val="subscript"/>
        </w:rPr>
      </w:pPr>
      <w:r>
        <w:rPr>
          <w:rFonts w:ascii="Arial" w:cs="Arial" w:eastAsia="Arial" w:hAnsi="Arial"/>
          <w:sz w:val="11"/>
          <w:szCs w:val="11"/>
          <w:color w:val="auto"/>
        </w:rPr>
        <w:t>Net loss per diluted share, on a non-GAAP basis, assumes a normalized tax rate of 40%.</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Summary</w:t>
      </w:r>
    </w:p>
    <w:p>
      <w:pPr>
        <w:spacing w:after="0" w:line="93" w:lineRule="exact"/>
        <w:rPr>
          <w:sz w:val="20"/>
          <w:szCs w:val="20"/>
          <w:color w:val="auto"/>
        </w:rPr>
      </w:pPr>
    </w:p>
    <w:p>
      <w:pPr>
        <w:ind w:right="20"/>
        <w:spacing w:after="0" w:line="295" w:lineRule="auto"/>
        <w:rPr>
          <w:sz w:val="20"/>
          <w:szCs w:val="20"/>
          <w:color w:val="auto"/>
        </w:rPr>
      </w:pPr>
      <w:r>
        <w:rPr>
          <w:rFonts w:ascii="Arial" w:cs="Arial" w:eastAsia="Arial" w:hAnsi="Arial"/>
          <w:sz w:val="12"/>
          <w:szCs w:val="12"/>
          <w:color w:val="auto"/>
        </w:rPr>
        <w:t>For the third quarter of fiscal 2014, we reported a net loss of $6.3 million, or $(0.13) per diluted share, as compared to a net loss for the third quarter of fiscal 2013 of $4.1 million, or $(0.08) per diluted share. Included in the results for the third quarter of fiscal 2014, are transition costs of $2.5 million, or $0.05 per diluted share (no tax benefit), which includes $1.1 million of pre-opening occupancy costs, $1.2 million of selling, general and administrative (SG&amp;A) expenses and $0.2 million related to trademark amortization. This compares to transition costs incurred in the third quarter of fiscal 2013 of $2.8 million, or $0.03 per diluted share. On a non-GAAP basis, our adjusted net loss for the third quarter of fiscal 2014, assuming a normal tax benefit, was $3.7 million, or $(0.08) per diluted share, as compared to $(0.08) per diluted share for the third quarter of fiscal 2013. EBITDA for the third quarter improved $2.1 million to $0.3 million as compared to $(1.8) million for the third quarter of fiscal 2013.</w:t>
      </w:r>
    </w:p>
    <w:p>
      <w:pPr>
        <w:spacing w:after="0" w:line="120" w:lineRule="exact"/>
        <w:rPr>
          <w:sz w:val="20"/>
          <w:szCs w:val="20"/>
          <w:color w:val="auto"/>
        </w:rPr>
      </w:pPr>
    </w:p>
    <w:p>
      <w:pPr>
        <w:ind w:right="60"/>
        <w:spacing w:after="0" w:line="295" w:lineRule="auto"/>
        <w:rPr>
          <w:sz w:val="20"/>
          <w:szCs w:val="20"/>
          <w:color w:val="auto"/>
        </w:rPr>
      </w:pPr>
      <w:r>
        <w:rPr>
          <w:rFonts w:ascii="Arial" w:cs="Arial" w:eastAsia="Arial" w:hAnsi="Arial"/>
          <w:sz w:val="12"/>
          <w:szCs w:val="12"/>
          <w:color w:val="auto"/>
        </w:rPr>
        <w:t>Our comparable sales growth continues to be driven by our DXL stores, which have had double-digit comparable sales increases for six consecutive quarters. Comparable sales for our DXL stores were up 12.8% for the third quarter against a prior year third quarter comparable sales increase of 11.3%. We continue to see positive results from many of our DXL store metrics. Store traffic is up 4.4% and we are improving the conversion of that traffic with an increase of 8.4% over the prior year third quarter. In addition, the number of transactions in our DXL stores have increased 13.1% over the prior year third quarter. These improvements continue to be driven by our marketing and in-store promotional initiatives. At the end of the third quarter of fiscal 2014, sales in our DXL stores have increased to $160 per square foot. By the end of fiscal 2014, we estimate that the DXL sales per square foot will be $165 per square foot as compared to $147 per square foot at the end of fiscal 2013.</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460"/>
          </w:cols>
          <w:pgMar w:left="220" w:top="451" w:right="219" w:bottom="1440" w:gutter="0" w:footer="0" w:header="0"/>
        </w:sectPr>
      </w:pPr>
    </w:p>
    <w:bookmarkStart w:id="18" w:name="page19"/>
    <w:bookmarkEnd w:id="18"/>
    <w:p>
      <w:pPr>
        <w:ind w:right="60"/>
        <w:spacing w:after="0" w:line="266" w:lineRule="auto"/>
        <w:rPr>
          <w:sz w:val="20"/>
          <w:szCs w:val="20"/>
          <w:color w:val="auto"/>
        </w:rPr>
      </w:pPr>
      <w:r>
        <w:rPr>
          <w:rFonts w:ascii="Arial" w:cs="Arial" w:eastAsia="Arial" w:hAnsi="Arial"/>
          <w:sz w:val="13"/>
          <w:szCs w:val="13"/>
          <w:color w:val="auto"/>
        </w:rPr>
        <w:t>One of our initiatives has been to move from being a multi-channel retailer to an omni-channel retailer. Our customer’s shopping behavior continues to evolve across multiple channels and we are working to meet his needs. Our goal is to provide a seamless customer experience whether he shops at a store, on-line, or from a smartphone or other device. In late fiscal 2013, we began a pilot program, with the implementation of new software, which would make our inventory at the store level available for web and store customer orders. At the end of third quarter of fiscal 2014, we have nearly 300 of our retail stores that are now capable of fulfilling online orders. As a result, we are starting to see more transactions that begin online but are ultimately completed at the store level. Similarly, if a customer visits a store and the item is out of stock, the associate can order the item for the customer through our website. In the first quarter of fiscal 2015, we plan to launch “shop-online, store pick-up” which we believe will be positively received by our customers in helping them meet their last minute shopping needs.</w:t>
      </w:r>
    </w:p>
    <w:p>
      <w:pPr>
        <w:spacing w:after="0" w:line="156"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These programs are resulting in a paradigm shift and are indicative of the omni-channel environment. During the third quarter of fiscal 2014, we saw positive increases in traffic, transaction volume and demand placed on our website. Because this omni-channel approach to retailing is changing the boundaries of where a sale originates and where a sale is ultimately settled, we will no longer be reporting our direct business on a stand-alone basis. Sales from our direct business will continue to be included in our total comparable sales results.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Our merchandise margin for the third quarter of fiscal 2014 decreased by approximately 90 basis points from the third quarter of fiscal 2013. Similar to the second quarter of fiscal 2014, the primary reason for this decrease was the increased promotional activity as we continue to focus on converting our Casual Male XL customers to our DXL stores and driving sales. As a result, markdowns were higher due to these in-store promotions and customer acquisition initiatives. While these efforts adversely affected our merchandise margin rate for the third quarter and first nine months of fiscal 2014, we believe it is helping to transition our existing customer base to our DXL store locations and to drive overall store traffic.</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We remain focused on many of the initiatives we outlined in the first quarter. In summary:</w:t>
      </w:r>
    </w:p>
    <w:p>
      <w:pPr>
        <w:spacing w:after="0" w:line="93" w:lineRule="exact"/>
        <w:rPr>
          <w:sz w:val="20"/>
          <w:szCs w:val="20"/>
          <w:color w:val="auto"/>
        </w:rPr>
      </w:pPr>
    </w:p>
    <w:p>
      <w:pPr>
        <w:ind w:left="780" w:right="80" w:hanging="252"/>
        <w:spacing w:after="0" w:line="276"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Protecting and growing our existing customer base</w:t>
      </w:r>
      <w:r>
        <w:rPr>
          <w:rFonts w:ascii="Arial" w:cs="Arial" w:eastAsia="Arial" w:hAnsi="Arial"/>
          <w:sz w:val="13"/>
          <w:szCs w:val="13"/>
          <w:color w:val="auto"/>
        </w:rPr>
        <w:t>. As a result of our marketing initiatives and in-store marketing at our Casual Male XL stores, our customer base is growing. Our promotional marketing activities during the first nine months of fiscal 2014 have helped to improve store traffic and increase our transactions. In addition to attracting new customers to our DXL concept, we are also continuing to work on specific marketing initiatives geared towards converting and retaining our existing customer base.</w:t>
      </w:r>
    </w:p>
    <w:p>
      <w:pPr>
        <w:spacing w:after="0" w:line="49" w:lineRule="exact"/>
        <w:rPr>
          <w:sz w:val="20"/>
          <w:szCs w:val="20"/>
          <w:color w:val="auto"/>
        </w:rPr>
      </w:pPr>
    </w:p>
    <w:p>
      <w:pPr>
        <w:ind w:left="780" w:right="120" w:hanging="252"/>
        <w:spacing w:after="0" w:line="270"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Opening 5,000 – 6,500 square foot DXL stores</w:t>
      </w:r>
      <w:r>
        <w:rPr>
          <w:rFonts w:ascii="Arial" w:cs="Arial" w:eastAsia="Arial" w:hAnsi="Arial"/>
          <w:sz w:val="13"/>
          <w:szCs w:val="13"/>
          <w:color w:val="auto"/>
        </w:rPr>
        <w:t>. We opened 3 of these smaller concept stores through the end of the third quarter of fiscal 2014 and have opened 4 additional stores during the first three weeks of November 2014. The smaller square footage will allow us to enter markets that otherwise could not support our larger DXL format. Although the square footage will be less, we will still be able to display a full assortment of our merchandise. The success of this concept in smaller markets will provide us with increased opportunities for continued store growth beyond our projected 220-250 DXL stores.</w:t>
      </w:r>
    </w:p>
    <w:p>
      <w:pPr>
        <w:spacing w:after="0" w:line="53" w:lineRule="exact"/>
        <w:rPr>
          <w:sz w:val="20"/>
          <w:szCs w:val="20"/>
          <w:color w:val="auto"/>
        </w:rPr>
      </w:pPr>
    </w:p>
    <w:p>
      <w:pPr>
        <w:ind w:left="780" w:right="80" w:hanging="252"/>
        <w:spacing w:after="0" w:line="270" w:lineRule="auto"/>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i w:val="1"/>
          <w:iCs w:val="1"/>
          <w:color w:val="auto"/>
        </w:rPr>
        <w:t>Slowing down the pace of our existing Casual Male XL store closings</w:t>
      </w:r>
      <w:r>
        <w:rPr>
          <w:rFonts w:ascii="Arial" w:cs="Arial" w:eastAsia="Arial" w:hAnsi="Arial"/>
          <w:sz w:val="13"/>
          <w:szCs w:val="13"/>
          <w:color w:val="auto"/>
        </w:rPr>
        <w:t>. Through the end of the third quarter of fiscal 2014, we have closed 26 Casual Male XL and Rochester Clothing stores, in comparison to 63 stores through the end of the third quarter of last year. In addition, we have returned to standard operating hours for most of our Casual Male XL stores. This change in store hours has had a positive impact on comparable sales. Our existing Casual Male XL stores are also providing us with a marketing tool to help transition our existing customer base to our DXL concept, through Casual Male XL in-store advertising and promotional coupons for our DXL stores.</w:t>
      </w:r>
    </w:p>
    <w:p>
      <w:pPr>
        <w:spacing w:after="0" w:line="53" w:lineRule="exact"/>
        <w:rPr>
          <w:sz w:val="20"/>
          <w:szCs w:val="20"/>
          <w:color w:val="auto"/>
        </w:rPr>
      </w:pPr>
    </w:p>
    <w:p>
      <w:pPr>
        <w:ind w:left="780" w:right="300" w:hanging="252"/>
        <w:spacing w:after="0" w:line="339" w:lineRule="auto"/>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i w:val="1"/>
          <w:iCs w:val="1"/>
          <w:color w:val="auto"/>
        </w:rPr>
        <w:t>Opening the majority of our DXL stores prior to the fourth quarter of fiscal 2014</w:t>
      </w:r>
      <w:r>
        <w:rPr>
          <w:rFonts w:ascii="Arial" w:cs="Arial" w:eastAsia="Arial" w:hAnsi="Arial"/>
          <w:sz w:val="12"/>
          <w:szCs w:val="12"/>
          <w:color w:val="auto"/>
        </w:rPr>
        <w:t>. During the first nine months of fiscal 2014, we opened 29 new DXL stores and opened the remaining 12 stores during the first three weeks of November 2014. We accomplished our goal of getting these new stores open prior to the holiday shopping season to maximize the profitability of each store.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Marketing Campaign</w:t>
      </w:r>
    </w:p>
    <w:p>
      <w:pPr>
        <w:spacing w:after="0" w:line="93" w:lineRule="exact"/>
        <w:rPr>
          <w:sz w:val="20"/>
          <w:szCs w:val="20"/>
          <w:color w:val="auto"/>
        </w:rPr>
      </w:pPr>
    </w:p>
    <w:p>
      <w:pPr>
        <w:spacing w:after="0" w:line="310" w:lineRule="auto"/>
        <w:rPr>
          <w:sz w:val="20"/>
          <w:szCs w:val="20"/>
          <w:color w:val="auto"/>
        </w:rPr>
      </w:pPr>
      <w:r>
        <w:rPr>
          <w:rFonts w:ascii="Arial" w:cs="Arial" w:eastAsia="Arial" w:hAnsi="Arial"/>
          <w:sz w:val="12"/>
          <w:szCs w:val="12"/>
          <w:color w:val="auto"/>
        </w:rPr>
        <w:t>During the first nine months of fiscal 2014, we implemented several initiatives to educate our Casual Male XL customer about our new DXL stores, including several promotions to entice our existing customers to shop the new store format. During the second quarter, we distributed, on a limited basis to customers who had not shopped within 2 years, our “Experience Book” to help introduce our customers to the DXL concept. In addition, we have also had great response to our “Free Polo Shirt” offer. These types of programs have had a very positive impact on increased traffic to our DXL stores and customer reactivations.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460"/>
          </w:cols>
          <w:pgMar w:left="220" w:top="472" w:right="219" w:bottom="1440" w:gutter="0" w:footer="0" w:header="0"/>
        </w:sectPr>
      </w:pPr>
    </w:p>
    <w:bookmarkStart w:id="19" w:name="page20"/>
    <w:bookmarkEnd w:id="19"/>
    <w:p>
      <w:pPr>
        <w:jc w:val="both"/>
        <w:ind w:right="120"/>
        <w:spacing w:after="0" w:line="276" w:lineRule="auto"/>
        <w:rPr>
          <w:sz w:val="20"/>
          <w:szCs w:val="20"/>
          <w:color w:val="auto"/>
        </w:rPr>
      </w:pPr>
      <w:r>
        <w:rPr>
          <w:rFonts w:ascii="Arial" w:cs="Arial" w:eastAsia="Arial" w:hAnsi="Arial"/>
          <w:sz w:val="13"/>
          <w:szCs w:val="13"/>
          <w:color w:val="auto"/>
        </w:rPr>
        <w:t>At the end of the third quarter of fiscal 2014, we launched our fall advertising campaign, which includes television and radio commercials. In an effort to align our media presence with our key selling weeks, we moved our fall advertising closer to the holidays. We launched an initial flight of advertising in mid-October, which was about three weeks later than in the fall of 2013. Our second flight of television and radio commercials will run from Thanksgiving through mid-December. We believe this later timing will help drive traffic and sales during the key holiday shopping season.</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Fiscal 2014 Outlook</w:t>
      </w:r>
    </w:p>
    <w:p>
      <w:pPr>
        <w:spacing w:after="0" w:line="93" w:lineRule="exact"/>
        <w:rPr>
          <w:sz w:val="20"/>
          <w:szCs w:val="20"/>
          <w:color w:val="auto"/>
        </w:rPr>
      </w:pPr>
    </w:p>
    <w:p>
      <w:pPr>
        <w:ind w:right="200"/>
        <w:spacing w:after="0" w:line="294" w:lineRule="auto"/>
        <w:rPr>
          <w:sz w:val="20"/>
          <w:szCs w:val="20"/>
          <w:color w:val="auto"/>
        </w:rPr>
      </w:pPr>
      <w:r>
        <w:rPr>
          <w:rFonts w:ascii="Arial" w:cs="Arial" w:eastAsia="Arial" w:hAnsi="Arial"/>
          <w:sz w:val="13"/>
          <w:szCs w:val="13"/>
          <w:color w:val="auto"/>
        </w:rPr>
        <w:t>Our earnings guidance of a net loss of $(0.21)-$(0.27) per diluted share, or $(0.12)-$(0.16) per diluted share on a non-GAAP basis, remains unchanged from the guidance previously disclosed. Accordingly, our guidance for fiscal 2014 is as follows:</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Sales range of $413.0 million to $418.0 million</w:t>
      </w:r>
    </w:p>
    <w:p>
      <w:pPr>
        <w:spacing w:after="0" w:line="92" w:lineRule="exact"/>
        <w:rPr>
          <w:sz w:val="20"/>
          <w:szCs w:val="20"/>
          <w:color w:val="auto"/>
        </w:rPr>
      </w:pPr>
    </w:p>
    <w:p>
      <w:pPr>
        <w:ind w:left="520" w:right="40" w:hanging="262"/>
        <w:spacing w:after="0" w:line="294" w:lineRule="auto"/>
        <w:rPr>
          <w:sz w:val="20"/>
          <w:szCs w:val="20"/>
          <w:color w:val="auto"/>
        </w:rPr>
      </w:pPr>
      <w:r>
        <w:rPr>
          <w:rFonts w:ascii="Arial" w:cs="Arial" w:eastAsia="Arial" w:hAnsi="Arial"/>
          <w:sz w:val="13"/>
          <w:szCs w:val="13"/>
          <w:color w:val="auto"/>
        </w:rPr>
        <w:t>— Gross margin rate is expected to be 45.5% to 46.1% as compared to 46.0% in fiscal 2013.The change is based on merchandise margins decreasing by approximately 60 to 100 basis points and occupancy as a percentage of sales improving by 50 to 70 basis points.</w:t>
      </w:r>
    </w:p>
    <w:p>
      <w:pPr>
        <w:spacing w:after="0" w:line="37" w:lineRule="exact"/>
        <w:rPr>
          <w:sz w:val="20"/>
          <w:szCs w:val="20"/>
          <w:color w:val="auto"/>
        </w:rPr>
      </w:pPr>
    </w:p>
    <w:p>
      <w:pPr>
        <w:ind w:left="520" w:right="140" w:hanging="262"/>
        <w:spacing w:after="0" w:line="294" w:lineRule="auto"/>
        <w:rPr>
          <w:sz w:val="20"/>
          <w:szCs w:val="20"/>
          <w:color w:val="auto"/>
        </w:rPr>
      </w:pPr>
      <w:r>
        <w:rPr>
          <w:rFonts w:ascii="Arial" w:cs="Arial" w:eastAsia="Arial" w:hAnsi="Arial"/>
          <w:sz w:val="13"/>
          <w:szCs w:val="13"/>
          <w:color w:val="auto"/>
        </w:rPr>
        <w:t>— SG&amp;A costs are expected to be $176.0 million to $177.6 million, or an increase of approximately $5.3 million to $6.9 million, which is primarily related to store payroll hours to support the increase in forecasted sales, discussed above. As a percentage of sales, SG&amp;A expenses are expected to increase by 140 to 150 basis points.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Based on the above guidance, we are expecting that EBITDA for fiscal 2014 will be in a range of $12.4 million to $15.6 million.</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We expect to spend approximately $45.7 million in capital expenditures in fiscal 2014, which will be partially offset by approximately $9.3 million in tenant allowances, primarily related to opening our DXL stores. We expect to fund the remainder of our capital expenditures through a combination of operating cash flow, equipment financings, term loan financing and borrowings under our credit facility. At the end of fiscal 2014, we expect to have total debt of approximately $55.0-$60.0 million, consisting of $20.0 million from equipment financing notes, $15.0 million from our 5-year term loan with the balance from our credit facility. As a result, from a liquidity perspective, we expect cash flow from operating activities of $11.6 million (including the $9.3 million of tenant allowances), resulting in free cash flow (as defined below under “Presentation of Non-GAAP Measures”) of approximately $(34.1) million.</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Presentation of Non-GAAP Measures</w:t>
      </w:r>
    </w:p>
    <w:p>
      <w:pPr>
        <w:spacing w:after="0" w:line="173"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Adjusted net loss, adjusted net loss per diluted share, free cash flow and EBITDA are non-GAAP measures. These non-GAAP measures are not presented in accordance with GAAP and should not be considered superior to or as a substitute for net income (loss) or cash flows from operating activities or any other measure of performance derived in accordance with GAAP. In addition, all companies do not calculate non-GAAP financial measures in the same manner and, accordingly, the non-GAAP measures presented in this report may not be comparable to similar measures used by other companies. We believe that inclusion of these non-GAAP measures helps investors gain a better understanding of our cash flow performance, especially when comparing such results to previous periods. Reconciliations of these non-GAAP measures are presented above (for EBITDA) and in following tables:</w:t>
      </w:r>
    </w:p>
    <w:p>
      <w:pPr>
        <w:spacing w:after="0" w:line="217"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i w:val="1"/>
          <w:iCs w:val="1"/>
          <w:color w:val="auto"/>
        </w:rPr>
        <w:t>Adjusted net loss and adjusted net loss per diluted share</w:t>
      </w:r>
      <w:r>
        <w:rPr>
          <w:rFonts w:ascii="Arial" w:cs="Arial" w:eastAsia="Arial" w:hAnsi="Arial"/>
          <w:sz w:val="13"/>
          <w:szCs w:val="13"/>
          <w:color w:val="auto"/>
        </w:rPr>
        <w:t>. The above discussion includes a net loss for the third quarter and first nine months of fiscal 2014, on a non-GAAP basis, of $(0.08) per diluted share and</w:t>
      </w:r>
      <w:r>
        <w:rPr>
          <w:rFonts w:ascii="Arial" w:cs="Arial" w:eastAsia="Arial" w:hAnsi="Arial"/>
          <w:sz w:val="13"/>
          <w:szCs w:val="13"/>
          <w:i w:val="1"/>
          <w:iCs w:val="1"/>
          <w:color w:val="auto"/>
        </w:rPr>
        <w:t xml:space="preserve"> </w:t>
      </w:r>
      <w:r>
        <w:rPr>
          <w:rFonts w:ascii="Arial" w:cs="Arial" w:eastAsia="Arial" w:hAnsi="Arial"/>
          <w:sz w:val="13"/>
          <w:szCs w:val="13"/>
          <w:color w:val="auto"/>
        </w:rPr>
        <w:t>$(0.17) per diluted share, respectively. In addition, our guidance for fiscal 2014 includes a net loss, on a non-GAAP basis, of $(0.12) to $(0.16) per diluted share. For fiscal 2014, we expect to continue to provide a full valuation allowance against our deferred tax assets; therefore, we will not recognize any income tax benefit in fiscal 2014.</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The net loss of $(0.12) to $(0.16) per diluted share for fiscal 2014 was calculated by taking the 2014 forecasted net loss of $(0.21)-$(0.27) and multiplying each by 40% to calculate an estimated income tax benefit of $0.09-$0.11 per diluted share, resulting in an adjusted non-GAAP net loss of $(0.12)-$(0.16) per diluted share.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440"/>
          </w:cols>
          <w:pgMar w:left="220" w:top="451" w:right="239" w:bottom="1440" w:gutter="0" w:footer="0" w:header="0"/>
        </w:sectPr>
      </w:pPr>
    </w:p>
    <w:bookmarkStart w:id="20" w:name="page21"/>
    <w:bookmarkEnd w:id="20"/>
    <w:p>
      <w:pPr>
        <w:spacing w:after="0" w:line="294" w:lineRule="auto"/>
        <w:rPr>
          <w:sz w:val="20"/>
          <w:szCs w:val="20"/>
          <w:color w:val="auto"/>
        </w:rPr>
      </w:pPr>
      <w:r>
        <w:rPr>
          <w:rFonts w:ascii="Arial" w:cs="Arial" w:eastAsia="Arial" w:hAnsi="Arial"/>
          <w:sz w:val="13"/>
          <w:szCs w:val="13"/>
          <w:color w:val="auto"/>
        </w:rPr>
        <w:t>For comparison purposes, the following is a reconciliation of net loss, on a GAAP basis, to net loss, on a non-GAAP basis, assuming a normal tax benefit of 40% for the third quarter and first nine months of fiscal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6"/>
          </w:tcPr>
          <w:p>
            <w:pPr>
              <w:ind w:left="180"/>
              <w:spacing w:after="0"/>
              <w:rPr>
                <w:sz w:val="20"/>
                <w:szCs w:val="20"/>
                <w:color w:val="auto"/>
              </w:rPr>
            </w:pPr>
            <w:r>
              <w:rPr>
                <w:rFonts w:ascii="Arial" w:cs="Arial" w:eastAsia="Arial" w:hAnsi="Arial"/>
                <w:sz w:val="11"/>
                <w:szCs w:val="11"/>
                <w:color w:val="auto"/>
              </w:rPr>
              <w:t>For the three months ended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7"/>
          </w:tcPr>
          <w:p>
            <w:pPr>
              <w:ind w:left="80"/>
              <w:spacing w:after="0"/>
              <w:rPr>
                <w:sz w:val="20"/>
                <w:szCs w:val="20"/>
                <w:color w:val="auto"/>
              </w:rPr>
            </w:pPr>
            <w:r>
              <w:rPr>
                <w:rFonts w:ascii="Arial" w:cs="Arial" w:eastAsia="Arial" w:hAnsi="Arial"/>
                <w:sz w:val="11"/>
                <w:szCs w:val="11"/>
                <w:color w:val="auto"/>
              </w:rPr>
              <w:t>For the nine months ended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60" w:type="dxa"/>
            <w:vAlign w:val="bottom"/>
            <w:gridSpan w:val="5"/>
          </w:tcPr>
          <w:p>
            <w:pPr>
              <w:jc w:val="right"/>
              <w:ind w:right="620"/>
              <w:spacing w:after="0" w:line="124" w:lineRule="exact"/>
              <w:rPr>
                <w:sz w:val="20"/>
                <w:szCs w:val="20"/>
                <w:color w:val="auto"/>
              </w:rPr>
            </w:pPr>
            <w:r>
              <w:rPr>
                <w:rFonts w:ascii="Arial" w:cs="Arial" w:eastAsia="Arial" w:hAnsi="Arial"/>
                <w:sz w:val="11"/>
                <w:szCs w:val="11"/>
                <w:color w:val="auto"/>
                <w:w w:val="90"/>
              </w:rPr>
              <w:t>November 1, 2014</w:t>
            </w:r>
          </w:p>
        </w:tc>
        <w:tc>
          <w:tcPr>
            <w:tcW w:w="280" w:type="dxa"/>
            <w:vAlign w:val="bottom"/>
          </w:tcPr>
          <w:p>
            <w:pPr>
              <w:spacing w:after="0"/>
              <w:rPr>
                <w:sz w:val="10"/>
                <w:szCs w:val="10"/>
                <w:color w:val="auto"/>
              </w:rPr>
            </w:pPr>
          </w:p>
        </w:tc>
        <w:tc>
          <w:tcPr>
            <w:tcW w:w="1440" w:type="dxa"/>
            <w:vAlign w:val="bottom"/>
            <w:gridSpan w:val="7"/>
          </w:tcPr>
          <w:p>
            <w:pPr>
              <w:ind w:left="120"/>
              <w:spacing w:after="0" w:line="124" w:lineRule="exact"/>
              <w:rPr>
                <w:sz w:val="20"/>
                <w:szCs w:val="20"/>
                <w:color w:val="auto"/>
              </w:rPr>
            </w:pPr>
            <w:r>
              <w:rPr>
                <w:rFonts w:ascii="Arial" w:cs="Arial" w:eastAsia="Arial" w:hAnsi="Arial"/>
                <w:sz w:val="11"/>
                <w:szCs w:val="11"/>
                <w:color w:val="auto"/>
              </w:rPr>
              <w:t>November 2, 2013</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gridSpan w:val="8"/>
          </w:tcPr>
          <w:p>
            <w:pPr>
              <w:jc w:val="right"/>
              <w:ind w:right="640"/>
              <w:spacing w:after="0" w:line="124" w:lineRule="exact"/>
              <w:rPr>
                <w:sz w:val="20"/>
                <w:szCs w:val="20"/>
                <w:color w:val="auto"/>
              </w:rPr>
            </w:pPr>
            <w:r>
              <w:rPr>
                <w:rFonts w:ascii="Arial" w:cs="Arial" w:eastAsia="Arial" w:hAnsi="Arial"/>
                <w:sz w:val="11"/>
                <w:szCs w:val="11"/>
                <w:color w:val="auto"/>
              </w:rPr>
              <w:t>November 1, 2014</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6"/>
          </w:tcPr>
          <w:p>
            <w:pPr>
              <w:ind w:left="40"/>
              <w:spacing w:after="0" w:line="124" w:lineRule="exact"/>
              <w:rPr>
                <w:sz w:val="20"/>
                <w:szCs w:val="20"/>
                <w:color w:val="auto"/>
              </w:rPr>
            </w:pPr>
            <w:r>
              <w:rPr>
                <w:rFonts w:ascii="Arial" w:cs="Arial" w:eastAsia="Arial" w:hAnsi="Arial"/>
                <w:sz w:val="11"/>
                <w:szCs w:val="11"/>
                <w:color w:val="auto"/>
              </w:rPr>
              <w:t>November 2, 2013</w:t>
            </w: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87"/>
              <w:spacing w:after="0" w:line="99" w:lineRule="exact"/>
              <w:rPr>
                <w:sz w:val="20"/>
                <w:szCs w:val="20"/>
                <w:color w:val="auto"/>
              </w:rPr>
            </w:pPr>
            <w:r>
              <w:rPr>
                <w:rFonts w:ascii="Arial" w:cs="Arial" w:eastAsia="Arial" w:hAnsi="Arial"/>
                <w:sz w:val="11"/>
                <w:szCs w:val="11"/>
                <w:color w:val="auto"/>
                <w:w w:val="98"/>
              </w:rPr>
              <w:t>Per diluted</w:t>
            </w:r>
          </w:p>
        </w:tc>
        <w:tc>
          <w:tcPr>
            <w:tcW w:w="2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86"/>
              <w:spacing w:after="0" w:line="99" w:lineRule="exact"/>
              <w:rPr>
                <w:sz w:val="20"/>
                <w:szCs w:val="20"/>
                <w:color w:val="auto"/>
              </w:rPr>
            </w:pPr>
            <w:r>
              <w:rPr>
                <w:rFonts w:ascii="Arial" w:cs="Arial" w:eastAsia="Arial" w:hAnsi="Arial"/>
                <w:sz w:val="11"/>
                <w:szCs w:val="11"/>
                <w:color w:val="auto"/>
                <w:w w:val="94"/>
              </w:rPr>
              <w:t>Per diluted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106"/>
              <w:spacing w:after="0" w:line="99" w:lineRule="exact"/>
              <w:rPr>
                <w:sz w:val="20"/>
                <w:szCs w:val="20"/>
                <w:color w:val="auto"/>
              </w:rPr>
            </w:pPr>
            <w:r>
              <w:rPr>
                <w:rFonts w:ascii="Arial" w:cs="Arial" w:eastAsia="Arial" w:hAnsi="Arial"/>
                <w:sz w:val="11"/>
                <w:szCs w:val="11"/>
                <w:color w:val="auto"/>
                <w:w w:val="91"/>
              </w:rPr>
              <w:t>Per diluted</w:t>
            </w: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ind w:right="86"/>
              <w:spacing w:after="0" w:line="99" w:lineRule="exact"/>
              <w:rPr>
                <w:sz w:val="20"/>
                <w:szCs w:val="20"/>
                <w:color w:val="auto"/>
              </w:rPr>
            </w:pPr>
            <w:r>
              <w:rPr>
                <w:rFonts w:ascii="Arial" w:cs="Arial" w:eastAsia="Arial" w:hAnsi="Arial"/>
                <w:sz w:val="11"/>
                <w:szCs w:val="11"/>
                <w:color w:val="auto"/>
                <w:w w:val="91"/>
              </w:rPr>
              <w:t>Per diluted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4000" w:type="dxa"/>
            <w:vAlign w:val="bottom"/>
            <w:gridSpan w:val="3"/>
            <w:vMerge w:val="restart"/>
          </w:tcPr>
          <w:p>
            <w:pPr>
              <w:spacing w:after="0"/>
              <w:rPr>
                <w:sz w:val="20"/>
                <w:szCs w:val="20"/>
                <w:color w:val="auto"/>
              </w:rPr>
            </w:pPr>
            <w:r>
              <w:rPr>
                <w:rFonts w:ascii="Arial" w:cs="Arial" w:eastAsia="Arial" w:hAnsi="Arial"/>
                <w:sz w:val="11"/>
                <w:szCs w:val="11"/>
                <w:i w:val="1"/>
                <w:iCs w:val="1"/>
                <w:color w:val="auto"/>
              </w:rPr>
              <w:t>(in thousands, except per share data)</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460"/>
              <w:spacing w:after="0" w:line="124" w:lineRule="exact"/>
              <w:rPr>
                <w:sz w:val="20"/>
                <w:szCs w:val="20"/>
                <w:color w:val="auto"/>
              </w:rPr>
            </w:pPr>
            <w:r>
              <w:rPr>
                <w:rFonts w:ascii="Arial" w:cs="Arial" w:eastAsia="Arial" w:hAnsi="Arial"/>
                <w:sz w:val="11"/>
                <w:szCs w:val="11"/>
                <w:color w:val="auto"/>
              </w:rPr>
              <w:t>share</w:t>
            </w:r>
          </w:p>
        </w:tc>
        <w:tc>
          <w:tcPr>
            <w:tcW w:w="280" w:type="dxa"/>
            <w:vAlign w:val="bottom"/>
          </w:tcPr>
          <w:p>
            <w:pPr>
              <w:spacing w:after="0"/>
              <w:rPr>
                <w:sz w:val="10"/>
                <w:szCs w:val="10"/>
                <w:color w:val="auto"/>
              </w:rPr>
            </w:pPr>
          </w:p>
        </w:tc>
        <w:tc>
          <w:tcPr>
            <w:tcW w:w="320" w:type="dxa"/>
            <w:vAlign w:val="bottom"/>
          </w:tcPr>
          <w:p>
            <w:pPr>
              <w:jc w:val="right"/>
              <w:ind w:right="183"/>
              <w:spacing w:after="0" w:line="124" w:lineRule="exact"/>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360"/>
              <w:spacing w:after="0" w:line="124" w:lineRule="exact"/>
              <w:rPr>
                <w:sz w:val="20"/>
                <w:szCs w:val="20"/>
                <w:color w:val="auto"/>
              </w:rPr>
            </w:pPr>
            <w:r>
              <w:rPr>
                <w:rFonts w:ascii="Arial" w:cs="Arial" w:eastAsia="Arial" w:hAnsi="Arial"/>
                <w:sz w:val="11"/>
                <w:szCs w:val="11"/>
                <w:color w:val="auto"/>
              </w:rPr>
              <w:t>share</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jc w:val="right"/>
              <w:ind w:right="63"/>
              <w:spacing w:after="0" w:line="124"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160"/>
              <w:spacing w:after="0" w:line="124" w:lineRule="exact"/>
              <w:rPr>
                <w:sz w:val="20"/>
                <w:szCs w:val="20"/>
                <w:color w:val="auto"/>
              </w:rPr>
            </w:pPr>
            <w:r>
              <w:rPr>
                <w:rFonts w:ascii="Arial" w:cs="Arial" w:eastAsia="Arial" w:hAnsi="Arial"/>
                <w:sz w:val="11"/>
                <w:szCs w:val="11"/>
                <w:color w:val="auto"/>
              </w:rPr>
              <w:t>share</w:t>
            </w:r>
          </w:p>
        </w:tc>
        <w:tc>
          <w:tcPr>
            <w:tcW w:w="60" w:type="dxa"/>
            <w:vAlign w:val="bottom"/>
          </w:tcPr>
          <w:p>
            <w:pPr>
              <w:spacing w:after="0"/>
              <w:rPr>
                <w:sz w:val="10"/>
                <w:szCs w:val="10"/>
                <w:color w:val="auto"/>
              </w:rPr>
            </w:pPr>
          </w:p>
        </w:tc>
        <w:tc>
          <w:tcPr>
            <w:tcW w:w="560" w:type="dxa"/>
            <w:vAlign w:val="bottom"/>
            <w:gridSpan w:val="2"/>
          </w:tcPr>
          <w:p>
            <w:pPr>
              <w:jc w:val="right"/>
              <w:ind w:right="206"/>
              <w:spacing w:after="0" w:line="124"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320"/>
              <w:spacing w:after="0" w:line="124" w:lineRule="exact"/>
              <w:rPr>
                <w:sz w:val="20"/>
                <w:szCs w:val="20"/>
                <w:color w:val="auto"/>
              </w:rPr>
            </w:pPr>
            <w:r>
              <w:rPr>
                <w:rFonts w:ascii="Arial" w:cs="Arial" w:eastAsia="Arial" w:hAnsi="Arial"/>
                <w:sz w:val="11"/>
                <w:szCs w:val="11"/>
                <w:color w:val="auto"/>
              </w:rPr>
              <w:t>share</w:t>
            </w:r>
          </w:p>
        </w:tc>
        <w:tc>
          <w:tcPr>
            <w:tcW w:w="0" w:type="dxa"/>
            <w:vAlign w:val="bottom"/>
          </w:tcPr>
          <w:p>
            <w:pPr>
              <w:spacing w:after="0"/>
              <w:rPr>
                <w:sz w:val="1"/>
                <w:szCs w:val="1"/>
                <w:color w:val="auto"/>
              </w:rPr>
            </w:pPr>
          </w:p>
        </w:tc>
      </w:tr>
      <w:tr>
        <w:trPr>
          <w:trHeight w:val="101"/>
        </w:trPr>
        <w:tc>
          <w:tcPr>
            <w:tcW w:w="160" w:type="dxa"/>
            <w:vAlign w:val="bottom"/>
          </w:tcPr>
          <w:p>
            <w:pPr>
              <w:spacing w:after="0"/>
              <w:rPr>
                <w:sz w:val="8"/>
                <w:szCs w:val="8"/>
                <w:color w:val="auto"/>
              </w:rPr>
            </w:pPr>
          </w:p>
        </w:tc>
        <w:tc>
          <w:tcPr>
            <w:tcW w:w="4000" w:type="dxa"/>
            <w:vAlign w:val="bottom"/>
            <w:gridSpan w:val="3"/>
            <w:vMerge w:val="continue"/>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60" w:type="dxa"/>
            <w:vAlign w:val="bottom"/>
          </w:tcPr>
          <w:p>
            <w:pPr>
              <w:spacing w:after="0"/>
              <w:rPr>
                <w:sz w:val="9"/>
                <w:szCs w:val="9"/>
                <w:color w:val="auto"/>
              </w:rPr>
            </w:pPr>
          </w:p>
        </w:tc>
        <w:tc>
          <w:tcPr>
            <w:tcW w:w="1580" w:type="dxa"/>
            <w:vAlign w:val="bottom"/>
            <w:tcBorders>
              <w:top w:val="single" w:sz="8" w:color="auto"/>
            </w:tcBorders>
            <w:gridSpan w:val="2"/>
            <w:shd w:val="clear" w:color="auto" w:fill="CFF0FC"/>
          </w:tcPr>
          <w:p>
            <w:pPr>
              <w:spacing w:after="0" w:line="111" w:lineRule="exact"/>
              <w:rPr>
                <w:sz w:val="20"/>
                <w:szCs w:val="20"/>
                <w:color w:val="auto"/>
              </w:rPr>
            </w:pPr>
            <w:r>
              <w:rPr>
                <w:rFonts w:ascii="Arial" w:cs="Arial" w:eastAsia="Arial" w:hAnsi="Arial"/>
                <w:sz w:val="11"/>
                <w:szCs w:val="11"/>
                <w:b w:val="1"/>
                <w:bCs w:val="1"/>
                <w:color w:val="auto"/>
              </w:rPr>
              <w:t>Net loss, GAAP basis</w:t>
            </w:r>
          </w:p>
        </w:tc>
        <w:tc>
          <w:tcPr>
            <w:tcW w:w="242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0"/>
              <w:spacing w:after="0" w:line="111"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FF0FC"/>
          </w:tcPr>
          <w:p>
            <w:pPr>
              <w:jc w:val="right"/>
              <w:ind w:right="160"/>
              <w:spacing w:after="0" w:line="111" w:lineRule="exact"/>
              <w:rPr>
                <w:sz w:val="20"/>
                <w:szCs w:val="20"/>
                <w:color w:val="auto"/>
              </w:rPr>
            </w:pPr>
            <w:r>
              <w:rPr>
                <w:rFonts w:ascii="Arial" w:cs="Arial" w:eastAsia="Arial" w:hAnsi="Arial"/>
                <w:sz w:val="11"/>
                <w:szCs w:val="11"/>
                <w:color w:val="auto"/>
                <w:w w:val="91"/>
              </w:rPr>
              <w:t>(6,281)</w:t>
            </w:r>
          </w:p>
        </w:tc>
        <w:tc>
          <w:tcPr>
            <w:tcW w:w="80" w:type="dxa"/>
            <w:vAlign w:val="bottom"/>
            <w:shd w:val="clear" w:color="auto" w:fill="CFF0FC"/>
          </w:tcPr>
          <w:p>
            <w:pPr>
              <w:jc w:val="right"/>
              <w:spacing w:after="0" w:line="111" w:lineRule="exact"/>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160"/>
              <w:spacing w:after="0" w:line="111" w:lineRule="exact"/>
              <w:rPr>
                <w:sz w:val="20"/>
                <w:szCs w:val="20"/>
                <w:color w:val="auto"/>
              </w:rPr>
            </w:pPr>
            <w:r>
              <w:rPr>
                <w:rFonts w:ascii="Arial" w:cs="Arial" w:eastAsia="Arial" w:hAnsi="Arial"/>
                <w:sz w:val="11"/>
                <w:szCs w:val="11"/>
                <w:color w:val="auto"/>
              </w:rPr>
              <w:t>(0.13)</w:t>
            </w:r>
          </w:p>
        </w:tc>
        <w:tc>
          <w:tcPr>
            <w:tcW w:w="280" w:type="dxa"/>
            <w:vAlign w:val="bottom"/>
            <w:shd w:val="clear" w:color="auto" w:fill="CFF0FC"/>
          </w:tcPr>
          <w:p>
            <w:pPr>
              <w:jc w:val="right"/>
              <w:ind w:right="204"/>
              <w:spacing w:after="0"/>
              <w:rPr>
                <w:sz w:val="20"/>
                <w:szCs w:val="20"/>
                <w:color w:val="auto"/>
              </w:rPr>
            </w:pPr>
            <w:r>
              <w:rPr>
                <w:rFonts w:ascii="Arial" w:cs="Arial" w:eastAsia="Arial" w:hAnsi="Arial"/>
                <w:sz w:val="5"/>
                <w:szCs w:val="5"/>
                <w:color w:val="auto"/>
                <w:w w:val="70"/>
              </w:rPr>
              <w:t>$</w:t>
            </w:r>
          </w:p>
        </w:tc>
        <w:tc>
          <w:tcPr>
            <w:tcW w:w="540" w:type="dxa"/>
            <w:vAlign w:val="bottom"/>
            <w:gridSpan w:val="3"/>
            <w:shd w:val="clear" w:color="auto" w:fill="CFF0FC"/>
          </w:tcPr>
          <w:p>
            <w:pPr>
              <w:ind w:left="120"/>
              <w:spacing w:after="0" w:line="111" w:lineRule="exact"/>
              <w:rPr>
                <w:sz w:val="20"/>
                <w:szCs w:val="20"/>
                <w:color w:val="auto"/>
              </w:rPr>
            </w:pPr>
            <w:r>
              <w:rPr>
                <w:rFonts w:ascii="Arial" w:cs="Arial" w:eastAsia="Arial" w:hAnsi="Arial"/>
                <w:sz w:val="11"/>
                <w:szCs w:val="11"/>
                <w:color w:val="auto"/>
              </w:rPr>
              <w:t>(4,063)</w:t>
            </w:r>
          </w:p>
        </w:tc>
        <w:tc>
          <w:tcPr>
            <w:tcW w:w="140" w:type="dxa"/>
            <w:vAlign w:val="bottom"/>
            <w:gridSpan w:val="2"/>
            <w:shd w:val="clear" w:color="auto" w:fill="CFF0FC"/>
          </w:tcPr>
          <w:p>
            <w:pPr>
              <w:jc w:val="right"/>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60"/>
              <w:spacing w:after="0" w:line="111" w:lineRule="exact"/>
              <w:rPr>
                <w:sz w:val="20"/>
                <w:szCs w:val="20"/>
                <w:color w:val="auto"/>
              </w:rPr>
            </w:pPr>
            <w:r>
              <w:rPr>
                <w:rFonts w:ascii="Arial" w:cs="Arial" w:eastAsia="Arial" w:hAnsi="Arial"/>
                <w:sz w:val="11"/>
                <w:szCs w:val="11"/>
                <w:color w:val="auto"/>
              </w:rPr>
              <w:t>(0.08)</w:t>
            </w:r>
          </w:p>
        </w:tc>
        <w:tc>
          <w:tcPr>
            <w:tcW w:w="280" w:type="dxa"/>
            <w:vAlign w:val="bottom"/>
            <w:gridSpan w:val="2"/>
            <w:shd w:val="clear" w:color="auto" w:fill="CFF0FC"/>
          </w:tcPr>
          <w:p>
            <w:pPr>
              <w:jc w:val="right"/>
              <w:ind w:right="112"/>
              <w:spacing w:after="0" w:line="111" w:lineRule="exact"/>
              <w:rPr>
                <w:sz w:val="20"/>
                <w:szCs w:val="20"/>
                <w:color w:val="auto"/>
              </w:rPr>
            </w:pPr>
            <w:r>
              <w:rPr>
                <w:rFonts w:ascii="Arial" w:cs="Arial" w:eastAsia="Arial" w:hAnsi="Arial"/>
                <w:sz w:val="11"/>
                <w:szCs w:val="11"/>
                <w:color w:val="auto"/>
              </w:rPr>
              <w:t>$</w:t>
            </w:r>
          </w:p>
        </w:tc>
        <w:tc>
          <w:tcPr>
            <w:tcW w:w="760" w:type="dxa"/>
            <w:vAlign w:val="bottom"/>
            <w:gridSpan w:val="5"/>
            <w:shd w:val="clear" w:color="auto" w:fill="CFF0FC"/>
          </w:tcPr>
          <w:p>
            <w:pPr>
              <w:jc w:val="right"/>
              <w:ind w:right="160"/>
              <w:spacing w:after="0" w:line="111" w:lineRule="exact"/>
              <w:rPr>
                <w:sz w:val="20"/>
                <w:szCs w:val="20"/>
                <w:color w:val="auto"/>
              </w:rPr>
            </w:pPr>
            <w:r>
              <w:rPr>
                <w:rFonts w:ascii="Arial" w:cs="Arial" w:eastAsia="Arial" w:hAnsi="Arial"/>
                <w:sz w:val="11"/>
                <w:szCs w:val="11"/>
                <w:color w:val="auto"/>
              </w:rPr>
              <w:t>(13,849)</w:t>
            </w:r>
          </w:p>
        </w:tc>
        <w:tc>
          <w:tcPr>
            <w:tcW w:w="100" w:type="dxa"/>
            <w:vAlign w:val="bottom"/>
            <w:shd w:val="clear" w:color="auto" w:fill="CFF0FC"/>
          </w:tcPr>
          <w:p>
            <w:pPr>
              <w:jc w:val="right"/>
              <w:spacing w:after="0" w:line="111" w:lineRule="exact"/>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40"/>
              <w:spacing w:after="0" w:line="111" w:lineRule="exact"/>
              <w:rPr>
                <w:sz w:val="20"/>
                <w:szCs w:val="20"/>
                <w:color w:val="auto"/>
              </w:rPr>
            </w:pPr>
            <w:r>
              <w:rPr>
                <w:rFonts w:ascii="Arial" w:cs="Arial" w:eastAsia="Arial" w:hAnsi="Arial"/>
                <w:sz w:val="11"/>
                <w:szCs w:val="11"/>
                <w:color w:val="auto"/>
              </w:rPr>
              <w:t>(0.28)</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gridSpan w:val="4"/>
            <w:shd w:val="clear" w:color="auto" w:fill="CFF0FC"/>
          </w:tcPr>
          <w:p>
            <w:pPr>
              <w:ind w:left="320"/>
              <w:spacing w:after="0" w:line="111" w:lineRule="exact"/>
              <w:rPr>
                <w:sz w:val="20"/>
                <w:szCs w:val="20"/>
                <w:color w:val="auto"/>
              </w:rPr>
            </w:pPr>
            <w:r>
              <w:rPr>
                <w:rFonts w:ascii="Arial" w:cs="Arial" w:eastAsia="Arial" w:hAnsi="Arial"/>
                <w:sz w:val="11"/>
                <w:szCs w:val="11"/>
                <w:color w:val="auto"/>
              </w:rPr>
              <w:t>(4,639)</w:t>
            </w:r>
          </w:p>
        </w:tc>
        <w:tc>
          <w:tcPr>
            <w:tcW w:w="100" w:type="dxa"/>
            <w:vAlign w:val="bottom"/>
            <w:shd w:val="clear" w:color="auto" w:fill="CFF0FC"/>
          </w:tcPr>
          <w:p>
            <w:pPr>
              <w:jc w:val="right"/>
              <w:spacing w:after="0" w:line="111"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0"/>
              <w:spacing w:after="0" w:line="111" w:lineRule="exact"/>
              <w:rPr>
                <w:sz w:val="20"/>
                <w:szCs w:val="20"/>
                <w:color w:val="auto"/>
              </w:rPr>
            </w:pPr>
            <w:r>
              <w:rPr>
                <w:rFonts w:ascii="Arial" w:cs="Arial" w:eastAsia="Arial" w:hAnsi="Arial"/>
                <w:sz w:val="11"/>
                <w:szCs w:val="11"/>
                <w:color w:val="auto"/>
              </w:rPr>
              <w:t>(0.10)</w:t>
            </w: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4000" w:type="dxa"/>
            <w:vAlign w:val="bottom"/>
            <w:gridSpan w:val="3"/>
            <w:shd w:val="clear" w:color="auto" w:fill="CFF0FC"/>
          </w:tcPr>
          <w:p>
            <w:pPr>
              <w:spacing w:after="0" w:line="121" w:lineRule="exact"/>
              <w:rPr>
                <w:sz w:val="20"/>
                <w:szCs w:val="20"/>
                <w:color w:val="auto"/>
              </w:rPr>
            </w:pPr>
            <w:r>
              <w:rPr>
                <w:rFonts w:ascii="Arial" w:cs="Arial" w:eastAsia="Arial" w:hAnsi="Arial"/>
                <w:sz w:val="11"/>
                <w:szCs w:val="11"/>
                <w:color w:val="auto"/>
              </w:rPr>
              <w:t>Add back: Actual income tax provision</w:t>
            </w:r>
          </w:p>
        </w:tc>
        <w:tc>
          <w:tcPr>
            <w:tcW w:w="4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1" w:lineRule="exact"/>
              <w:rPr>
                <w:sz w:val="20"/>
                <w:szCs w:val="20"/>
                <w:color w:val="auto"/>
              </w:rPr>
            </w:pPr>
            <w:r>
              <w:rPr>
                <w:rFonts w:ascii="Arial" w:cs="Arial" w:eastAsia="Arial" w:hAnsi="Arial"/>
                <w:sz w:val="11"/>
                <w:szCs w:val="11"/>
                <w:color w:val="auto"/>
              </w:rPr>
              <w:t>63</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20"/>
              <w:spacing w:after="0" w:line="121" w:lineRule="exact"/>
              <w:rPr>
                <w:sz w:val="20"/>
                <w:szCs w:val="20"/>
                <w:color w:val="auto"/>
              </w:rPr>
            </w:pPr>
            <w:r>
              <w:rPr>
                <w:rFonts w:ascii="Arial" w:cs="Arial" w:eastAsia="Arial" w:hAnsi="Arial"/>
                <w:sz w:val="11"/>
                <w:szCs w:val="11"/>
                <w:color w:val="auto"/>
                <w:w w:val="86"/>
              </w:rPr>
              <w:t>173</w:t>
            </w: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4000" w:type="dxa"/>
            <w:vAlign w:val="bottom"/>
            <w:gridSpan w:val="3"/>
          </w:tcPr>
          <w:p>
            <w:pPr>
              <w:ind w:left="180"/>
              <w:spacing w:after="0" w:line="121" w:lineRule="exact"/>
              <w:rPr>
                <w:sz w:val="20"/>
                <w:szCs w:val="20"/>
                <w:color w:val="auto"/>
              </w:rPr>
            </w:pPr>
            <w:r>
              <w:rPr>
                <w:rFonts w:ascii="Arial" w:cs="Arial" w:eastAsia="Arial" w:hAnsi="Arial"/>
                <w:sz w:val="11"/>
                <w:szCs w:val="11"/>
                <w:color w:val="auto"/>
              </w:rPr>
              <w:t>Income tax benefit, assuming normal tax rate of 40%</w:t>
            </w:r>
          </w:p>
        </w:tc>
        <w:tc>
          <w:tcPr>
            <w:tcW w:w="400" w:type="dxa"/>
            <w:vAlign w:val="bottom"/>
          </w:tcPr>
          <w:p>
            <w:pPr>
              <w:spacing w:after="0"/>
              <w:rPr>
                <w:sz w:val="10"/>
                <w:szCs w:val="10"/>
                <w:color w:val="auto"/>
              </w:rPr>
            </w:pPr>
          </w:p>
        </w:tc>
        <w:tc>
          <w:tcPr>
            <w:tcW w:w="300" w:type="dxa"/>
            <w:vAlign w:val="bottom"/>
          </w:tcPr>
          <w:p>
            <w:pPr>
              <w:jc w:val="right"/>
              <w:spacing w:after="0" w:line="121" w:lineRule="exact"/>
              <w:rPr>
                <w:sz w:val="20"/>
                <w:szCs w:val="20"/>
                <w:color w:val="auto"/>
              </w:rPr>
            </w:pPr>
            <w:r>
              <w:rPr>
                <w:rFonts w:ascii="Arial" w:cs="Arial" w:eastAsia="Arial" w:hAnsi="Arial"/>
                <w:sz w:val="11"/>
                <w:szCs w:val="11"/>
                <w:color w:val="auto"/>
              </w:rPr>
              <w:t>2,487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4"/>
          </w:tcPr>
          <w:p>
            <w:pPr>
              <w:jc w:val="right"/>
              <w:ind w:right="20"/>
              <w:spacing w:after="0" w:line="121" w:lineRule="exact"/>
              <w:rPr>
                <w:sz w:val="20"/>
                <w:szCs w:val="20"/>
                <w:color w:val="auto"/>
              </w:rPr>
            </w:pPr>
            <w:r>
              <w:rPr>
                <w:rFonts w:ascii="Arial" w:cs="Arial" w:eastAsia="Arial" w:hAnsi="Arial"/>
                <w:sz w:val="11"/>
                <w:szCs w:val="11"/>
                <w:color w:val="auto"/>
              </w:rPr>
              <w:t>5,470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20" w:type="dxa"/>
            <w:vAlign w:val="bottom"/>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680" w:type="dxa"/>
            <w:vAlign w:val="bottom"/>
            <w:tcBorders>
              <w:bottom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80" w:type="dxa"/>
            <w:vAlign w:val="bottom"/>
            <w:tcBorders>
              <w:bottom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tcBorders>
              <w:bottom w:val="single" w:sz="8" w:color="auto"/>
            </w:tcBorders>
            <w:shd w:val="clear" w:color="auto" w:fill="CFF0FC"/>
          </w:tcPr>
          <w:p>
            <w:pPr>
              <w:spacing w:after="0"/>
              <w:rPr>
                <w:sz w:val="10"/>
                <w:szCs w:val="10"/>
                <w:color w:val="auto"/>
              </w:rPr>
            </w:pPr>
          </w:p>
        </w:tc>
        <w:tc>
          <w:tcPr>
            <w:tcW w:w="320" w:type="dxa"/>
            <w:vAlign w:val="bottom"/>
            <w:tcBorders>
              <w:bottom w:val="single" w:sz="8" w:color="auto"/>
            </w:tcBorders>
            <w:shd w:val="clear" w:color="auto" w:fill="CFF0FC"/>
          </w:tcPr>
          <w:p>
            <w:pPr>
              <w:spacing w:after="0"/>
              <w:rPr>
                <w:sz w:val="10"/>
                <w:szCs w:val="10"/>
                <w:color w:val="auto"/>
              </w:rPr>
            </w:pPr>
          </w:p>
        </w:tc>
        <w:tc>
          <w:tcPr>
            <w:tcW w:w="220" w:type="dxa"/>
            <w:vAlign w:val="bottom"/>
            <w:tcBorders>
              <w:bottom w:val="single" w:sz="8" w:color="auto"/>
            </w:tcBorders>
            <w:gridSpan w:val="2"/>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60" w:type="dxa"/>
            <w:vAlign w:val="bottom"/>
            <w:tcBorders>
              <w:bottom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40" w:type="dxa"/>
            <w:vAlign w:val="bottom"/>
            <w:tcBorders>
              <w:bottom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tcBorders>
              <w:bottom w:val="single" w:sz="8" w:color="auto"/>
            </w:tcBorders>
            <w:shd w:val="clear" w:color="auto" w:fill="CFF0FC"/>
          </w:tcPr>
          <w:p>
            <w:pPr>
              <w:spacing w:after="0"/>
              <w:rPr>
                <w:sz w:val="10"/>
                <w:szCs w:val="10"/>
                <w:color w:val="auto"/>
              </w:rPr>
            </w:pPr>
          </w:p>
        </w:tc>
        <w:tc>
          <w:tcPr>
            <w:tcW w:w="640" w:type="dxa"/>
            <w:vAlign w:val="bottom"/>
            <w:tcBorders>
              <w:bottom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60" w:type="dxa"/>
            <w:vAlign w:val="bottom"/>
          </w:tcPr>
          <w:p>
            <w:pPr>
              <w:spacing w:after="0"/>
              <w:rPr>
                <w:sz w:val="9"/>
                <w:szCs w:val="9"/>
                <w:color w:val="auto"/>
              </w:rPr>
            </w:pPr>
          </w:p>
        </w:tc>
        <w:tc>
          <w:tcPr>
            <w:tcW w:w="4000" w:type="dxa"/>
            <w:vAlign w:val="bottom"/>
            <w:gridSpan w:val="3"/>
          </w:tcPr>
          <w:p>
            <w:pPr>
              <w:spacing w:after="0" w:line="111" w:lineRule="exact"/>
              <w:rPr>
                <w:sz w:val="20"/>
                <w:szCs w:val="20"/>
                <w:color w:val="auto"/>
              </w:rPr>
            </w:pPr>
            <w:r>
              <w:rPr>
                <w:rFonts w:ascii="Arial" w:cs="Arial" w:eastAsia="Arial" w:hAnsi="Arial"/>
                <w:sz w:val="11"/>
                <w:szCs w:val="11"/>
                <w:b w:val="1"/>
                <w:bCs w:val="1"/>
                <w:color w:val="auto"/>
              </w:rPr>
              <w:t>Adjusted net loss, non-GAAP basis</w:t>
            </w:r>
          </w:p>
        </w:tc>
        <w:tc>
          <w:tcPr>
            <w:tcW w:w="400" w:type="dxa"/>
            <w:vAlign w:val="bottom"/>
          </w:tcPr>
          <w:p>
            <w:pPr>
              <w:jc w:val="right"/>
              <w:ind w:right="290"/>
              <w:spacing w:after="0" w:line="111" w:lineRule="exact"/>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11" w:lineRule="exact"/>
              <w:rPr>
                <w:sz w:val="20"/>
                <w:szCs w:val="20"/>
                <w:color w:val="auto"/>
              </w:rPr>
            </w:pPr>
            <w:r>
              <w:rPr>
                <w:rFonts w:ascii="Arial" w:cs="Arial" w:eastAsia="Arial" w:hAnsi="Arial"/>
                <w:sz w:val="11"/>
                <w:szCs w:val="11"/>
                <w:color w:val="auto"/>
                <w:w w:val="80"/>
              </w:rPr>
              <w:t>(3,731)</w:t>
            </w:r>
          </w:p>
        </w:tc>
        <w:tc>
          <w:tcPr>
            <w:tcW w:w="200" w:type="dxa"/>
            <w:vAlign w:val="bottom"/>
          </w:tcPr>
          <w:p>
            <w:pPr>
              <w:spacing w:after="0"/>
              <w:rPr>
                <w:sz w:val="9"/>
                <w:szCs w:val="9"/>
                <w:color w:val="auto"/>
              </w:rPr>
            </w:pPr>
          </w:p>
        </w:tc>
        <w:tc>
          <w:tcPr>
            <w:tcW w:w="8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11" w:lineRule="exact"/>
              <w:rPr>
                <w:sz w:val="20"/>
                <w:szCs w:val="20"/>
                <w:color w:val="auto"/>
              </w:rPr>
            </w:pPr>
            <w:r>
              <w:rPr>
                <w:rFonts w:ascii="Arial" w:cs="Arial" w:eastAsia="Arial" w:hAnsi="Arial"/>
                <w:sz w:val="11"/>
                <w:szCs w:val="11"/>
                <w:color w:val="auto"/>
              </w:rPr>
              <w:t>(0.08)</w:t>
            </w:r>
          </w:p>
        </w:tc>
        <w:tc>
          <w:tcPr>
            <w:tcW w:w="200" w:type="dxa"/>
            <w:vAlign w:val="bottom"/>
          </w:tcPr>
          <w:p>
            <w:pPr>
              <w:spacing w:after="0"/>
              <w:rPr>
                <w:sz w:val="9"/>
                <w:szCs w:val="9"/>
                <w:color w:val="auto"/>
              </w:rPr>
            </w:pPr>
          </w:p>
        </w:tc>
        <w:tc>
          <w:tcPr>
            <w:tcW w:w="280" w:type="dxa"/>
            <w:vAlign w:val="bottom"/>
          </w:tcPr>
          <w:p>
            <w:pPr>
              <w:jc w:val="right"/>
              <w:ind w:right="204"/>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ind w:left="120"/>
              <w:spacing w:after="0" w:line="111" w:lineRule="exact"/>
              <w:rPr>
                <w:sz w:val="20"/>
                <w:szCs w:val="20"/>
                <w:color w:val="auto"/>
              </w:rPr>
            </w:pPr>
            <w:r>
              <w:rPr>
                <w:rFonts w:ascii="Arial" w:cs="Arial" w:eastAsia="Arial" w:hAnsi="Arial"/>
                <w:sz w:val="11"/>
                <w:szCs w:val="11"/>
                <w:color w:val="auto"/>
                <w:w w:val="74"/>
              </w:rPr>
              <w:t>(4,063)</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(0.08)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jc w:val="right"/>
              <w:ind w:right="112"/>
              <w:spacing w:after="0" w:line="111" w:lineRule="exact"/>
              <w:rPr>
                <w:sz w:val="20"/>
                <w:szCs w:val="20"/>
                <w:color w:val="auto"/>
              </w:rPr>
            </w:pPr>
            <w:r>
              <w:rPr>
                <w:rFonts w:ascii="Arial" w:cs="Arial" w:eastAsia="Arial" w:hAnsi="Arial"/>
                <w:sz w:val="10"/>
                <w:szCs w:val="10"/>
                <w:color w:val="auto"/>
                <w:w w:val="71"/>
              </w:rPr>
              <w:t>$</w:t>
            </w:r>
          </w:p>
        </w:tc>
        <w:tc>
          <w:tcPr>
            <w:tcW w:w="580" w:type="dxa"/>
            <w:vAlign w:val="bottom"/>
            <w:gridSpan w:val="4"/>
          </w:tcPr>
          <w:p>
            <w:pPr>
              <w:jc w:val="right"/>
              <w:spacing w:after="0" w:line="111" w:lineRule="exact"/>
              <w:rPr>
                <w:sz w:val="20"/>
                <w:szCs w:val="20"/>
                <w:color w:val="auto"/>
              </w:rPr>
            </w:pPr>
            <w:r>
              <w:rPr>
                <w:rFonts w:ascii="Arial" w:cs="Arial" w:eastAsia="Arial" w:hAnsi="Arial"/>
                <w:sz w:val="11"/>
                <w:szCs w:val="11"/>
                <w:color w:val="auto"/>
              </w:rPr>
              <w:t>(8,206)</w:t>
            </w:r>
          </w:p>
        </w:tc>
        <w:tc>
          <w:tcPr>
            <w:tcW w:w="180" w:type="dxa"/>
            <w:vAlign w:val="bottom"/>
          </w:tcPr>
          <w:p>
            <w:pPr>
              <w:spacing w:after="0"/>
              <w:rPr>
                <w:sz w:val="9"/>
                <w:szCs w:val="9"/>
                <w:color w:val="auto"/>
              </w:rPr>
            </w:pP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11" w:lineRule="exact"/>
              <w:rPr>
                <w:sz w:val="20"/>
                <w:szCs w:val="20"/>
                <w:color w:val="auto"/>
              </w:rPr>
            </w:pPr>
            <w:r>
              <w:rPr>
                <w:rFonts w:ascii="Arial" w:cs="Arial" w:eastAsia="Arial" w:hAnsi="Arial"/>
                <w:sz w:val="11"/>
                <w:szCs w:val="11"/>
                <w:color w:val="auto"/>
              </w:rPr>
              <w:t>(0.17)</w:t>
            </w:r>
          </w:p>
        </w:tc>
        <w:tc>
          <w:tcPr>
            <w:tcW w:w="16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3"/>
          </w:tcPr>
          <w:p>
            <w:pPr>
              <w:ind w:left="320"/>
              <w:spacing w:after="0" w:line="111" w:lineRule="exact"/>
              <w:rPr>
                <w:sz w:val="20"/>
                <w:szCs w:val="20"/>
                <w:color w:val="auto"/>
              </w:rPr>
            </w:pPr>
            <w:r>
              <w:rPr>
                <w:rFonts w:ascii="Arial" w:cs="Arial" w:eastAsia="Arial" w:hAnsi="Arial"/>
                <w:sz w:val="11"/>
                <w:szCs w:val="11"/>
                <w:color w:val="auto"/>
                <w:w w:val="74"/>
              </w:rPr>
              <w:t>(4,639)</w:t>
            </w:r>
          </w:p>
        </w:tc>
        <w:tc>
          <w:tcPr>
            <w:tcW w:w="160" w:type="dxa"/>
            <w:vAlign w:val="bottom"/>
          </w:tcPr>
          <w:p>
            <w:pPr>
              <w:spacing w:after="0"/>
              <w:rPr>
                <w:sz w:val="9"/>
                <w:szCs w:val="9"/>
                <w:color w:val="auto"/>
              </w:rPr>
            </w:pPr>
          </w:p>
        </w:tc>
        <w:tc>
          <w:tcPr>
            <w:tcW w:w="100" w:type="dxa"/>
            <w:vAlign w:val="bottom"/>
          </w:tcPr>
          <w:p>
            <w:pPr>
              <w:jc w:val="right"/>
              <w:spacing w:after="0" w:line="111" w:lineRule="exact"/>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11" w:lineRule="exact"/>
              <w:rPr>
                <w:sz w:val="20"/>
                <w:szCs w:val="20"/>
                <w:color w:val="auto"/>
              </w:rPr>
            </w:pPr>
            <w:r>
              <w:rPr>
                <w:rFonts w:ascii="Arial" w:cs="Arial" w:eastAsia="Arial" w:hAnsi="Arial"/>
                <w:sz w:val="11"/>
                <w:szCs w:val="11"/>
                <w:color w:val="auto"/>
              </w:rPr>
              <w:t>(0.10)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2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0" w:type="dxa"/>
            <w:vAlign w:val="bottom"/>
          </w:tcPr>
          <w:p>
            <w:pPr>
              <w:spacing w:after="0"/>
              <w:rPr>
                <w:sz w:val="11"/>
                <w:szCs w:val="11"/>
                <w:color w:val="auto"/>
              </w:rPr>
            </w:pPr>
          </w:p>
        </w:tc>
        <w:tc>
          <w:tcPr>
            <w:tcW w:w="4000" w:type="dxa"/>
            <w:vAlign w:val="bottom"/>
            <w:gridSpan w:val="3"/>
          </w:tcPr>
          <w:p>
            <w:pPr>
              <w:spacing w:after="0"/>
              <w:rPr>
                <w:sz w:val="20"/>
                <w:szCs w:val="20"/>
                <w:color w:val="auto"/>
              </w:rPr>
            </w:pPr>
            <w:r>
              <w:rPr>
                <w:rFonts w:ascii="Arial" w:cs="Arial" w:eastAsia="Arial" w:hAnsi="Arial"/>
                <w:sz w:val="11"/>
                <w:szCs w:val="11"/>
                <w:color w:val="auto"/>
              </w:rPr>
              <w:t>Weighted average number of common shares outstanding on a diluted basis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48,773</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48,553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48,724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48,441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5060" w:type="dxa"/>
            <w:vAlign w:val="bottom"/>
            <w:gridSpan w:val="7"/>
          </w:tcPr>
          <w:p>
            <w:pPr>
              <w:jc w:val="right"/>
              <w:ind w:right="320"/>
              <w:spacing w:after="0"/>
              <w:rPr>
                <w:sz w:val="20"/>
                <w:szCs w:val="20"/>
                <w:color w:val="auto"/>
              </w:rPr>
            </w:pPr>
            <w:r>
              <w:rPr>
                <w:rFonts w:ascii="Arial" w:cs="Arial" w:eastAsia="Arial" w:hAnsi="Arial"/>
                <w:sz w:val="13"/>
                <w:szCs w:val="13"/>
                <w:i w:val="1"/>
                <w:iCs w:val="1"/>
                <w:color w:val="auto"/>
                <w:w w:val="94"/>
              </w:rPr>
              <w:t xml:space="preserve">Free Cash Flow. </w:t>
            </w:r>
            <w:r>
              <w:rPr>
                <w:rFonts w:ascii="Arial" w:cs="Arial" w:eastAsia="Arial" w:hAnsi="Arial"/>
                <w:sz w:val="13"/>
                <w:szCs w:val="13"/>
                <w:color w:val="auto"/>
                <w:w w:val="94"/>
              </w:rPr>
              <w:t>The following table reconciles our non-GAAP free cash flow measure:</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8"/>
          </w:tcPr>
          <w:p>
            <w:pPr>
              <w:jc w:val="right"/>
              <w:ind w:right="440"/>
              <w:spacing w:after="0"/>
              <w:rPr>
                <w:sz w:val="20"/>
                <w:szCs w:val="20"/>
                <w:color w:val="auto"/>
              </w:rPr>
            </w:pPr>
            <w:r>
              <w:rPr>
                <w:rFonts w:ascii="Arial" w:cs="Arial" w:eastAsia="Arial" w:hAnsi="Arial"/>
                <w:sz w:val="11"/>
                <w:szCs w:val="11"/>
                <w:color w:val="auto"/>
                <w:w w:val="95"/>
              </w:rPr>
              <w:t>For the nine months ended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Projected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0" w:type="dxa"/>
            <w:vAlign w:val="bottom"/>
            <w:tcBorders>
              <w:bottom w:val="single" w:sz="8" w:color="CFF0FC"/>
            </w:tcBorders>
            <w:gridSpan w:val="2"/>
          </w:tcPr>
          <w:p>
            <w:pPr>
              <w:spacing w:after="0" w:line="124" w:lineRule="exact"/>
              <w:rPr>
                <w:sz w:val="20"/>
                <w:szCs w:val="20"/>
                <w:color w:val="auto"/>
              </w:rPr>
            </w:pPr>
            <w:r>
              <w:rPr>
                <w:rFonts w:ascii="Arial" w:cs="Arial" w:eastAsia="Arial" w:hAnsi="Arial"/>
                <w:sz w:val="11"/>
                <w:szCs w:val="11"/>
                <w:i w:val="1"/>
                <w:iCs w:val="1"/>
                <w:color w:val="auto"/>
              </w:rPr>
              <w:t>(in millions)</w:t>
            </w:r>
          </w:p>
        </w:tc>
        <w:tc>
          <w:tcPr>
            <w:tcW w:w="400" w:type="dxa"/>
            <w:vAlign w:val="bottom"/>
            <w:tcBorders>
              <w:bottom w:val="single" w:sz="8" w:color="CFF0FC"/>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16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1"/>
                <w:szCs w:val="11"/>
                <w:color w:val="auto"/>
              </w:rPr>
              <w:t>November 1, 2014</w:t>
            </w: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4"/>
          </w:tcPr>
          <w:p>
            <w:pPr>
              <w:jc w:val="right"/>
              <w:spacing w:after="0" w:line="124" w:lineRule="exact"/>
              <w:rPr>
                <w:sz w:val="20"/>
                <w:szCs w:val="20"/>
                <w:color w:val="auto"/>
              </w:rPr>
            </w:pPr>
            <w:r>
              <w:rPr>
                <w:rFonts w:ascii="Arial" w:cs="Arial" w:eastAsia="Arial" w:hAnsi="Arial"/>
                <w:sz w:val="11"/>
                <w:szCs w:val="11"/>
                <w:color w:val="auto"/>
              </w:rPr>
              <w:t>November 2, 2013</w:t>
            </w: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CFF0FC"/>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ind w:left="160"/>
              <w:spacing w:after="0" w:line="124" w:lineRule="exact"/>
              <w:rPr>
                <w:sz w:val="20"/>
                <w:szCs w:val="20"/>
                <w:color w:val="auto"/>
              </w:rPr>
            </w:pPr>
            <w:r>
              <w:rPr>
                <w:rFonts w:ascii="Arial" w:cs="Arial" w:eastAsia="Arial" w:hAnsi="Arial"/>
                <w:sz w:val="11"/>
                <w:szCs w:val="11"/>
                <w:color w:val="auto"/>
              </w:rPr>
              <w:t>Fiscal 2014</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2"/>
                <w:szCs w:val="12"/>
                <w:b w:val="1"/>
                <w:bCs w:val="1"/>
                <w:color w:val="auto"/>
              </w:rPr>
              <w:t>Cash flow from operating activities (GAAP)</w:t>
            </w:r>
          </w:p>
        </w:tc>
        <w:tc>
          <w:tcPr>
            <w:tcW w:w="4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67"/>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(15.4)</w:t>
            </w:r>
          </w:p>
        </w:tc>
        <w:tc>
          <w:tcPr>
            <w:tcW w:w="14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(5.5)</w:t>
            </w:r>
          </w:p>
        </w:tc>
        <w:tc>
          <w:tcPr>
            <w:tcW w:w="38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spacing w:after="0" w:line="151" w:lineRule="exact"/>
              <w:rPr>
                <w:sz w:val="20"/>
                <w:szCs w:val="20"/>
                <w:color w:val="auto"/>
              </w:rPr>
            </w:pPr>
            <w:r>
              <w:rPr>
                <w:rFonts w:ascii="Arial" w:cs="Arial" w:eastAsia="Arial" w:hAnsi="Arial"/>
                <w:sz w:val="11"/>
                <w:szCs w:val="11"/>
                <w:color w:val="auto"/>
              </w:rPr>
              <w:t xml:space="preserve">11.6  </w:t>
            </w:r>
            <w:r>
              <w:rPr>
                <w:rFonts w:ascii="Arial" w:cs="Arial" w:eastAsia="Arial" w:hAnsi="Arial"/>
                <w:sz w:val="17"/>
                <w:szCs w:val="17"/>
                <w:color w:val="auto"/>
                <w:vertAlign w:val="subscript"/>
              </w:rPr>
              <w:t>(1)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0" w:type="dxa"/>
            <w:vAlign w:val="bottom"/>
            <w:gridSpan w:val="2"/>
          </w:tcPr>
          <w:p>
            <w:pPr>
              <w:spacing w:after="0"/>
              <w:rPr>
                <w:sz w:val="20"/>
                <w:szCs w:val="20"/>
                <w:color w:val="auto"/>
              </w:rPr>
            </w:pPr>
            <w:r>
              <w:rPr>
                <w:rFonts w:ascii="Arial" w:cs="Arial" w:eastAsia="Arial" w:hAnsi="Arial"/>
                <w:sz w:val="12"/>
                <w:szCs w:val="12"/>
                <w:color w:val="auto"/>
              </w:rPr>
              <w:t>Less: Capital expenditures</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(30.8)</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(38.2)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jc w:val="right"/>
              <w:ind w:right="186"/>
              <w:spacing w:after="0"/>
              <w:rPr>
                <w:sz w:val="20"/>
                <w:szCs w:val="20"/>
                <w:color w:val="auto"/>
              </w:rPr>
            </w:pPr>
            <w:r>
              <w:rPr>
                <w:rFonts w:ascii="Arial" w:cs="Arial" w:eastAsia="Arial" w:hAnsi="Arial"/>
                <w:sz w:val="12"/>
                <w:szCs w:val="12"/>
                <w:color w:val="auto"/>
                <w:w w:val="95"/>
              </w:rPr>
              <w:t>(45.7)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Less: Store acquisitions, if applicable</w:t>
            </w:r>
          </w:p>
        </w:tc>
        <w:tc>
          <w:tcPr>
            <w:tcW w:w="4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5"/>
                <w:szCs w:val="15"/>
                <w:color w:val="auto"/>
              </w:rPr>
            </w:pPr>
          </w:p>
        </w:tc>
        <w:tc>
          <w:tcPr>
            <w:tcW w:w="2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0" w:type="dxa"/>
            <w:vAlign w:val="bottom"/>
            <w:gridSpan w:val="2"/>
          </w:tcPr>
          <w:p>
            <w:pPr>
              <w:spacing w:after="0"/>
              <w:rPr>
                <w:sz w:val="20"/>
                <w:szCs w:val="20"/>
                <w:color w:val="auto"/>
              </w:rPr>
            </w:pPr>
            <w:r>
              <w:rPr>
                <w:rFonts w:ascii="Arial" w:cs="Arial" w:eastAsia="Arial" w:hAnsi="Arial"/>
                <w:sz w:val="12"/>
                <w:szCs w:val="12"/>
                <w:b w:val="1"/>
                <w:bCs w:val="1"/>
                <w:color w:val="auto"/>
              </w:rPr>
              <w:t>Free Cash Flow (non-GAAP)</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567"/>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(46.2)</w:t>
            </w:r>
          </w:p>
        </w:tc>
        <w:tc>
          <w:tcPr>
            <w:tcW w:w="140" w:type="dxa"/>
            <w:vAlign w:val="bottom"/>
          </w:tcPr>
          <w:p>
            <w:pPr>
              <w:spacing w:after="0"/>
              <w:rPr>
                <w:sz w:val="14"/>
                <w:szCs w:val="14"/>
                <w:color w:val="auto"/>
              </w:rPr>
            </w:pPr>
          </w:p>
        </w:tc>
        <w:tc>
          <w:tcPr>
            <w:tcW w:w="140" w:type="dxa"/>
            <w:vAlign w:val="bottom"/>
            <w:gridSpan w:val="2"/>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(43.7)</w:t>
            </w:r>
          </w:p>
        </w:tc>
        <w:tc>
          <w:tcPr>
            <w:tcW w:w="3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86"/>
              <w:spacing w:after="0"/>
              <w:rPr>
                <w:sz w:val="20"/>
                <w:szCs w:val="20"/>
                <w:color w:val="auto"/>
              </w:rPr>
            </w:pPr>
            <w:r>
              <w:rPr>
                <w:rFonts w:ascii="Arial" w:cs="Arial" w:eastAsia="Arial" w:hAnsi="Arial"/>
                <w:sz w:val="12"/>
                <w:szCs w:val="12"/>
                <w:color w:val="auto"/>
                <w:w w:val="95"/>
              </w:rPr>
              <w:t>(34.1)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20" w:hanging="519"/>
        <w:spacing w:after="0"/>
        <w:tabs>
          <w:tab w:leader="none" w:pos="5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Projected cash flow from operating activities for fiscal 2014 includes an estimated $9.3 million in lease incentives.</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Summary</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Sales</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jc w:val="right"/>
              <w:ind w:right="160"/>
              <w:spacing w:after="0"/>
              <w:rPr>
                <w:sz w:val="20"/>
                <w:szCs w:val="20"/>
                <w:color w:val="auto"/>
              </w:rPr>
            </w:pPr>
            <w:r>
              <w:rPr>
                <w:rFonts w:ascii="Arial" w:cs="Arial" w:eastAsia="Arial" w:hAnsi="Arial"/>
                <w:sz w:val="11"/>
                <w:szCs w:val="11"/>
                <w:color w:val="auto"/>
              </w:rPr>
              <w:t>Third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1"/>
                <w:szCs w:val="11"/>
                <w:color w:val="auto"/>
              </w:rPr>
              <w:t>First Nine</w:t>
            </w: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tcPr>
          <w:p>
            <w:pPr>
              <w:jc w:val="right"/>
              <w:ind w:right="100"/>
              <w:spacing w:after="0" w:line="124" w:lineRule="exact"/>
              <w:rPr>
                <w:sz w:val="20"/>
                <w:szCs w:val="20"/>
                <w:color w:val="auto"/>
              </w:rPr>
            </w:pPr>
            <w:r>
              <w:rPr>
                <w:rFonts w:ascii="Arial" w:cs="Arial" w:eastAsia="Arial" w:hAnsi="Arial"/>
                <w:sz w:val="11"/>
                <w:szCs w:val="11"/>
                <w:color w:val="auto"/>
              </w:rPr>
              <w:t>Quarter</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gridSpan w:val="2"/>
          </w:tcPr>
          <w:p>
            <w:pPr>
              <w:jc w:val="right"/>
              <w:ind w:right="700"/>
              <w:spacing w:after="0" w:line="124" w:lineRule="exact"/>
              <w:rPr>
                <w:sz w:val="20"/>
                <w:szCs w:val="20"/>
                <w:color w:val="auto"/>
              </w:rPr>
            </w:pPr>
            <w:r>
              <w:rPr>
                <w:rFonts w:ascii="Arial" w:cs="Arial" w:eastAsia="Arial" w:hAnsi="Arial"/>
                <w:sz w:val="11"/>
                <w:szCs w:val="11"/>
                <w:color w:val="auto"/>
              </w:rPr>
              <w:t>Months</w:t>
            </w:r>
          </w:p>
        </w:tc>
        <w:tc>
          <w:tcPr>
            <w:tcW w:w="0" w:type="dxa"/>
            <w:vAlign w:val="bottom"/>
          </w:tcPr>
          <w:p>
            <w:pPr>
              <w:spacing w:after="0"/>
              <w:rPr>
                <w:sz w:val="1"/>
                <w:szCs w:val="1"/>
                <w:color w:val="auto"/>
              </w:rPr>
            </w:pPr>
          </w:p>
        </w:tc>
      </w:tr>
      <w:tr>
        <w:trPr>
          <w:trHeight w:val="111"/>
        </w:trPr>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right"/>
              <w:ind w:right="150"/>
              <w:spacing w:after="0" w:line="111" w:lineRule="exact"/>
              <w:rPr>
                <w:sz w:val="20"/>
                <w:szCs w:val="20"/>
                <w:color w:val="auto"/>
              </w:rPr>
            </w:pPr>
            <w:r>
              <w:rPr>
                <w:rFonts w:ascii="Arial" w:cs="Arial" w:eastAsia="Arial" w:hAnsi="Arial"/>
                <w:sz w:val="11"/>
                <w:szCs w:val="11"/>
                <w:i w:val="1"/>
                <w:iCs w:val="1"/>
                <w:color w:val="auto"/>
              </w:rPr>
              <w:t>(in millions)</w:t>
            </w:r>
          </w:p>
        </w:tc>
        <w:tc>
          <w:tcPr>
            <w:tcW w:w="1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Sales for the third quarter and first nine months of fiscal 2013</w:t>
            </w:r>
          </w:p>
        </w:tc>
        <w:tc>
          <w:tcPr>
            <w:tcW w:w="1520" w:type="dxa"/>
            <w:vAlign w:val="bottom"/>
            <w:gridSpan w:val="2"/>
            <w:shd w:val="clear" w:color="auto" w:fill="CFF0FC"/>
          </w:tcPr>
          <w:p>
            <w:pPr>
              <w:jc w:val="right"/>
              <w:ind w:right="940"/>
              <w:spacing w:after="0"/>
              <w:rPr>
                <w:sz w:val="20"/>
                <w:szCs w:val="20"/>
                <w:color w:val="auto"/>
              </w:rPr>
            </w:pPr>
            <w:r>
              <w:rPr>
                <w:rFonts w:ascii="Arial" w:cs="Arial" w:eastAsia="Arial" w:hAnsi="Arial"/>
                <w:sz w:val="13"/>
                <w:szCs w:val="13"/>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88.7</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50"/>
              <w:spacing w:after="0"/>
              <w:rPr>
                <w:sz w:val="20"/>
                <w:szCs w:val="20"/>
                <w:color w:val="auto"/>
              </w:rPr>
            </w:pPr>
            <w:r>
              <w:rPr>
                <w:rFonts w:ascii="Arial" w:cs="Arial" w:eastAsia="Arial" w:hAnsi="Arial"/>
                <w:sz w:val="10"/>
                <w:szCs w:val="10"/>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280.7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Less 2013 sales for stores that have closed</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(3.2)</w:t>
            </w:r>
          </w:p>
        </w:tc>
        <w:tc>
          <w:tcPr>
            <w:tcW w:w="36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Borders>
              <w:top w:val="single" w:sz="8" w:color="CFF0FC"/>
            </w:tcBorders>
            <w:shd w:val="clear" w:color="auto" w:fill="CFF0FC"/>
          </w:tcPr>
          <w:p>
            <w:pPr>
              <w:spacing w:after="0"/>
              <w:rPr>
                <w:sz w:val="14"/>
                <w:szCs w:val="14"/>
                <w:color w:val="auto"/>
              </w:rPr>
            </w:pPr>
          </w:p>
        </w:tc>
        <w:tc>
          <w:tcPr>
            <w:tcW w:w="44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ind w:right="940"/>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85.5</w:t>
            </w:r>
          </w:p>
        </w:tc>
        <w:tc>
          <w:tcPr>
            <w:tcW w:w="20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269.7</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860" w:type="dxa"/>
            <w:vAlign w:val="bottom"/>
            <w:vMerge w:val="restart"/>
          </w:tcPr>
          <w:p>
            <w:pPr>
              <w:spacing w:after="0"/>
              <w:rPr>
                <w:sz w:val="14"/>
                <w:szCs w:val="14"/>
                <w:color w:val="auto"/>
              </w:rPr>
            </w:pPr>
          </w:p>
        </w:tc>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Increase in comparable sales</w:t>
            </w:r>
          </w:p>
        </w:tc>
        <w:tc>
          <w:tcPr>
            <w:tcW w:w="4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Non-comparable sales, primarily DXL stores open less than 13 months</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Other, net </w:t>
            </w:r>
            <w:r>
              <w:rPr>
                <w:rFonts w:ascii="Arial" w:cs="Arial" w:eastAsia="Arial" w:hAnsi="Arial"/>
                <w:sz w:val="11"/>
                <w:szCs w:val="11"/>
                <w:color w:val="auto"/>
              </w:rPr>
              <w:t>(1)</w:t>
            </w:r>
          </w:p>
        </w:tc>
        <w:tc>
          <w:tcPr>
            <w:tcW w:w="4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(0.6)</w:t>
            </w:r>
          </w:p>
        </w:tc>
        <w:tc>
          <w:tcPr>
            <w:tcW w:w="3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12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Sales for the third quarter and first nine months of fiscal 2014</w:t>
            </w:r>
          </w:p>
        </w:tc>
        <w:tc>
          <w:tcPr>
            <w:tcW w:w="440" w:type="dxa"/>
            <w:vAlign w:val="bottom"/>
            <w:tcBorders>
              <w:top w:val="single" w:sz="8" w:color="CFF0FC"/>
              <w:bottom w:val="single" w:sz="8" w:color="CFF0FC"/>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ind w:right="940"/>
              <w:spacing w:after="0"/>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93.6</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294.1</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13"/>
              <w:spacing w:after="0"/>
              <w:rPr>
                <w:sz w:val="20"/>
                <w:szCs w:val="20"/>
                <w:color w:val="auto"/>
              </w:rPr>
            </w:pPr>
            <w:r>
              <w:rPr>
                <w:rFonts w:ascii="Arial" w:cs="Arial" w:eastAsia="Arial" w:hAnsi="Arial"/>
                <w:sz w:val="13"/>
                <w:szCs w:val="13"/>
                <w:color w:val="auto"/>
                <w:w w:val="87"/>
              </w:rPr>
              <w:t>(1)</w:t>
            </w:r>
          </w:p>
        </w:tc>
        <w:tc>
          <w:tcPr>
            <w:tcW w:w="5120" w:type="dxa"/>
            <w:vAlign w:val="bottom"/>
            <w:gridSpan w:val="2"/>
            <w:vMerge w:val="restart"/>
          </w:tcPr>
          <w:p>
            <w:pPr>
              <w:ind w:left="160"/>
              <w:spacing w:after="0"/>
              <w:rPr>
                <w:sz w:val="20"/>
                <w:szCs w:val="20"/>
                <w:color w:val="auto"/>
              </w:rPr>
            </w:pPr>
            <w:r>
              <w:rPr>
                <w:rFonts w:ascii="Arial" w:cs="Arial" w:eastAsia="Arial" w:hAnsi="Arial"/>
                <w:sz w:val="13"/>
                <w:szCs w:val="13"/>
                <w:color w:val="auto"/>
              </w:rPr>
              <w:t>Includes decrease in sales from our Sears Canada business.</w:t>
            </w:r>
          </w:p>
        </w:tc>
        <w:tc>
          <w:tcPr>
            <w:tcW w:w="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40" w:type="dxa"/>
            <w:vAlign w:val="bottom"/>
            <w:vMerge w:val="continue"/>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color w:val="auto"/>
        </w:rPr>
        <w:t>For the third quarter of fiscal 2014, total sales were $93.6 million as compared to $88.7 million for the third quarter of fiscal 2013. The increase of $4.9 million in total sales was primarily due to an increase in comparable sales of $4.1 million and an increase in non-comparable store sales of $4.6 million, partially offset by $3.2 million in closed stores and a decrease of $0.6 million which primarily relates to Sears Canada.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420"/>
          </w:cols>
          <w:pgMar w:left="220" w:top="451" w:right="259" w:bottom="1440" w:gutter="0" w:footer="0" w:header="0"/>
        </w:sectPr>
      </w:pPr>
    </w:p>
    <w:bookmarkStart w:id="21" w:name="page22"/>
    <w:bookmarkEnd w:id="21"/>
    <w:p>
      <w:pPr>
        <w:ind w:right="80"/>
        <w:spacing w:after="0" w:line="270" w:lineRule="auto"/>
        <w:rPr>
          <w:sz w:val="20"/>
          <w:szCs w:val="20"/>
          <w:color w:val="auto"/>
        </w:rPr>
      </w:pPr>
      <w:r>
        <w:rPr>
          <w:rFonts w:ascii="Arial" w:cs="Arial" w:eastAsia="Arial" w:hAnsi="Arial"/>
          <w:sz w:val="13"/>
          <w:szCs w:val="13"/>
          <w:color w:val="auto"/>
        </w:rPr>
        <w:t>For the third quarter of fiscal 2014, comparable sales from our 73 DXL stores continued to perform in the double-digits, with an increase of 12.8%, or $2.8 million, against a double-digit comparable increase of 11.3% for the third quarter of fiscal 2013. The Casual Male XL retail and outlet stores, Rochester Clothing stores and U.S. direct business had a combined comparable sales increase of $1.3 million, for the third quarter of fiscal 2014. This increase was driven by sales in our Casual Male XL retail stores. During the first quarter of fiscal 2014, we returned to standard operating hours for many of our Casual Male XL stores which is having a positive impact on sales.</w:t>
      </w:r>
    </w:p>
    <w:p>
      <w:pPr>
        <w:spacing w:after="0" w:line="134" w:lineRule="exact"/>
        <w:rPr>
          <w:sz w:val="20"/>
          <w:szCs w:val="20"/>
          <w:color w:val="auto"/>
        </w:rPr>
      </w:pPr>
    </w:p>
    <w:p>
      <w:pPr>
        <w:ind w:right="60"/>
        <w:spacing w:after="0" w:line="270" w:lineRule="auto"/>
        <w:rPr>
          <w:sz w:val="20"/>
          <w:szCs w:val="20"/>
          <w:color w:val="auto"/>
        </w:rPr>
      </w:pPr>
      <w:r>
        <w:rPr>
          <w:rFonts w:ascii="Arial" w:cs="Arial" w:eastAsia="Arial" w:hAnsi="Arial"/>
          <w:sz w:val="13"/>
          <w:szCs w:val="13"/>
          <w:color w:val="auto"/>
        </w:rPr>
        <w:t>For the first nine months of fiscal 2014, total sales were $294.1 million as compared to $280.7 million for the first nine months of fiscal 2013. This increase of $13.4 million is primarily the result of an increase in comparable sales of $12.6 million and an increase in non-comparable store sales of $13.6 million, partially offset by $11.0 million in sales from closed stores and a decrease of $1.8 million, primarily related to Sears Canada. The increase in total comparable sales for the first nine months of fiscal 2014 is driven by an increase of $7.5 million, or 12.3% from our DXL stores with our Casual Male XL retail and outlet stores, Rochester Clothing and U.S. direct business contributing a combined increase of $5.1 million from our DXL stores were up.</w:t>
      </w:r>
    </w:p>
    <w:p>
      <w:pPr>
        <w:spacing w:after="0" w:line="134" w:lineRule="exact"/>
        <w:rPr>
          <w:sz w:val="20"/>
          <w:szCs w:val="20"/>
          <w:color w:val="auto"/>
        </w:rPr>
      </w:pPr>
    </w:p>
    <w:p>
      <w:pPr>
        <w:ind w:right="120"/>
        <w:spacing w:after="0" w:line="300" w:lineRule="auto"/>
        <w:rPr>
          <w:sz w:val="20"/>
          <w:szCs w:val="20"/>
          <w:color w:val="auto"/>
        </w:rPr>
      </w:pPr>
      <w:r>
        <w:rPr>
          <w:rFonts w:ascii="Arial" w:cs="Arial" w:eastAsia="Arial" w:hAnsi="Arial"/>
          <w:sz w:val="12"/>
          <w:szCs w:val="12"/>
          <w:color w:val="auto"/>
        </w:rPr>
        <w:t>As discussed above, through the end of fiscal 2013, revenue from our on-site tailoring business was netted against the associated tailoring costs and included in SG&amp;A expense. However, because tailoring is increasing as part of our growing DXL business, in the first quarter of fiscal 2014, we started reporting tailoring revenue as a component of sales, with the associated costs recorded as cost of goods sold. Accordingly, the results for the third quarter and first nine months of fiscal 2013 were reclassified to reflect this presentation. For the third quarter and first nine months of fiscal 2013, sales increased $0.5 million and $1.2 million, respectively, cost of goods sold increased $0.6 million and $1.7 million, respectively, and selling, general and administrative expenses decreased $0.1 million and $0.5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the breakdown of our comparable sales for the third quarter and first nine months of fiscal 2014:</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Number of</w:t>
            </w:r>
          </w:p>
        </w:tc>
        <w:tc>
          <w:tcPr>
            <w:tcW w:w="1160" w:type="dxa"/>
            <w:vAlign w:val="bottom"/>
          </w:tcPr>
          <w:p>
            <w:pPr>
              <w:ind w:left="440"/>
              <w:spacing w:after="0"/>
              <w:rPr>
                <w:sz w:val="20"/>
                <w:szCs w:val="20"/>
                <w:color w:val="auto"/>
              </w:rPr>
            </w:pPr>
            <w:r>
              <w:rPr>
                <w:rFonts w:ascii="Arial" w:cs="Arial" w:eastAsia="Arial" w:hAnsi="Arial"/>
                <w:sz w:val="11"/>
                <w:szCs w:val="11"/>
                <w:color w:val="auto"/>
              </w:rPr>
              <w:t>Third Quarter</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1"/>
                <w:szCs w:val="11"/>
                <w:color w:val="auto"/>
                <w:w w:val="90"/>
              </w:rPr>
              <w:t>First Nine Months</w:t>
            </w:r>
          </w:p>
        </w:tc>
      </w:tr>
      <w:tr>
        <w:trPr>
          <w:trHeight w:val="124"/>
        </w:trPr>
        <w:tc>
          <w:tcPr>
            <w:tcW w:w="418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rPr>
              <w:t>Comparable sales:</w:t>
            </w:r>
          </w:p>
        </w:tc>
        <w:tc>
          <w:tcPr>
            <w:tcW w:w="120" w:type="dxa"/>
            <w:vAlign w:val="bottom"/>
            <w:tcBorders>
              <w:bottom w:val="single" w:sz="8" w:color="CFF0FC"/>
            </w:tcBorders>
          </w:tcPr>
          <w:p>
            <w:pPr>
              <w:spacing w:after="0"/>
              <w:rPr>
                <w:sz w:val="10"/>
                <w:szCs w:val="10"/>
                <w:color w:val="auto"/>
              </w:rPr>
            </w:pPr>
          </w:p>
        </w:tc>
        <w:tc>
          <w:tcPr>
            <w:tcW w:w="136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86"/>
              </w:rPr>
              <w:t>stores</w:t>
            </w:r>
          </w:p>
        </w:tc>
        <w:tc>
          <w:tcPr>
            <w:tcW w:w="100" w:type="dxa"/>
            <w:vAlign w:val="bottom"/>
            <w:tcBorders>
              <w:bottom w:val="single" w:sz="8" w:color="CFF0FC"/>
            </w:tcBorders>
          </w:tcPr>
          <w:p>
            <w:pPr>
              <w:spacing w:after="0"/>
              <w:rPr>
                <w:sz w:val="10"/>
                <w:szCs w:val="10"/>
                <w:color w:val="auto"/>
              </w:rPr>
            </w:pPr>
          </w:p>
        </w:tc>
        <w:tc>
          <w:tcPr>
            <w:tcW w:w="1160" w:type="dxa"/>
            <w:vAlign w:val="bottom"/>
            <w:tcBorders>
              <w:bottom w:val="single" w:sz="8" w:color="auto"/>
            </w:tcBorders>
          </w:tcPr>
          <w:p>
            <w:pPr>
              <w:ind w:left="440"/>
              <w:spacing w:after="0" w:line="124" w:lineRule="exact"/>
              <w:rPr>
                <w:sz w:val="20"/>
                <w:szCs w:val="20"/>
                <w:color w:val="auto"/>
              </w:rPr>
            </w:pPr>
            <w:r>
              <w:rPr>
                <w:rFonts w:ascii="Arial" w:cs="Arial" w:eastAsia="Arial" w:hAnsi="Arial"/>
                <w:sz w:val="11"/>
                <w:szCs w:val="11"/>
                <w:color w:val="auto"/>
              </w:rPr>
              <w:t>of Fiscal 2014</w:t>
            </w: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CFF0FC"/>
            </w:tcBorders>
          </w:tcPr>
          <w:p>
            <w:pPr>
              <w:spacing w:after="0"/>
              <w:rPr>
                <w:sz w:val="10"/>
                <w:szCs w:val="10"/>
                <w:color w:val="auto"/>
              </w:rPr>
            </w:pPr>
          </w:p>
        </w:tc>
        <w:tc>
          <w:tcPr>
            <w:tcW w:w="1480" w:type="dxa"/>
            <w:vAlign w:val="bottom"/>
            <w:tcBorders>
              <w:bottom w:val="single" w:sz="8" w:color="auto"/>
            </w:tcBorders>
          </w:tcPr>
          <w:p>
            <w:pPr>
              <w:jc w:val="center"/>
              <w:spacing w:after="0" w:line="124" w:lineRule="exact"/>
              <w:rPr>
                <w:sz w:val="20"/>
                <w:szCs w:val="20"/>
                <w:color w:val="auto"/>
              </w:rPr>
            </w:pPr>
            <w:r>
              <w:rPr>
                <w:rFonts w:ascii="Arial" w:cs="Arial" w:eastAsia="Arial" w:hAnsi="Arial"/>
                <w:sz w:val="11"/>
                <w:szCs w:val="11"/>
                <w:color w:val="auto"/>
                <w:w w:val="90"/>
              </w:rPr>
              <w:t>of Fiscal 2014</w:t>
            </w:r>
          </w:p>
        </w:tc>
        <w:tc>
          <w:tcPr>
            <w:tcW w:w="160" w:type="dxa"/>
            <w:vAlign w:val="bottom"/>
            <w:tcBorders>
              <w:bottom w:val="single" w:sz="8" w:color="CFF0FC"/>
            </w:tcBorders>
          </w:tcPr>
          <w:p>
            <w:pPr>
              <w:spacing w:after="0"/>
              <w:rPr>
                <w:sz w:val="10"/>
                <w:szCs w:val="10"/>
                <w:color w:val="auto"/>
              </w:rPr>
            </w:pPr>
          </w:p>
        </w:tc>
      </w:tr>
      <w:tr>
        <w:trPr>
          <w:trHeight w:val="151"/>
        </w:trPr>
        <w:tc>
          <w:tcPr>
            <w:tcW w:w="41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Total comparable sales , including direct business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3"/>
              <w:spacing w:after="0"/>
              <w:rPr>
                <w:sz w:val="20"/>
                <w:szCs w:val="20"/>
                <w:color w:val="auto"/>
              </w:rPr>
            </w:pPr>
            <w:r>
              <w:rPr>
                <w:rFonts w:ascii="Arial" w:cs="Arial" w:eastAsia="Arial" w:hAnsi="Arial"/>
                <w:sz w:val="12"/>
                <w:szCs w:val="12"/>
                <w:color w:val="auto"/>
              </w:rPr>
              <w:t>296</w:t>
            </w: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b w:val="1"/>
                <w:bCs w:val="1"/>
                <w:color w:val="auto"/>
              </w:rPr>
              <w:t>5.5%</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b w:val="1"/>
                <w:bCs w:val="1"/>
                <w:color w:val="auto"/>
              </w:rPr>
              <w:t>5.5%</w:t>
            </w:r>
          </w:p>
        </w:tc>
      </w:tr>
      <w:tr>
        <w:trPr>
          <w:trHeight w:val="157"/>
        </w:trPr>
        <w:tc>
          <w:tcPr>
            <w:tcW w:w="4300" w:type="dxa"/>
            <w:vAlign w:val="bottom"/>
            <w:gridSpan w:val="2"/>
          </w:tcPr>
          <w:p>
            <w:pPr>
              <w:spacing w:after="0"/>
              <w:rPr>
                <w:sz w:val="20"/>
                <w:szCs w:val="20"/>
                <w:color w:val="auto"/>
              </w:rPr>
            </w:pPr>
            <w:r>
              <w:rPr>
                <w:rFonts w:ascii="Arial" w:cs="Arial" w:eastAsia="Arial" w:hAnsi="Arial"/>
                <w:sz w:val="12"/>
                <w:szCs w:val="12"/>
                <w:color w:val="auto"/>
              </w:rPr>
              <w:t>DXL comp stores</w:t>
            </w:r>
          </w:p>
        </w:tc>
        <w:tc>
          <w:tcPr>
            <w:tcW w:w="1360" w:type="dxa"/>
            <w:vAlign w:val="bottom"/>
          </w:tcPr>
          <w:p>
            <w:pPr>
              <w:jc w:val="right"/>
              <w:ind w:right="563"/>
              <w:spacing w:after="0"/>
              <w:rPr>
                <w:sz w:val="20"/>
                <w:szCs w:val="20"/>
                <w:color w:val="auto"/>
              </w:rPr>
            </w:pPr>
            <w:r>
              <w:rPr>
                <w:rFonts w:ascii="Arial" w:cs="Arial" w:eastAsia="Arial" w:hAnsi="Arial"/>
                <w:sz w:val="12"/>
                <w:szCs w:val="12"/>
                <w:color w:val="auto"/>
              </w:rPr>
              <w:t>73</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12.8%</w:t>
            </w:r>
          </w:p>
        </w:tc>
        <w:tc>
          <w:tcPr>
            <w:tcW w:w="1640" w:type="dxa"/>
            <w:vAlign w:val="bottom"/>
            <w:gridSpan w:val="2"/>
          </w:tcPr>
          <w:p>
            <w:pPr>
              <w:jc w:val="right"/>
              <w:ind w:right="60"/>
              <w:spacing w:after="0"/>
              <w:rPr>
                <w:sz w:val="20"/>
                <w:szCs w:val="20"/>
                <w:color w:val="auto"/>
              </w:rPr>
            </w:pPr>
            <w:r>
              <w:rPr>
                <w:rFonts w:ascii="Arial" w:cs="Arial" w:eastAsia="Arial" w:hAnsi="Arial"/>
                <w:sz w:val="12"/>
                <w:szCs w:val="12"/>
                <w:color w:val="auto"/>
              </w:rPr>
              <w:t>12.3%</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Gross Profit Margin</w:t>
      </w:r>
    </w:p>
    <w:p>
      <w:pPr>
        <w:spacing w:after="0" w:line="93"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color w:val="auto"/>
        </w:rPr>
        <w:t>For the third quarter of fiscal 2014, our gross margin rate, inclusive of occupancy costs, was 43.3% as compared to a gross margin rate of 44.2% for the third quarter of fiscal 2013. The decrease of 90 basis points for the third quarter of fiscal 2014 was the result of a decrease in merchandise margin related to an increase in our promotional activity. During the third quarter of fiscal 2014, based on the positive results to date, we continued with our promotional coupon program to incentivize our Casual Male XL customers to visit one of our DXL stores. This program continues to improve our store traffic and number of transactions, benefiting sales. Occupancy costs as a percentage of sales for the third quarter remained flat as compared to the prior year third quarter. On a dollar basis, occupancy costs for the third quarter of fiscal 2014 increased 5.5% over the prior year third quarter.</w:t>
      </w:r>
    </w:p>
    <w:p>
      <w:pPr>
        <w:spacing w:after="0" w:line="137" w:lineRule="exact"/>
        <w:rPr>
          <w:sz w:val="20"/>
          <w:szCs w:val="20"/>
          <w:color w:val="auto"/>
        </w:rPr>
      </w:pPr>
    </w:p>
    <w:p>
      <w:pPr>
        <w:jc w:val="both"/>
        <w:ind w:right="40"/>
        <w:spacing w:after="0" w:line="276" w:lineRule="auto"/>
        <w:rPr>
          <w:sz w:val="20"/>
          <w:szCs w:val="20"/>
          <w:color w:val="auto"/>
        </w:rPr>
      </w:pPr>
      <w:r>
        <w:rPr>
          <w:rFonts w:ascii="Arial" w:cs="Arial" w:eastAsia="Arial" w:hAnsi="Arial"/>
          <w:sz w:val="13"/>
          <w:szCs w:val="13"/>
          <w:color w:val="auto"/>
        </w:rPr>
        <w:t>For the first nine months of fiscal 2014, our gross margin rate, inclusive of occupancy costs, was 44.8% as compared to 45.9% for the first nine months of fiscal 2013. The decrease of 110 basis points was due to a decrease in merchandise margin of 120 basis points offset partially by a decrease in occupancy costs of 10 basis points. The decrease in merchandise margin was due to the marketing initiatives described above in addition to clearance markdowns incurred in the first quarter.</w:t>
      </w:r>
    </w:p>
    <w:p>
      <w:pPr>
        <w:spacing w:after="0" w:line="130" w:lineRule="exact"/>
        <w:rPr>
          <w:sz w:val="20"/>
          <w:szCs w:val="20"/>
          <w:color w:val="auto"/>
        </w:rPr>
      </w:pPr>
    </w:p>
    <w:p>
      <w:pPr>
        <w:spacing w:after="0" w:line="300" w:lineRule="auto"/>
        <w:rPr>
          <w:sz w:val="20"/>
          <w:szCs w:val="20"/>
          <w:color w:val="auto"/>
        </w:rPr>
      </w:pPr>
      <w:r>
        <w:rPr>
          <w:rFonts w:ascii="Arial" w:cs="Arial" w:eastAsia="Arial" w:hAnsi="Arial"/>
          <w:sz w:val="12"/>
          <w:szCs w:val="12"/>
          <w:color w:val="auto"/>
        </w:rPr>
        <w:t>For fiscal 2014, we are expecting that our occupancy costs will increase approximately $1.5 to $1.7 million as a result of adding approximately 41 DXL stores in fiscal 2014 and certain lease termination costs associated with closing 2 Rochester Clothing and 46 Casual Male XL stores. However, we expect occupancy costs as a percentage of sales will improve 50 to 70 basis points over fiscal 2013. We are expecting that our merchandise margins, which have improved over 170 basis points over the past four years, will decrease by 60 to 100 basis points as a result of our increase in promotional activity which is geared towards converting our customers to our DXL stores and improving overall store traffic. Accordingly, for fiscal 2014, we are expecting that gross margin will be 45.5% to 46.1%.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460"/>
          </w:cols>
          <w:pgMar w:left="220" w:top="451" w:right="219" w:bottom="1440" w:gutter="0" w:footer="0" w:header="0"/>
        </w:sectPr>
      </w:pPr>
    </w:p>
    <w:bookmarkStart w:id="22" w:name="page23"/>
    <w:bookmarkEnd w:id="22"/>
    <w:p>
      <w:pPr>
        <w:spacing w:after="0"/>
        <w:rPr>
          <w:sz w:val="20"/>
          <w:szCs w:val="20"/>
          <w:color w:val="auto"/>
        </w:rPr>
      </w:pPr>
      <w:r>
        <w:rPr>
          <w:rFonts w:ascii="Arial" w:cs="Arial" w:eastAsia="Arial" w:hAnsi="Arial"/>
          <w:sz w:val="13"/>
          <w:szCs w:val="13"/>
          <w:i w:val="1"/>
          <w:iCs w:val="1"/>
          <w:color w:val="auto"/>
        </w:rPr>
        <w:t>Selling, General and Administrative Expenses</w:t>
      </w:r>
    </w:p>
    <w:p>
      <w:pPr>
        <w:spacing w:after="0" w:line="93"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As a percentage of sales, SG&amp;A expenses for the third quarter of fiscal 2014 decreased to 42.9% as compared to 46.2% for the third quarter of fiscal 2013. On a dollar basis, SG&amp;A expenses decreased $0.8 million, or 2.0%, for the third quarter of fiscal 2014 as compared to the prior year’s third quarter. The decrease of $0.8 million is primarily due to lower marketing costs in the third quarter of fiscal 2014 as a result of the Fall marketing campaign starting three weeks later than in fiscal 2013. This decrease was partially offset by an increase in payroll-related costs associated with the return to standard hours in our Casual Male XL stores and an increase in incentive accruals as compared to the prior year. Pre-opening payroll, training and other incremental costs to support our DXL store openings were $1.1 million for the third quarter of fiscal 2014, as compared to $1.5 million in the prior year third quarter.</w:t>
      </w:r>
    </w:p>
    <w:p>
      <w:pPr>
        <w:spacing w:after="0" w:line="137" w:lineRule="exact"/>
        <w:rPr>
          <w:sz w:val="20"/>
          <w:szCs w:val="20"/>
          <w:color w:val="auto"/>
        </w:rPr>
      </w:pPr>
    </w:p>
    <w:p>
      <w:pPr>
        <w:ind w:right="120"/>
        <w:spacing w:after="0" w:line="270" w:lineRule="auto"/>
        <w:rPr>
          <w:sz w:val="20"/>
          <w:szCs w:val="20"/>
          <w:color w:val="auto"/>
        </w:rPr>
      </w:pPr>
      <w:r>
        <w:rPr>
          <w:rFonts w:ascii="Arial" w:cs="Arial" w:eastAsia="Arial" w:hAnsi="Arial"/>
          <w:sz w:val="13"/>
          <w:szCs w:val="13"/>
          <w:color w:val="auto"/>
        </w:rPr>
        <w:t>For the first nine months of fiscal 2014, SG&amp;A expenses, as a percentage of sales, decreased to 43.2% as compared to 43.6% for the first nine months of fiscal 2013. On a dollar basis, SG&amp;A expenses increased $4.8 million, or 3.9%, for the first nine months of fiscal 2014 as compared to the prior year’s first nine months. The increase was primarily driven by increased store payroll to support the return to standard hours in our Casual Male XL stores, higher than expected payroll during the first quarter in our DXL stores (which did not recur in the second and third quarters) and increased incentive accruals partially offset by a decrease in marketing costs as compared to the first nine months of fiscal 2013.</w:t>
      </w:r>
    </w:p>
    <w:p>
      <w:pPr>
        <w:spacing w:after="0" w:line="134"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For fiscal 2014, we are expecting that our SG&amp;A expenses will increase to $176.0 to $177.6 million as we continue to grow the DXL format. This increase from fiscal 2013 is primarily related to incremental operating costs associated with our growing DXL concept, as well as costs to close approximately 2 Rochester Clothing and 46 Casual Male XL stores. Overall, we expect to limit our SG&amp;A growth rates, except where necessary to support our growth activities or where there are unanticipated costs that are necessary to support our overall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Depreciation and Amortization</w:t>
      </w:r>
    </w:p>
    <w:p>
      <w:pPr>
        <w:spacing w:after="0" w:line="93" w:lineRule="exact"/>
        <w:rPr>
          <w:sz w:val="20"/>
          <w:szCs w:val="20"/>
          <w:color w:val="auto"/>
        </w:rPr>
      </w:pPr>
    </w:p>
    <w:p>
      <w:pPr>
        <w:ind w:right="580"/>
        <w:spacing w:after="0" w:line="294" w:lineRule="auto"/>
        <w:rPr>
          <w:sz w:val="20"/>
          <w:szCs w:val="20"/>
          <w:color w:val="auto"/>
        </w:rPr>
      </w:pPr>
      <w:r>
        <w:rPr>
          <w:rFonts w:ascii="Arial" w:cs="Arial" w:eastAsia="Arial" w:hAnsi="Arial"/>
          <w:sz w:val="13"/>
          <w:szCs w:val="13"/>
          <w:color w:val="auto"/>
        </w:rPr>
        <w:t>Depreciation and amortization for the first nine months of fiscal 2014 increased $3.6 million to $17.2 million as compared to $13.6 million for the first nine months of fiscal 2013, due to the store growth associated with our DXL store concept.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Expense, Net</w:t>
      </w:r>
    </w:p>
    <w:p>
      <w:pPr>
        <w:spacing w:after="0" w:line="93"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Net interest expense was $0.5 million for the third quarter of fiscal 2014 as compared to $0.3 million for the third quarter of fiscal 2013. For the first nine months of fiscal 2014, interest costs increased $0.7 million to $1.4 million as compared to $0.7 million for the first nine months of fiscal 2013. Interest expense for the past few years has remained relatively low due to minimal borrowings on our credit facility. However, with our continued planned store growth in fiscal 2014, we expect interest costs to increase as we fund a portion of our store growth with equipment financing and term loans and borrowings under our credit facility. Through the end of the third quarter of fiscal 2014, we funded approximately $26.4 million of our capital expenditures through equipment financing. See “Liquidity and Capital Resources” for more discussion regarding our current credit facility, the new term loan, equipment financings and future liquidity needs.</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w:t>
      </w:r>
    </w:p>
    <w:p>
      <w:pPr>
        <w:spacing w:after="0" w:line="93" w:lineRule="exact"/>
        <w:rPr>
          <w:sz w:val="20"/>
          <w:szCs w:val="20"/>
          <w:color w:val="auto"/>
        </w:rPr>
      </w:pPr>
    </w:p>
    <w:p>
      <w:pPr>
        <w:ind w:right="340"/>
        <w:spacing w:after="0" w:line="339" w:lineRule="auto"/>
        <w:rPr>
          <w:sz w:val="20"/>
          <w:szCs w:val="20"/>
          <w:color w:val="auto"/>
        </w:rPr>
      </w:pPr>
      <w:r>
        <w:rPr>
          <w:rFonts w:ascii="Arial" w:cs="Arial" w:eastAsia="Arial" w:hAnsi="Arial"/>
          <w:sz w:val="12"/>
          <w:szCs w:val="12"/>
          <w:color w:val="auto"/>
        </w:rPr>
        <w:t>At November 1, 2014, we had total deferred tax assets of $75.4 million, total deferred tax liabilities of $15.8 million and a corresponding valuation allowance of $59.7 million. The deferred tax assets include approximately $40.0 million of net operating loss carryforwards and approximately $6.4 million of deferred gain on our sale-leaseback and, to a lesser extent, other book/tax timing differences.</w:t>
      </w:r>
    </w:p>
    <w:p>
      <w:pPr>
        <w:spacing w:after="0" w:line="94" w:lineRule="exact"/>
        <w:rPr>
          <w:sz w:val="20"/>
          <w:szCs w:val="20"/>
          <w:color w:val="auto"/>
        </w:rPr>
      </w:pPr>
    </w:p>
    <w:p>
      <w:pPr>
        <w:jc w:val="both"/>
        <w:ind w:right="100"/>
        <w:spacing w:after="0" w:line="276" w:lineRule="auto"/>
        <w:rPr>
          <w:sz w:val="20"/>
          <w:szCs w:val="20"/>
          <w:color w:val="auto"/>
        </w:rPr>
      </w:pPr>
      <w:r>
        <w:rPr>
          <w:rFonts w:ascii="Arial" w:cs="Arial" w:eastAsia="Arial" w:hAnsi="Arial"/>
          <w:sz w:val="13"/>
          <w:szCs w:val="13"/>
          <w:color w:val="auto"/>
        </w:rPr>
        <w:t>At the end of fiscal 2013, we entered into a three-year cumulative loss and we expected our three-year cumulative loss to increase at the end of fiscal 2014. When considering all positive and negative evidence as of February 1, 2014, we established a full valuation allowance against our net deferred tax assets. Based on our earnings guidance for fiscal 2014, we believe that a full valuation allowance remains appropriate at this time.</w:t>
      </w:r>
    </w:p>
    <w:p>
      <w:pPr>
        <w:spacing w:after="0" w:line="130" w:lineRule="exact"/>
        <w:rPr>
          <w:sz w:val="20"/>
          <w:szCs w:val="20"/>
          <w:color w:val="auto"/>
        </w:rPr>
      </w:pPr>
    </w:p>
    <w:p>
      <w:pPr>
        <w:ind w:right="180"/>
        <w:spacing w:after="0" w:line="294" w:lineRule="auto"/>
        <w:rPr>
          <w:sz w:val="20"/>
          <w:szCs w:val="20"/>
          <w:color w:val="auto"/>
        </w:rPr>
      </w:pPr>
      <w:r>
        <w:rPr>
          <w:rFonts w:ascii="Arial" w:cs="Arial" w:eastAsia="Arial" w:hAnsi="Arial"/>
          <w:sz w:val="13"/>
          <w:szCs w:val="13"/>
          <w:color w:val="auto"/>
        </w:rPr>
        <w:t>Our tax provision for the first nine months of fiscal 2014, which was computed on a discrete basis, reflects the increase in the valuation allowance against our deferred tax assets as well as state gross margin tax and foreign income tax. The effective tax rate for the first nine months of fiscal 2013 was 40.1%.</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Loss</w:t>
      </w:r>
    </w:p>
    <w:p>
      <w:pPr>
        <w:spacing w:after="0" w:line="93" w:lineRule="exact"/>
        <w:rPr>
          <w:sz w:val="20"/>
          <w:szCs w:val="20"/>
          <w:color w:val="auto"/>
        </w:rPr>
      </w:pPr>
    </w:p>
    <w:p>
      <w:pPr>
        <w:ind w:right="240"/>
        <w:spacing w:after="0" w:line="294" w:lineRule="auto"/>
        <w:rPr>
          <w:sz w:val="20"/>
          <w:szCs w:val="20"/>
          <w:color w:val="auto"/>
        </w:rPr>
      </w:pPr>
      <w:r>
        <w:rPr>
          <w:rFonts w:ascii="Arial" w:cs="Arial" w:eastAsia="Arial" w:hAnsi="Arial"/>
          <w:sz w:val="13"/>
          <w:szCs w:val="13"/>
          <w:color w:val="auto"/>
        </w:rPr>
        <w:t>For the third quarter of fiscal 2014, we had a net loss of $6.3 million, or $(0.13) per diluted share, compared with a net loss of $4.1 million, or $(0.08) per diluted share, for the third quarter of fiscal 2013. On a non-GAAP basis, assuming a normalized tax rate for fiscal 2014, the net loss for the third quarter of fiscal 2014 was $(0.08) per diluted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460"/>
          </w:cols>
          <w:pgMar w:left="220" w:top="532" w:right="219" w:bottom="1440" w:gutter="0" w:footer="0" w:header="0"/>
        </w:sectPr>
      </w:pPr>
    </w:p>
    <w:bookmarkStart w:id="23" w:name="page24"/>
    <w:bookmarkEnd w:id="23"/>
    <w:p>
      <w:pPr>
        <w:jc w:val="both"/>
        <w:ind w:right="260"/>
        <w:spacing w:after="0" w:line="276" w:lineRule="auto"/>
        <w:rPr>
          <w:sz w:val="20"/>
          <w:szCs w:val="20"/>
          <w:color w:val="auto"/>
        </w:rPr>
      </w:pPr>
      <w:r>
        <w:rPr>
          <w:rFonts w:ascii="Arial" w:cs="Arial" w:eastAsia="Arial" w:hAnsi="Arial"/>
          <w:sz w:val="13"/>
          <w:szCs w:val="13"/>
          <w:color w:val="auto"/>
        </w:rPr>
        <w:t>For the first nine months of fiscal 2014, we had a net loss of $13.8 million, or $(0.28) per diluted share, compared with a net loss of $4.6 million, or $(0.10) per diluted share, for the first nine months of fiscal 2013. On a non-GAAP basis, assuming a normalized tax rate for fiscal 2014, the net loss for the first nine months of fiscal 2014 was $8.2 million, or $(0.17) per diluted share. See “Presentation of Non-GAAP Measures” above for a reconciliation of these non-GAAP measures.</w:t>
      </w:r>
    </w:p>
    <w:p>
      <w:pPr>
        <w:spacing w:after="0" w:line="130" w:lineRule="exact"/>
        <w:rPr>
          <w:sz w:val="20"/>
          <w:szCs w:val="20"/>
          <w:color w:val="auto"/>
        </w:rPr>
      </w:pPr>
    </w:p>
    <w:p>
      <w:pPr>
        <w:ind w:right="260"/>
        <w:spacing w:after="0" w:line="276" w:lineRule="auto"/>
        <w:rPr>
          <w:sz w:val="20"/>
          <w:szCs w:val="20"/>
          <w:color w:val="auto"/>
        </w:rPr>
      </w:pPr>
      <w:r>
        <w:rPr>
          <w:rFonts w:ascii="Arial" w:cs="Arial" w:eastAsia="Arial" w:hAnsi="Arial"/>
          <w:sz w:val="13"/>
          <w:szCs w:val="13"/>
          <w:color w:val="auto"/>
        </w:rPr>
        <w:t>Included in the net loss for the first nine months of fiscal 2014 is a loss from operations from our Sears Canada business of $1.3 million, or $(0.03) per diluted share. The loss includes a charge, recorded in the second quarter of fiscal 2014, of approximately $0.8 million related primarily to inventory reserves and sales allowances as a result of our decision to exit the business. As we discussed above, we intend to complete the exit of this business in the fourth quarter of fiscal 2014.</w:t>
      </w:r>
    </w:p>
    <w:p>
      <w:pPr>
        <w:spacing w:after="0" w:line="130" w:lineRule="exact"/>
        <w:rPr>
          <w:sz w:val="20"/>
          <w:szCs w:val="20"/>
          <w:color w:val="auto"/>
        </w:rPr>
      </w:pPr>
    </w:p>
    <w:p>
      <w:pPr>
        <w:ind w:right="60"/>
        <w:spacing w:after="0" w:line="294" w:lineRule="auto"/>
        <w:rPr>
          <w:sz w:val="20"/>
          <w:szCs w:val="20"/>
          <w:color w:val="auto"/>
        </w:rPr>
      </w:pPr>
      <w:r>
        <w:rPr>
          <w:rFonts w:ascii="Arial" w:cs="Arial" w:eastAsia="Arial" w:hAnsi="Arial"/>
          <w:sz w:val="13"/>
          <w:szCs w:val="13"/>
          <w:color w:val="auto"/>
        </w:rPr>
        <w:t>Excluding the charge related to Sears Canada, our decrease in earnings for the third quarter of fiscal 2014 was in line with our projections and reflects the increased costs we are incurring as we continue to rollout our DXL concept. As previously disclosed, we are forecasting an increase in operating loss for fiscal 2014, as compared to fiscal 2013, as we continue to rollout our DXL stores.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Inventory</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At November 1, 2014, total inventory was $126.4 million compared to $105.6 million at February 1, 2014 and $119.6 million at November 2, 2013. While inventory levels on a dollar basis increased $6.8 million as compared to November 2, 2013, on a unit basis, inventories decreased by approximately 2.0%. The increase of $6.8 million is primarily due an increase in our selling square footage, a greater mix of higher cost branded apparel as well as the timing of receipts as compared to the prior year’s third quarter. Clearance merchandise is down 17% as compared to the third quarter of the prior year, with clearance merchandise representing 9% of our total inventory at the end of the third quarter of fiscal 2014.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95" w:lineRule="exact"/>
        <w:rPr>
          <w:sz w:val="20"/>
          <w:szCs w:val="20"/>
          <w:color w:val="auto"/>
        </w:rPr>
      </w:pPr>
    </w:p>
    <w:p>
      <w:pPr>
        <w:ind w:right="100"/>
        <w:spacing w:after="0" w:line="294" w:lineRule="auto"/>
        <w:rPr>
          <w:sz w:val="20"/>
          <w:szCs w:val="20"/>
          <w:color w:val="auto"/>
        </w:rPr>
      </w:pPr>
      <w:r>
        <w:rPr>
          <w:rFonts w:ascii="Arial" w:cs="Arial" w:eastAsia="Arial" w:hAnsi="Arial"/>
          <w:sz w:val="13"/>
          <w:szCs w:val="13"/>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95" w:lineRule="exact"/>
        <w:rPr>
          <w:sz w:val="20"/>
          <w:szCs w:val="20"/>
          <w:color w:val="auto"/>
        </w:rPr>
      </w:pPr>
    </w:p>
    <w:p>
      <w:pPr>
        <w:ind w:right="80"/>
        <w:spacing w:after="0" w:line="295" w:lineRule="auto"/>
        <w:rPr>
          <w:sz w:val="20"/>
          <w:szCs w:val="20"/>
          <w:color w:val="auto"/>
        </w:rPr>
      </w:pPr>
      <w:r>
        <w:rPr>
          <w:rFonts w:ascii="Arial" w:cs="Arial" w:eastAsia="Arial" w:hAnsi="Arial"/>
          <w:sz w:val="12"/>
          <w:szCs w:val="12"/>
          <w:color w:val="auto"/>
        </w:rPr>
        <w:t>Our primary sources of liquidity are cash generated from operations, availability under our credit facility, as amended, with Bank of America, N.A and term loan. Our current cash needs are primarily for working capital (essentially inventory requirements), capital expenditures and growth initiatives. As discussed above, our capital expenditures for fiscal 2014 are expected to be $45.7 million, primarily related to the planned opening of 41 new DXL stores and information technology projects. However, we expect to receive approximately $9.3 million in tenant allowances to offset these capital expenditures for a net spend of $36.4 million. We expect to fund our store growth in fiscal 2014 primarily through cash flow from operations and borrowings from our credit facility, our term loan, as well as equipment financing loans. We expect that our total debt outstanding at the end of fiscal 2014 will be approximately $55.0-$60.0 million. This estimated debt level reflects our decision to take early receipt at year end of Spring merchandise.</w:t>
      </w:r>
    </w:p>
    <w:p>
      <w:pPr>
        <w:spacing w:after="0" w:line="120"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We believe that our existing cash generated by operations together with our availability under our credit facility will be sufficient within current forecasts for us to meet our foreseeable liquidity requirements. As discussed below, during the third quarter of fiscal 2014, we entered into a $15.0 million 5-year term loan facility and also amended our current credit facility, increasing our maximum borrowing levels by $25.0 million. The primary purpose for amending our credit facility and entering into this 5-year term loan, was to increase our current availability and provide additional borrowing capacity as we continue to complete our DXLstore roll-out. The proceeds from the term loan were used to reduce borrowings under the credit facility. As a result, while the composition of our debt has changed, our overall expected debt levels remain unchanged. In addition, as a result of these debt arrangements, we have been able to secure financing through October 2019 at favorable rates.</w:t>
      </w:r>
    </w:p>
    <w:p>
      <w:pPr>
        <w:spacing w:after="0" w:line="137"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color w:val="auto"/>
        </w:rPr>
        <w:t>For the first nine months of fiscal 2014, free cash flow, which we define as cash flow from operating activities, less capital expenditures and discretionary store asset acquisitions, if any, decreased by $2.5 million to $(46.2) million from $(43.7) million for the first nine months of fiscal 2013. This decrease in free cash flow was principally due to the increase in the net loss and the timing of working capital accounts, specifically inventory and accounts payable. Capital expenditures for the first nine months of fiscal 2014 were approximately $7.4 million less than the prior year’s first nine months. See “Presentation of Non-GAAP Measure” above regarding non-GAAP free cash flow.</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440"/>
          </w:cols>
          <w:pgMar w:left="220" w:top="451" w:right="239" w:bottom="1440" w:gutter="0" w:footer="0" w:header="0"/>
        </w:sectPr>
      </w:pPr>
    </w:p>
    <w:bookmarkStart w:id="24" w:name="page25"/>
    <w:bookmarkEnd w:id="24"/>
    <w:p>
      <w:pPr>
        <w:spacing w:after="0"/>
        <w:rPr>
          <w:sz w:val="20"/>
          <w:szCs w:val="20"/>
          <w:color w:val="auto"/>
        </w:rPr>
      </w:pPr>
      <w:r>
        <w:rPr>
          <w:rFonts w:ascii="Arial" w:cs="Arial" w:eastAsia="Arial" w:hAnsi="Arial"/>
          <w:sz w:val="13"/>
          <w:szCs w:val="13"/>
          <w:u w:val="single" w:color="auto"/>
          <w:color w:val="auto"/>
        </w:rPr>
        <w:t>Credit Facility</w:t>
      </w:r>
    </w:p>
    <w:p>
      <w:pPr>
        <w:spacing w:after="0" w:line="93"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color w:val="auto"/>
        </w:rPr>
        <w:t>Effective October 29, 2014, we amended our credit facility with Bank of America, N.A, by executing the Second Amendment to the Sixth Amended and Restated Loan and Security Agreement (as amended, the “Credit Facility”). The Credit Facility provides for a maximum committed borrowing of $125.0 million (an increase from $100.0 million), which, pursuant to an accordion feature, may be increased to $175.0 million upon our request and the agreement of the lender(s) participating in the increase. The Credit Facility continues to include a sublimit of $20.0 million for commercial and standby letters of credit and a sublimit of up to $15.0 million for swingline loans. The maturity date of the Credit Facility is October 29, 2019. Our Credit Facility is described in more detail in Note 2 to the Notes to the Consolidated Financial Statements included in this report.</w:t>
      </w:r>
    </w:p>
    <w:p>
      <w:pPr>
        <w:spacing w:after="0" w:line="137"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30" w:lineRule="exact"/>
        <w:rPr>
          <w:sz w:val="20"/>
          <w:szCs w:val="20"/>
          <w:color w:val="auto"/>
        </w:rPr>
      </w:pPr>
    </w:p>
    <w:p>
      <w:pPr>
        <w:ind w:right="240"/>
        <w:spacing w:after="0" w:line="300" w:lineRule="auto"/>
        <w:rPr>
          <w:sz w:val="20"/>
          <w:szCs w:val="20"/>
          <w:color w:val="auto"/>
        </w:rPr>
      </w:pPr>
      <w:r>
        <w:rPr>
          <w:rFonts w:ascii="Arial" w:cs="Arial" w:eastAsia="Arial" w:hAnsi="Arial"/>
          <w:sz w:val="12"/>
          <w:szCs w:val="12"/>
          <w:color w:val="auto"/>
        </w:rPr>
        <w:t>We had outstanding borrowings of $38.0 million under the Credit Facility at November 1, 2014. Outstanding standby letters of credit were $2.2 million and outstanding documentary letters of credit were $0.3 million. The average monthly borrowing outstanding under the Credit Facility during the first nine months of fiscal 2014 was approximately $31.9 million, resulting in an average unused excess availability of approximately $62.7 million. Unused excess availability at November 1, 2014 was $75.1 million. Our obligations under the Amended Credit Facility are secured by a lien on substantially all of our assets, excluding (i) a first priority lien held by the lenders of the Term Loan Facility described below on certain equipment of the Company and (ii)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Equipment Financing Loans</w:t>
      </w:r>
    </w:p>
    <w:p>
      <w:pPr>
        <w:spacing w:after="0" w:line="93"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Through the end of the third quarter of fiscal 2014, we have entered into twelve Equipment Security Notes (the “Notes”), whereby we borrowed an aggregate of $26.4 million. The Notes were issued pursuant to a Master Loan and Security Agreement with Banc of America Leasing &amp; Capital, LLC, dated July 20, 2007 and most recently amended September 30, 2013. The Notes are secured by a security interest in all of our rights, title and interest in and to certain equipment. The Notes are for 48 months and accrue interest at fixed rates ranging from 3.07% to 3.50%. Principal and interest, in arrears, are payable monthly. We are subject to a prepayment penalty equal to 1% of the prepaid principal of the Notes until the first anniversary, 0.5% of the prepaid principal from the first anniversary until the second anniversary and no prepayment penalty thereafter. At November 1, 2014, the outstanding balance of Notes was $21.0 million.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proceeds from the Notes were used to fund partially the capital expenditures associated with our DXL store rollout.</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Term Loan, Due 2019</w:t>
      </w:r>
    </w:p>
    <w:p>
      <w:pPr>
        <w:spacing w:after="0" w:line="93" w:lineRule="exact"/>
        <w:rPr>
          <w:sz w:val="20"/>
          <w:szCs w:val="20"/>
          <w:color w:val="auto"/>
        </w:rPr>
      </w:pPr>
    </w:p>
    <w:p>
      <w:pPr>
        <w:ind w:right="400"/>
        <w:spacing w:after="0" w:line="294" w:lineRule="auto"/>
        <w:rPr>
          <w:sz w:val="20"/>
          <w:szCs w:val="20"/>
          <w:color w:val="auto"/>
        </w:rPr>
      </w:pPr>
      <w:r>
        <w:rPr>
          <w:rFonts w:ascii="Arial" w:cs="Arial" w:eastAsia="Arial" w:hAnsi="Arial"/>
          <w:sz w:val="13"/>
          <w:szCs w:val="13"/>
          <w:color w:val="auto"/>
        </w:rPr>
        <w:t>On October 30, 2014, we entered into a term loan agreement, effective October 29, 2014, with respect to a new $15 million senior secured term loan facility with Wells Fargo Bank, National Association as administrative and collateral agent (the “Term Loan Facility”). The proceeds from the Term Loan Facility were used to repay borrowings under the Credit Facility.</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commencing the first business day of January 2015, in an aggregate principal amount equal to $250,000, subject to adjustment, with the balance payable on the termination date. The Term Loan Facility matures on October 29, 2019.</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(a) 4% of the amount prepaid if the prepayment is prior to October 29, 2015; (b) 2% of the amount prepaid if the prepayment is after October 29, 2015, but prior to the October 29, 2016; and (c) 1% of the amount prepaid if the prepayment is after October 29, 2016, but prior to October 29, 2017. There is no prepayment penalty after October 29, 2017.</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It is secured by a first priority lien on certain equipment of the Company, and a second priority lien on substantially all of the remaining assets of the Company, excluding intellectual property.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420"/>
          </w:cols>
          <w:pgMar w:left="220" w:top="451" w:right="259" w:bottom="1440" w:gutter="0" w:footer="0" w:header="0"/>
        </w:sectPr>
      </w:pPr>
    </w:p>
    <w:bookmarkStart w:id="25" w:name="page26"/>
    <w:bookmarkEnd w:id="25"/>
    <w:p>
      <w:pPr>
        <w:spacing w:after="0"/>
        <w:rPr>
          <w:sz w:val="20"/>
          <w:szCs w:val="20"/>
          <w:color w:val="auto"/>
        </w:rPr>
      </w:pPr>
      <w:r>
        <w:rPr>
          <w:rFonts w:ascii="Arial" w:cs="Arial" w:eastAsia="Arial" w:hAnsi="Arial"/>
          <w:sz w:val="13"/>
          <w:szCs w:val="13"/>
          <w:u w:val="single" w:color="auto"/>
          <w:color w:val="auto"/>
        </w:rPr>
        <w:t>Capital Expenditures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open stores and related square footage at November 1, 2014 and November 2, 2013,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5"/>
          </w:tcPr>
          <w:p>
            <w:pPr>
              <w:ind w:left="360"/>
              <w:spacing w:after="0"/>
              <w:rPr>
                <w:sz w:val="20"/>
                <w:szCs w:val="20"/>
                <w:color w:val="auto"/>
              </w:rPr>
            </w:pPr>
            <w:r>
              <w:rPr>
                <w:rFonts w:ascii="Arial" w:cs="Arial" w:eastAsia="Arial" w:hAnsi="Arial"/>
                <w:sz w:val="11"/>
                <w:szCs w:val="11"/>
                <w:color w:val="auto"/>
                <w:w w:val="88"/>
              </w:rPr>
              <w:t>At November 1, 2014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6"/>
          </w:tcPr>
          <w:p>
            <w:pPr>
              <w:jc w:val="right"/>
              <w:ind w:right="440"/>
              <w:spacing w:after="0"/>
              <w:rPr>
                <w:sz w:val="20"/>
                <w:szCs w:val="20"/>
                <w:color w:val="auto"/>
              </w:rPr>
            </w:pPr>
            <w:r>
              <w:rPr>
                <w:rFonts w:ascii="Arial" w:cs="Arial" w:eastAsia="Arial" w:hAnsi="Arial"/>
                <w:sz w:val="11"/>
                <w:szCs w:val="11"/>
                <w:color w:val="auto"/>
              </w:rPr>
              <w:t>At November 2, 2013</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1"/>
        </w:trPr>
        <w:tc>
          <w:tcPr>
            <w:tcW w:w="58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gridSpan w:val="6"/>
          </w:tcPr>
          <w:p>
            <w:pPr>
              <w:ind w:left="60"/>
              <w:spacing w:after="0" w:line="111" w:lineRule="exact"/>
              <w:rPr>
                <w:sz w:val="20"/>
                <w:szCs w:val="20"/>
                <w:color w:val="auto"/>
              </w:rPr>
            </w:pPr>
            <w:r>
              <w:rPr>
                <w:rFonts w:ascii="Arial" w:cs="Arial" w:eastAsia="Arial" w:hAnsi="Arial"/>
                <w:sz w:val="11"/>
                <w:szCs w:val="11"/>
                <w:color w:val="auto"/>
              </w:rPr>
              <w:t>Number of</w:t>
            </w:r>
          </w:p>
        </w:tc>
        <w:tc>
          <w:tcPr>
            <w:tcW w:w="1000" w:type="dxa"/>
            <w:vAlign w:val="bottom"/>
            <w:gridSpan w:val="4"/>
          </w:tcPr>
          <w:p>
            <w:pPr>
              <w:ind w:left="40"/>
              <w:spacing w:after="0" w:line="111" w:lineRule="exact"/>
              <w:rPr>
                <w:sz w:val="20"/>
                <w:szCs w:val="20"/>
                <w:color w:val="auto"/>
              </w:rPr>
            </w:pPr>
            <w:r>
              <w:rPr>
                <w:rFonts w:ascii="Arial" w:cs="Arial" w:eastAsia="Arial" w:hAnsi="Arial"/>
                <w:sz w:val="11"/>
                <w:szCs w:val="11"/>
                <w:color w:val="auto"/>
              </w:rPr>
              <w:t>Square</w:t>
            </w:r>
          </w:p>
        </w:tc>
        <w:tc>
          <w:tcPr>
            <w:tcW w:w="1120" w:type="dxa"/>
            <w:vAlign w:val="bottom"/>
            <w:gridSpan w:val="3"/>
          </w:tcPr>
          <w:p>
            <w:pPr>
              <w:jc w:val="right"/>
              <w:ind w:right="340"/>
              <w:spacing w:after="0" w:line="111" w:lineRule="exact"/>
              <w:rPr>
                <w:sz w:val="20"/>
                <w:szCs w:val="20"/>
                <w:color w:val="auto"/>
              </w:rPr>
            </w:pPr>
            <w:r>
              <w:rPr>
                <w:rFonts w:ascii="Arial" w:cs="Arial" w:eastAsia="Arial" w:hAnsi="Arial"/>
                <w:sz w:val="11"/>
                <w:szCs w:val="11"/>
                <w:color w:val="auto"/>
              </w:rPr>
              <w:t>Number of</w:t>
            </w:r>
          </w:p>
        </w:tc>
        <w:tc>
          <w:tcPr>
            <w:tcW w:w="240" w:type="dxa"/>
            <w:vAlign w:val="bottom"/>
          </w:tcPr>
          <w:p>
            <w:pPr>
              <w:spacing w:after="0"/>
              <w:rPr>
                <w:sz w:val="9"/>
                <w:szCs w:val="9"/>
                <w:color w:val="auto"/>
              </w:rPr>
            </w:pPr>
          </w:p>
        </w:tc>
        <w:tc>
          <w:tcPr>
            <w:tcW w:w="78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Square</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580" w:type="dxa"/>
            <w:vAlign w:val="bottom"/>
          </w:tcPr>
          <w:p>
            <w:pPr>
              <w:spacing w:after="0"/>
              <w:rPr>
                <w:sz w:val="10"/>
                <w:szCs w:val="10"/>
                <w:color w:val="auto"/>
              </w:rPr>
            </w:pPr>
          </w:p>
        </w:tc>
        <w:tc>
          <w:tcPr>
            <w:tcW w:w="488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rPr>
              <w:t>Store Concept</w:t>
            </w: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81"/>
              <w:spacing w:after="0" w:line="124" w:lineRule="exact"/>
              <w:rPr>
                <w:sz w:val="20"/>
                <w:szCs w:val="20"/>
                <w:color w:val="auto"/>
              </w:rPr>
            </w:pPr>
            <w:r>
              <w:rPr>
                <w:rFonts w:ascii="Arial" w:cs="Arial" w:eastAsia="Arial" w:hAnsi="Arial"/>
                <w:sz w:val="11"/>
                <w:szCs w:val="11"/>
                <w:color w:val="auto"/>
                <w:w w:val="81"/>
              </w:rPr>
              <w:t>Stores</w:t>
            </w:r>
          </w:p>
        </w:tc>
        <w:tc>
          <w:tcPr>
            <w:tcW w:w="220" w:type="dxa"/>
            <w:vAlign w:val="bottom"/>
            <w:gridSpan w:val="2"/>
          </w:tcPr>
          <w:p>
            <w:pPr>
              <w:spacing w:after="0"/>
              <w:rPr>
                <w:sz w:val="10"/>
                <w:szCs w:val="10"/>
                <w:color w:val="auto"/>
              </w:rPr>
            </w:pPr>
          </w:p>
        </w:tc>
        <w:tc>
          <w:tcPr>
            <w:tcW w:w="36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gridSpan w:val="2"/>
          </w:tcPr>
          <w:p>
            <w:pPr>
              <w:ind w:left="20"/>
              <w:spacing w:after="0" w:line="124" w:lineRule="exact"/>
              <w:rPr>
                <w:sz w:val="20"/>
                <w:szCs w:val="20"/>
                <w:color w:val="auto"/>
              </w:rPr>
            </w:pPr>
            <w:r>
              <w:rPr>
                <w:rFonts w:ascii="Arial" w:cs="Arial" w:eastAsia="Arial" w:hAnsi="Arial"/>
                <w:sz w:val="11"/>
                <w:szCs w:val="11"/>
                <w:color w:val="auto"/>
              </w:rPr>
              <w:t>Footage</w:t>
            </w:r>
          </w:p>
        </w:tc>
        <w:tc>
          <w:tcPr>
            <w:tcW w:w="240" w:type="dxa"/>
            <w:vAlign w:val="bottom"/>
            <w:gridSpan w:val="2"/>
          </w:tcPr>
          <w:p>
            <w:pPr>
              <w:spacing w:after="0"/>
              <w:rPr>
                <w:sz w:val="10"/>
                <w:szCs w:val="10"/>
                <w:color w:val="auto"/>
              </w:rPr>
            </w:pPr>
          </w:p>
        </w:tc>
        <w:tc>
          <w:tcPr>
            <w:tcW w:w="1120" w:type="dxa"/>
            <w:vAlign w:val="bottom"/>
            <w:tcBorders>
              <w:bottom w:val="single" w:sz="8" w:color="auto"/>
            </w:tcBorders>
            <w:gridSpan w:val="3"/>
          </w:tcPr>
          <w:p>
            <w:pPr>
              <w:jc w:val="right"/>
              <w:ind w:right="440"/>
              <w:spacing w:after="0" w:line="124" w:lineRule="exact"/>
              <w:rPr>
                <w:sz w:val="20"/>
                <w:szCs w:val="20"/>
                <w:color w:val="auto"/>
              </w:rPr>
            </w:pPr>
            <w:r>
              <w:rPr>
                <w:rFonts w:ascii="Arial" w:cs="Arial" w:eastAsia="Arial" w:hAnsi="Arial"/>
                <w:sz w:val="11"/>
                <w:szCs w:val="11"/>
                <w:color w:val="auto"/>
              </w:rPr>
              <w:t>Stores</w:t>
            </w:r>
          </w:p>
        </w:tc>
        <w:tc>
          <w:tcPr>
            <w:tcW w:w="240" w:type="dxa"/>
            <w:vAlign w:val="bottom"/>
          </w:tcPr>
          <w:p>
            <w:pPr>
              <w:spacing w:after="0"/>
              <w:rPr>
                <w:sz w:val="10"/>
                <w:szCs w:val="10"/>
                <w:color w:val="auto"/>
              </w:rPr>
            </w:pPr>
          </w:p>
        </w:tc>
        <w:tc>
          <w:tcPr>
            <w:tcW w:w="780" w:type="dxa"/>
            <w:vAlign w:val="bottom"/>
            <w:tcBorders>
              <w:bottom w:val="single" w:sz="8" w:color="auto"/>
            </w:tcBorders>
            <w:gridSpan w:val="2"/>
          </w:tcPr>
          <w:p>
            <w:pPr>
              <w:jc w:val="right"/>
              <w:ind w:right="60"/>
              <w:spacing w:after="0" w:line="124" w:lineRule="exact"/>
              <w:rPr>
                <w:sz w:val="20"/>
                <w:szCs w:val="20"/>
                <w:color w:val="auto"/>
              </w:rPr>
            </w:pPr>
            <w:r>
              <w:rPr>
                <w:rFonts w:ascii="Arial" w:cs="Arial" w:eastAsia="Arial" w:hAnsi="Arial"/>
                <w:sz w:val="11"/>
                <w:szCs w:val="11"/>
                <w:color w:val="auto"/>
              </w:rPr>
              <w:t>Footage</w:t>
            </w: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2"/>
        </w:trPr>
        <w:tc>
          <w:tcPr>
            <w:tcW w:w="580" w:type="dxa"/>
            <w:vAlign w:val="bottom"/>
          </w:tcPr>
          <w:p>
            <w:pPr>
              <w:spacing w:after="0"/>
              <w:rPr>
                <w:sz w:val="13"/>
                <w:szCs w:val="13"/>
                <w:color w:val="auto"/>
              </w:rPr>
            </w:pPr>
          </w:p>
        </w:tc>
        <w:tc>
          <w:tcPr>
            <w:tcW w:w="4980" w:type="dxa"/>
            <w:vAlign w:val="bottom"/>
            <w:gridSpan w:val="2"/>
          </w:tcPr>
          <w:p>
            <w:pPr>
              <w:spacing w:after="0"/>
              <w:rPr>
                <w:sz w:val="20"/>
                <w:szCs w:val="20"/>
                <w:color w:val="auto"/>
              </w:rPr>
            </w:pPr>
            <w:r>
              <w:rPr>
                <w:rFonts w:ascii="Arial" w:cs="Arial" w:eastAsia="Arial" w:hAnsi="Arial"/>
                <w:sz w:val="11"/>
                <w:szCs w:val="11"/>
                <w:i w:val="1"/>
                <w:iCs w:val="1"/>
                <w:color w:val="auto"/>
              </w:rPr>
              <w:t>(square footage in thousands)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1"/>
        </w:trPr>
        <w:tc>
          <w:tcPr>
            <w:tcW w:w="580" w:type="dxa"/>
            <w:vAlign w:val="bottom"/>
          </w:tcPr>
          <w:p>
            <w:pPr>
              <w:spacing w:after="0"/>
              <w:rPr>
                <w:sz w:val="15"/>
                <w:szCs w:val="15"/>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DXL</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1,106</w:t>
            </w: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714</w:t>
            </w:r>
          </w:p>
        </w:tc>
        <w:tc>
          <w:tcPr>
            <w:tcW w:w="120" w:type="dxa"/>
            <w:vAlign w:val="bottom"/>
            <w:shd w:val="clear" w:color="auto" w:fill="CFF0FC"/>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580" w:type="dxa"/>
            <w:vAlign w:val="bottom"/>
          </w:tcPr>
          <w:p>
            <w:pPr>
              <w:spacing w:after="0"/>
              <w:rPr>
                <w:sz w:val="14"/>
                <w:szCs w:val="14"/>
                <w:color w:val="auto"/>
              </w:rPr>
            </w:pPr>
          </w:p>
        </w:tc>
        <w:tc>
          <w:tcPr>
            <w:tcW w:w="4980" w:type="dxa"/>
            <w:vAlign w:val="bottom"/>
            <w:gridSpan w:val="2"/>
          </w:tcPr>
          <w:p>
            <w:pPr>
              <w:spacing w:after="0"/>
              <w:rPr>
                <w:sz w:val="20"/>
                <w:szCs w:val="20"/>
                <w:color w:val="auto"/>
              </w:rPr>
            </w:pPr>
            <w:r>
              <w:rPr>
                <w:rFonts w:ascii="Arial" w:cs="Arial" w:eastAsia="Arial" w:hAnsi="Arial"/>
                <w:sz w:val="13"/>
                <w:szCs w:val="13"/>
                <w:color w:val="auto"/>
              </w:rPr>
              <w:t>Casual Male Retail XL</w:t>
            </w:r>
          </w:p>
        </w:tc>
        <w:tc>
          <w:tcPr>
            <w:tcW w:w="1140" w:type="dxa"/>
            <w:vAlign w:val="bottom"/>
            <w:gridSpan w:val="3"/>
          </w:tcPr>
          <w:p>
            <w:pPr>
              <w:jc w:val="right"/>
              <w:spacing w:after="0"/>
              <w:rPr>
                <w:sz w:val="20"/>
                <w:szCs w:val="20"/>
                <w:color w:val="auto"/>
              </w:rPr>
            </w:pPr>
            <w:r>
              <w:rPr>
                <w:rFonts w:ascii="Arial" w:cs="Arial" w:eastAsia="Arial" w:hAnsi="Arial"/>
                <w:sz w:val="13"/>
                <w:szCs w:val="13"/>
                <w:color w:val="auto"/>
              </w:rPr>
              <w:t>175</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622</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236</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847</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Casual Male Outlet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157</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FF0FC"/>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Rochester Clothing</w:t>
            </w: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9</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83</w:t>
            </w: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11</w:t>
            </w:r>
          </w:p>
        </w:tc>
        <w:tc>
          <w:tcPr>
            <w:tcW w:w="24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95</w:t>
            </w:r>
          </w:p>
        </w:tc>
        <w:tc>
          <w:tcPr>
            <w:tcW w:w="120" w:type="dxa"/>
            <w:vAlign w:val="bottom"/>
            <w:tcBorders>
              <w:bottom w:val="single" w:sz="8" w:color="CFF0FC"/>
            </w:tcBorders>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Stores</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361</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1,968</w:t>
            </w:r>
          </w:p>
        </w:tc>
        <w:tc>
          <w:tcPr>
            <w:tcW w:w="2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375</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8"/>
              </w:rPr>
              <w:t>1,829</w:t>
            </w:r>
          </w:p>
        </w:tc>
        <w:tc>
          <w:tcPr>
            <w:tcW w:w="120" w:type="dxa"/>
            <w:vAlign w:val="bottom"/>
            <w:shd w:val="clear" w:color="auto" w:fill="CFF0FC"/>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43"/>
        </w:trPr>
        <w:tc>
          <w:tcPr>
            <w:tcW w:w="5560" w:type="dxa"/>
            <w:vAlign w:val="bottom"/>
            <w:gridSpan w:val="3"/>
          </w:tcPr>
          <w:p>
            <w:pPr>
              <w:spacing w:after="0"/>
              <w:rPr>
                <w:sz w:val="20"/>
                <w:szCs w:val="20"/>
                <w:color w:val="auto"/>
              </w:rPr>
            </w:pPr>
            <w:r>
              <w:rPr>
                <w:rFonts w:ascii="Arial" w:cs="Arial" w:eastAsia="Arial" w:hAnsi="Arial"/>
                <w:sz w:val="13"/>
                <w:szCs w:val="13"/>
                <w:color w:val="auto"/>
                <w:w w:val="99"/>
              </w:rPr>
              <w:t>Below is a summary of store openings and closings from February 1, 2014 to November 1, 2014: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58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4"/>
          </w:tcPr>
          <w:p>
            <w:pPr>
              <w:spacing w:after="0"/>
              <w:rPr>
                <w:sz w:val="20"/>
                <w:szCs w:val="20"/>
                <w:color w:val="auto"/>
              </w:rPr>
            </w:pPr>
            <w:r>
              <w:rPr>
                <w:rFonts w:ascii="Arial" w:cs="Arial" w:eastAsia="Arial" w:hAnsi="Arial"/>
                <w:sz w:val="11"/>
                <w:szCs w:val="11"/>
                <w:color w:val="auto"/>
              </w:rPr>
              <w:t>Casual Male</w:t>
            </w:r>
          </w:p>
        </w:tc>
        <w:tc>
          <w:tcPr>
            <w:tcW w:w="1120" w:type="dxa"/>
            <w:vAlign w:val="bottom"/>
            <w:gridSpan w:val="3"/>
          </w:tcPr>
          <w:p>
            <w:pPr>
              <w:jc w:val="right"/>
              <w:ind w:right="440"/>
              <w:spacing w:after="0"/>
              <w:rPr>
                <w:sz w:val="20"/>
                <w:szCs w:val="20"/>
                <w:color w:val="auto"/>
              </w:rPr>
            </w:pPr>
            <w:r>
              <w:rPr>
                <w:rFonts w:ascii="Arial" w:cs="Arial" w:eastAsia="Arial" w:hAnsi="Arial"/>
                <w:sz w:val="11"/>
                <w:szCs w:val="11"/>
                <w:color w:val="auto"/>
              </w:rPr>
              <w:t>Casual Male</w:t>
            </w:r>
          </w:p>
        </w:tc>
        <w:tc>
          <w:tcPr>
            <w:tcW w:w="1020" w:type="dxa"/>
            <w:vAlign w:val="bottom"/>
            <w:gridSpan w:val="3"/>
          </w:tcPr>
          <w:p>
            <w:pPr>
              <w:jc w:val="right"/>
              <w:ind w:right="380"/>
              <w:spacing w:after="0"/>
              <w:rPr>
                <w:sz w:val="20"/>
                <w:szCs w:val="20"/>
                <w:color w:val="auto"/>
              </w:rPr>
            </w:pPr>
            <w:r>
              <w:rPr>
                <w:rFonts w:ascii="Arial" w:cs="Arial" w:eastAsia="Arial" w:hAnsi="Arial"/>
                <w:sz w:val="11"/>
                <w:szCs w:val="11"/>
                <w:color w:val="auto"/>
              </w:rPr>
              <w:t>Rochester</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24"/>
        </w:trPr>
        <w:tc>
          <w:tcPr>
            <w:tcW w:w="5560" w:type="dxa"/>
            <w:vAlign w:val="bottom"/>
            <w:gridSpan w:val="3"/>
          </w:tcPr>
          <w:p>
            <w:pPr>
              <w:spacing w:after="0" w:line="124" w:lineRule="exact"/>
              <w:rPr>
                <w:sz w:val="20"/>
                <w:szCs w:val="20"/>
                <w:color w:val="auto"/>
              </w:rPr>
            </w:pPr>
            <w:r>
              <w:rPr>
                <w:rFonts w:ascii="Arial" w:cs="Arial" w:eastAsia="Arial" w:hAnsi="Arial"/>
                <w:sz w:val="11"/>
                <w:szCs w:val="11"/>
                <w:color w:val="auto"/>
              </w:rPr>
              <w:t>Number of Stores:</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5"/>
          </w:tcPr>
          <w:p>
            <w:pPr>
              <w:ind w:left="340"/>
              <w:spacing w:after="0" w:line="124" w:lineRule="exact"/>
              <w:rPr>
                <w:sz w:val="20"/>
                <w:szCs w:val="20"/>
                <w:color w:val="auto"/>
              </w:rPr>
            </w:pPr>
            <w:r>
              <w:rPr>
                <w:rFonts w:ascii="Arial" w:cs="Arial" w:eastAsia="Arial" w:hAnsi="Arial"/>
                <w:sz w:val="11"/>
                <w:szCs w:val="11"/>
                <w:color w:val="auto"/>
              </w:rPr>
              <w:t>DXL</w:t>
            </w: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color w:val="auto"/>
              </w:rPr>
              <w:t>XL Retail</w:t>
            </w:r>
          </w:p>
        </w:tc>
        <w:tc>
          <w:tcPr>
            <w:tcW w:w="1120" w:type="dxa"/>
            <w:vAlign w:val="bottom"/>
            <w:gridSpan w:val="3"/>
          </w:tcPr>
          <w:p>
            <w:pPr>
              <w:jc w:val="right"/>
              <w:ind w:right="480"/>
              <w:spacing w:after="0" w:line="124" w:lineRule="exact"/>
              <w:rPr>
                <w:sz w:val="20"/>
                <w:szCs w:val="20"/>
                <w:color w:val="auto"/>
              </w:rPr>
            </w:pPr>
            <w:r>
              <w:rPr>
                <w:rFonts w:ascii="Arial" w:cs="Arial" w:eastAsia="Arial" w:hAnsi="Arial"/>
                <w:sz w:val="11"/>
                <w:szCs w:val="11"/>
                <w:color w:val="auto"/>
              </w:rPr>
              <w:t>XL Outlets</w:t>
            </w:r>
          </w:p>
        </w:tc>
        <w:tc>
          <w:tcPr>
            <w:tcW w:w="1020" w:type="dxa"/>
            <w:vAlign w:val="bottom"/>
            <w:gridSpan w:val="3"/>
          </w:tcPr>
          <w:p>
            <w:pPr>
              <w:jc w:val="right"/>
              <w:ind w:right="420"/>
              <w:spacing w:after="0" w:line="124" w:lineRule="exact"/>
              <w:rPr>
                <w:sz w:val="20"/>
                <w:szCs w:val="20"/>
                <w:color w:val="auto"/>
              </w:rPr>
            </w:pPr>
            <w:r>
              <w:rPr>
                <w:rFonts w:ascii="Arial" w:cs="Arial" w:eastAsia="Arial" w:hAnsi="Arial"/>
                <w:sz w:val="11"/>
                <w:szCs w:val="11"/>
                <w:color w:val="auto"/>
              </w:rPr>
              <w:t>Clothing</w:t>
            </w:r>
          </w:p>
        </w:tc>
        <w:tc>
          <w:tcPr>
            <w:tcW w:w="80" w:type="dxa"/>
            <w:vAlign w:val="bottom"/>
          </w:tcPr>
          <w:p>
            <w:pPr>
              <w:spacing w:after="0"/>
              <w:rPr>
                <w:sz w:val="10"/>
                <w:szCs w:val="10"/>
                <w:color w:val="auto"/>
              </w:rPr>
            </w:pPr>
          </w:p>
        </w:tc>
        <w:tc>
          <w:tcPr>
            <w:tcW w:w="960" w:type="dxa"/>
            <w:vAlign w:val="bottom"/>
            <w:gridSpan w:val="4"/>
          </w:tcPr>
          <w:p>
            <w:pPr>
              <w:jc w:val="right"/>
              <w:ind w:right="260"/>
              <w:spacing w:after="0" w:line="124" w:lineRule="exact"/>
              <w:rPr>
                <w:sz w:val="20"/>
                <w:szCs w:val="20"/>
                <w:color w:val="auto"/>
              </w:rPr>
            </w:pPr>
            <w:r>
              <w:rPr>
                <w:rFonts w:ascii="Arial" w:cs="Arial" w:eastAsia="Arial" w:hAnsi="Arial"/>
                <w:sz w:val="11"/>
                <w:szCs w:val="11"/>
                <w:color w:val="auto"/>
              </w:rPr>
              <w:t>Total Stores</w:t>
            </w:r>
          </w:p>
        </w:tc>
      </w:tr>
      <w:tr>
        <w:trPr>
          <w:trHeight w:val="162"/>
        </w:trPr>
        <w:tc>
          <w:tcPr>
            <w:tcW w:w="556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3"/>
                <w:szCs w:val="13"/>
                <w:color w:val="auto"/>
              </w:rPr>
              <w:t>At February 1, 2014</w:t>
            </w:r>
          </w:p>
        </w:tc>
        <w:tc>
          <w:tcPr>
            <w:tcW w:w="2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198</w:t>
            </w:r>
          </w:p>
        </w:tc>
        <w:tc>
          <w:tcPr>
            <w:tcW w:w="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2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359</w:t>
            </w:r>
          </w:p>
        </w:tc>
        <w:tc>
          <w:tcPr>
            <w:tcW w:w="60" w:type="dxa"/>
            <w:vAlign w:val="bottom"/>
            <w:tcBorders>
              <w:top w:val="single" w:sz="8" w:color="CFF0FC"/>
            </w:tcBorders>
            <w:shd w:val="clear" w:color="auto" w:fill="CFF0FC"/>
          </w:tcPr>
          <w:p>
            <w:pPr>
              <w:spacing w:after="0"/>
              <w:rPr>
                <w:sz w:val="14"/>
                <w:szCs w:val="14"/>
                <w:color w:val="auto"/>
              </w:rPr>
            </w:pPr>
          </w:p>
        </w:tc>
      </w:tr>
      <w:tr>
        <w:trPr>
          <w:trHeight w:val="192"/>
        </w:trPr>
        <w:tc>
          <w:tcPr>
            <w:tcW w:w="5560" w:type="dxa"/>
            <w:vAlign w:val="bottom"/>
            <w:gridSpan w:val="3"/>
          </w:tcPr>
          <w:p>
            <w:pPr>
              <w:ind w:left="180"/>
              <w:spacing w:after="0"/>
              <w:rPr>
                <w:sz w:val="20"/>
                <w:szCs w:val="20"/>
                <w:color w:val="auto"/>
              </w:rPr>
            </w:pPr>
            <w:r>
              <w:rPr>
                <w:rFonts w:ascii="Arial" w:cs="Arial" w:eastAsia="Arial" w:hAnsi="Arial"/>
                <w:sz w:val="13"/>
                <w:szCs w:val="13"/>
                <w:color w:val="auto"/>
              </w:rPr>
              <w:t>New stores</w:t>
            </w:r>
            <w:r>
              <w:rPr>
                <w:rFonts w:ascii="Arial" w:cs="Arial" w:eastAsia="Arial" w:hAnsi="Arial"/>
                <w:sz w:val="11"/>
                <w:szCs w:val="11"/>
                <w:color w:val="auto"/>
              </w:rPr>
              <w:t>(1)</w:t>
            </w:r>
          </w:p>
        </w:tc>
        <w:tc>
          <w:tcPr>
            <w:tcW w:w="1320" w:type="dxa"/>
            <w:vAlign w:val="bottom"/>
            <w:gridSpan w:val="4"/>
          </w:tcPr>
          <w:p>
            <w:pPr>
              <w:jc w:val="right"/>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4"/>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r>
      <w:tr>
        <w:trPr>
          <w:trHeight w:val="171"/>
        </w:trPr>
        <w:tc>
          <w:tcPr>
            <w:tcW w:w="556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Replaced stores</w:t>
            </w:r>
            <w:r>
              <w:rPr>
                <w:rFonts w:ascii="Arial" w:cs="Arial" w:eastAsia="Arial" w:hAnsi="Arial"/>
                <w:sz w:val="11"/>
                <w:szCs w:val="11"/>
                <w:color w:val="auto"/>
              </w:rPr>
              <w:t>(2)</w:t>
            </w: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(21)</w:t>
            </w:r>
          </w:p>
        </w:tc>
        <w:tc>
          <w:tcPr>
            <w:tcW w:w="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w:t>
            </w: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FF0FC"/>
          </w:tcPr>
          <w:p>
            <w:pPr>
              <w:spacing w:after="0"/>
              <w:rPr>
                <w:sz w:val="14"/>
                <w:szCs w:val="14"/>
                <w:color w:val="auto"/>
              </w:rPr>
            </w:pPr>
          </w:p>
        </w:tc>
      </w:tr>
      <w:tr>
        <w:trPr>
          <w:trHeight w:val="171"/>
        </w:trPr>
        <w:tc>
          <w:tcPr>
            <w:tcW w:w="5560" w:type="dxa"/>
            <w:vAlign w:val="bottom"/>
            <w:gridSpan w:val="3"/>
          </w:tcPr>
          <w:p>
            <w:pPr>
              <w:ind w:left="180"/>
              <w:spacing w:after="0"/>
              <w:rPr>
                <w:sz w:val="20"/>
                <w:szCs w:val="20"/>
                <w:color w:val="auto"/>
              </w:rPr>
            </w:pPr>
            <w:r>
              <w:rPr>
                <w:rFonts w:ascii="Arial" w:cs="Arial" w:eastAsia="Arial" w:hAnsi="Arial"/>
                <w:sz w:val="13"/>
                <w:szCs w:val="13"/>
                <w:color w:val="auto"/>
              </w:rPr>
              <w:t>Closed retail stores</w:t>
            </w:r>
            <w:r>
              <w:rPr>
                <w:rFonts w:ascii="Arial" w:cs="Arial" w:eastAsia="Arial" w:hAnsi="Arial"/>
                <w:sz w:val="11"/>
                <w:szCs w:val="11"/>
                <w:color w:val="auto"/>
              </w:rPr>
              <w:t>(3)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4"/>
          </w:tcPr>
          <w:p>
            <w:pPr>
              <w:jc w:val="right"/>
              <w:ind w:right="40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3"/>
                <w:szCs w:val="13"/>
                <w:color w:val="auto"/>
              </w:rPr>
              <w:t>(1)</w:t>
            </w:r>
          </w:p>
        </w:tc>
        <w:tc>
          <w:tcPr>
            <w:tcW w:w="1040" w:type="dxa"/>
            <w:vAlign w:val="bottom"/>
            <w:gridSpan w:val="5"/>
          </w:tcPr>
          <w:p>
            <w:pPr>
              <w:jc w:val="right"/>
              <w:spacing w:after="0"/>
              <w:rPr>
                <w:sz w:val="20"/>
                <w:szCs w:val="20"/>
                <w:color w:val="auto"/>
              </w:rPr>
            </w:pPr>
            <w:r>
              <w:rPr>
                <w:rFonts w:ascii="Arial" w:cs="Arial" w:eastAsia="Arial" w:hAnsi="Arial"/>
                <w:sz w:val="13"/>
                <w:szCs w:val="13"/>
                <w:color w:val="auto"/>
              </w:rPr>
              <w:t>(4)</w:t>
            </w:r>
          </w:p>
        </w:tc>
      </w:tr>
      <w:tr>
        <w:trPr>
          <w:trHeight w:val="162"/>
        </w:trPr>
        <w:tc>
          <w:tcPr>
            <w:tcW w:w="55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3"/>
                <w:szCs w:val="13"/>
                <w:color w:val="auto"/>
              </w:rPr>
              <w:t>At November 1, 2014</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2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361</w:t>
            </w:r>
          </w:p>
        </w:tc>
        <w:tc>
          <w:tcPr>
            <w:tcW w:w="60" w:type="dxa"/>
            <w:vAlign w:val="bottom"/>
            <w:tcBorders>
              <w:top w:val="single" w:sz="8" w:color="CFF0FC"/>
            </w:tcBorders>
            <w:shd w:val="clear" w:color="auto" w:fill="CFF0FC"/>
          </w:tcPr>
          <w:p>
            <w:pPr>
              <w:spacing w:after="0"/>
              <w:rPr>
                <w:sz w:val="14"/>
                <w:szCs w:val="14"/>
                <w:color w:val="auto"/>
              </w:rPr>
            </w:pPr>
          </w:p>
        </w:tc>
      </w:tr>
    </w:tbl>
    <w:p>
      <w:pPr>
        <w:spacing w:after="0" w:line="171" w:lineRule="exact"/>
        <w:rPr>
          <w:sz w:val="20"/>
          <w:szCs w:val="20"/>
          <w:color w:val="auto"/>
        </w:rPr>
      </w:pPr>
    </w:p>
    <w:p>
      <w:pPr>
        <w:ind w:left="520" w:hanging="519"/>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opening of new DXL stores represents DXL stores opened in new markets.</w:t>
      </w:r>
    </w:p>
    <w:p>
      <w:pPr>
        <w:spacing w:after="0" w:line="22" w:lineRule="exact"/>
        <w:rPr>
          <w:rFonts w:ascii="Arial" w:cs="Arial" w:eastAsia="Arial" w:hAnsi="Arial"/>
          <w:sz w:val="13"/>
          <w:szCs w:val="13"/>
          <w:color w:val="auto"/>
        </w:rPr>
      </w:pPr>
    </w:p>
    <w:p>
      <w:pPr>
        <w:ind w:left="520" w:right="560" w:hanging="519"/>
        <w:spacing w:after="0" w:line="259" w:lineRule="auto"/>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20" w:hanging="519"/>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closed stores for which there were no corresponding openings of a DXL store in the same market.</w:t>
      </w:r>
    </w:p>
    <w:p>
      <w:pPr>
        <w:spacing w:after="0" w:line="163" w:lineRule="exact"/>
        <w:rPr>
          <w:sz w:val="20"/>
          <w:szCs w:val="20"/>
          <w:color w:val="auto"/>
        </w:rPr>
      </w:pPr>
    </w:p>
    <w:p>
      <w:pPr>
        <w:ind w:right="420"/>
        <w:spacing w:after="0" w:line="294" w:lineRule="auto"/>
        <w:rPr>
          <w:sz w:val="20"/>
          <w:szCs w:val="20"/>
          <w:color w:val="auto"/>
        </w:rPr>
      </w:pPr>
      <w:r>
        <w:rPr>
          <w:rFonts w:ascii="Arial" w:cs="Arial" w:eastAsia="Arial" w:hAnsi="Arial"/>
          <w:sz w:val="13"/>
          <w:szCs w:val="13"/>
          <w:color w:val="auto"/>
        </w:rPr>
        <w:t>Our capital expenditures for the first nine months of fiscal 2014 were $30.8 million as compared to $38.2 million for the first nine months of fiscal 2013. The $7.4 million decrease is primarily related to the decrease in average square footage of the new DXL stores opening in fiscal 2014 as compared to the prior year.</w:t>
      </w:r>
    </w:p>
    <w:p>
      <w:pPr>
        <w:spacing w:after="0" w:line="118" w:lineRule="exact"/>
        <w:rPr>
          <w:sz w:val="20"/>
          <w:szCs w:val="20"/>
          <w:color w:val="auto"/>
        </w:rPr>
      </w:pPr>
    </w:p>
    <w:p>
      <w:pPr>
        <w:ind w:right="40"/>
        <w:spacing w:after="0" w:line="300" w:lineRule="auto"/>
        <w:rPr>
          <w:sz w:val="20"/>
          <w:szCs w:val="20"/>
          <w:color w:val="auto"/>
        </w:rPr>
      </w:pPr>
      <w:r>
        <w:rPr>
          <w:rFonts w:ascii="Arial" w:cs="Arial" w:eastAsia="Arial" w:hAnsi="Arial"/>
          <w:sz w:val="12"/>
          <w:szCs w:val="12"/>
          <w:color w:val="auto"/>
        </w:rPr>
        <w:t>For fiscal 2014, our capital expenditures are expected to be approximately $45.7 million and we expect to receive approximately $9.3 million in tenant allowances to offset these expenditures partially. Our guidance includes approximately $35.4 million, excluding any allowance, related to the opening of 41 Destination XL stores and approximately $8.7 million for continued information technology projects, including enhanced web in-store inventory visibility, in-store pick-up of web purchases and access to Company-wide inventory for customer fulfillment, with the remainder relating to general overhead projects. In addition, we expect to close approximately 46 existing Casual Male XL stores and 2 Rochester Clothing stores, most of which are in connection with the opening of new DXL stores.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material changes to the critical accounting policies and estimates disclosed in our Annual Report on Form 10-K for the year ended February 1, 2014 filed with the SEC on March 17, 2014.</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460"/>
          </w:cols>
          <w:pgMar w:left="220" w:top="532" w:right="2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95" w:lineRule="exact"/>
        <w:rPr>
          <w:sz w:val="20"/>
          <w:szCs w:val="20"/>
          <w:color w:val="auto"/>
        </w:rPr>
      </w:pPr>
    </w:p>
    <w:p>
      <w:pPr>
        <w:ind w:right="60"/>
        <w:spacing w:after="0" w:line="294" w:lineRule="auto"/>
        <w:rPr>
          <w:sz w:val="20"/>
          <w:szCs w:val="20"/>
          <w:color w:val="auto"/>
        </w:rPr>
      </w:pPr>
      <w:r>
        <w:rPr>
          <w:rFonts w:ascii="Arial" w:cs="Arial" w:eastAsia="Arial" w:hAnsi="Arial"/>
          <w:sz w:val="13"/>
          <w:szCs w:val="13"/>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Interest Rates</w:t>
      </w:r>
    </w:p>
    <w:p>
      <w:pPr>
        <w:spacing w:after="0" w:line="93"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November 1, 2014, the interest rate on our prime based borrowings was 3.75%. Approximately $30.0 million of our outstanding borrowings were in LIBOR contracts with an interest rate of 1.62%. Based upon a sensitivity analysis as of November 1, 2014, assuming average outstanding borrowing during the first nine months of fiscal 2014 of $31.9 million, a 50 basis point increase in interest rates would have resulted in a potential increase in interest expense of approximately $160,000 on an annualized basis.</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Foreign Currency</w:t>
      </w:r>
    </w:p>
    <w:p>
      <w:pPr>
        <w:spacing w:after="0" w:line="93" w:lineRule="exact"/>
        <w:rPr>
          <w:sz w:val="20"/>
          <w:szCs w:val="20"/>
          <w:color w:val="auto"/>
        </w:rPr>
      </w:pPr>
    </w:p>
    <w:p>
      <w:pPr>
        <w:ind w:right="80"/>
        <w:spacing w:after="0" w:line="270" w:lineRule="auto"/>
        <w:rPr>
          <w:sz w:val="20"/>
          <w:szCs w:val="20"/>
          <w:color w:val="auto"/>
        </w:rPr>
      </w:pPr>
      <w:r>
        <w:rPr>
          <w:rFonts w:ascii="Arial" w:cs="Arial" w:eastAsia="Arial" w:hAnsi="Arial"/>
          <w:sz w:val="13"/>
          <w:szCs w:val="13"/>
          <w:color w:val="auto"/>
        </w:rPr>
        <w:t>Our Sears Canada catalog operations conduct business in Canadian dollars and our Rochester Clothing store located in London, England conducts business in British pounds. If the value of the Canadian dollar or British pound against the U.S. dollar weakens, the revenues and earnings of these operations will be reduced when they are translated or re-measured to U.S. dollars. Also, the value of these assets to U.S. dollars may decline. As of November 1, 2014, sales from our Sears Canada operations and our London Rochester Clothing store were immaterial to consolidated sales. As such, we believe that movement in foreign currency exchange rates will not have a material adverse effect on our financial position or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Evaluation of Disclosure Controls and Procedures</w:t>
      </w:r>
    </w:p>
    <w:p>
      <w:pPr>
        <w:spacing w:after="0" w:line="93" w:lineRule="exact"/>
        <w:rPr>
          <w:sz w:val="20"/>
          <w:szCs w:val="20"/>
          <w:color w:val="auto"/>
        </w:rPr>
      </w:pPr>
    </w:p>
    <w:p>
      <w:pPr>
        <w:ind w:right="60"/>
        <w:spacing w:after="0" w:line="292" w:lineRule="auto"/>
        <w:rPr>
          <w:sz w:val="20"/>
          <w:szCs w:val="20"/>
          <w:color w:val="auto"/>
        </w:rPr>
      </w:pPr>
      <w:r>
        <w:rPr>
          <w:rFonts w:ascii="Arial" w:cs="Arial" w:eastAsia="Arial" w:hAnsi="Arial"/>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November 1, 2014.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November 1, 2014, our disclosure controls and procedures were effective.</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Changes in Internal Control over Financial Reporting</w:t>
      </w:r>
    </w:p>
    <w:p>
      <w:pPr>
        <w:spacing w:after="0" w:line="93"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No change in our internal control over financial reporting (as defined in Rules 13a-15(f) and 15d-15(f) under the Exchange Act) occurred during the quarter ended November 1, 2014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440"/>
          </w:cols>
          <w:pgMar w:left="220" w:top="288" w:right="2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PART II. OTHER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95" w:lineRule="exact"/>
        <w:rPr>
          <w:sz w:val="20"/>
          <w:szCs w:val="20"/>
          <w:color w:val="auto"/>
        </w:rPr>
      </w:pPr>
    </w:p>
    <w:p>
      <w:pPr>
        <w:ind w:right="100"/>
        <w:spacing w:after="0" w:line="294" w:lineRule="auto"/>
        <w:rPr>
          <w:sz w:val="20"/>
          <w:szCs w:val="20"/>
          <w:color w:val="auto"/>
        </w:rPr>
      </w:pPr>
      <w:r>
        <w:rPr>
          <w:rFonts w:ascii="Arial" w:cs="Arial" w:eastAsia="Arial" w:hAnsi="Arial"/>
          <w:sz w:val="13"/>
          <w:szCs w:val="13"/>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95" w:lineRule="exact"/>
        <w:rPr>
          <w:sz w:val="20"/>
          <w:szCs w:val="20"/>
          <w:color w:val="auto"/>
        </w:rPr>
      </w:pPr>
    </w:p>
    <w:p>
      <w:pPr>
        <w:ind w:left="260" w:right="220"/>
        <w:spacing w:after="0" w:line="294" w:lineRule="auto"/>
        <w:rPr>
          <w:sz w:val="20"/>
          <w:szCs w:val="20"/>
          <w:color w:val="auto"/>
        </w:rPr>
      </w:pPr>
      <w:r>
        <w:rPr>
          <w:rFonts w:ascii="Arial" w:cs="Arial" w:eastAsia="Arial" w:hAnsi="Arial"/>
          <w:sz w:val="13"/>
          <w:szCs w:val="13"/>
          <w:color w:val="auto"/>
        </w:rPr>
        <w:t>There have been no material changes to the risk factors as previously disclosed in Part I, Item 1A of our Annual Report on Form 10-K for the year ended February 1, 2014, as filed with the Securities and Exchange Commission on March 17, 2014.</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 applicable.</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None.</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Exhibits.</w:t>
      </w:r>
    </w:p>
    <w:p>
      <w:pPr>
        <w:spacing w:after="0" w:line="195" w:lineRule="exact"/>
        <w:rPr>
          <w:sz w:val="20"/>
          <w:szCs w:val="20"/>
          <w:color w:val="auto"/>
        </w:rPr>
      </w:pPr>
    </w:p>
    <w:p>
      <w:pPr>
        <w:ind w:left="560" w:right="160" w:hanging="564"/>
        <w:spacing w:after="0" w:line="294" w:lineRule="auto"/>
        <w:tabs>
          <w:tab w:leader="none" w:pos="54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3"/>
          <w:szCs w:val="13"/>
          <w:color w:val="auto"/>
        </w:rPr>
        <w:t>Second Amendment to Sixth Amended and Restated Loan and Security Agreement dated October 30, 2014, by and among Bank of America, N.A., as Administrative Agent and Collateral Agent, the Revolving Credit Lenders identified therein, the Company, as Borrowers’ Representative, and the Company and CMRG Apparel, LLC, as Borrowers.</w:t>
      </w:r>
    </w:p>
    <w:p>
      <w:pPr>
        <w:spacing w:after="0" w:line="47" w:lineRule="exact"/>
        <w:rPr>
          <w:sz w:val="20"/>
          <w:szCs w:val="20"/>
          <w:color w:val="auto"/>
        </w:rPr>
      </w:pPr>
    </w:p>
    <w:p>
      <w:pPr>
        <w:ind w:left="560" w:right="400" w:hanging="564"/>
        <w:spacing w:after="0" w:line="294" w:lineRule="auto"/>
        <w:tabs>
          <w:tab w:leader="none" w:pos="54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Term Loan and Security Agreement, dated October 30, 2014, by and among Wells Fargo Bank, National Association, as Administrative Agent and Collateral Agent, the Company, as Borrowers’ Representative, and the Company and CMRG Apparel, LLC, as Borrowers.</w:t>
      </w:r>
    </w:p>
    <w:p>
      <w:pPr>
        <w:spacing w:after="0" w:line="47"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the Chief Executive Officer of the Company pursuant to Rule 13a-14(a) under the Securities Exchange Act of 1934.</w:t>
      </w:r>
    </w:p>
    <w:p>
      <w:pPr>
        <w:spacing w:after="0" w:line="103"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the Chief Financial Officer of the Company pursuant to Rule 13a-14(a) under the Securities Exchange Act of 1934.</w:t>
      </w:r>
    </w:p>
    <w:p>
      <w:pPr>
        <w:spacing w:after="0" w:line="103"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Certification of Chief Executive Officer pursuant to 18 U.S.C. Section 1350, as adopted pursuant to Section 906 of the Sarbanes-Oxley Act of 2002.</w:t>
      </w:r>
    </w:p>
    <w:p>
      <w:pPr>
        <w:spacing w:after="0" w:line="93" w:lineRule="exact"/>
        <w:rPr>
          <w:sz w:val="20"/>
          <w:szCs w:val="20"/>
          <w:color w:val="auto"/>
        </w:rPr>
      </w:pPr>
    </w:p>
    <w:p>
      <w:pPr>
        <w:spacing w:after="0"/>
        <w:tabs>
          <w:tab w:leader="none" w:pos="540" w:val="left"/>
        </w:tabs>
        <w:rPr>
          <w:sz w:val="20"/>
          <w:szCs w:val="20"/>
          <w:color w:val="auto"/>
        </w:rPr>
      </w:pPr>
      <w:r>
        <w:rPr>
          <w:rFonts w:ascii="Arial" w:cs="Arial" w:eastAsia="Arial" w:hAnsi="Arial"/>
          <w:sz w:val="13"/>
          <w:szCs w:val="13"/>
          <w:color w:val="auto"/>
        </w:rPr>
        <w:t>32.2</w:t>
      </w:r>
      <w:r>
        <w:rPr>
          <w:sz w:val="20"/>
          <w:szCs w:val="20"/>
          <w:color w:val="auto"/>
        </w:rPr>
        <w:tab/>
      </w:r>
      <w:r>
        <w:rPr>
          <w:rFonts w:ascii="Arial" w:cs="Arial" w:eastAsia="Arial" w:hAnsi="Arial"/>
          <w:sz w:val="12"/>
          <w:szCs w:val="12"/>
          <w:color w:val="auto"/>
        </w:rPr>
        <w:t>Certification of Chief Financial Officer pursuant to 18 U.S.C. Section 1350, as adopted pursuant to Section 906 of the Sarbanes-Oxley Act of 2002.</w:t>
      </w:r>
    </w:p>
    <w:p>
      <w:pPr>
        <w:spacing w:after="0" w:line="103" w:lineRule="exact"/>
        <w:rPr>
          <w:sz w:val="20"/>
          <w:szCs w:val="20"/>
          <w:color w:val="auto"/>
        </w:rPr>
      </w:pPr>
    </w:p>
    <w:p>
      <w:pPr>
        <w:jc w:val="both"/>
        <w:ind w:left="560" w:hanging="559"/>
        <w:spacing w:after="0" w:line="276" w:lineRule="auto"/>
        <w:tabs>
          <w:tab w:leader="none" w:pos="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following materials from the Company’s Quarterly Report on Form 10-Q for the quarter ended November 1, 2014,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w:t>
      </w:r>
    </w:p>
    <w:p>
      <w:pPr>
        <w:spacing w:after="0" w:line="149"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3"/>
          <w:szCs w:val="13"/>
          <w:color w:val="auto"/>
        </w:rPr>
        <w:t>* Portions of this Exhibit have been omitted pursuant to a 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380"/>
          </w:cols>
          <w:pgMar w:left="220" w:top="288"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3"/>
          <w:szCs w:val="13"/>
          <w:color w:val="auto"/>
        </w:rPr>
        <w:t>SIGNATURES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7920" w:type="dxa"/>
            <w:vAlign w:val="bottom"/>
            <w:gridSpan w:val="2"/>
          </w:tcPr>
          <w:p>
            <w:pPr>
              <w:ind w:left="3000"/>
              <w:spacing w:after="0"/>
              <w:rPr>
                <w:sz w:val="20"/>
                <w:szCs w:val="20"/>
                <w:color w:val="auto"/>
              </w:rPr>
            </w:pPr>
            <w:r>
              <w:rPr>
                <w:rFonts w:ascii="Arial" w:cs="Arial" w:eastAsia="Arial" w:hAnsi="Arial"/>
                <w:sz w:val="13"/>
                <w:szCs w:val="13"/>
                <w:color w:val="auto"/>
              </w:rPr>
              <w:t>DESTINATION XL GROUP, INC.</w:t>
            </w:r>
          </w:p>
        </w:tc>
      </w:tr>
      <w:tr>
        <w:trPr>
          <w:trHeight w:val="343"/>
        </w:trPr>
        <w:tc>
          <w:tcPr>
            <w:tcW w:w="3540" w:type="dxa"/>
            <w:vAlign w:val="bottom"/>
          </w:tcPr>
          <w:p>
            <w:pPr>
              <w:spacing w:after="0"/>
              <w:rPr>
                <w:sz w:val="20"/>
                <w:szCs w:val="20"/>
                <w:color w:val="auto"/>
              </w:rPr>
            </w:pPr>
            <w:r>
              <w:rPr>
                <w:rFonts w:ascii="Arial" w:cs="Arial" w:eastAsia="Arial" w:hAnsi="Arial"/>
                <w:sz w:val="13"/>
                <w:szCs w:val="13"/>
                <w:color w:val="auto"/>
              </w:rPr>
              <w:t>Date: November 21, 2014</w:t>
            </w:r>
          </w:p>
        </w:tc>
        <w:tc>
          <w:tcPr>
            <w:tcW w:w="7920" w:type="dxa"/>
            <w:vAlign w:val="bottom"/>
            <w:gridSpan w:val="2"/>
          </w:tcPr>
          <w:p>
            <w:pPr>
              <w:ind w:left="3000"/>
              <w:spacing w:after="0"/>
              <w:rPr>
                <w:sz w:val="20"/>
                <w:szCs w:val="20"/>
                <w:color w:val="auto"/>
              </w:rPr>
            </w:pPr>
            <w:r>
              <w:rPr>
                <w:rFonts w:ascii="Arial" w:cs="Arial" w:eastAsia="Arial" w:hAnsi="Arial"/>
                <w:sz w:val="13"/>
                <w:szCs w:val="13"/>
                <w:color w:val="auto"/>
              </w:rPr>
              <w:t>By:  /S/ PETER H. STRATTON, JR.</w:t>
            </w:r>
          </w:p>
        </w:tc>
      </w:tr>
      <w:tr>
        <w:trPr>
          <w:trHeight w:val="141"/>
        </w:trPr>
        <w:tc>
          <w:tcPr>
            <w:tcW w:w="3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6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color w:val="auto"/>
              </w:rPr>
              <w:t>Peter H. Stratton, Jr.</w:t>
            </w:r>
          </w:p>
        </w:tc>
      </w:tr>
      <w:tr>
        <w:trPr>
          <w:trHeight w:val="172"/>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Senior Vice President and Chief Financial Officer</w:t>
            </w:r>
          </w:p>
        </w:tc>
      </w:tr>
      <w:tr>
        <w:trPr>
          <w:trHeight w:val="645"/>
        </w:trPr>
        <w:tc>
          <w:tcPr>
            <w:tcW w:w="3540" w:type="dxa"/>
            <w:vAlign w:val="bottom"/>
          </w:tcPr>
          <w:p>
            <w:pPr>
              <w:spacing w:after="0"/>
              <w:rPr>
                <w:sz w:val="24"/>
                <w:szCs w:val="24"/>
                <w:color w:val="auto"/>
              </w:rPr>
            </w:pPr>
          </w:p>
        </w:tc>
        <w:tc>
          <w:tcPr>
            <w:tcW w:w="3320" w:type="dxa"/>
            <w:vAlign w:val="bottom"/>
          </w:tcPr>
          <w:p>
            <w:pPr>
              <w:jc w:val="right"/>
              <w:ind w:right="993"/>
              <w:spacing w:after="0"/>
              <w:rPr>
                <w:sz w:val="20"/>
                <w:szCs w:val="20"/>
                <w:color w:val="auto"/>
              </w:rPr>
            </w:pPr>
            <w:r>
              <w:rPr>
                <w:rFonts w:ascii="Arial" w:cs="Arial" w:eastAsia="Arial" w:hAnsi="Arial"/>
                <w:sz w:val="13"/>
                <w:szCs w:val="13"/>
                <w:color w:val="auto"/>
              </w:rPr>
              <w:t>29</w:t>
            </w:r>
          </w:p>
        </w:tc>
        <w:tc>
          <w:tcPr>
            <w:tcW w:w="4600" w:type="dxa"/>
            <w:vAlign w:val="bottom"/>
          </w:tcPr>
          <w:p>
            <w:pPr>
              <w:spacing w:after="0"/>
              <w:rPr>
                <w:sz w:val="24"/>
                <w:szCs w:val="24"/>
                <w:color w:val="auto"/>
              </w:rPr>
            </w:pPr>
          </w:p>
        </w:tc>
      </w:tr>
    </w:tbl>
    <w:p>
      <w:pPr>
        <w:sectPr>
          <w:pgSz w:w="11900" w:h="16838" w:orient="portrait"/>
          <w:cols w:equalWidth="0" w:num="1">
            <w:col w:w="11460"/>
          </w:cols>
          <w:pgMar w:left="220" w:top="290" w:right="219" w:bottom="1440" w:gutter="0" w:footer="0" w:header="0"/>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auto"/>
        </w:rPr>
        <w:t>Exhibit10.1</w:t>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Confidential Treatment Requested as to certain information contained in this Exhibit and filed separately with the Securities and Exchange Commission.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SECOND AMENDMENT TO SIXTH AMENDED AND RESTATED LOAN AND SECURITY AGREEMENT</w:t>
      </w:r>
    </w:p>
    <w:p>
      <w:pPr>
        <w:spacing w:after="0" w:line="167" w:lineRule="exact"/>
        <w:rPr>
          <w:sz w:val="20"/>
          <w:szCs w:val="20"/>
          <w:color w:val="auto"/>
        </w:rPr>
      </w:pPr>
    </w:p>
    <w:p>
      <w:pPr>
        <w:ind w:right="20" w:firstLine="765"/>
        <w:spacing w:after="0" w:line="243" w:lineRule="auto"/>
        <w:rPr>
          <w:sz w:val="20"/>
          <w:szCs w:val="20"/>
          <w:color w:val="auto"/>
        </w:rPr>
      </w:pPr>
      <w:r>
        <w:rPr>
          <w:rFonts w:ascii="Arial" w:cs="Arial" w:eastAsia="Arial" w:hAnsi="Arial"/>
          <w:sz w:val="16"/>
          <w:szCs w:val="16"/>
          <w:color w:val="auto"/>
        </w:rPr>
        <w:t>SECOND AMENDMENT TO SIXTH AMENDED AND RESTATED LOAN AND SECURITY AGREEMENT (this “</w:t>
      </w:r>
      <w:r>
        <w:rPr>
          <w:rFonts w:ascii="Arial" w:cs="Arial" w:eastAsia="Arial" w:hAnsi="Arial"/>
          <w:sz w:val="16"/>
          <w:szCs w:val="16"/>
          <w:u w:val="single" w:color="auto"/>
          <w:color w:val="auto"/>
        </w:rPr>
        <w:t>Second Amendment</w:t>
      </w:r>
      <w:r>
        <w:rPr>
          <w:rFonts w:ascii="Arial" w:cs="Arial" w:eastAsia="Arial" w:hAnsi="Arial"/>
          <w:sz w:val="16"/>
          <w:szCs w:val="16"/>
          <w:color w:val="auto"/>
        </w:rPr>
        <w:t xml:space="preserve">”) dated as of October 29, 2014 by and among </w:t>
      </w:r>
      <w:r>
        <w:rPr>
          <w:rFonts w:ascii="Arial" w:cs="Arial" w:eastAsia="Arial" w:hAnsi="Arial"/>
          <w:sz w:val="16"/>
          <w:szCs w:val="16"/>
          <w:b w:val="1"/>
          <w:bCs w:val="1"/>
          <w:color w:val="auto"/>
        </w:rPr>
        <w:t>DESTINATION XL GROUP, INC. (f/k/a Casual Male Retail Group, Inc.)</w:t>
      </w:r>
      <w:r>
        <w:rPr>
          <w:rFonts w:ascii="Arial" w:cs="Arial" w:eastAsia="Arial" w:hAnsi="Arial"/>
          <w:sz w:val="16"/>
          <w:szCs w:val="16"/>
          <w:color w:val="auto"/>
        </w:rPr>
        <w:t xml:space="preserve">, a Delaware corporation, as a Borrower and as Borrowers’ Representative for the other Borrowers now or hereafter party to the Loan Agreement, </w:t>
      </w:r>
      <w:r>
        <w:rPr>
          <w:rFonts w:ascii="Arial" w:cs="Arial" w:eastAsia="Arial" w:hAnsi="Arial"/>
          <w:sz w:val="16"/>
          <w:szCs w:val="16"/>
          <w:b w:val="1"/>
          <w:bCs w:val="1"/>
          <w:color w:val="auto"/>
        </w:rPr>
        <w:t>CMRG APPAREL, LLC</w:t>
      </w:r>
      <w:r>
        <w:rPr>
          <w:rFonts w:ascii="Arial" w:cs="Arial" w:eastAsia="Arial" w:hAnsi="Arial"/>
          <w:sz w:val="16"/>
          <w:szCs w:val="16"/>
          <w:color w:val="auto"/>
        </w:rPr>
        <w:t xml:space="preserve">, a Delaware limited liability company, as a Borrower, the Guarantors party hereto, the Revolving Credit Lenders party hereto, and </w:t>
      </w:r>
      <w:r>
        <w:rPr>
          <w:rFonts w:ascii="Arial" w:cs="Arial" w:eastAsia="Arial" w:hAnsi="Arial"/>
          <w:sz w:val="16"/>
          <w:szCs w:val="16"/>
          <w:b w:val="1"/>
          <w:bCs w:val="1"/>
          <w:color w:val="auto"/>
        </w:rPr>
        <w:t>BANK OF AMERICA, N.A.</w:t>
      </w:r>
      <w:r>
        <w:rPr>
          <w:rFonts w:ascii="Arial" w:cs="Arial" w:eastAsia="Arial" w:hAnsi="Arial"/>
          <w:sz w:val="16"/>
          <w:szCs w:val="16"/>
          <w:color w:val="auto"/>
        </w:rPr>
        <w:t>,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218" w:lineRule="exact"/>
        <w:rPr>
          <w:sz w:val="20"/>
          <w:szCs w:val="20"/>
          <w:color w:val="auto"/>
        </w:rPr>
      </w:pPr>
    </w:p>
    <w:p>
      <w:pPr>
        <w:jc w:val="center"/>
        <w:ind w:left="760"/>
        <w:spacing w:after="0"/>
        <w:rPr>
          <w:sz w:val="20"/>
          <w:szCs w:val="20"/>
          <w:color w:val="auto"/>
        </w:rPr>
      </w:pPr>
      <w:r>
        <w:rPr>
          <w:rFonts w:ascii="Arial" w:cs="Arial" w:eastAsia="Arial" w:hAnsi="Arial"/>
          <w:sz w:val="16"/>
          <w:szCs w:val="16"/>
          <w:u w:val="single" w:color="auto"/>
          <w:color w:val="auto"/>
        </w:rPr>
        <w:t>W I T N E S S E T H</w:t>
      </w:r>
      <w:r>
        <w:rPr>
          <w:rFonts w:ascii="Arial" w:cs="Arial" w:eastAsia="Arial" w:hAnsi="Arial"/>
          <w:sz w:val="16"/>
          <w:szCs w:val="16"/>
          <w:color w:val="auto"/>
        </w:rPr>
        <w:t>:</w:t>
      </w:r>
    </w:p>
    <w:p>
      <w:pPr>
        <w:spacing w:after="0" w:line="78" w:lineRule="exact"/>
        <w:rPr>
          <w:sz w:val="20"/>
          <w:szCs w:val="20"/>
          <w:color w:val="auto"/>
        </w:rPr>
      </w:pPr>
    </w:p>
    <w:p>
      <w:pPr>
        <w:ind w:right="100" w:firstLine="765"/>
        <w:spacing w:after="0" w:line="243" w:lineRule="auto"/>
        <w:rPr>
          <w:sz w:val="20"/>
          <w:szCs w:val="20"/>
          <w:color w:val="auto"/>
        </w:rPr>
      </w:pPr>
      <w:r>
        <w:rPr>
          <w:rFonts w:ascii="Arial" w:cs="Arial" w:eastAsia="Arial" w:hAnsi="Arial"/>
          <w:sz w:val="16"/>
          <w:szCs w:val="16"/>
          <w:color w:val="auto"/>
        </w:rPr>
        <w:t>WHEREAS, the Borrowers’ Representative, the Borrowers, certain of the Revolving Credit Lenders, the Administrative Agent and the Collateral Agent, among others, have entered into a certain Sixth Amended and Restated Loan and Security Agreement, dated as of November 10, 2010, as amended by a First Amendment To Sixth Amended And Restated Loan and Security Agreement, First Amendment To Amended And Restated Guaranty, First Amendment To Amended and Restated Security Agreement, and Termination Agreement dated as of June 26, 2013 (as further amended, restated, supplemented or otherwise modified from time to time, in accordance with the terms thereof and the Intercreditor Agreement, the “</w:t>
      </w:r>
      <w:r>
        <w:rPr>
          <w:rFonts w:ascii="Arial" w:cs="Arial" w:eastAsia="Arial" w:hAnsi="Arial"/>
          <w:sz w:val="16"/>
          <w:szCs w:val="16"/>
          <w:u w:val="single" w:color="auto"/>
          <w:color w:val="auto"/>
        </w:rPr>
        <w:t>Loan Agreement</w:t>
      </w:r>
      <w:r>
        <w:rPr>
          <w:rFonts w:ascii="Arial" w:cs="Arial" w:eastAsia="Arial" w:hAnsi="Arial"/>
          <w:sz w:val="16"/>
          <w:szCs w:val="16"/>
          <w:color w:val="auto"/>
        </w:rPr>
        <w:t>”); and</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WHEREAS, the parties to the Loan Agreement desire to modify certain provisions of the Loan Agreement as provided herein;</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NOW THEREFORE, in consideration of the mutual promises and agreements herein contained, the parties hereto hereby agree as follows:</w:t>
      </w:r>
    </w:p>
    <w:p>
      <w:pPr>
        <w:spacing w:after="0" w:line="78" w:lineRule="exact"/>
        <w:rPr>
          <w:sz w:val="20"/>
          <w:szCs w:val="20"/>
          <w:color w:val="auto"/>
        </w:rPr>
      </w:pPr>
    </w:p>
    <w:p>
      <w:pPr>
        <w:jc w:val="both"/>
        <w:ind w:left="760" w:right="140" w:hanging="759"/>
        <w:spacing w:after="0" w:line="275" w:lineRule="auto"/>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Incorporation of Terms and Conditions of Loan Agreement.</w:t>
      </w:r>
      <w:r>
        <w:rPr>
          <w:rFonts w:ascii="Arial" w:cs="Arial" w:eastAsia="Arial" w:hAnsi="Arial"/>
          <w:sz w:val="15"/>
          <w:szCs w:val="15"/>
          <w:color w:val="auto"/>
        </w:rPr>
        <w:t xml:space="preserve"> Except as amended hereby, all of the terms and conditions of the Loan Agreement (including, without limitation, all definitions set forth therein) are specifically incorporated herein by reference. Except as amended hereby, all capitalized terms used (including in the preamble hereto) but not otherwise defined herein shall have the same meaning as in the Loan Agreement, as applicable.</w:t>
      </w:r>
    </w:p>
    <w:p>
      <w:pPr>
        <w:spacing w:after="0" w:line="32" w:lineRule="exact"/>
        <w:rPr>
          <w:rFonts w:ascii="Arial" w:cs="Arial" w:eastAsia="Arial" w:hAnsi="Arial"/>
          <w:sz w:val="15"/>
          <w:szCs w:val="15"/>
          <w:color w:val="auto"/>
        </w:rPr>
      </w:pPr>
    </w:p>
    <w:p>
      <w:pPr>
        <w:ind w:left="760" w:right="120" w:hanging="759"/>
        <w:spacing w:after="0" w:line="287"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xml:space="preserve">. Each Loan Party hereby represents and warrants that, as of the Second Amendment Effective Date, (i) no Default or Event of Default exists under the Loan Agreement or under any other Loan Document and (ii) all representations and warranties contained in the Loan Agreement and in the other Loan Documents, each as amended hereby, are true and correct in all material respects;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to the extent that such representations and warranties specifically refer to an earlier date, they are true and correct in all material respects as of such earlier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that, any representation and warranty that is qualified as to “materiality,” “material adverse effect” or similar language is true and correct (after giving effect to any qualification therein) in all respects.</w:t>
      </w:r>
    </w:p>
    <w:p>
      <w:pPr>
        <w:spacing w:after="0" w:line="25" w:lineRule="exact"/>
        <w:rPr>
          <w:rFonts w:ascii="Arial" w:cs="Arial" w:eastAsia="Arial" w:hAnsi="Arial"/>
          <w:sz w:val="14"/>
          <w:szCs w:val="14"/>
          <w:color w:val="auto"/>
        </w:rPr>
      </w:pPr>
    </w:p>
    <w:p>
      <w:pPr>
        <w:ind w:left="760" w:right="160" w:hanging="759"/>
        <w:spacing w:after="0" w:line="268" w:lineRule="auto"/>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Ratification of Loan Documents, Guaranties and Security Interests; Termination of Inventory Purchase Agreement</w:t>
      </w:r>
      <w:r>
        <w:rPr>
          <w:rFonts w:ascii="Arial" w:cs="Arial" w:eastAsia="Arial" w:hAnsi="Arial"/>
          <w:sz w:val="15"/>
          <w:szCs w:val="15"/>
          <w:color w:val="auto"/>
        </w:rPr>
        <w:t>. The Loan Agreement, as hereby amended, and all other Loan Documents, are hereby ratified, confirmed and re-affirmed in all respects and shall continue in full force and effect. Each Guarantor hereby acknowledges, confirms and agrees that its Liabilities as a Guarantor under, and as defined in, the applicable Guarantor Agreements to which it is a party include, without limitation, all Liabilities of the Loan Parties at any time and from time to time outstanding under the Loan Agreement</w:t>
      </w:r>
    </w:p>
    <w:p>
      <w:pPr>
        <w:sectPr>
          <w:pgSz w:w="11900" w:h="16838" w:orient="portrait"/>
          <w:cols w:equalWidth="0" w:num="1">
            <w:col w:w="11460"/>
          </w:cols>
          <w:pgMar w:left="220" w:top="308" w:right="219" w:bottom="1440" w:gutter="0" w:footer="0" w:header="0"/>
        </w:sectPr>
      </w:pPr>
    </w:p>
    <w:bookmarkStart w:id="30" w:name="page31"/>
    <w:bookmarkEnd w:id="30"/>
    <w:p>
      <w:pPr>
        <w:ind w:left="760" w:right="320"/>
        <w:spacing w:after="0" w:line="264" w:lineRule="auto"/>
        <w:rPr>
          <w:sz w:val="20"/>
          <w:szCs w:val="20"/>
          <w:color w:val="auto"/>
        </w:rPr>
      </w:pPr>
      <w:r>
        <w:rPr>
          <w:rFonts w:ascii="Arial" w:cs="Arial" w:eastAsia="Arial" w:hAnsi="Arial"/>
          <w:sz w:val="15"/>
          <w:szCs w:val="15"/>
          <w:color w:val="auto"/>
        </w:rPr>
        <w:t>and the other Loan Documents, each as amended hereby. The Loan Parties hereby acknowledge, confirm and agree that the Loan Documents and any and all Collateral pledged to the Collateral Agent, for the benefit of the Secured Parties, pursuant to the Loan Documents as amended hereby shall continue to secure all applicable Liabilities of the Loan Parties at any time and from time to time outstanding under the Loan Agreement (as amended hereby) and the other Loan Documents. Notwithstanding anything herein to the contrary, the parties hereto hereby agree that from and after the Second Amendment Effective Date, the Inventory Purchase Agreement shall be terminated and be of no further force or effect.</w:t>
      </w:r>
    </w:p>
    <w:p>
      <w:pPr>
        <w:spacing w:after="0" w:line="40" w:lineRule="exact"/>
        <w:rPr>
          <w:sz w:val="20"/>
          <w:szCs w:val="20"/>
          <w:color w:val="auto"/>
        </w:rPr>
      </w:pPr>
    </w:p>
    <w:p>
      <w:pPr>
        <w:ind w:left="760" w:hanging="759"/>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Amendments to Loan Agreement</w:t>
      </w:r>
      <w:r>
        <w:rPr>
          <w:rFonts w:ascii="Arial" w:cs="Arial" w:eastAsia="Arial" w:hAnsi="Arial"/>
          <w:sz w:val="16"/>
          <w:szCs w:val="16"/>
          <w:color w:val="auto"/>
        </w:rPr>
        <w:t>. Subject to the satisfaction or waiver of the conditions precedent set forth in Section 5 hereof:</w:t>
      </w:r>
    </w:p>
    <w:p>
      <w:pPr>
        <w:spacing w:after="0" w:line="84" w:lineRule="exact"/>
        <w:rPr>
          <w:rFonts w:ascii="Arial" w:cs="Arial" w:eastAsia="Arial" w:hAnsi="Arial"/>
          <w:sz w:val="16"/>
          <w:szCs w:val="16"/>
          <w:color w:val="auto"/>
        </w:rPr>
      </w:pPr>
    </w:p>
    <w:p>
      <w:pPr>
        <w:ind w:left="1480" w:hanging="715"/>
        <w:spacing w:after="0"/>
        <w:tabs>
          <w:tab w:leader="none" w:pos="1480" w:val="left"/>
        </w:tabs>
        <w:numPr>
          <w:ilvl w:val="1"/>
          <w:numId w:val="14"/>
        </w:numPr>
        <w:rPr>
          <w:rFonts w:ascii="Arial" w:cs="Arial" w:eastAsia="Arial" w:hAnsi="Arial"/>
          <w:sz w:val="13"/>
          <w:szCs w:val="13"/>
          <w:color w:val="auto"/>
        </w:rPr>
      </w:pPr>
      <w:r>
        <w:rPr>
          <w:rFonts w:ascii="Arial" w:cs="Arial" w:eastAsia="Arial" w:hAnsi="Arial"/>
          <w:sz w:val="13"/>
          <w:szCs w:val="13"/>
          <w:color w:val="auto"/>
        </w:rPr>
        <w:t>Article 1 of the Loan Agreement is hereby amended as follows:</w:t>
      </w:r>
    </w:p>
    <w:p>
      <w:pPr>
        <w:spacing w:after="0" w:line="90" w:lineRule="exact"/>
        <w:rPr>
          <w:rFonts w:ascii="Arial" w:cs="Arial" w:eastAsia="Arial" w:hAnsi="Arial"/>
          <w:sz w:val="13"/>
          <w:szCs w:val="13"/>
          <w:color w:val="auto"/>
        </w:rPr>
      </w:pPr>
    </w:p>
    <w:p>
      <w:pPr>
        <w:ind w:left="2200" w:hanging="671"/>
        <w:spacing w:after="0" w:line="298" w:lineRule="auto"/>
        <w:tabs>
          <w:tab w:leader="none" w:pos="2200" w:val="left"/>
        </w:tabs>
        <w:numPr>
          <w:ilvl w:val="2"/>
          <w:numId w:val="14"/>
        </w:numPr>
        <w:rPr>
          <w:rFonts w:ascii="Arial" w:cs="Arial" w:eastAsia="Arial" w:hAnsi="Arial"/>
          <w:sz w:val="13"/>
          <w:szCs w:val="13"/>
          <w:color w:val="auto"/>
        </w:rPr>
      </w:pPr>
      <w:r>
        <w:rPr>
          <w:rFonts w:ascii="Arial" w:cs="Arial" w:eastAsia="Arial" w:hAnsi="Arial"/>
          <w:sz w:val="13"/>
          <w:szCs w:val="13"/>
          <w:color w:val="auto"/>
        </w:rPr>
        <w:t>by amending the definition of “</w:t>
      </w:r>
      <w:r>
        <w:rPr>
          <w:rFonts w:ascii="Arial" w:cs="Arial" w:eastAsia="Arial" w:hAnsi="Arial"/>
          <w:sz w:val="13"/>
          <w:szCs w:val="13"/>
          <w:b w:val="1"/>
          <w:bCs w:val="1"/>
          <w:color w:val="auto"/>
        </w:rPr>
        <w:t>Accelerated Borrowing Base Delivery Event</w:t>
      </w:r>
      <w:r>
        <w:rPr>
          <w:rFonts w:ascii="Arial" w:cs="Arial" w:eastAsia="Arial" w:hAnsi="Arial"/>
          <w:sz w:val="13"/>
          <w:szCs w:val="13"/>
          <w:color w:val="auto"/>
        </w:rPr>
        <w:t>” by deleting each reference to “fifteen percent (15%) of the Loan Cap” in such definition and substituting the phrase “twenty percent (20%) of the Loan Cap (calculated without giving effect to the Term Loan Reserve)” in its stead.</w:t>
      </w:r>
    </w:p>
    <w:p>
      <w:pPr>
        <w:spacing w:after="0" w:line="32" w:lineRule="exact"/>
        <w:rPr>
          <w:rFonts w:ascii="Arial" w:cs="Arial" w:eastAsia="Arial" w:hAnsi="Arial"/>
          <w:sz w:val="13"/>
          <w:szCs w:val="13"/>
          <w:color w:val="auto"/>
        </w:rPr>
      </w:pPr>
    </w:p>
    <w:p>
      <w:pPr>
        <w:ind w:left="2200" w:hanging="671"/>
        <w:spacing w:after="0"/>
        <w:tabs>
          <w:tab w:leader="none" w:pos="2200" w:val="left"/>
        </w:tabs>
        <w:numPr>
          <w:ilvl w:val="2"/>
          <w:numId w:val="14"/>
        </w:numPr>
        <w:rPr>
          <w:rFonts w:ascii="Arial" w:cs="Arial" w:eastAsia="Arial" w:hAnsi="Arial"/>
          <w:sz w:val="13"/>
          <w:szCs w:val="13"/>
          <w:color w:val="auto"/>
        </w:rPr>
      </w:pPr>
      <w:r>
        <w:rPr>
          <w:rFonts w:ascii="Arial" w:cs="Arial" w:eastAsia="Arial" w:hAnsi="Arial"/>
          <w:sz w:val="13"/>
          <w:szCs w:val="13"/>
          <w:color w:val="auto"/>
        </w:rPr>
        <w:t>by amending the definition of “</w:t>
      </w:r>
      <w:r>
        <w:rPr>
          <w:rFonts w:ascii="Arial" w:cs="Arial" w:eastAsia="Arial" w:hAnsi="Arial"/>
          <w:sz w:val="13"/>
          <w:szCs w:val="13"/>
          <w:b w:val="1"/>
          <w:bCs w:val="1"/>
          <w:color w:val="auto"/>
        </w:rPr>
        <w:t>Availability Reserves</w:t>
      </w:r>
      <w:r>
        <w:rPr>
          <w:rFonts w:ascii="Arial" w:cs="Arial" w:eastAsia="Arial" w:hAnsi="Arial"/>
          <w:sz w:val="13"/>
          <w:szCs w:val="13"/>
          <w:color w:val="auto"/>
        </w:rPr>
        <w:t>” by adding the following new clause (vi):</w:t>
      </w:r>
    </w:p>
    <w:p>
      <w:pPr>
        <w:spacing w:after="0" w:line="94" w:lineRule="exact"/>
        <w:rPr>
          <w:rFonts w:ascii="Arial" w:cs="Arial" w:eastAsia="Arial" w:hAnsi="Arial"/>
          <w:sz w:val="13"/>
          <w:szCs w:val="13"/>
          <w:color w:val="auto"/>
        </w:rPr>
      </w:pPr>
    </w:p>
    <w:p>
      <w:pPr>
        <w:ind w:left="2980" w:hanging="686"/>
        <w:spacing w:after="0"/>
        <w:tabs>
          <w:tab w:leader="none" w:pos="2980" w:val="left"/>
        </w:tabs>
        <w:numPr>
          <w:ilvl w:val="3"/>
          <w:numId w:val="14"/>
        </w:numPr>
        <w:rPr>
          <w:rFonts w:ascii="Arial" w:cs="Arial" w:eastAsia="Arial" w:hAnsi="Arial"/>
          <w:sz w:val="13"/>
          <w:szCs w:val="13"/>
          <w:color w:val="auto"/>
        </w:rPr>
      </w:pPr>
      <w:r>
        <w:rPr>
          <w:rFonts w:ascii="Arial" w:cs="Arial" w:eastAsia="Arial" w:hAnsi="Arial"/>
          <w:sz w:val="13"/>
          <w:szCs w:val="13"/>
          <w:color w:val="auto"/>
        </w:rPr>
        <w:t>the Term Loan Reserve.</w:t>
      </w:r>
    </w:p>
    <w:p>
      <w:pPr>
        <w:spacing w:after="0" w:line="90" w:lineRule="exact"/>
        <w:rPr>
          <w:rFonts w:ascii="Arial" w:cs="Arial" w:eastAsia="Arial" w:hAnsi="Arial"/>
          <w:sz w:val="13"/>
          <w:szCs w:val="13"/>
          <w:color w:val="auto"/>
        </w:rPr>
      </w:pPr>
    </w:p>
    <w:p>
      <w:pPr>
        <w:ind w:left="2200" w:right="440" w:hanging="671"/>
        <w:spacing w:after="0" w:line="342" w:lineRule="auto"/>
        <w:tabs>
          <w:tab w:leader="none" w:pos="2200" w:val="left"/>
        </w:tabs>
        <w:numPr>
          <w:ilvl w:val="2"/>
          <w:numId w:val="14"/>
        </w:numPr>
        <w:rPr>
          <w:rFonts w:ascii="Arial" w:cs="Arial" w:eastAsia="Arial" w:hAnsi="Arial"/>
          <w:sz w:val="12"/>
          <w:szCs w:val="12"/>
          <w:color w:val="auto"/>
        </w:rPr>
      </w:pPr>
      <w:r>
        <w:rPr>
          <w:rFonts w:ascii="Arial" w:cs="Arial" w:eastAsia="Arial" w:hAnsi="Arial"/>
          <w:sz w:val="12"/>
          <w:szCs w:val="12"/>
          <w:color w:val="auto"/>
        </w:rPr>
        <w:t>by amending the definition of “</w:t>
      </w:r>
      <w:r>
        <w:rPr>
          <w:rFonts w:ascii="Arial" w:cs="Arial" w:eastAsia="Arial" w:hAnsi="Arial"/>
          <w:sz w:val="12"/>
          <w:szCs w:val="12"/>
          <w:b w:val="1"/>
          <w:bCs w:val="1"/>
          <w:color w:val="auto"/>
        </w:rPr>
        <w:t>Cash Dominion Event</w:t>
      </w:r>
      <w:r>
        <w:rPr>
          <w:rFonts w:ascii="Arial" w:cs="Arial" w:eastAsia="Arial" w:hAnsi="Arial"/>
          <w:sz w:val="12"/>
          <w:szCs w:val="12"/>
          <w:color w:val="auto"/>
        </w:rPr>
        <w:t>” by deleting each reference to “twelve and one-half percent (12.5%) of the Loan Cap” in such definition and substituting the phrase “twelve and one-half percent (12.5%) of the Loan Cap (calculated without giving effect to the Term Loan Reserve)” in its stead.</w:t>
      </w:r>
    </w:p>
    <w:p>
      <w:pPr>
        <w:spacing w:after="0" w:line="10" w:lineRule="exact"/>
        <w:rPr>
          <w:rFonts w:ascii="Arial" w:cs="Arial" w:eastAsia="Arial" w:hAnsi="Arial"/>
          <w:sz w:val="12"/>
          <w:szCs w:val="12"/>
          <w:color w:val="auto"/>
        </w:rPr>
      </w:pPr>
    </w:p>
    <w:p>
      <w:pPr>
        <w:ind w:left="2200" w:right="200" w:hanging="671"/>
        <w:spacing w:after="0" w:line="298" w:lineRule="auto"/>
        <w:tabs>
          <w:tab w:leader="none" w:pos="2200" w:val="left"/>
        </w:tabs>
        <w:numPr>
          <w:ilvl w:val="2"/>
          <w:numId w:val="14"/>
        </w:numPr>
        <w:rPr>
          <w:rFonts w:ascii="Arial" w:cs="Arial" w:eastAsia="Arial" w:hAnsi="Arial"/>
          <w:sz w:val="13"/>
          <w:szCs w:val="13"/>
          <w:color w:val="auto"/>
        </w:rPr>
      </w:pPr>
      <w:r>
        <w:rPr>
          <w:rFonts w:ascii="Arial" w:cs="Arial" w:eastAsia="Arial" w:hAnsi="Arial"/>
          <w:sz w:val="13"/>
          <w:szCs w:val="13"/>
          <w:color w:val="auto"/>
        </w:rPr>
        <w:t>by amending the definition of “</w:t>
      </w:r>
      <w:r>
        <w:rPr>
          <w:rFonts w:ascii="Arial" w:cs="Arial" w:eastAsia="Arial" w:hAnsi="Arial"/>
          <w:sz w:val="13"/>
          <w:szCs w:val="13"/>
          <w:b w:val="1"/>
          <w:bCs w:val="1"/>
          <w:color w:val="auto"/>
        </w:rPr>
        <w:t>Covenant Compliance Event</w:t>
      </w:r>
      <w:r>
        <w:rPr>
          <w:rFonts w:ascii="Arial" w:cs="Arial" w:eastAsia="Arial" w:hAnsi="Arial"/>
          <w:sz w:val="13"/>
          <w:szCs w:val="13"/>
          <w:color w:val="auto"/>
        </w:rPr>
        <w:t>” by deleting each reference to “ten percent (10%) of the Loan Cap” in such definition and substituting the phrase “ten percent (10%) of the Loan Cap (calculated without giving effect to the Term Loan Reserve)” in its stead.</w:t>
      </w:r>
    </w:p>
    <w:p>
      <w:pPr>
        <w:spacing w:after="0" w:line="32" w:lineRule="exact"/>
        <w:rPr>
          <w:rFonts w:ascii="Arial" w:cs="Arial" w:eastAsia="Arial" w:hAnsi="Arial"/>
          <w:sz w:val="13"/>
          <w:szCs w:val="13"/>
          <w:color w:val="auto"/>
        </w:rPr>
      </w:pPr>
    </w:p>
    <w:p>
      <w:pPr>
        <w:ind w:left="2200" w:right="360" w:hanging="671"/>
        <w:spacing w:after="0" w:line="298" w:lineRule="auto"/>
        <w:tabs>
          <w:tab w:leader="none" w:pos="2200" w:val="left"/>
        </w:tabs>
        <w:numPr>
          <w:ilvl w:val="2"/>
          <w:numId w:val="14"/>
        </w:numPr>
        <w:rPr>
          <w:rFonts w:ascii="Arial" w:cs="Arial" w:eastAsia="Arial" w:hAnsi="Arial"/>
          <w:sz w:val="13"/>
          <w:szCs w:val="13"/>
          <w:color w:val="auto"/>
        </w:rPr>
      </w:pPr>
      <w:r>
        <w:rPr>
          <w:rFonts w:ascii="Arial" w:cs="Arial" w:eastAsia="Arial" w:hAnsi="Arial"/>
          <w:sz w:val="13"/>
          <w:szCs w:val="13"/>
          <w:color w:val="auto"/>
        </w:rPr>
        <w:t>by amending the definition of “</w:t>
      </w:r>
      <w:r>
        <w:rPr>
          <w:rFonts w:ascii="Arial" w:cs="Arial" w:eastAsia="Arial" w:hAnsi="Arial"/>
          <w:sz w:val="13"/>
          <w:szCs w:val="13"/>
          <w:b w:val="1"/>
          <w:bCs w:val="1"/>
          <w:color w:val="auto"/>
        </w:rPr>
        <w:t>Credit Card Receivable</w:t>
      </w:r>
      <w:r>
        <w:rPr>
          <w:rFonts w:ascii="Arial" w:cs="Arial" w:eastAsia="Arial" w:hAnsi="Arial"/>
          <w:sz w:val="13"/>
          <w:szCs w:val="13"/>
          <w:color w:val="auto"/>
        </w:rPr>
        <w:t>” by deleting the words “Each Account” at the beginning of such definition and substituting the words “Each “payment intangible” (as defined in the UCC)” in their stead.</w:t>
      </w:r>
    </w:p>
    <w:p>
      <w:pPr>
        <w:spacing w:after="0" w:line="32" w:lineRule="exact"/>
        <w:rPr>
          <w:rFonts w:ascii="Arial" w:cs="Arial" w:eastAsia="Arial" w:hAnsi="Arial"/>
          <w:sz w:val="13"/>
          <w:szCs w:val="13"/>
          <w:color w:val="auto"/>
        </w:rPr>
      </w:pPr>
    </w:p>
    <w:p>
      <w:pPr>
        <w:ind w:left="2200" w:hanging="671"/>
        <w:spacing w:after="0"/>
        <w:tabs>
          <w:tab w:leader="none" w:pos="2200" w:val="left"/>
        </w:tabs>
        <w:numPr>
          <w:ilvl w:val="2"/>
          <w:numId w:val="14"/>
        </w:numPr>
        <w:rPr>
          <w:rFonts w:ascii="Arial" w:cs="Arial" w:eastAsia="Arial" w:hAnsi="Arial"/>
          <w:sz w:val="13"/>
          <w:szCs w:val="13"/>
          <w:color w:val="auto"/>
        </w:rPr>
      </w:pPr>
      <w:r>
        <w:rPr>
          <w:rFonts w:ascii="Arial" w:cs="Arial" w:eastAsia="Arial" w:hAnsi="Arial"/>
          <w:sz w:val="13"/>
          <w:szCs w:val="13"/>
          <w:color w:val="auto"/>
        </w:rPr>
        <w:t>By amending the definition of “</w:t>
      </w:r>
      <w:r>
        <w:rPr>
          <w:rFonts w:ascii="Arial" w:cs="Arial" w:eastAsia="Arial" w:hAnsi="Arial"/>
          <w:sz w:val="13"/>
          <w:szCs w:val="13"/>
          <w:b w:val="1"/>
          <w:bCs w:val="1"/>
          <w:color w:val="auto"/>
        </w:rPr>
        <w:t>Eligible Credit Card Receivables</w:t>
      </w:r>
      <w:r>
        <w:rPr>
          <w:rFonts w:ascii="Arial" w:cs="Arial" w:eastAsia="Arial" w:hAnsi="Arial"/>
          <w:sz w:val="13"/>
          <w:szCs w:val="13"/>
          <w:color w:val="auto"/>
        </w:rPr>
        <w:t>” as follows:</w:t>
      </w:r>
    </w:p>
    <w:p>
      <w:pPr>
        <w:spacing w:after="0" w:line="95" w:lineRule="exact"/>
        <w:rPr>
          <w:sz w:val="20"/>
          <w:szCs w:val="20"/>
          <w:color w:val="auto"/>
        </w:rPr>
      </w:pPr>
    </w:p>
    <w:p>
      <w:pPr>
        <w:ind w:left="2900" w:hanging="606"/>
        <w:spacing w:after="0"/>
        <w:tabs>
          <w:tab w:leader="none" w:pos="2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by deleting the following language:</w:t>
      </w:r>
    </w:p>
    <w:p>
      <w:pPr>
        <w:spacing w:after="0" w:line="173" w:lineRule="exact"/>
        <w:rPr>
          <w:sz w:val="20"/>
          <w:szCs w:val="20"/>
          <w:color w:val="auto"/>
        </w:rPr>
      </w:pPr>
    </w:p>
    <w:p>
      <w:pPr>
        <w:ind w:left="3060" w:right="60"/>
        <w:spacing w:after="0" w:line="292" w:lineRule="auto"/>
        <w:rPr>
          <w:sz w:val="20"/>
          <w:szCs w:val="20"/>
          <w:color w:val="auto"/>
        </w:rPr>
      </w:pPr>
      <w:r>
        <w:rPr>
          <w:rFonts w:ascii="Arial" w:cs="Arial" w:eastAsia="Arial" w:hAnsi="Arial"/>
          <w:sz w:val="12"/>
          <w:szCs w:val="12"/>
          <w:color w:val="auto"/>
        </w:rPr>
        <w:t>Without limiting the foregoing, to qualify as an Eligible Credit Card Receivable, an Account shall indicate no Person other than a Loan Party as payee or remittance party. In determining the amount to be so included, the face amount of an Account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a credit card payment processor, or credit card issuer pursuant to the terms of any agreement or understanding (written or oral)) and (ii) the aggregate amount of all cash received in respect of such Account but not yet applied by the Loan Parties to reduce the amount of such Credit Card Receivable.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460"/>
          </w:cols>
          <w:pgMar w:left="220" w:top="365" w:right="219" w:bottom="1440" w:gutter="0" w:footer="0" w:header="0"/>
        </w:sectPr>
      </w:pPr>
    </w:p>
    <w:bookmarkStart w:id="31" w:name="page32"/>
    <w:bookmarkEnd w:id="31"/>
    <w:p>
      <w:pPr>
        <w:ind w:left="1840"/>
        <w:spacing w:after="0"/>
        <w:rPr>
          <w:sz w:val="20"/>
          <w:szCs w:val="20"/>
          <w:color w:val="auto"/>
        </w:rPr>
      </w:pPr>
      <w:r>
        <w:rPr>
          <w:rFonts w:ascii="Arial" w:cs="Arial" w:eastAsia="Arial" w:hAnsi="Arial"/>
          <w:sz w:val="13"/>
          <w:szCs w:val="13"/>
          <w:color w:val="auto"/>
        </w:rPr>
        <w:t>and substituting the following in its stead:</w:t>
      </w:r>
    </w:p>
    <w:p>
      <w:pPr>
        <w:spacing w:after="0" w:line="173" w:lineRule="exact"/>
        <w:rPr>
          <w:sz w:val="20"/>
          <w:szCs w:val="20"/>
          <w:color w:val="auto"/>
        </w:rPr>
      </w:pPr>
    </w:p>
    <w:p>
      <w:pPr>
        <w:ind w:left="1840" w:right="80"/>
        <w:spacing w:after="0" w:line="284" w:lineRule="auto"/>
        <w:rPr>
          <w:sz w:val="20"/>
          <w:szCs w:val="20"/>
          <w:color w:val="auto"/>
        </w:rPr>
      </w:pPr>
      <w:r>
        <w:rPr>
          <w:rFonts w:ascii="Arial" w:cs="Arial" w:eastAsia="Arial" w:hAnsi="Arial"/>
          <w:sz w:val="12"/>
          <w:szCs w:val="12"/>
          <w:color w:val="auto"/>
        </w:rPr>
        <w:t>Without limiting the foregoing, to qualify as an Eligible Credit Card Receivable, a Credit Card Receivable shall indicate no Person other than a Loan Party as payee or remittance party. In determining the amount to be so included, the face amount of a Credit Card Receivable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a credit card payment processor, or credit card issuer pursuant to the terms of any agreement or understanding (written or oral)) and</w:t>
      </w:r>
    </w:p>
    <w:p>
      <w:pPr>
        <w:spacing w:after="0" w:line="1" w:lineRule="exact"/>
        <w:rPr>
          <w:sz w:val="20"/>
          <w:szCs w:val="20"/>
          <w:color w:val="auto"/>
        </w:rPr>
      </w:pPr>
    </w:p>
    <w:p>
      <w:pPr>
        <w:ind w:left="1840" w:hanging="1"/>
        <w:spacing w:after="0" w:line="278" w:lineRule="auto"/>
        <w:tabs>
          <w:tab w:leader="none" w:pos="2038" w:val="left"/>
        </w:tabs>
        <w:numPr>
          <w:ilvl w:val="1"/>
          <w:numId w:val="16"/>
        </w:numPr>
        <w:rPr>
          <w:rFonts w:ascii="Arial" w:cs="Arial" w:eastAsia="Arial" w:hAnsi="Arial"/>
          <w:sz w:val="13"/>
          <w:szCs w:val="13"/>
          <w:color w:val="auto"/>
        </w:rPr>
      </w:pPr>
      <w:r>
        <w:rPr>
          <w:rFonts w:ascii="Arial" w:cs="Arial" w:eastAsia="Arial" w:hAnsi="Arial"/>
          <w:sz w:val="13"/>
          <w:szCs w:val="13"/>
          <w:color w:val="auto"/>
        </w:rPr>
        <w:t>the aggregate amount of all cash received in respect of such Credit Card Receivable but not yet applied by the Loan Parties to reduce the amount of such Credit Card Receivable.</w:t>
      </w:r>
    </w:p>
    <w:p>
      <w:pPr>
        <w:spacing w:after="0" w:line="46" w:lineRule="exact"/>
        <w:rPr>
          <w:rFonts w:ascii="Arial" w:cs="Arial" w:eastAsia="Arial" w:hAnsi="Arial"/>
          <w:sz w:val="13"/>
          <w:szCs w:val="13"/>
          <w:color w:val="auto"/>
        </w:rPr>
      </w:pPr>
    </w:p>
    <w:p>
      <w:pPr>
        <w:ind w:left="1680" w:hanging="606"/>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by deleting clause (a) of such definition in its entirety and substituting the following in its stead:</w:t>
      </w:r>
    </w:p>
    <w:p>
      <w:pPr>
        <w:spacing w:after="0" w:line="92" w:lineRule="exact"/>
        <w:rPr>
          <w:rFonts w:ascii="Arial" w:cs="Arial" w:eastAsia="Arial" w:hAnsi="Arial"/>
          <w:sz w:val="13"/>
          <w:szCs w:val="13"/>
          <w:color w:val="auto"/>
        </w:rPr>
      </w:pPr>
    </w:p>
    <w:p>
      <w:pPr>
        <w:ind w:left="2480" w:hanging="641"/>
        <w:spacing w:after="0"/>
        <w:tabs>
          <w:tab w:leader="none" w:pos="24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Credit Card Receivables which do not constitute a “payment intangible” (as defined in the UCC);</w:t>
      </w:r>
    </w:p>
    <w:p>
      <w:pPr>
        <w:spacing w:after="0" w:line="92" w:lineRule="exact"/>
        <w:rPr>
          <w:rFonts w:ascii="Arial" w:cs="Arial" w:eastAsia="Arial" w:hAnsi="Arial"/>
          <w:sz w:val="13"/>
          <w:szCs w:val="13"/>
          <w:color w:val="auto"/>
        </w:rPr>
      </w:pPr>
    </w:p>
    <w:p>
      <w:pPr>
        <w:ind w:left="1680" w:hanging="606"/>
        <w:spacing w:after="0"/>
        <w:tabs>
          <w:tab w:leader="none" w:pos="16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by adding the following language in the parenthetical at the end of clause (c) of such definition:</w:t>
      </w:r>
    </w:p>
    <w:p>
      <w:pPr>
        <w:spacing w:after="0" w:line="93"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and Encumbrances granted to the Term Agent to secure obligations under the Term Loan Agreement.</w:t>
      </w:r>
    </w:p>
    <w:p>
      <w:pPr>
        <w:spacing w:after="0" w:line="93" w:lineRule="exact"/>
        <w:rPr>
          <w:sz w:val="20"/>
          <w:szCs w:val="20"/>
          <w:color w:val="auto"/>
        </w:rPr>
      </w:pPr>
    </w:p>
    <w:p>
      <w:pPr>
        <w:ind w:left="1680" w:hanging="606"/>
        <w:spacing w:after="0"/>
        <w:tabs>
          <w:tab w:leader="none" w:pos="16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by deleting clause (e) of such definition in its entirety and substituting the following in its stead:</w:t>
      </w:r>
    </w:p>
    <w:p>
      <w:pPr>
        <w:spacing w:after="0" w:line="92" w:lineRule="exact"/>
        <w:rPr>
          <w:rFonts w:ascii="Arial" w:cs="Arial" w:eastAsia="Arial" w:hAnsi="Arial"/>
          <w:sz w:val="13"/>
          <w:szCs w:val="13"/>
          <w:color w:val="auto"/>
        </w:rPr>
      </w:pPr>
    </w:p>
    <w:p>
      <w:pPr>
        <w:ind w:left="1840" w:right="240" w:hanging="1"/>
        <w:spacing w:after="0" w:line="294" w:lineRule="auto"/>
        <w:tabs>
          <w:tab w:leader="none" w:pos="2473" w:val="left"/>
        </w:tabs>
        <w:numPr>
          <w:ilvl w:val="2"/>
          <w:numId w:val="18"/>
        </w:numPr>
        <w:rPr>
          <w:rFonts w:ascii="Arial" w:cs="Arial" w:eastAsia="Arial" w:hAnsi="Arial"/>
          <w:sz w:val="13"/>
          <w:szCs w:val="13"/>
          <w:color w:val="auto"/>
        </w:rPr>
      </w:pPr>
      <w:r>
        <w:rPr>
          <w:rFonts w:ascii="Arial" w:cs="Arial" w:eastAsia="Arial" w:hAnsi="Arial"/>
          <w:sz w:val="13"/>
          <w:szCs w:val="13"/>
          <w:color w:val="auto"/>
        </w:rPr>
        <w:t>Credit Card Receivables as to which the processor has the right under certain circumstances to require a Loan Party to repurchase the Credit Card Receivables from such credit card processor;</w:t>
      </w:r>
    </w:p>
    <w:p>
      <w:pPr>
        <w:spacing w:after="0" w:line="35" w:lineRule="exact"/>
        <w:rPr>
          <w:rFonts w:ascii="Arial" w:cs="Arial" w:eastAsia="Arial" w:hAnsi="Arial"/>
          <w:sz w:val="13"/>
          <w:szCs w:val="13"/>
          <w:color w:val="auto"/>
        </w:rPr>
      </w:pPr>
    </w:p>
    <w:p>
      <w:pPr>
        <w:ind w:left="980" w:hanging="671"/>
        <w:spacing w:after="0"/>
        <w:tabs>
          <w:tab w:leader="none" w:pos="9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by deleting the definition of “</w:t>
      </w:r>
      <w:r>
        <w:rPr>
          <w:rFonts w:ascii="Arial" w:cs="Arial" w:eastAsia="Arial" w:hAnsi="Arial"/>
          <w:sz w:val="13"/>
          <w:szCs w:val="13"/>
          <w:b w:val="1"/>
          <w:bCs w:val="1"/>
          <w:color w:val="auto"/>
        </w:rPr>
        <w:t>Executive Order</w:t>
      </w:r>
      <w:r>
        <w:rPr>
          <w:rFonts w:ascii="Arial" w:cs="Arial" w:eastAsia="Arial" w:hAnsi="Arial"/>
          <w:sz w:val="13"/>
          <w:szCs w:val="13"/>
          <w:color w:val="auto"/>
        </w:rPr>
        <w:t>” in its entirety.</w:t>
      </w:r>
    </w:p>
    <w:p>
      <w:pPr>
        <w:spacing w:after="0" w:line="92" w:lineRule="exact"/>
        <w:rPr>
          <w:rFonts w:ascii="Arial" w:cs="Arial" w:eastAsia="Arial" w:hAnsi="Arial"/>
          <w:sz w:val="13"/>
          <w:szCs w:val="13"/>
          <w:color w:val="auto"/>
        </w:rPr>
      </w:pPr>
    </w:p>
    <w:p>
      <w:pPr>
        <w:ind w:left="980" w:hanging="671"/>
        <w:spacing w:after="0"/>
        <w:tabs>
          <w:tab w:leader="none" w:pos="9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by deleting the definition of “</w:t>
      </w:r>
      <w:r>
        <w:rPr>
          <w:rFonts w:ascii="Arial" w:cs="Arial" w:eastAsia="Arial" w:hAnsi="Arial"/>
          <w:sz w:val="13"/>
          <w:szCs w:val="13"/>
          <w:b w:val="1"/>
          <w:bCs w:val="1"/>
          <w:color w:val="auto"/>
        </w:rPr>
        <w:t>Fee Letter</w:t>
      </w:r>
      <w:r>
        <w:rPr>
          <w:rFonts w:ascii="Arial" w:cs="Arial" w:eastAsia="Arial" w:hAnsi="Arial"/>
          <w:sz w:val="13"/>
          <w:szCs w:val="13"/>
          <w:color w:val="auto"/>
        </w:rPr>
        <w:t>” in its entirety and substituting the following in its stead:</w:t>
      </w:r>
    </w:p>
    <w:p>
      <w:pPr>
        <w:spacing w:after="0" w:line="173" w:lineRule="exact"/>
        <w:rPr>
          <w:sz w:val="20"/>
          <w:szCs w:val="20"/>
          <w:color w:val="auto"/>
        </w:rPr>
      </w:pPr>
    </w:p>
    <w:p>
      <w:pPr>
        <w:ind w:left="1460"/>
        <w:spacing w:after="0" w:line="27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Fee Letter</w:t>
      </w:r>
      <w:r>
        <w:rPr>
          <w:rFonts w:ascii="Arial" w:cs="Arial" w:eastAsia="Arial" w:hAnsi="Arial"/>
          <w:sz w:val="13"/>
          <w:szCs w:val="13"/>
          <w:color w:val="auto"/>
        </w:rPr>
        <w:t>” means, initially, the letter dated as of September 28, 2010 between Borrowers’ Representative and the Administrative Agent, as such letter may from time to time be amended, restated, supplemented or otherwise modified and, from and after the Second Amendment Effective Date, the letter dated October 29, 2014 among the Borrowers’ Representative, Bank of America, N.A., and Merrill Lynch, Pierce, Fenner &amp; Smith Incorporated, as such letter may from time to time be amended, restated, supplemented or otherwise modified.</w:t>
      </w:r>
    </w:p>
    <w:p>
      <w:pPr>
        <w:spacing w:after="0" w:line="48" w:lineRule="exact"/>
        <w:rPr>
          <w:sz w:val="20"/>
          <w:szCs w:val="20"/>
          <w:color w:val="auto"/>
        </w:rPr>
      </w:pPr>
    </w:p>
    <w:p>
      <w:pPr>
        <w:ind w:left="980" w:hanging="671"/>
        <w:spacing w:after="0"/>
        <w:tabs>
          <w:tab w:leader="none" w:pos="9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by deleting the definition of “</w:t>
      </w:r>
      <w:r>
        <w:rPr>
          <w:rFonts w:ascii="Arial" w:cs="Arial" w:eastAsia="Arial" w:hAnsi="Arial"/>
          <w:sz w:val="13"/>
          <w:szCs w:val="13"/>
          <w:b w:val="1"/>
          <w:bCs w:val="1"/>
          <w:color w:val="auto"/>
        </w:rPr>
        <w:t>Foreign Assets Control Regulations</w:t>
      </w:r>
      <w:r>
        <w:rPr>
          <w:rFonts w:ascii="Arial" w:cs="Arial" w:eastAsia="Arial" w:hAnsi="Arial"/>
          <w:sz w:val="13"/>
          <w:szCs w:val="13"/>
          <w:color w:val="auto"/>
        </w:rPr>
        <w:t>” in its entirety.</w:t>
      </w:r>
    </w:p>
    <w:p>
      <w:pPr>
        <w:spacing w:after="0" w:line="92" w:lineRule="exact"/>
        <w:rPr>
          <w:rFonts w:ascii="Arial" w:cs="Arial" w:eastAsia="Arial" w:hAnsi="Arial"/>
          <w:sz w:val="13"/>
          <w:szCs w:val="13"/>
          <w:color w:val="auto"/>
        </w:rPr>
      </w:pPr>
    </w:p>
    <w:p>
      <w:pPr>
        <w:ind w:left="980" w:hanging="671"/>
        <w:spacing w:after="0"/>
        <w:tabs>
          <w:tab w:leader="none" w:pos="9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by deleting the definition of “</w:t>
      </w:r>
      <w:r>
        <w:rPr>
          <w:rFonts w:ascii="Arial" w:cs="Arial" w:eastAsia="Arial" w:hAnsi="Arial"/>
          <w:sz w:val="13"/>
          <w:szCs w:val="13"/>
          <w:b w:val="1"/>
          <w:bCs w:val="1"/>
          <w:color w:val="auto"/>
        </w:rPr>
        <w:t>Inventory Purchase Agreement</w:t>
      </w:r>
      <w:r>
        <w:rPr>
          <w:rFonts w:ascii="Arial" w:cs="Arial" w:eastAsia="Arial" w:hAnsi="Arial"/>
          <w:sz w:val="13"/>
          <w:szCs w:val="13"/>
          <w:color w:val="auto"/>
        </w:rPr>
        <w:t>” in its entirety.</w:t>
      </w:r>
    </w:p>
    <w:p>
      <w:pPr>
        <w:spacing w:after="0" w:line="17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40"/>
          </w:cols>
          <w:pgMar w:left="1440" w:top="451" w:right="219" w:bottom="1440" w:gutter="0" w:footer="0" w:header="0"/>
        </w:sectPr>
      </w:pPr>
    </w:p>
    <w:bookmarkStart w:id="32" w:name="page33"/>
    <w:bookmarkEnd w:id="32"/>
    <w:p>
      <w:pPr>
        <w:ind w:left="980" w:hanging="671"/>
        <w:spacing w:after="0"/>
        <w:tabs>
          <w:tab w:leader="none" w:pos="9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by deleting the definitions of “</w:t>
      </w:r>
      <w:r>
        <w:rPr>
          <w:rFonts w:ascii="Arial" w:cs="Arial" w:eastAsia="Arial" w:hAnsi="Arial"/>
          <w:sz w:val="13"/>
          <w:szCs w:val="13"/>
          <w:b w:val="1"/>
          <w:bCs w:val="1"/>
          <w:color w:val="auto"/>
        </w:rPr>
        <w:t>Libor Offer Rate</w:t>
      </w:r>
      <w:r>
        <w:rPr>
          <w:rFonts w:ascii="Arial" w:cs="Arial" w:eastAsia="Arial" w:hAnsi="Arial"/>
          <w:sz w:val="13"/>
          <w:szCs w:val="13"/>
          <w:color w:val="auto"/>
        </w:rPr>
        <w:t>” in its entirety and substituting the following in its stead:</w:t>
      </w:r>
    </w:p>
    <w:p>
      <w:pPr>
        <w:spacing w:after="0" w:line="173" w:lineRule="exact"/>
        <w:rPr>
          <w:sz w:val="20"/>
          <w:szCs w:val="20"/>
          <w:color w:val="auto"/>
        </w:rPr>
      </w:pPr>
    </w:p>
    <w:p>
      <w:pPr>
        <w:ind w:left="1080" w:right="40"/>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Libor Offer Rate</w:t>
      </w:r>
      <w:r>
        <w:rPr>
          <w:rFonts w:ascii="Arial" w:cs="Arial" w:eastAsia="Arial" w:hAnsi="Arial"/>
          <w:sz w:val="12"/>
          <w:szCs w:val="12"/>
          <w:color w:val="auto"/>
        </w:rPr>
        <w:t xml:space="preserve">” means (a) for any Interest Period with respect to a Libor Loan, the rate per annum equal to the London interbank offered rate administered by ICE Benchmark Administration Limited (“ICE LIBOR”), as published by Reuters (or other commercially available source providing quotations of ICE LIBOR as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ICE LIBOR shall be less than zero, such rate shall be deemed to be zero for the purposes of this Agreement. If such rate is not available at such time for any reason, then the “Libor Offer Rate” for such Interest Period shall be the rate per annum determined by the Administrative Agent to be the rate at which deposits in Dollars for delivery on the first day of such Interest Period in same day funds in the approximate amount of the Libor Loan being made, continued or converted by Bank of America and with a term equivalent to such Interest Period would be offered by Bank of America’s London Branch to major banks in the London interbank eurodollar market at their request at approximately 11:00 a.m. (London time) two Business Days prior to the commencement of such Interest Period; and</w:t>
      </w:r>
    </w:p>
    <w:p>
      <w:pPr>
        <w:spacing w:after="0" w:line="45" w:lineRule="exact"/>
        <w:rPr>
          <w:sz w:val="20"/>
          <w:szCs w:val="20"/>
          <w:color w:val="auto"/>
        </w:rPr>
      </w:pPr>
    </w:p>
    <w:p>
      <w:pPr>
        <w:ind w:left="1080" w:hanging="6"/>
        <w:spacing w:after="0" w:line="266" w:lineRule="auto"/>
        <w:tabs>
          <w:tab w:leader="none" w:pos="1721" w:val="left"/>
        </w:tabs>
        <w:numPr>
          <w:ilvl w:val="1"/>
          <w:numId w:val="22"/>
        </w:numPr>
        <w:rPr>
          <w:rFonts w:ascii="Arial" w:cs="Arial" w:eastAsia="Arial" w:hAnsi="Arial"/>
          <w:sz w:val="13"/>
          <w:szCs w:val="13"/>
          <w:color w:val="auto"/>
        </w:rPr>
      </w:pPr>
      <w:r>
        <w:rPr>
          <w:rFonts w:ascii="Arial" w:cs="Arial" w:eastAsia="Arial" w:hAnsi="Arial"/>
          <w:sz w:val="13"/>
          <w:szCs w:val="13"/>
          <w:color w:val="auto"/>
        </w:rPr>
        <w:t>for any interest calculation with respect to a Base Margin Loan on any date, the rate per annum equal to (i) ICE LIBOR, at approximately 11:00 a.m., London time determined two London Banking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Margin Loan being made or maintained and with a term equal to one month would be offered by Bank of America’s London Branch to major banks in the London interbank Eurodollar market at their request at the date and time of determination.</w:t>
      </w:r>
    </w:p>
    <w:p>
      <w:pPr>
        <w:spacing w:after="0" w:line="52" w:lineRule="exact"/>
        <w:rPr>
          <w:rFonts w:ascii="Arial" w:cs="Arial" w:eastAsia="Arial" w:hAnsi="Arial"/>
          <w:sz w:val="13"/>
          <w:szCs w:val="13"/>
          <w:color w:val="auto"/>
        </w:rPr>
      </w:pPr>
    </w:p>
    <w:p>
      <w:pPr>
        <w:ind w:left="980" w:right="520" w:hanging="671"/>
        <w:spacing w:after="0" w:line="298" w:lineRule="auto"/>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by amending the definition of “</w:t>
      </w:r>
      <w:r>
        <w:rPr>
          <w:rFonts w:ascii="Arial" w:cs="Arial" w:eastAsia="Arial" w:hAnsi="Arial"/>
          <w:sz w:val="13"/>
          <w:szCs w:val="13"/>
          <w:b w:val="1"/>
          <w:bCs w:val="1"/>
          <w:color w:val="auto"/>
        </w:rPr>
        <w:t>Loan Documents</w:t>
      </w:r>
      <w:r>
        <w:rPr>
          <w:rFonts w:ascii="Arial" w:cs="Arial" w:eastAsia="Arial" w:hAnsi="Arial"/>
          <w:sz w:val="13"/>
          <w:szCs w:val="13"/>
          <w:color w:val="auto"/>
        </w:rPr>
        <w:t>” by adding the phrase “the Intercreditor Agreement,” in the first line thereof immediately after the phrase “This Agreement,”.</w:t>
      </w:r>
    </w:p>
    <w:p>
      <w:pPr>
        <w:spacing w:after="0" w:line="32" w:lineRule="exact"/>
        <w:rPr>
          <w:rFonts w:ascii="Arial" w:cs="Arial" w:eastAsia="Arial" w:hAnsi="Arial"/>
          <w:sz w:val="13"/>
          <w:szCs w:val="13"/>
          <w:color w:val="auto"/>
        </w:rPr>
      </w:pPr>
    </w:p>
    <w:p>
      <w:pPr>
        <w:ind w:left="980" w:hanging="671"/>
        <w:spacing w:after="0"/>
        <w:tabs>
          <w:tab w:leader="none" w:pos="9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by deleting the definition of “</w:t>
      </w:r>
      <w:r>
        <w:rPr>
          <w:rFonts w:ascii="Arial" w:cs="Arial" w:eastAsia="Arial" w:hAnsi="Arial"/>
          <w:sz w:val="13"/>
          <w:szCs w:val="13"/>
          <w:b w:val="1"/>
          <w:bCs w:val="1"/>
          <w:color w:val="auto"/>
        </w:rPr>
        <w:t>Maturity Date</w:t>
      </w:r>
      <w:r>
        <w:rPr>
          <w:rFonts w:ascii="Arial" w:cs="Arial" w:eastAsia="Arial" w:hAnsi="Arial"/>
          <w:sz w:val="13"/>
          <w:szCs w:val="13"/>
          <w:color w:val="auto"/>
        </w:rPr>
        <w:t>” in its entirety and substituting the following in its stead:</w:t>
      </w:r>
    </w:p>
    <w:p>
      <w:pPr>
        <w:spacing w:after="0" w:line="173"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“Maturity Date”</w:t>
      </w:r>
      <w:r>
        <w:rPr>
          <w:rFonts w:ascii="Arial" w:cs="Arial" w:eastAsia="Arial" w:hAnsi="Arial"/>
          <w:sz w:val="13"/>
          <w:szCs w:val="13"/>
          <w:color w:val="auto"/>
        </w:rPr>
        <w:t>: October 29, 2019.</w:t>
      </w:r>
    </w:p>
    <w:p>
      <w:pPr>
        <w:spacing w:after="0" w:line="93" w:lineRule="exact"/>
        <w:rPr>
          <w:sz w:val="20"/>
          <w:szCs w:val="20"/>
          <w:color w:val="auto"/>
        </w:rPr>
      </w:pPr>
    </w:p>
    <w:p>
      <w:pPr>
        <w:ind w:left="980" w:right="440" w:hanging="671"/>
        <w:spacing w:after="0" w:line="342" w:lineRule="auto"/>
        <w:tabs>
          <w:tab w:leader="none" w:pos="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by amending the definition of “</w:t>
      </w:r>
      <w:r>
        <w:rPr>
          <w:rFonts w:ascii="Arial" w:cs="Arial" w:eastAsia="Arial" w:hAnsi="Arial"/>
          <w:sz w:val="12"/>
          <w:szCs w:val="12"/>
          <w:b w:val="1"/>
          <w:bCs w:val="1"/>
          <w:color w:val="auto"/>
        </w:rPr>
        <w:t>Payment Conditions</w:t>
      </w:r>
      <w:r>
        <w:rPr>
          <w:rFonts w:ascii="Arial" w:cs="Arial" w:eastAsia="Arial" w:hAnsi="Arial"/>
          <w:sz w:val="12"/>
          <w:szCs w:val="12"/>
          <w:color w:val="auto"/>
        </w:rPr>
        <w:t>” by deleting the reference to “twenty five percent (25%) of the Loan Cap” in clause (c) of such definition and substituting the phrase “twenty five percent (25%) of the Loan Cap (calculated without giving effect to the Term Loan Reserve)” in its stead.</w:t>
      </w:r>
    </w:p>
    <w:p>
      <w:pPr>
        <w:spacing w:after="0" w:line="10" w:lineRule="exact"/>
        <w:rPr>
          <w:rFonts w:ascii="Arial" w:cs="Arial" w:eastAsia="Arial" w:hAnsi="Arial"/>
          <w:sz w:val="12"/>
          <w:szCs w:val="12"/>
          <w:color w:val="auto"/>
        </w:rPr>
      </w:pPr>
    </w:p>
    <w:p>
      <w:pPr>
        <w:ind w:left="980" w:hanging="671"/>
        <w:spacing w:after="0"/>
        <w:tabs>
          <w:tab w:leader="none" w:pos="9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by adding the following new clause (d) to the definition of “</w:t>
      </w:r>
      <w:r>
        <w:rPr>
          <w:rFonts w:ascii="Arial" w:cs="Arial" w:eastAsia="Arial" w:hAnsi="Arial"/>
          <w:sz w:val="13"/>
          <w:szCs w:val="13"/>
          <w:b w:val="1"/>
          <w:bCs w:val="1"/>
          <w:color w:val="auto"/>
        </w:rPr>
        <w:t>Permitted Encumbrances</w:t>
      </w:r>
      <w:r>
        <w:rPr>
          <w:rFonts w:ascii="Arial" w:cs="Arial" w:eastAsia="Arial" w:hAnsi="Arial"/>
          <w:sz w:val="13"/>
          <w:szCs w:val="13"/>
          <w:color w:val="auto"/>
        </w:rPr>
        <w:t>”:</w:t>
      </w:r>
    </w:p>
    <w:p>
      <w:pPr>
        <w:spacing w:after="0" w:line="94" w:lineRule="exact"/>
        <w:rPr>
          <w:rFonts w:ascii="Arial" w:cs="Arial" w:eastAsia="Arial" w:hAnsi="Arial"/>
          <w:sz w:val="13"/>
          <w:szCs w:val="13"/>
          <w:color w:val="auto"/>
        </w:rPr>
      </w:pPr>
    </w:p>
    <w:p>
      <w:pPr>
        <w:ind w:left="1080" w:right="40" w:hanging="6"/>
        <w:spacing w:after="0" w:line="339" w:lineRule="auto"/>
        <w:tabs>
          <w:tab w:leader="none" w:pos="1721" w:val="left"/>
        </w:tabs>
        <w:numPr>
          <w:ilvl w:val="1"/>
          <w:numId w:val="24"/>
        </w:numPr>
        <w:rPr>
          <w:rFonts w:ascii="Arial" w:cs="Arial" w:eastAsia="Arial" w:hAnsi="Arial"/>
          <w:sz w:val="12"/>
          <w:szCs w:val="12"/>
          <w:color w:val="auto"/>
        </w:rPr>
      </w:pPr>
      <w:r>
        <w:rPr>
          <w:rFonts w:ascii="Arial" w:cs="Arial" w:eastAsia="Arial" w:hAnsi="Arial"/>
          <w:sz w:val="12"/>
          <w:szCs w:val="12"/>
          <w:color w:val="auto"/>
        </w:rPr>
        <w:t>Encumbrances on the Collateral and on the Equipment of the Loan Parties in favor of the Term Agent to secure obligations under the Term Loan Agreement, which Encumbrances, to the extent held by both the Term Lender and the Collateral Agent, shall be subject to the terms of the Intercreditor Agreement.</w:t>
      </w:r>
    </w:p>
    <w:p>
      <w:pPr>
        <w:spacing w:after="0" w:line="94"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200"/>
          </w:cols>
          <w:pgMar w:left="1440" w:top="369" w:right="259" w:bottom="1440" w:gutter="0" w:footer="0" w:header="0"/>
        </w:sectPr>
      </w:pPr>
    </w:p>
    <w:bookmarkStart w:id="33" w:name="page34"/>
    <w:bookmarkEnd w:id="33"/>
    <w:p>
      <w:pPr>
        <w:ind w:left="980" w:hanging="671"/>
        <w:spacing w:after="0"/>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by adding the following new clause (i) to the definition of “</w:t>
      </w:r>
      <w:r>
        <w:rPr>
          <w:rFonts w:ascii="Arial" w:cs="Arial" w:eastAsia="Arial" w:hAnsi="Arial"/>
          <w:sz w:val="13"/>
          <w:szCs w:val="13"/>
          <w:b w:val="1"/>
          <w:bCs w:val="1"/>
          <w:color w:val="auto"/>
        </w:rPr>
        <w:t>Permitted Indebtedness</w:t>
      </w:r>
      <w:r>
        <w:rPr>
          <w:rFonts w:ascii="Arial" w:cs="Arial" w:eastAsia="Arial" w:hAnsi="Arial"/>
          <w:sz w:val="13"/>
          <w:szCs w:val="13"/>
          <w:color w:val="auto"/>
        </w:rPr>
        <w:t>”:</w:t>
      </w:r>
    </w:p>
    <w:p>
      <w:pPr>
        <w:spacing w:after="0" w:line="94" w:lineRule="exact"/>
        <w:rPr>
          <w:rFonts w:ascii="Arial" w:cs="Arial" w:eastAsia="Arial" w:hAnsi="Arial"/>
          <w:sz w:val="13"/>
          <w:szCs w:val="13"/>
          <w:color w:val="auto"/>
        </w:rPr>
      </w:pPr>
    </w:p>
    <w:p>
      <w:pPr>
        <w:ind w:left="1080" w:right="20" w:hanging="6"/>
        <w:spacing w:after="0" w:line="294" w:lineRule="auto"/>
        <w:tabs>
          <w:tab w:leader="none" w:pos="1691" w:val="left"/>
        </w:tabs>
        <w:numPr>
          <w:ilvl w:val="1"/>
          <w:numId w:val="25"/>
        </w:numPr>
        <w:rPr>
          <w:rFonts w:ascii="Arial" w:cs="Arial" w:eastAsia="Arial" w:hAnsi="Arial"/>
          <w:sz w:val="13"/>
          <w:szCs w:val="13"/>
          <w:color w:val="auto"/>
        </w:rPr>
      </w:pPr>
      <w:r>
        <w:rPr>
          <w:rFonts w:ascii="Arial" w:cs="Arial" w:eastAsia="Arial" w:hAnsi="Arial"/>
          <w:sz w:val="13"/>
          <w:szCs w:val="13"/>
          <w:color w:val="auto"/>
        </w:rPr>
        <w:t>Indebtedness under the Term Loan Agreement in a principal amount not to exceed $15,000,000 minus any principal repayments made on account thereof, plus “Protective Advances” (as defined in the Term Loan Agreement) up to the amount permitted under the Intercreditor Agreement;</w:t>
      </w:r>
    </w:p>
    <w:p>
      <w:pPr>
        <w:spacing w:after="0" w:line="35" w:lineRule="exact"/>
        <w:rPr>
          <w:rFonts w:ascii="Arial" w:cs="Arial" w:eastAsia="Arial" w:hAnsi="Arial"/>
          <w:sz w:val="13"/>
          <w:szCs w:val="13"/>
          <w:color w:val="auto"/>
        </w:rPr>
      </w:pPr>
    </w:p>
    <w:p>
      <w:pPr>
        <w:ind w:left="980" w:hanging="671"/>
        <w:spacing w:after="0"/>
        <w:tabs>
          <w:tab w:leader="none" w:pos="9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by deleting the last sentence of the definition of “</w:t>
      </w:r>
      <w:r>
        <w:rPr>
          <w:rFonts w:ascii="Arial" w:cs="Arial" w:eastAsia="Arial" w:hAnsi="Arial"/>
          <w:sz w:val="13"/>
          <w:szCs w:val="13"/>
          <w:b w:val="1"/>
          <w:bCs w:val="1"/>
          <w:color w:val="auto"/>
        </w:rPr>
        <w:t>Revolving Credit Commitments</w:t>
      </w:r>
      <w:r>
        <w:rPr>
          <w:rFonts w:ascii="Arial" w:cs="Arial" w:eastAsia="Arial" w:hAnsi="Arial"/>
          <w:sz w:val="13"/>
          <w:szCs w:val="13"/>
          <w:color w:val="auto"/>
        </w:rPr>
        <w:t>” in its entirety and substituting the following in its stead:</w:t>
      </w:r>
    </w:p>
    <w:p>
      <w:pPr>
        <w:spacing w:after="0" w:line="175"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The aggregate Revolving Credit Dollar Commitments as of the Second Amendment Effective Date is $125,000,000.</w:t>
      </w:r>
    </w:p>
    <w:p>
      <w:pPr>
        <w:spacing w:after="0" w:line="91" w:lineRule="exact"/>
        <w:rPr>
          <w:sz w:val="20"/>
          <w:szCs w:val="20"/>
          <w:color w:val="auto"/>
        </w:rPr>
      </w:pPr>
    </w:p>
    <w:p>
      <w:pPr>
        <w:ind w:left="980" w:hanging="671"/>
        <w:spacing w:after="0"/>
        <w:tabs>
          <w:tab w:leader="none" w:pos="9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by deleting the definition of “</w:t>
      </w:r>
      <w:r>
        <w:rPr>
          <w:rFonts w:ascii="Arial" w:cs="Arial" w:eastAsia="Arial" w:hAnsi="Arial"/>
          <w:sz w:val="13"/>
          <w:szCs w:val="13"/>
          <w:b w:val="1"/>
          <w:bCs w:val="1"/>
          <w:color w:val="auto"/>
        </w:rPr>
        <w:t>Trading with the Enemy Act</w:t>
      </w:r>
      <w:r>
        <w:rPr>
          <w:rFonts w:ascii="Arial" w:cs="Arial" w:eastAsia="Arial" w:hAnsi="Arial"/>
          <w:sz w:val="13"/>
          <w:szCs w:val="13"/>
          <w:color w:val="auto"/>
        </w:rPr>
        <w:t>” in its entirety.</w:t>
      </w:r>
    </w:p>
    <w:p>
      <w:pPr>
        <w:spacing w:after="0" w:line="94" w:lineRule="exact"/>
        <w:rPr>
          <w:rFonts w:ascii="Arial" w:cs="Arial" w:eastAsia="Arial" w:hAnsi="Arial"/>
          <w:sz w:val="13"/>
          <w:szCs w:val="13"/>
          <w:color w:val="auto"/>
        </w:rPr>
      </w:pPr>
    </w:p>
    <w:p>
      <w:pPr>
        <w:ind w:left="980" w:hanging="671"/>
        <w:spacing w:after="0"/>
        <w:tabs>
          <w:tab w:leader="none" w:pos="9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by adding the following new definitions in appropriate alphabetical order:</w:t>
      </w:r>
    </w:p>
    <w:p>
      <w:pPr>
        <w:spacing w:after="0" w:line="171" w:lineRule="exact"/>
        <w:rPr>
          <w:sz w:val="20"/>
          <w:szCs w:val="20"/>
          <w:color w:val="auto"/>
        </w:rPr>
      </w:pPr>
    </w:p>
    <w:p>
      <w:pPr>
        <w:ind w:left="1460" w:right="380"/>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Anti-Corruption Laws</w:t>
      </w:r>
      <w:r>
        <w:rPr>
          <w:rFonts w:ascii="Arial" w:cs="Arial" w:eastAsia="Arial" w:hAnsi="Arial"/>
          <w:sz w:val="13"/>
          <w:szCs w:val="13"/>
          <w:color w:val="auto"/>
        </w:rPr>
        <w:t>” means all laws, rules, and regulations of any jurisdiction applicable to any Loan Party or any of its Subsidiaries from time to time concerning or relating to bribery or corruption.</w:t>
      </w:r>
    </w:p>
    <w:p>
      <w:pPr>
        <w:spacing w:after="0" w:line="113" w:lineRule="exact"/>
        <w:rPr>
          <w:sz w:val="20"/>
          <w:szCs w:val="20"/>
          <w:color w:val="auto"/>
        </w:rPr>
      </w:pPr>
    </w:p>
    <w:p>
      <w:pPr>
        <w:ind w:left="1460"/>
        <w:spacing w:after="0" w:line="26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Collateral Access Agreement</w:t>
      </w:r>
      <w:r>
        <w:rPr>
          <w:rFonts w:ascii="Arial" w:cs="Arial" w:eastAsia="Arial" w:hAnsi="Arial"/>
          <w:sz w:val="13"/>
          <w:szCs w:val="13"/>
          <w:color w:val="auto"/>
        </w:rPr>
        <w:t>”: An agreement reasonably satisfactory in form and substance to the Administrative Agent executed by (a) a bailee or other Person in possession of Collateral, and (b) any landlord of real estate leased by any Loan Party, pursuant to which such Person (i) acknowledges the Agent’s Collateral Interest in the Collateral, (ii) releases or subordinates such Person’s Encumbrances in the Collateral held by such Person or located on such real estate, (iii) provides the Administrative Agent with access to the Collateral held by such bailee or other Person or located in or on such real estate, (iv) as to any landlord, provides the Administrative Agent with a reasonable time to sell and dispose of the Collateral from such real estate, and (v) makes such other agreements with the Administrative Agent as the Administrative Agent may reasonably require.</w:t>
      </w:r>
    </w:p>
    <w:p>
      <w:pPr>
        <w:spacing w:after="0" w:line="135" w:lineRule="exact"/>
        <w:rPr>
          <w:sz w:val="20"/>
          <w:szCs w:val="20"/>
          <w:color w:val="auto"/>
        </w:rPr>
      </w:pPr>
    </w:p>
    <w:p>
      <w:pPr>
        <w:ind w:left="1460" w:right="100"/>
        <w:spacing w:after="0" w:line="27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Customs Broker/Carrier Agreement</w:t>
      </w:r>
      <w:r>
        <w:rPr>
          <w:rFonts w:ascii="Arial" w:cs="Arial" w:eastAsia="Arial" w:hAnsi="Arial"/>
          <w:sz w:val="13"/>
          <w:szCs w:val="13"/>
          <w:color w:val="auto"/>
        </w:rPr>
        <w:t>”: An agreement in form and substance satisfactory to the Administrative Agent among a Borrower, a customs broker, freight forwarder, consolidator or carrier, and the Administrative Agent, in which the customs broker, freight forwarder, consolidator or carrier acknowledges that it has control over and holds the documents evidencing ownership of the subject Inventory for the benefit of the Agent and agrees, upon notice from the Administrative Agent, to hold and dispose of the subject Inventory solely as directed by the Administrative Agent.</w:t>
      </w:r>
    </w:p>
    <w:p>
      <w:pPr>
        <w:spacing w:after="0" w:line="129" w:lineRule="exact"/>
        <w:rPr>
          <w:sz w:val="20"/>
          <w:szCs w:val="20"/>
          <w:color w:val="auto"/>
        </w:rPr>
      </w:pPr>
    </w:p>
    <w:p>
      <w:pPr>
        <w:ind w:left="1460" w:right="120"/>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Intercreditor Agreement</w:t>
      </w:r>
      <w:r>
        <w:rPr>
          <w:rFonts w:ascii="Arial" w:cs="Arial" w:eastAsia="Arial" w:hAnsi="Arial"/>
          <w:sz w:val="13"/>
          <w:szCs w:val="13"/>
          <w:color w:val="auto"/>
        </w:rPr>
        <w:t>” means the Intercreditor Agreement dated as of October 29, 2014, by and between the Administrative Agent, and the Term Agent, as amended, restated, amended and restated, modified, replaced, or supplemented from time to time.</w:t>
      </w:r>
    </w:p>
    <w:p>
      <w:pPr>
        <w:spacing w:after="0" w:line="109" w:lineRule="exact"/>
        <w:rPr>
          <w:sz w:val="20"/>
          <w:szCs w:val="20"/>
          <w:color w:val="auto"/>
        </w:rPr>
      </w:pPr>
    </w:p>
    <w:p>
      <w:pPr>
        <w:ind w:left="1460" w:right="40"/>
        <w:spacing w:after="0" w:line="28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Sanctioned Country</w:t>
      </w:r>
      <w:r>
        <w:rPr>
          <w:rFonts w:ascii="Arial" w:cs="Arial" w:eastAsia="Arial" w:hAnsi="Arial"/>
          <w:sz w:val="13"/>
          <w:szCs w:val="13"/>
          <w:color w:val="auto"/>
        </w:rPr>
        <w:t>” means, at any time, a country or territory which is itself the subject or target of any Sanctions (at the time of this Agreement, Cuba, Iran, North Korea, Sudan and Syria).</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40"/>
          </w:cols>
          <w:pgMar w:left="1440" w:top="369" w:right="219" w:bottom="1440" w:gutter="0" w:footer="0" w:header="0"/>
        </w:sectPr>
      </w:pPr>
    </w:p>
    <w:bookmarkStart w:id="34" w:name="page35"/>
    <w:bookmarkEnd w:id="34"/>
    <w:p>
      <w:pPr>
        <w:ind w:left="1460"/>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Sanctioned Person</w:t>
      </w:r>
      <w:r>
        <w:rPr>
          <w:rFonts w:ascii="Arial" w:cs="Arial" w:eastAsia="Arial" w:hAnsi="Arial"/>
          <w:sz w:val="13"/>
          <w:szCs w:val="13"/>
          <w:color w:val="auto"/>
        </w:rPr>
        <w:t>” means, at any time, (a) any Person listed in any Sanctions-related list of designated Persons maintained by the Office of Foreign Assets Control of the U.S. Department of the Treasury, the U.S. Department of State, (b) any Person operating, organized or resident in a Sanctioned Country or (c) any Person owned or controlled by any such Person or Persons described in the foregoing clauses (a) or (b).</w:t>
      </w:r>
    </w:p>
    <w:p>
      <w:pPr>
        <w:spacing w:after="0" w:line="120" w:lineRule="exact"/>
        <w:rPr>
          <w:sz w:val="20"/>
          <w:szCs w:val="20"/>
          <w:color w:val="auto"/>
        </w:rPr>
      </w:pPr>
    </w:p>
    <w:p>
      <w:pPr>
        <w:ind w:left="1460" w:right="280"/>
        <w:spacing w:after="0" w:line="28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Sanctions</w:t>
      </w:r>
      <w:r>
        <w:rPr>
          <w:rFonts w:ascii="Arial" w:cs="Arial" w:eastAsia="Arial" w:hAnsi="Arial"/>
          <w:sz w:val="13"/>
          <w:szCs w:val="13"/>
          <w:color w:val="auto"/>
        </w:rPr>
        <w:t>” economic or financial sanctions or trade embargoes imposed, administered or enforced from time to time by the U.S. government, including those administered by the Office of Foreign Assets Control of the U.S. Department of the Treasury or the U.S. Department of State.</w:t>
      </w:r>
    </w:p>
    <w:p>
      <w:pPr>
        <w:spacing w:after="0" w:line="119"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“Second Amendment Effective Date”</w:t>
      </w:r>
      <w:r>
        <w:rPr>
          <w:rFonts w:ascii="Arial" w:cs="Arial" w:eastAsia="Arial" w:hAnsi="Arial"/>
          <w:sz w:val="13"/>
          <w:szCs w:val="13"/>
          <w:color w:val="auto"/>
        </w:rPr>
        <w:t>: October 29, 2014.</w:t>
      </w:r>
    </w:p>
    <w:p>
      <w:pPr>
        <w:spacing w:after="0" w:line="173"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 xml:space="preserve">“Term Agent” </w:t>
      </w:r>
      <w:r>
        <w:rPr>
          <w:rFonts w:ascii="Arial" w:cs="Arial" w:eastAsia="Arial" w:hAnsi="Arial"/>
          <w:sz w:val="13"/>
          <w:szCs w:val="13"/>
          <w:color w:val="auto"/>
        </w:rPr>
        <w:t>means Wells Fargo Bank, National Association, in its capacity as agent under the Term Loan Agreement.</w:t>
      </w:r>
    </w:p>
    <w:p>
      <w:pPr>
        <w:spacing w:after="0" w:line="173" w:lineRule="exact"/>
        <w:rPr>
          <w:sz w:val="20"/>
          <w:szCs w:val="20"/>
          <w:color w:val="auto"/>
        </w:rPr>
      </w:pPr>
    </w:p>
    <w:p>
      <w:pPr>
        <w:ind w:left="1460" w:right="20"/>
        <w:spacing w:after="0" w:line="29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 Facility Borrowing Base</w:t>
      </w:r>
      <w:r>
        <w:rPr>
          <w:rFonts w:ascii="Arial" w:cs="Arial" w:eastAsia="Arial" w:hAnsi="Arial"/>
          <w:sz w:val="12"/>
          <w:szCs w:val="12"/>
          <w:color w:val="auto"/>
        </w:rPr>
        <w:t>” means the “Borrowing Base” (as defined in the Term Loan Agreement and as reflected on the Borrowing Base Certificates delivered by the Borrowers’ Representative to the Administrative Agent from time to time as required in this Agreement; provided that if the Borrower’s Representative shall fail to deliver such Borrowing Base Certificate when required hereunder, the Term Agent may deliver the most recent Borrowing Base Certificate it has received from the Borrowers under the Term Loan Agreement or, in good faith, calculate the Term Facility Borrowing Base and certify to the Administrative Agent in writing of its determination of the Term Loan Reserve, if any. The Administrative Agent shall be entitled to conclusively rely on any such Borrowing Base Certificate delivered by the Term Agent or certification by the Term Agent and establish a Term Loan Reserve in the amount so certified, without further inquiry and without any independent investigation, and shall have no liability to any of the Loan Parties with respect thereto).</w:t>
      </w:r>
    </w:p>
    <w:p>
      <w:pPr>
        <w:spacing w:after="0" w:line="120" w:lineRule="exact"/>
        <w:rPr>
          <w:sz w:val="20"/>
          <w:szCs w:val="20"/>
          <w:color w:val="auto"/>
        </w:rPr>
      </w:pPr>
    </w:p>
    <w:p>
      <w:pPr>
        <w:ind w:left="1460" w:right="360"/>
        <w:spacing w:after="0" w:line="298" w:lineRule="auto"/>
        <w:rPr>
          <w:sz w:val="20"/>
          <w:szCs w:val="20"/>
          <w:color w:val="auto"/>
        </w:rPr>
      </w:pPr>
      <w:r>
        <w:rPr>
          <w:rFonts w:ascii="Arial" w:cs="Arial" w:eastAsia="Arial" w:hAnsi="Arial"/>
          <w:sz w:val="13"/>
          <w:szCs w:val="13"/>
          <w:b w:val="1"/>
          <w:bCs w:val="1"/>
          <w:color w:val="auto"/>
        </w:rPr>
        <w:t xml:space="preserve">“Term Loan” </w:t>
      </w:r>
      <w:r>
        <w:rPr>
          <w:rFonts w:ascii="Arial" w:cs="Arial" w:eastAsia="Arial" w:hAnsi="Arial"/>
          <w:sz w:val="13"/>
          <w:szCs w:val="13"/>
          <w:color w:val="auto"/>
        </w:rPr>
        <w:t>means the term loan in the original principal amount of $15,000,000 made to the Borrowers under the Term Loan Agreement, plus Protective</w:t>
      </w:r>
      <w:r>
        <w:rPr>
          <w:rFonts w:ascii="Arial" w:cs="Arial" w:eastAsia="Arial" w:hAnsi="Arial"/>
          <w:sz w:val="13"/>
          <w:szCs w:val="13"/>
          <w:b w:val="1"/>
          <w:bCs w:val="1"/>
          <w:color w:val="auto"/>
        </w:rPr>
        <w:t xml:space="preserve"> </w:t>
      </w:r>
      <w:r>
        <w:rPr>
          <w:rFonts w:ascii="Arial" w:cs="Arial" w:eastAsia="Arial" w:hAnsi="Arial"/>
          <w:sz w:val="13"/>
          <w:szCs w:val="13"/>
          <w:color w:val="auto"/>
        </w:rPr>
        <w:t>Advances (as defined in the Term Loan Agreement) up to the amount permitted under the Intercreditor Agreement.</w:t>
      </w:r>
    </w:p>
    <w:p>
      <w:pPr>
        <w:spacing w:after="0" w:line="113" w:lineRule="exact"/>
        <w:rPr>
          <w:sz w:val="20"/>
          <w:szCs w:val="20"/>
          <w:color w:val="auto"/>
        </w:rPr>
      </w:pPr>
    </w:p>
    <w:p>
      <w:pPr>
        <w:ind w:left="1460" w:right="160"/>
        <w:spacing w:after="0" w:line="278" w:lineRule="auto"/>
        <w:rPr>
          <w:sz w:val="20"/>
          <w:szCs w:val="20"/>
          <w:color w:val="auto"/>
        </w:rPr>
      </w:pPr>
      <w:r>
        <w:rPr>
          <w:rFonts w:ascii="Arial" w:cs="Arial" w:eastAsia="Arial" w:hAnsi="Arial"/>
          <w:sz w:val="13"/>
          <w:szCs w:val="13"/>
          <w:b w:val="1"/>
          <w:bCs w:val="1"/>
          <w:color w:val="auto"/>
        </w:rPr>
        <w:t xml:space="preserve">“Term Loan Agreement” </w:t>
      </w:r>
      <w:r>
        <w:rPr>
          <w:rFonts w:ascii="Arial" w:cs="Arial" w:eastAsia="Arial" w:hAnsi="Arial"/>
          <w:sz w:val="13"/>
          <w:szCs w:val="13"/>
          <w:color w:val="auto"/>
        </w:rPr>
        <w:t>means that certain Term Loan Agreement dated as of October 29, 2014 among the Borrowers, the lenders party thereto and the Term</w:t>
      </w:r>
      <w:r>
        <w:rPr>
          <w:rFonts w:ascii="Arial" w:cs="Arial" w:eastAsia="Arial" w:hAnsi="Arial"/>
          <w:sz w:val="13"/>
          <w:szCs w:val="13"/>
          <w:b w:val="1"/>
          <w:bCs w:val="1"/>
          <w:color w:val="auto"/>
        </w:rPr>
        <w:t xml:space="preserve"> </w:t>
      </w:r>
      <w:r>
        <w:rPr>
          <w:rFonts w:ascii="Arial" w:cs="Arial" w:eastAsia="Arial" w:hAnsi="Arial"/>
          <w:sz w:val="13"/>
          <w:szCs w:val="13"/>
          <w:color w:val="auto"/>
        </w:rPr>
        <w:t>Agent, as amended, restated, amended and restated, modified, replaced, or supplemented from time to time in accordance with the terms thereof and the Intercreditor Agreement.</w:t>
      </w:r>
    </w:p>
    <w:p>
      <w:pPr>
        <w:spacing w:after="0" w:line="126" w:lineRule="exact"/>
        <w:rPr>
          <w:sz w:val="20"/>
          <w:szCs w:val="20"/>
          <w:color w:val="auto"/>
        </w:rPr>
      </w:pPr>
    </w:p>
    <w:p>
      <w:pPr>
        <w:ind w:left="1460" w:right="320"/>
        <w:spacing w:after="0" w:line="295" w:lineRule="auto"/>
        <w:rPr>
          <w:sz w:val="20"/>
          <w:szCs w:val="20"/>
          <w:color w:val="auto"/>
        </w:rPr>
      </w:pPr>
      <w:r>
        <w:rPr>
          <w:rFonts w:ascii="Arial" w:cs="Arial" w:eastAsia="Arial" w:hAnsi="Arial"/>
          <w:sz w:val="13"/>
          <w:szCs w:val="13"/>
          <w:b w:val="1"/>
          <w:bCs w:val="1"/>
          <w:color w:val="auto"/>
        </w:rPr>
        <w:t xml:space="preserve">“Term Loan Reserve” </w:t>
      </w:r>
      <w:r>
        <w:rPr>
          <w:rFonts w:ascii="Arial" w:cs="Arial" w:eastAsia="Arial" w:hAnsi="Arial"/>
          <w:sz w:val="13"/>
          <w:szCs w:val="13"/>
          <w:color w:val="auto"/>
        </w:rPr>
        <w:t>means as of any date of calculation of the Borrowing Base,</w:t>
      </w:r>
      <w:r>
        <w:rPr>
          <w:rFonts w:ascii="Arial" w:cs="Arial" w:eastAsia="Arial" w:hAnsi="Arial"/>
          <w:sz w:val="13"/>
          <w:szCs w:val="13"/>
          <w:b w:val="1"/>
          <w:bCs w:val="1"/>
          <w:color w:val="auto"/>
        </w:rPr>
        <w:t xml:space="preserve"> </w:t>
      </w:r>
      <w:r>
        <w:rPr>
          <w:rFonts w:ascii="Arial" w:cs="Arial" w:eastAsia="Arial" w:hAnsi="Arial"/>
          <w:sz w:val="14"/>
          <w:szCs w:val="14"/>
          <w:color w:val="auto"/>
        </w:rPr>
        <w:t>an Availability Reserve in</w:t>
      </w:r>
      <w:r>
        <w:rPr>
          <w:rFonts w:ascii="Arial" w:cs="Arial" w:eastAsia="Arial" w:hAnsi="Arial"/>
          <w:sz w:val="13"/>
          <w:szCs w:val="13"/>
          <w:b w:val="1"/>
          <w:bCs w:val="1"/>
          <w:color w:val="auto"/>
        </w:rPr>
        <w:t xml:space="preserve"> </w:t>
      </w:r>
      <w:r>
        <w:rPr>
          <w:rFonts w:ascii="Arial" w:cs="Arial" w:eastAsia="Arial" w:hAnsi="Arial"/>
          <w:sz w:val="13"/>
          <w:szCs w:val="13"/>
          <w:color w:val="auto"/>
        </w:rPr>
        <w:t>an amount equal to the excess, if any,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aggregate principal outstanding amount of the Term Loan over the then current amount of the Term Facility Borrowing Base.</w:t>
      </w:r>
    </w:p>
    <w:p>
      <w:pPr>
        <w:spacing w:after="0" w:line="112" w:lineRule="exact"/>
        <w:rPr>
          <w:sz w:val="20"/>
          <w:szCs w:val="20"/>
          <w:color w:val="auto"/>
        </w:rPr>
      </w:pPr>
    </w:p>
    <w:p>
      <w:pPr>
        <w:ind w:left="1460"/>
        <w:spacing w:after="0"/>
        <w:rPr>
          <w:sz w:val="20"/>
          <w:szCs w:val="20"/>
          <w:color w:val="auto"/>
        </w:rPr>
      </w:pPr>
      <w:r>
        <w:rPr>
          <w:rFonts w:ascii="Arial" w:cs="Arial" w:eastAsia="Arial" w:hAnsi="Arial"/>
          <w:sz w:val="13"/>
          <w:szCs w:val="13"/>
          <w:b w:val="1"/>
          <w:bCs w:val="1"/>
          <w:color w:val="auto"/>
        </w:rPr>
        <w:t xml:space="preserve">“Term Priority Collateral” </w:t>
      </w:r>
      <w:r>
        <w:rPr>
          <w:rFonts w:ascii="Arial" w:cs="Arial" w:eastAsia="Arial" w:hAnsi="Arial"/>
          <w:sz w:val="13"/>
          <w:szCs w:val="13"/>
          <w:color w:val="auto"/>
        </w:rPr>
        <w:t>means all Equipment of the Loan Parties (other than Equipment leased by the Administrative Agent or any of its Affiliates).</w:t>
      </w:r>
    </w:p>
    <w:p>
      <w:pPr>
        <w:spacing w:after="0" w:line="17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220"/>
          </w:cols>
          <w:pgMar w:left="1440" w:top="456" w:right="239" w:bottom="1440" w:gutter="0" w:footer="0" w:header="0"/>
        </w:sectPr>
      </w:pPr>
    </w:p>
    <w:bookmarkStart w:id="35" w:name="page36"/>
    <w:bookmarkEnd w:id="35"/>
    <w:p>
      <w:pPr>
        <w:ind w:left="715" w:hanging="715"/>
        <w:spacing w:after="0"/>
        <w:tabs>
          <w:tab w:leader="none" w:pos="715"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Section 2.13 is hereby deleted in its entirety and the following substituted in its stead:</w:t>
      </w:r>
    </w:p>
    <w:p>
      <w:pPr>
        <w:spacing w:after="0" w:line="91" w:lineRule="exact"/>
        <w:rPr>
          <w:sz w:val="20"/>
          <w:szCs w:val="20"/>
          <w:color w:val="auto"/>
        </w:rPr>
      </w:pPr>
    </w:p>
    <w:p>
      <w:pPr>
        <w:ind w:left="755" w:right="20"/>
        <w:spacing w:after="0" w:line="278" w:lineRule="auto"/>
        <w:rPr>
          <w:sz w:val="20"/>
          <w:szCs w:val="20"/>
          <w:color w:val="auto"/>
        </w:rPr>
      </w:pPr>
      <w:r>
        <w:rPr>
          <w:rFonts w:ascii="Arial" w:cs="Arial" w:eastAsia="Arial" w:hAnsi="Arial"/>
          <w:sz w:val="13"/>
          <w:szCs w:val="13"/>
          <w:b w:val="1"/>
          <w:bCs w:val="1"/>
          <w:color w:val="auto"/>
        </w:rPr>
        <w:t>2.13 A</w:t>
      </w:r>
      <w:r>
        <w:rPr>
          <w:rFonts w:ascii="Arial" w:cs="Arial" w:eastAsia="Arial" w:hAnsi="Arial"/>
          <w:sz w:val="9"/>
          <w:szCs w:val="9"/>
          <w:b w:val="1"/>
          <w:bCs w:val="1"/>
          <w:color w:val="auto"/>
        </w:rPr>
        <w:t>RRANGEMENT</w:t>
      </w:r>
      <w:r>
        <w:rPr>
          <w:rFonts w:ascii="Arial" w:cs="Arial" w:eastAsia="Arial" w:hAnsi="Arial"/>
          <w:sz w:val="13"/>
          <w:szCs w:val="13"/>
          <w:b w:val="1"/>
          <w:bCs w:val="1"/>
          <w:color w:val="auto"/>
        </w:rPr>
        <w:t xml:space="preserve"> F</w:t>
      </w:r>
      <w:r>
        <w:rPr>
          <w:rFonts w:ascii="Arial" w:cs="Arial" w:eastAsia="Arial" w:hAnsi="Arial"/>
          <w:sz w:val="9"/>
          <w:szCs w:val="9"/>
          <w:b w:val="1"/>
          <w:bCs w:val="1"/>
          <w:color w:val="auto"/>
        </w:rPr>
        <w:t>EE</w:t>
      </w:r>
      <w:r>
        <w:rPr>
          <w:rFonts w:ascii="Arial" w:cs="Arial" w:eastAsia="Arial" w:hAnsi="Arial"/>
          <w:sz w:val="13"/>
          <w:szCs w:val="13"/>
          <w:b w:val="1"/>
          <w:bCs w:val="1"/>
          <w:color w:val="auto"/>
        </w:rPr>
        <w:t xml:space="preserve">. </w:t>
      </w:r>
      <w:r>
        <w:rPr>
          <w:rFonts w:ascii="Arial" w:cs="Arial" w:eastAsia="Arial" w:hAnsi="Arial"/>
          <w:sz w:val="13"/>
          <w:szCs w:val="13"/>
          <w:color w:val="auto"/>
        </w:rPr>
        <w:t>In consideration of the Arranger having arranged the Second Amendment to the Revolving Credit Facility for the Borrowers, as of the Second</w:t>
      </w:r>
      <w:r>
        <w:rPr>
          <w:rFonts w:ascii="Arial" w:cs="Arial" w:eastAsia="Arial" w:hAnsi="Arial"/>
          <w:sz w:val="13"/>
          <w:szCs w:val="13"/>
          <w:b w:val="1"/>
          <w:bCs w:val="1"/>
          <w:color w:val="auto"/>
        </w:rPr>
        <w:t xml:space="preserve"> </w:t>
      </w:r>
      <w:r>
        <w:rPr>
          <w:rFonts w:ascii="Arial" w:cs="Arial" w:eastAsia="Arial" w:hAnsi="Arial"/>
          <w:sz w:val="13"/>
          <w:szCs w:val="13"/>
          <w:color w:val="auto"/>
        </w:rPr>
        <w:t>Amendment Effective Date there has been earned by the Arranger and the Borrowers shall pay the “Arrangement Fee” to the Arranger in the amount and payable as provided in the Fee Letter.</w:t>
      </w:r>
    </w:p>
    <w:p>
      <w:pPr>
        <w:spacing w:after="0" w:line="47" w:lineRule="exact"/>
        <w:rPr>
          <w:sz w:val="20"/>
          <w:szCs w:val="20"/>
          <w:color w:val="auto"/>
        </w:rPr>
      </w:pPr>
    </w:p>
    <w:p>
      <w:pPr>
        <w:ind w:left="715" w:hanging="715"/>
        <w:spacing w:after="0"/>
        <w:tabs>
          <w:tab w:leader="none" w:pos="715"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Section 2.14 is hereby deleted in its entirety and the following substituted in its stead:</w:t>
      </w:r>
    </w:p>
    <w:p>
      <w:pPr>
        <w:spacing w:after="0" w:line="91" w:lineRule="exact"/>
        <w:rPr>
          <w:sz w:val="20"/>
          <w:szCs w:val="20"/>
          <w:color w:val="auto"/>
        </w:rPr>
      </w:pPr>
    </w:p>
    <w:p>
      <w:pPr>
        <w:jc w:val="both"/>
        <w:ind w:left="755" w:right="40"/>
        <w:spacing w:after="0" w:line="278" w:lineRule="auto"/>
        <w:rPr>
          <w:sz w:val="20"/>
          <w:szCs w:val="20"/>
          <w:color w:val="auto"/>
        </w:rPr>
      </w:pPr>
      <w:r>
        <w:rPr>
          <w:rFonts w:ascii="Arial" w:cs="Arial" w:eastAsia="Arial" w:hAnsi="Arial"/>
          <w:sz w:val="13"/>
          <w:szCs w:val="13"/>
          <w:b w:val="1"/>
          <w:bCs w:val="1"/>
          <w:color w:val="auto"/>
        </w:rPr>
        <w:t>2.14 U</w:t>
      </w:r>
      <w:r>
        <w:rPr>
          <w:rFonts w:ascii="Arial" w:cs="Arial" w:eastAsia="Arial" w:hAnsi="Arial"/>
          <w:sz w:val="9"/>
          <w:szCs w:val="9"/>
          <w:b w:val="1"/>
          <w:bCs w:val="1"/>
          <w:color w:val="auto"/>
        </w:rPr>
        <w:t>PFRONT</w:t>
      </w:r>
      <w:r>
        <w:rPr>
          <w:rFonts w:ascii="Arial" w:cs="Arial" w:eastAsia="Arial" w:hAnsi="Arial"/>
          <w:sz w:val="13"/>
          <w:szCs w:val="13"/>
          <w:b w:val="1"/>
          <w:bCs w:val="1"/>
          <w:color w:val="auto"/>
        </w:rPr>
        <w:t xml:space="preserve"> F</w:t>
      </w:r>
      <w:r>
        <w:rPr>
          <w:rFonts w:ascii="Arial" w:cs="Arial" w:eastAsia="Arial" w:hAnsi="Arial"/>
          <w:sz w:val="9"/>
          <w:szCs w:val="9"/>
          <w:b w:val="1"/>
          <w:bCs w:val="1"/>
          <w:color w:val="auto"/>
        </w:rPr>
        <w:t>EES</w:t>
      </w:r>
      <w:r>
        <w:rPr>
          <w:rFonts w:ascii="Arial" w:cs="Arial" w:eastAsia="Arial" w:hAnsi="Arial"/>
          <w:sz w:val="13"/>
          <w:szCs w:val="13"/>
          <w:color w:val="auto"/>
        </w:rPr>
        <w:t>: In consideration of the execution of the Second Amendment to this Agreement, as of the Second Amendment Effective Date, there has been earned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Revolving Credit Lenders, and the Borrowers shall pay, the “</w:t>
      </w:r>
      <w:r>
        <w:rPr>
          <w:rFonts w:ascii="Arial" w:cs="Arial" w:eastAsia="Arial" w:hAnsi="Arial"/>
          <w:sz w:val="13"/>
          <w:szCs w:val="13"/>
          <w:b w:val="1"/>
          <w:bCs w:val="1"/>
          <w:color w:val="auto"/>
        </w:rPr>
        <w:t>Upfront Fees</w:t>
      </w:r>
      <w:r>
        <w:rPr>
          <w:rFonts w:ascii="Arial" w:cs="Arial" w:eastAsia="Arial" w:hAnsi="Arial"/>
          <w:sz w:val="13"/>
          <w:szCs w:val="13"/>
          <w:color w:val="auto"/>
        </w:rPr>
        <w:t>” (so referred to herein) to the Administrative Agent on behalf of the Revolving Credit Lenders in an amount equal to 0.125% of each Revolving Credit Lender’s Revolving Credit Dollar Commitment as of the Effective Date.</w:t>
      </w:r>
    </w:p>
    <w:p>
      <w:pPr>
        <w:spacing w:after="0" w:line="47" w:lineRule="exact"/>
        <w:rPr>
          <w:sz w:val="20"/>
          <w:szCs w:val="20"/>
          <w:color w:val="auto"/>
        </w:rPr>
      </w:pPr>
    </w:p>
    <w:p>
      <w:pPr>
        <w:ind w:left="715" w:hanging="715"/>
        <w:spacing w:after="0"/>
        <w:tabs>
          <w:tab w:leader="none" w:pos="715"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Section 4.27 of the Loan Agreement is hereby amended by adding new clauses (g) and (h) thereto as follows:</w:t>
      </w:r>
    </w:p>
    <w:p>
      <w:pPr>
        <w:spacing w:after="0" w:line="92" w:lineRule="exact"/>
        <w:rPr>
          <w:rFonts w:ascii="Arial" w:cs="Arial" w:eastAsia="Arial" w:hAnsi="Arial"/>
          <w:sz w:val="13"/>
          <w:szCs w:val="13"/>
          <w:color w:val="auto"/>
        </w:rPr>
      </w:pPr>
    </w:p>
    <w:p>
      <w:pPr>
        <w:ind w:left="955" w:hanging="191"/>
        <w:spacing w:after="0"/>
        <w:tabs>
          <w:tab w:leader="none" w:pos="955" w:val="left"/>
        </w:tabs>
        <w:numPr>
          <w:ilvl w:val="1"/>
          <w:numId w:val="29"/>
        </w:numPr>
        <w:rPr>
          <w:rFonts w:ascii="Arial" w:cs="Arial" w:eastAsia="Arial" w:hAnsi="Arial"/>
          <w:sz w:val="12"/>
          <w:szCs w:val="12"/>
          <w:color w:val="auto"/>
        </w:rPr>
      </w:pPr>
      <w:r>
        <w:rPr>
          <w:rFonts w:ascii="Arial" w:cs="Arial" w:eastAsia="Arial" w:hAnsi="Arial"/>
          <w:sz w:val="12"/>
          <w:szCs w:val="12"/>
          <w:color w:val="auto"/>
        </w:rPr>
        <w:t>Each Loan Party shall, upon the request of the Administrative Agent, use commercially reasonable efforts to cause each of its customs brokers, freight forwarders, consolidators</w:t>
      </w:r>
    </w:p>
    <w:p>
      <w:pPr>
        <w:spacing w:after="0" w:line="33" w:lineRule="exact"/>
        <w:rPr>
          <w:rFonts w:ascii="Arial" w:cs="Arial" w:eastAsia="Arial" w:hAnsi="Arial"/>
          <w:sz w:val="12"/>
          <w:szCs w:val="12"/>
          <w:color w:val="auto"/>
        </w:rPr>
      </w:pPr>
    </w:p>
    <w:p>
      <w:pPr>
        <w:jc w:val="both"/>
        <w:ind w:left="755" w:right="60"/>
        <w:spacing w:after="0" w:line="268" w:lineRule="auto"/>
        <w:rPr>
          <w:rFonts w:ascii="Arial" w:cs="Arial" w:eastAsia="Arial" w:hAnsi="Arial"/>
          <w:sz w:val="12"/>
          <w:szCs w:val="12"/>
          <w:color w:val="auto"/>
        </w:rPr>
      </w:pPr>
      <w:r>
        <w:rPr>
          <w:rFonts w:ascii="Arial" w:cs="Arial" w:eastAsia="Arial" w:hAnsi="Arial"/>
          <w:sz w:val="13"/>
          <w:szCs w:val="13"/>
          <w:color w:val="auto"/>
        </w:rPr>
        <w:t>and/or carriers to deliver an agreement (including, without limitation, a Customs Broker/Carrier Agreement) to the Administrative Agent covering such matters and in such form as the Administrative Agent may reasonably require within forty-five (45) days of such request (provided, the Administrative Agent may establish Reserves due to the failure to deliver such agreements).</w:t>
      </w:r>
    </w:p>
    <w:p>
      <w:pPr>
        <w:spacing w:after="0" w:line="53" w:lineRule="exact"/>
        <w:rPr>
          <w:rFonts w:ascii="Arial" w:cs="Arial" w:eastAsia="Arial" w:hAnsi="Arial"/>
          <w:sz w:val="12"/>
          <w:szCs w:val="12"/>
          <w:color w:val="auto"/>
        </w:rPr>
      </w:pPr>
    </w:p>
    <w:p>
      <w:pPr>
        <w:ind w:left="755" w:right="40" w:firstLine="9"/>
        <w:spacing w:after="0" w:line="276" w:lineRule="auto"/>
        <w:tabs>
          <w:tab w:leader="none" w:pos="945" w:val="left"/>
        </w:tabs>
        <w:numPr>
          <w:ilvl w:val="1"/>
          <w:numId w:val="29"/>
        </w:numPr>
        <w:rPr>
          <w:rFonts w:ascii="Arial" w:cs="Arial" w:eastAsia="Arial" w:hAnsi="Arial"/>
          <w:sz w:val="13"/>
          <w:szCs w:val="13"/>
          <w:color w:val="auto"/>
        </w:rPr>
      </w:pPr>
      <w:r>
        <w:rPr>
          <w:rFonts w:ascii="Arial" w:cs="Arial" w:eastAsia="Arial" w:hAnsi="Arial"/>
          <w:sz w:val="13"/>
          <w:szCs w:val="13"/>
          <w:color w:val="auto"/>
        </w:rPr>
        <w:t>Each Loan Party shall, upon the request of the Administrative Agent, use commercially reasonable efforts to cause any of its landlords to deliver a Collateral Access Agreement to the Administrative Agent in such form as the Agent may reasonably require within forty-five (45) days of such request (provided, the Administrative Agent may establish Reserves due to the failure to deliver such agreements).</w:t>
      </w:r>
    </w:p>
    <w:p>
      <w:pPr>
        <w:spacing w:after="0" w:line="49" w:lineRule="exact"/>
        <w:rPr>
          <w:rFonts w:ascii="Arial" w:cs="Arial" w:eastAsia="Arial" w:hAnsi="Arial"/>
          <w:sz w:val="13"/>
          <w:szCs w:val="13"/>
          <w:color w:val="auto"/>
        </w:rPr>
      </w:pPr>
    </w:p>
    <w:p>
      <w:pPr>
        <w:ind w:left="715" w:hanging="715"/>
        <w:spacing w:after="0"/>
        <w:tabs>
          <w:tab w:leader="none" w:pos="715"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Section 4.31 of the Loan Agreement is hereby amended by deleting it in its entirety and substituting the phrase “[Reserved.]” in its stead.</w:t>
      </w:r>
    </w:p>
    <w:p>
      <w:pPr>
        <w:spacing w:after="0" w:line="92" w:lineRule="exact"/>
        <w:rPr>
          <w:rFonts w:ascii="Arial" w:cs="Arial" w:eastAsia="Arial" w:hAnsi="Arial"/>
          <w:sz w:val="13"/>
          <w:szCs w:val="13"/>
          <w:color w:val="auto"/>
        </w:rPr>
      </w:pPr>
    </w:p>
    <w:p>
      <w:pPr>
        <w:ind w:left="715" w:hanging="715"/>
        <w:spacing w:after="0"/>
        <w:tabs>
          <w:tab w:leader="none" w:pos="715"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Section 4.34 of the Loan Agreement is hereby amended and restated in its entirety as follows:</w:t>
      </w:r>
    </w:p>
    <w:p>
      <w:pPr>
        <w:spacing w:after="0" w:line="171" w:lineRule="exact"/>
        <w:rPr>
          <w:sz w:val="20"/>
          <w:szCs w:val="20"/>
          <w:color w:val="auto"/>
        </w:rPr>
      </w:pPr>
    </w:p>
    <w:p>
      <w:pPr>
        <w:ind w:left="755"/>
        <w:spacing w:after="0"/>
        <w:rPr>
          <w:sz w:val="20"/>
          <w:szCs w:val="20"/>
          <w:color w:val="auto"/>
        </w:rPr>
      </w:pPr>
      <w:r>
        <w:rPr>
          <w:rFonts w:ascii="Arial" w:cs="Arial" w:eastAsia="Arial" w:hAnsi="Arial"/>
          <w:sz w:val="13"/>
          <w:szCs w:val="13"/>
          <w:b w:val="1"/>
          <w:bCs w:val="1"/>
          <w:color w:val="auto"/>
        </w:rPr>
        <w:t>4.34. A</w:t>
      </w:r>
      <w:r>
        <w:rPr>
          <w:rFonts w:ascii="Arial" w:cs="Arial" w:eastAsia="Arial" w:hAnsi="Arial"/>
          <w:sz w:val="9"/>
          <w:szCs w:val="9"/>
          <w:b w:val="1"/>
          <w:bCs w:val="1"/>
          <w:color w:val="auto"/>
        </w:rPr>
        <w:t>NTI</w:t>
      </w:r>
      <w:r>
        <w:rPr>
          <w:rFonts w:ascii="Arial" w:cs="Arial" w:eastAsia="Arial" w:hAnsi="Arial"/>
          <w:sz w:val="13"/>
          <w:szCs w:val="13"/>
          <w:b w:val="1"/>
          <w:bCs w:val="1"/>
          <w:color w:val="auto"/>
        </w:rPr>
        <w:t>-C</w:t>
      </w:r>
      <w:r>
        <w:rPr>
          <w:rFonts w:ascii="Arial" w:cs="Arial" w:eastAsia="Arial" w:hAnsi="Arial"/>
          <w:sz w:val="9"/>
          <w:szCs w:val="9"/>
          <w:b w:val="1"/>
          <w:bCs w:val="1"/>
          <w:color w:val="auto"/>
        </w:rPr>
        <w:t>ORRUPTION</w:t>
      </w:r>
      <w:r>
        <w:rPr>
          <w:rFonts w:ascii="Arial" w:cs="Arial" w:eastAsia="Arial" w:hAnsi="Arial"/>
          <w:sz w:val="13"/>
          <w:szCs w:val="13"/>
          <w:b w:val="1"/>
          <w:bCs w:val="1"/>
          <w:color w:val="auto"/>
        </w:rPr>
        <w:t xml:space="preserve"> L</w:t>
      </w:r>
      <w:r>
        <w:rPr>
          <w:rFonts w:ascii="Arial" w:cs="Arial" w:eastAsia="Arial" w:hAnsi="Arial"/>
          <w:sz w:val="9"/>
          <w:szCs w:val="9"/>
          <w:b w:val="1"/>
          <w:bCs w:val="1"/>
          <w:color w:val="auto"/>
        </w:rPr>
        <w:t>AWS AND</w:t>
      </w:r>
      <w:r>
        <w:rPr>
          <w:rFonts w:ascii="Arial" w:cs="Arial" w:eastAsia="Arial" w:hAnsi="Arial"/>
          <w:sz w:val="13"/>
          <w:szCs w:val="13"/>
          <w:b w:val="1"/>
          <w:bCs w:val="1"/>
          <w:color w:val="auto"/>
        </w:rPr>
        <w:t xml:space="preserve"> S</w:t>
      </w:r>
      <w:r>
        <w:rPr>
          <w:rFonts w:ascii="Arial" w:cs="Arial" w:eastAsia="Arial" w:hAnsi="Arial"/>
          <w:sz w:val="9"/>
          <w:szCs w:val="9"/>
          <w:b w:val="1"/>
          <w:bCs w:val="1"/>
          <w:color w:val="auto"/>
        </w:rPr>
        <w:t>ANCTIONS</w:t>
      </w:r>
      <w:r>
        <w:rPr>
          <w:rFonts w:ascii="Arial" w:cs="Arial" w:eastAsia="Arial" w:hAnsi="Arial"/>
          <w:sz w:val="13"/>
          <w:szCs w:val="13"/>
          <w:color w:val="auto"/>
        </w:rPr>
        <w:t>.</w:t>
      </w:r>
    </w:p>
    <w:p>
      <w:pPr>
        <w:spacing w:after="0" w:line="95" w:lineRule="exact"/>
        <w:rPr>
          <w:sz w:val="20"/>
          <w:szCs w:val="20"/>
          <w:color w:val="auto"/>
        </w:rPr>
      </w:pPr>
    </w:p>
    <w:p>
      <w:pPr>
        <w:ind w:left="755" w:firstLine="9"/>
        <w:spacing w:after="0" w:line="265" w:lineRule="auto"/>
        <w:tabs>
          <w:tab w:leader="none" w:pos="969"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Loan Parties shall implement and maintain policies and procedures designed to ensure compliance by the Loan Parties, their Subsidiaries and their respective directors, officers, employees and agents with Anti-Corruption Laws and applicable Sanctions, and the Loan Parties, their Subsidiaries and their respective officers and employees and to the knowledge of the Borrowers, their directors and agents, are in compliance with Anti-Corruption Laws and applicable Sanctions in all material respects and are not knowingly engaged in any activity that would reasonably be expected to result in any Loan Party being designated as a Sanctioned Person. None of (a) any Loan Party, any Subsidiary or, any of their respective directors, officers or employees, or (b) to the knowledge of the Borrowers, any agent of any Loan Party or any Subsidiary that will act in any capacity in connection with or benefit from the credit facility established hereby, is a Sanctioned Person. No Loan, credit extension or L/C, use of proceeds or other transaction contemplated by this Agreement will violate any Anti-Corruption Law or applicable Sanctions.</w:t>
      </w:r>
    </w:p>
    <w:p>
      <w:pPr>
        <w:spacing w:after="0" w:line="135" w:lineRule="exact"/>
        <w:rPr>
          <w:sz w:val="20"/>
          <w:szCs w:val="20"/>
          <w:color w:val="auto"/>
        </w:rPr>
      </w:pPr>
    </w:p>
    <w:p>
      <w:pPr>
        <w:ind w:left="4895"/>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695"/>
          </w:cols>
          <w:pgMar w:left="985" w:top="371" w:right="219" w:bottom="1440" w:gutter="0" w:footer="0" w:header="0"/>
        </w:sectPr>
      </w:pPr>
    </w:p>
    <w:bookmarkStart w:id="36" w:name="page37"/>
    <w:bookmarkEnd w:id="36"/>
    <w:p>
      <w:pPr>
        <w:ind w:left="755" w:right="120" w:firstLine="9"/>
        <w:spacing w:after="0" w:line="294" w:lineRule="auto"/>
        <w:tabs>
          <w:tab w:leader="none" w:pos="976" w:val="left"/>
        </w:tabs>
        <w:numPr>
          <w:ilvl w:val="1"/>
          <w:numId w:val="31"/>
        </w:numPr>
        <w:rPr>
          <w:rFonts w:ascii="Arial" w:cs="Arial" w:eastAsia="Arial" w:hAnsi="Arial"/>
          <w:sz w:val="13"/>
          <w:szCs w:val="13"/>
          <w:color w:val="auto"/>
        </w:rPr>
      </w:pPr>
      <w:r>
        <w:rPr>
          <w:rFonts w:ascii="Arial" w:cs="Arial" w:eastAsia="Arial" w:hAnsi="Arial"/>
          <w:sz w:val="13"/>
          <w:szCs w:val="13"/>
          <w:color w:val="auto"/>
        </w:rPr>
        <w:t>The Loan Parties will maintain in effect and enforce policies and procedures designed to ensure compliance by the Loan Parties, their Subsidiaries and their respective directors, officers, employees and agents with Anti-Corruption Laws and applicable Sanctions.</w:t>
      </w:r>
    </w:p>
    <w:p>
      <w:pPr>
        <w:spacing w:after="0" w:line="37" w:lineRule="exact"/>
        <w:rPr>
          <w:rFonts w:ascii="Arial" w:cs="Arial" w:eastAsia="Arial" w:hAnsi="Arial"/>
          <w:sz w:val="13"/>
          <w:szCs w:val="13"/>
          <w:color w:val="auto"/>
        </w:rPr>
      </w:pPr>
    </w:p>
    <w:p>
      <w:pPr>
        <w:jc w:val="both"/>
        <w:ind w:left="755" w:firstLine="9"/>
        <w:spacing w:after="0" w:line="300" w:lineRule="auto"/>
        <w:tabs>
          <w:tab w:leader="none" w:pos="969" w:val="left"/>
        </w:tabs>
        <w:numPr>
          <w:ilvl w:val="1"/>
          <w:numId w:val="31"/>
        </w:numPr>
        <w:rPr>
          <w:rFonts w:ascii="Arial" w:cs="Arial" w:eastAsia="Arial" w:hAnsi="Arial"/>
          <w:sz w:val="12"/>
          <w:szCs w:val="12"/>
          <w:color w:val="auto"/>
        </w:rPr>
      </w:pPr>
      <w:r>
        <w:rPr>
          <w:rFonts w:ascii="Arial" w:cs="Arial" w:eastAsia="Arial" w:hAnsi="Arial"/>
          <w:sz w:val="12"/>
          <w:szCs w:val="12"/>
          <w:color w:val="auto"/>
        </w:rPr>
        <w:t>The Borrowers will not request any Loan or L/C, and the Borrowers shall not use, and shall procure that their Subsidiaries and their respective directors, officers, employees and agents shall not use, the proceeds of any Loan or L/C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36" w:lineRule="exact"/>
        <w:rPr>
          <w:rFonts w:ascii="Arial" w:cs="Arial" w:eastAsia="Arial" w:hAnsi="Arial"/>
          <w:sz w:val="12"/>
          <w:szCs w:val="12"/>
          <w:color w:val="auto"/>
        </w:rPr>
      </w:pPr>
    </w:p>
    <w:p>
      <w:pPr>
        <w:ind w:left="715" w:hanging="715"/>
        <w:spacing w:after="0"/>
        <w:tabs>
          <w:tab w:leader="none" w:pos="715"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Section 5.6 of the Loan Agreement is hereby amended by adding a new clause (c) thereto as follows:</w:t>
      </w:r>
    </w:p>
    <w:p>
      <w:pPr>
        <w:spacing w:after="0" w:line="92" w:lineRule="exact"/>
        <w:rPr>
          <w:rFonts w:ascii="Arial" w:cs="Arial" w:eastAsia="Arial" w:hAnsi="Arial"/>
          <w:sz w:val="13"/>
          <w:szCs w:val="13"/>
          <w:color w:val="auto"/>
        </w:rPr>
      </w:pPr>
    </w:p>
    <w:p>
      <w:pPr>
        <w:ind w:left="955" w:hanging="191"/>
        <w:spacing w:after="0"/>
        <w:tabs>
          <w:tab w:leader="none" w:pos="955" w:val="left"/>
        </w:tabs>
        <w:numPr>
          <w:ilvl w:val="1"/>
          <w:numId w:val="32"/>
        </w:numPr>
        <w:rPr>
          <w:rFonts w:ascii="Arial" w:cs="Arial" w:eastAsia="Arial" w:hAnsi="Arial"/>
          <w:sz w:val="13"/>
          <w:szCs w:val="13"/>
          <w:color w:val="auto"/>
        </w:rPr>
      </w:pPr>
      <w:r>
        <w:rPr>
          <w:rFonts w:ascii="Arial" w:cs="Arial" w:eastAsia="Arial" w:hAnsi="Arial"/>
          <w:sz w:val="13"/>
          <w:szCs w:val="13"/>
          <w:color w:val="auto"/>
        </w:rPr>
        <w:t>An update to Exhibit 4.5 hereto reflecting new Store openings and which Stores have been closed during such quarter.</w:t>
      </w:r>
    </w:p>
    <w:p>
      <w:pPr>
        <w:spacing w:after="0" w:line="92" w:lineRule="exact"/>
        <w:rPr>
          <w:rFonts w:ascii="Arial" w:cs="Arial" w:eastAsia="Arial" w:hAnsi="Arial"/>
          <w:sz w:val="13"/>
          <w:szCs w:val="13"/>
          <w:color w:val="auto"/>
        </w:rPr>
      </w:pPr>
    </w:p>
    <w:p>
      <w:pPr>
        <w:ind w:left="715" w:hanging="715"/>
        <w:spacing w:after="0"/>
        <w:tabs>
          <w:tab w:leader="none" w:pos="715"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Section 5.8 of the Loan Agreement is hereby amended by adding a new clause (c) thereto as follows:</w:t>
      </w:r>
    </w:p>
    <w:p>
      <w:pPr>
        <w:spacing w:after="0" w:line="92" w:lineRule="exact"/>
        <w:rPr>
          <w:rFonts w:ascii="Arial" w:cs="Arial" w:eastAsia="Arial" w:hAnsi="Arial"/>
          <w:sz w:val="13"/>
          <w:szCs w:val="13"/>
          <w:color w:val="auto"/>
        </w:rPr>
      </w:pPr>
    </w:p>
    <w:p>
      <w:pPr>
        <w:ind w:left="955" w:hanging="191"/>
        <w:spacing w:after="0"/>
        <w:tabs>
          <w:tab w:leader="none" w:pos="955" w:val="left"/>
        </w:tabs>
        <w:numPr>
          <w:ilvl w:val="1"/>
          <w:numId w:val="32"/>
        </w:numPr>
        <w:rPr>
          <w:rFonts w:ascii="Arial" w:cs="Arial" w:eastAsia="Arial" w:hAnsi="Arial"/>
          <w:sz w:val="13"/>
          <w:szCs w:val="13"/>
          <w:color w:val="auto"/>
        </w:rPr>
      </w:pPr>
      <w:r>
        <w:rPr>
          <w:rFonts w:ascii="Arial" w:cs="Arial" w:eastAsia="Arial" w:hAnsi="Arial"/>
          <w:sz w:val="13"/>
          <w:szCs w:val="13"/>
          <w:color w:val="auto"/>
        </w:rPr>
        <w:t>Calculate the Consolidated Fixed Charge Coverage Ratio (whether or not a Covenant Compliance Event has occurred and is continuing).</w:t>
      </w:r>
    </w:p>
    <w:p>
      <w:pPr>
        <w:spacing w:after="0" w:line="92" w:lineRule="exact"/>
        <w:rPr>
          <w:rFonts w:ascii="Arial" w:cs="Arial" w:eastAsia="Arial" w:hAnsi="Arial"/>
          <w:sz w:val="13"/>
          <w:szCs w:val="13"/>
          <w:color w:val="auto"/>
        </w:rPr>
      </w:pPr>
    </w:p>
    <w:p>
      <w:pPr>
        <w:ind w:left="715" w:hanging="715"/>
        <w:spacing w:after="0"/>
        <w:tabs>
          <w:tab w:leader="none" w:pos="715"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Section 5.10(a) of the Loan Agreement is hereby amended by adding a new sentence at the end thereof as follows:</w:t>
      </w:r>
    </w:p>
    <w:p>
      <w:pPr>
        <w:spacing w:after="0" w:line="173" w:lineRule="exact"/>
        <w:rPr>
          <w:sz w:val="20"/>
          <w:szCs w:val="20"/>
          <w:color w:val="auto"/>
        </w:rPr>
      </w:pPr>
    </w:p>
    <w:p>
      <w:pPr>
        <w:ind w:left="755" w:right="100"/>
        <w:spacing w:after="0" w:line="276" w:lineRule="auto"/>
        <w:rPr>
          <w:sz w:val="20"/>
          <w:szCs w:val="20"/>
          <w:color w:val="auto"/>
        </w:rPr>
      </w:pPr>
      <w:r>
        <w:rPr>
          <w:rFonts w:ascii="Arial" w:cs="Arial" w:eastAsia="Arial" w:hAnsi="Arial"/>
          <w:sz w:val="13"/>
          <w:szCs w:val="13"/>
          <w:color w:val="auto"/>
        </w:rPr>
        <w:t>Without limitation to the foregoing, the Borrower’s representative shall, concurrently with delivery of each Borrowing Base Certificate required by Section 5.4 hereof, furnish the Administrative Agent with a summary, as of the date of such Borrowing Base Certificate, of all Banking Services Obligations due or to become due by any Loan Party to any Agent, Revolving Credit Lender, or any of their respective Affiliates.</w:t>
      </w:r>
    </w:p>
    <w:p>
      <w:pPr>
        <w:spacing w:after="0" w:line="49" w:lineRule="exact"/>
        <w:rPr>
          <w:sz w:val="20"/>
          <w:szCs w:val="20"/>
          <w:color w:val="auto"/>
        </w:rPr>
      </w:pPr>
    </w:p>
    <w:p>
      <w:pPr>
        <w:ind w:left="715" w:hanging="715"/>
        <w:spacing w:after="0"/>
        <w:tabs>
          <w:tab w:leader="none" w:pos="715" w:val="left"/>
        </w:tabs>
        <w:numPr>
          <w:ilvl w:val="0"/>
          <w:numId w:val="33"/>
        </w:numPr>
        <w:rPr>
          <w:rFonts w:ascii="Arial" w:cs="Arial" w:eastAsia="Arial" w:hAnsi="Arial"/>
          <w:sz w:val="13"/>
          <w:szCs w:val="13"/>
          <w:color w:val="auto"/>
        </w:rPr>
      </w:pPr>
      <w:r>
        <w:rPr>
          <w:rFonts w:ascii="Arial" w:cs="Arial" w:eastAsia="Arial" w:hAnsi="Arial"/>
          <w:sz w:val="13"/>
          <w:szCs w:val="13"/>
          <w:color w:val="auto"/>
        </w:rPr>
        <w:t>Section 7.4 of the Loan Agreement is hereby amended as follows:</w:t>
      </w:r>
    </w:p>
    <w:p>
      <w:pPr>
        <w:spacing w:after="0" w:line="92" w:lineRule="exact"/>
        <w:rPr>
          <w:rFonts w:ascii="Arial" w:cs="Arial" w:eastAsia="Arial" w:hAnsi="Arial"/>
          <w:sz w:val="13"/>
          <w:szCs w:val="13"/>
          <w:color w:val="auto"/>
        </w:rPr>
      </w:pPr>
    </w:p>
    <w:p>
      <w:pPr>
        <w:ind w:left="1415" w:hanging="651"/>
        <w:spacing w:after="0"/>
        <w:tabs>
          <w:tab w:leader="none" w:pos="1415" w:val="left"/>
        </w:tabs>
        <w:numPr>
          <w:ilvl w:val="1"/>
          <w:numId w:val="33"/>
        </w:numPr>
        <w:rPr>
          <w:rFonts w:ascii="Arial" w:cs="Arial" w:eastAsia="Arial" w:hAnsi="Arial"/>
          <w:sz w:val="13"/>
          <w:szCs w:val="13"/>
          <w:color w:val="auto"/>
        </w:rPr>
      </w:pPr>
      <w:r>
        <w:rPr>
          <w:rFonts w:ascii="Arial" w:cs="Arial" w:eastAsia="Arial" w:hAnsi="Arial"/>
          <w:sz w:val="13"/>
          <w:szCs w:val="13"/>
          <w:color w:val="auto"/>
        </w:rPr>
        <w:t>by adding the words “(other than Term Priority Collateral)” at the end of clause (a) and before subclause (i) thereof.</w:t>
      </w:r>
    </w:p>
    <w:p>
      <w:pPr>
        <w:spacing w:after="0" w:line="92" w:lineRule="exact"/>
        <w:rPr>
          <w:rFonts w:ascii="Arial" w:cs="Arial" w:eastAsia="Arial" w:hAnsi="Arial"/>
          <w:sz w:val="13"/>
          <w:szCs w:val="13"/>
          <w:color w:val="auto"/>
        </w:rPr>
      </w:pPr>
    </w:p>
    <w:p>
      <w:pPr>
        <w:ind w:left="755" w:right="120" w:firstLine="9"/>
        <w:spacing w:after="0" w:line="294" w:lineRule="auto"/>
        <w:tabs>
          <w:tab w:leader="none" w:pos="952" w:val="left"/>
        </w:tabs>
        <w:numPr>
          <w:ilvl w:val="1"/>
          <w:numId w:val="33"/>
        </w:numPr>
        <w:rPr>
          <w:rFonts w:ascii="Arial" w:cs="Arial" w:eastAsia="Arial" w:hAnsi="Arial"/>
          <w:sz w:val="13"/>
          <w:szCs w:val="13"/>
          <w:color w:val="auto"/>
        </w:rPr>
      </w:pPr>
      <w:r>
        <w:rPr>
          <w:rFonts w:ascii="Arial" w:cs="Arial" w:eastAsia="Arial" w:hAnsi="Arial"/>
          <w:sz w:val="13"/>
          <w:szCs w:val="13"/>
          <w:color w:val="auto"/>
        </w:rPr>
        <w:t>by adding the words “or any amounts representing proceeds of Term Priority Collateral deposited in a segregated DDA in favor of the Term Agent in which DDA no other funds shall be deposited” in the parenthetical at the end of clause (b)(i) thereof .</w:t>
      </w:r>
    </w:p>
    <w:p>
      <w:pPr>
        <w:spacing w:after="0" w:line="37" w:lineRule="exact"/>
        <w:rPr>
          <w:rFonts w:ascii="Arial" w:cs="Arial" w:eastAsia="Arial" w:hAnsi="Arial"/>
          <w:sz w:val="13"/>
          <w:szCs w:val="13"/>
          <w:color w:val="auto"/>
        </w:rPr>
      </w:pPr>
    </w:p>
    <w:p>
      <w:pPr>
        <w:ind w:left="715" w:hanging="715"/>
        <w:spacing w:after="0"/>
        <w:tabs>
          <w:tab w:leader="none" w:pos="715" w:val="left"/>
        </w:tabs>
        <w:numPr>
          <w:ilvl w:val="0"/>
          <w:numId w:val="33"/>
        </w:numPr>
        <w:rPr>
          <w:rFonts w:ascii="Arial" w:cs="Arial" w:eastAsia="Arial" w:hAnsi="Arial"/>
          <w:sz w:val="13"/>
          <w:szCs w:val="13"/>
          <w:color w:val="auto"/>
        </w:rPr>
      </w:pPr>
      <w:r>
        <w:rPr>
          <w:rFonts w:ascii="Arial" w:cs="Arial" w:eastAsia="Arial" w:hAnsi="Arial"/>
          <w:sz w:val="13"/>
          <w:szCs w:val="13"/>
          <w:color w:val="auto"/>
        </w:rPr>
        <w:t>Section 10.12 of the Loan Agreement is hereby amended by adding the following new clause thereto:</w:t>
      </w:r>
    </w:p>
    <w:p>
      <w:pPr>
        <w:spacing w:after="0" w:line="93" w:lineRule="exact"/>
        <w:rPr>
          <w:sz w:val="20"/>
          <w:szCs w:val="20"/>
          <w:color w:val="auto"/>
        </w:rPr>
      </w:pPr>
    </w:p>
    <w:p>
      <w:pPr>
        <w:ind w:left="755" w:right="260" w:firstLine="9"/>
        <w:spacing w:after="0" w:line="276" w:lineRule="auto"/>
        <w:tabs>
          <w:tab w:leader="none" w:pos="1388" w:val="left"/>
        </w:tabs>
        <w:numPr>
          <w:ilvl w:val="1"/>
          <w:numId w:val="34"/>
        </w:numPr>
        <w:rPr>
          <w:rFonts w:ascii="Arial" w:cs="Arial" w:eastAsia="Arial" w:hAnsi="Arial"/>
          <w:sz w:val="13"/>
          <w:szCs w:val="13"/>
          <w:color w:val="auto"/>
        </w:rPr>
      </w:pPr>
      <w:r>
        <w:rPr>
          <w:rFonts w:ascii="Arial" w:cs="Arial" w:eastAsia="Arial" w:hAnsi="Arial"/>
          <w:sz w:val="13"/>
          <w:szCs w:val="13"/>
          <w:color w:val="auto"/>
        </w:rPr>
        <w:t>the intercreditor provisions set forth in the Intercreditor Agreement shall, in whole or in part, cease to be effective or cease to be legally valid, binding and enforceable against the holders of the Term Loan, or (iii) the Borrowers’ Representative or any other Loan Party shall, directly or indirectly, disavow or contest in writing in any manner the effectiveness, validity or enforceability of any of the intercreditor provisions.</w:t>
      </w:r>
    </w:p>
    <w:p>
      <w:pPr>
        <w:spacing w:after="0" w:line="49" w:lineRule="exact"/>
        <w:rPr>
          <w:rFonts w:ascii="Arial" w:cs="Arial" w:eastAsia="Arial" w:hAnsi="Arial"/>
          <w:sz w:val="13"/>
          <w:szCs w:val="13"/>
          <w:color w:val="auto"/>
        </w:rPr>
      </w:pPr>
    </w:p>
    <w:p>
      <w:pPr>
        <w:ind w:left="715" w:hanging="715"/>
        <w:spacing w:after="0"/>
        <w:tabs>
          <w:tab w:leader="none" w:pos="715" w:val="left"/>
        </w:tabs>
        <w:numPr>
          <w:ilvl w:val="0"/>
          <w:numId w:val="35"/>
        </w:numPr>
        <w:rPr>
          <w:rFonts w:ascii="Arial" w:cs="Arial" w:eastAsia="Arial" w:hAnsi="Arial"/>
          <w:sz w:val="13"/>
          <w:szCs w:val="13"/>
          <w:color w:val="auto"/>
        </w:rPr>
      </w:pPr>
      <w:r>
        <w:rPr>
          <w:rFonts w:ascii="Arial" w:cs="Arial" w:eastAsia="Arial" w:hAnsi="Arial"/>
          <w:sz w:val="13"/>
          <w:szCs w:val="13"/>
          <w:color w:val="auto"/>
        </w:rPr>
        <w:t>Section 10.19 of the Loan Agreement is hereby amended by deleting the reference to “February 2, 2013” therein and substituting “February 1, 2014” in its stead.</w:t>
      </w:r>
    </w:p>
    <w:p>
      <w:pPr>
        <w:spacing w:after="0" w:line="173" w:lineRule="exact"/>
        <w:rPr>
          <w:sz w:val="20"/>
          <w:szCs w:val="20"/>
          <w:color w:val="auto"/>
        </w:rPr>
      </w:pPr>
    </w:p>
    <w:p>
      <w:pPr>
        <w:ind w:left="4895"/>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595"/>
          </w:cols>
          <w:pgMar w:left="985" w:top="371" w:right="319" w:bottom="1440" w:gutter="0" w:footer="0" w:header="0"/>
        </w:sectPr>
      </w:pPr>
    </w:p>
    <w:bookmarkStart w:id="37" w:name="page38"/>
    <w:bookmarkEnd w:id="37"/>
    <w:p>
      <w:pPr>
        <w:ind w:left="1479" w:right="40" w:hanging="715"/>
        <w:spacing w:after="0" w:line="294" w:lineRule="auto"/>
        <w:tabs>
          <w:tab w:leader="none" w:pos="1479"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Section 14.5 of the Loan Agreement is hereby amended by adding the phrase “and each summary of Banking Services Obligations delivered by the Borrowers’ Representative pursuant to Section 5.10(a) hereof” in the third line thereof immediately after the phrase “pursuant to </w:t>
      </w:r>
      <w:r>
        <w:rPr>
          <w:rFonts w:ascii="Arial" w:cs="Arial" w:eastAsia="Arial" w:hAnsi="Arial"/>
          <w:sz w:val="13"/>
          <w:szCs w:val="13"/>
          <w:u w:val="single" w:color="auto"/>
          <w:color w:val="auto"/>
        </w:rPr>
        <w:t>Article 5</w:t>
      </w:r>
      <w:r>
        <w:rPr>
          <w:rFonts w:ascii="Arial" w:cs="Arial" w:eastAsia="Arial" w:hAnsi="Arial"/>
          <w:sz w:val="13"/>
          <w:szCs w:val="13"/>
          <w:color w:val="auto"/>
        </w:rPr>
        <w:t>”.</w:t>
      </w:r>
    </w:p>
    <w:p>
      <w:pPr>
        <w:spacing w:after="0" w:line="37" w:lineRule="exact"/>
        <w:rPr>
          <w:rFonts w:ascii="Arial" w:cs="Arial" w:eastAsia="Arial" w:hAnsi="Arial"/>
          <w:sz w:val="13"/>
          <w:szCs w:val="13"/>
          <w:color w:val="auto"/>
        </w:rPr>
      </w:pPr>
    </w:p>
    <w:p>
      <w:pPr>
        <w:ind w:left="1479" w:hanging="715"/>
        <w:spacing w:after="0"/>
        <w:tabs>
          <w:tab w:leader="none" w:pos="1479" w:val="left"/>
        </w:tabs>
        <w:numPr>
          <w:ilvl w:val="0"/>
          <w:numId w:val="36"/>
        </w:numPr>
        <w:rPr>
          <w:rFonts w:ascii="Arial" w:cs="Arial" w:eastAsia="Arial" w:hAnsi="Arial"/>
          <w:sz w:val="13"/>
          <w:szCs w:val="13"/>
          <w:color w:val="auto"/>
        </w:rPr>
      </w:pPr>
      <w:r>
        <w:rPr>
          <w:rFonts w:ascii="Arial" w:cs="Arial" w:eastAsia="Arial" w:hAnsi="Arial"/>
          <w:sz w:val="13"/>
          <w:szCs w:val="13"/>
          <w:color w:val="auto"/>
        </w:rPr>
        <w:t>Article XIV of the Loan Agreement is hereby amended by adding a new section 14.11 at the end thereof as follows:</w:t>
      </w:r>
    </w:p>
    <w:p>
      <w:pPr>
        <w:spacing w:after="0" w:line="171" w:lineRule="exact"/>
        <w:rPr>
          <w:sz w:val="20"/>
          <w:szCs w:val="20"/>
          <w:color w:val="auto"/>
        </w:rPr>
      </w:pPr>
    </w:p>
    <w:p>
      <w:pPr>
        <w:ind w:left="1519" w:right="40"/>
        <w:spacing w:after="0" w:line="301" w:lineRule="auto"/>
        <w:rPr>
          <w:sz w:val="20"/>
          <w:szCs w:val="20"/>
          <w:color w:val="auto"/>
        </w:rPr>
      </w:pPr>
      <w:r>
        <w:rPr>
          <w:rFonts w:ascii="Arial" w:cs="Arial" w:eastAsia="Arial" w:hAnsi="Arial"/>
          <w:sz w:val="12"/>
          <w:szCs w:val="12"/>
          <w:b w:val="1"/>
          <w:bCs w:val="1"/>
          <w:color w:val="auto"/>
        </w:rPr>
        <w:t>14.11. B</w:t>
      </w:r>
      <w:r>
        <w:rPr>
          <w:rFonts w:ascii="Arial" w:cs="Arial" w:eastAsia="Arial" w:hAnsi="Arial"/>
          <w:sz w:val="8"/>
          <w:szCs w:val="8"/>
          <w:b w:val="1"/>
          <w:bCs w:val="1"/>
          <w:color w:val="auto"/>
        </w:rPr>
        <w:t>ANKING</w:t>
      </w:r>
      <w:r>
        <w:rPr>
          <w:rFonts w:ascii="Arial" w:cs="Arial" w:eastAsia="Arial" w:hAnsi="Arial"/>
          <w:sz w:val="12"/>
          <w:szCs w:val="12"/>
          <w:b w:val="1"/>
          <w:bCs w:val="1"/>
          <w:color w:val="auto"/>
        </w:rPr>
        <w:t xml:space="preserve"> S</w:t>
      </w:r>
      <w:r>
        <w:rPr>
          <w:rFonts w:ascii="Arial" w:cs="Arial" w:eastAsia="Arial" w:hAnsi="Arial"/>
          <w:sz w:val="8"/>
          <w:szCs w:val="8"/>
          <w:b w:val="1"/>
          <w:bCs w:val="1"/>
          <w:color w:val="auto"/>
        </w:rPr>
        <w:t>ERVICES</w:t>
      </w:r>
      <w:r>
        <w:rPr>
          <w:rFonts w:ascii="Arial" w:cs="Arial" w:eastAsia="Arial" w:hAnsi="Arial"/>
          <w:sz w:val="12"/>
          <w:szCs w:val="12"/>
          <w:b w:val="1"/>
          <w:bCs w:val="1"/>
          <w:color w:val="auto"/>
        </w:rPr>
        <w:t xml:space="preserve"> E</w:t>
      </w:r>
      <w:r>
        <w:rPr>
          <w:rFonts w:ascii="Arial" w:cs="Arial" w:eastAsia="Arial" w:hAnsi="Arial"/>
          <w:sz w:val="8"/>
          <w:szCs w:val="8"/>
          <w:b w:val="1"/>
          <w:bCs w:val="1"/>
          <w:color w:val="auto"/>
        </w:rPr>
        <w:t>XPOSURE</w:t>
      </w:r>
      <w:r>
        <w:rPr>
          <w:rFonts w:ascii="Arial" w:cs="Arial" w:eastAsia="Arial" w:hAnsi="Arial"/>
          <w:sz w:val="12"/>
          <w:szCs w:val="12"/>
          <w:color w:val="auto"/>
        </w:rPr>
        <w:t>. Each Revolving Credit Lender agrees to furnish the Administrative Agent (at such frequency as the Agent may reasonably request) with a</w:t>
      </w:r>
      <w:r>
        <w:rPr>
          <w:rFonts w:ascii="Arial" w:cs="Arial" w:eastAsia="Arial" w:hAnsi="Arial"/>
          <w:sz w:val="12"/>
          <w:szCs w:val="12"/>
          <w:b w:val="1"/>
          <w:bCs w:val="1"/>
          <w:color w:val="auto"/>
        </w:rPr>
        <w:t xml:space="preserve"> </w:t>
      </w:r>
      <w:r>
        <w:rPr>
          <w:rFonts w:ascii="Arial" w:cs="Arial" w:eastAsia="Arial" w:hAnsi="Arial"/>
          <w:sz w:val="12"/>
          <w:szCs w:val="12"/>
          <w:color w:val="auto"/>
        </w:rPr>
        <w:t>summary of all Banking Services Obligations due or to become due to such Revolving Credit Lender or any of its Affiliates. In connection with any distributions to be made hereunder and with the establishment of the Banking Services Reserve, the Administrative Agent shall be entitled to assume that no amounts are due to any Revolving Credit Lender or any of its Affiliates on account of Banking Services Obligations unless the Administrative Agent has received written notice thereof from such Revolving Credit Lender or any Loan Party.</w:t>
      </w:r>
    </w:p>
    <w:p>
      <w:pPr>
        <w:spacing w:after="0" w:line="36" w:lineRule="exact"/>
        <w:rPr>
          <w:sz w:val="20"/>
          <w:szCs w:val="20"/>
          <w:color w:val="auto"/>
        </w:rPr>
      </w:pPr>
    </w:p>
    <w:p>
      <w:pPr>
        <w:ind w:left="1479" w:hanging="715"/>
        <w:spacing w:after="0"/>
        <w:tabs>
          <w:tab w:leader="none" w:pos="1479"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Section 15.3 of the Loan Agreement is hereby amended by adding a new clause (m) at the end thereof as follows:</w:t>
      </w:r>
    </w:p>
    <w:p>
      <w:pPr>
        <w:spacing w:after="0" w:line="92" w:lineRule="exact"/>
        <w:rPr>
          <w:rFonts w:ascii="Arial" w:cs="Arial" w:eastAsia="Arial" w:hAnsi="Arial"/>
          <w:sz w:val="13"/>
          <w:szCs w:val="13"/>
          <w:color w:val="auto"/>
        </w:rPr>
      </w:pPr>
    </w:p>
    <w:p>
      <w:pPr>
        <w:ind w:left="1759" w:hanging="231"/>
        <w:spacing w:after="0"/>
        <w:tabs>
          <w:tab w:leader="none" w:pos="1759" w:val="left"/>
        </w:tabs>
        <w:numPr>
          <w:ilvl w:val="1"/>
          <w:numId w:val="37"/>
        </w:numPr>
        <w:rPr>
          <w:rFonts w:ascii="Arial" w:cs="Arial" w:eastAsia="Arial" w:hAnsi="Arial"/>
          <w:sz w:val="13"/>
          <w:szCs w:val="13"/>
          <w:color w:val="auto"/>
        </w:rPr>
      </w:pPr>
      <w:r>
        <w:rPr>
          <w:rFonts w:ascii="Arial" w:cs="Arial" w:eastAsia="Arial" w:hAnsi="Arial"/>
          <w:sz w:val="13"/>
          <w:szCs w:val="13"/>
          <w:color w:val="auto"/>
        </w:rPr>
        <w:t>amend or modify the provisions of the Intercreditor Agreement without Unanimous Consent;</w:t>
      </w:r>
    </w:p>
    <w:p>
      <w:pPr>
        <w:spacing w:after="0" w:line="92" w:lineRule="exact"/>
        <w:rPr>
          <w:rFonts w:ascii="Arial" w:cs="Arial" w:eastAsia="Arial" w:hAnsi="Arial"/>
          <w:sz w:val="13"/>
          <w:szCs w:val="13"/>
          <w:color w:val="auto"/>
        </w:rPr>
      </w:pPr>
    </w:p>
    <w:p>
      <w:pPr>
        <w:ind w:left="1479" w:hanging="715"/>
        <w:spacing w:after="0" w:line="294" w:lineRule="auto"/>
        <w:tabs>
          <w:tab w:leader="none" w:pos="1479"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Section 17.1 of the Loan Agreement is hereby amended by deleting (a) Kevin J Simard, Esquire and replacing it with David S. Berman, Esquire, and (b) Dennis Hernreich and replacing it with Peter H. Stratton, Jr.</w:t>
      </w:r>
    </w:p>
    <w:p>
      <w:pPr>
        <w:spacing w:after="0" w:line="35" w:lineRule="exact"/>
        <w:rPr>
          <w:rFonts w:ascii="Arial" w:cs="Arial" w:eastAsia="Arial" w:hAnsi="Arial"/>
          <w:sz w:val="13"/>
          <w:szCs w:val="13"/>
          <w:color w:val="auto"/>
        </w:rPr>
      </w:pPr>
    </w:p>
    <w:p>
      <w:pPr>
        <w:ind w:left="1479" w:hanging="715"/>
        <w:spacing w:after="0"/>
        <w:tabs>
          <w:tab w:leader="none" w:pos="1479"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The following new section is added to </w:t>
      </w:r>
      <w:r>
        <w:rPr>
          <w:rFonts w:ascii="Arial" w:cs="Arial" w:eastAsia="Arial" w:hAnsi="Arial"/>
          <w:sz w:val="13"/>
          <w:szCs w:val="13"/>
          <w:b w:val="1"/>
          <w:bCs w:val="1"/>
          <w:color w:val="auto"/>
        </w:rPr>
        <w:t>Article 19</w:t>
      </w:r>
      <w:r>
        <w:rPr>
          <w:rFonts w:ascii="Arial" w:cs="Arial" w:eastAsia="Arial" w:hAnsi="Arial"/>
          <w:sz w:val="13"/>
          <w:szCs w:val="13"/>
          <w:color w:val="auto"/>
        </w:rPr>
        <w:t xml:space="preserve"> of the Loan Agreement:</w:t>
      </w:r>
    </w:p>
    <w:p>
      <w:pPr>
        <w:spacing w:after="0" w:line="93" w:lineRule="exact"/>
        <w:rPr>
          <w:sz w:val="20"/>
          <w:szCs w:val="20"/>
          <w:color w:val="auto"/>
        </w:rPr>
      </w:pPr>
    </w:p>
    <w:p>
      <w:pPr>
        <w:ind w:left="1519"/>
        <w:spacing w:after="0"/>
        <w:tabs>
          <w:tab w:leader="none" w:pos="2299" w:val="left"/>
        </w:tabs>
        <w:rPr>
          <w:sz w:val="20"/>
          <w:szCs w:val="20"/>
          <w:color w:val="auto"/>
        </w:rPr>
      </w:pPr>
      <w:r>
        <w:rPr>
          <w:rFonts w:ascii="Arial" w:cs="Arial" w:eastAsia="Arial" w:hAnsi="Arial"/>
          <w:sz w:val="13"/>
          <w:szCs w:val="13"/>
          <w:color w:val="auto"/>
        </w:rPr>
        <w:t>19.25</w:t>
      </w:r>
      <w:r>
        <w:rPr>
          <w:sz w:val="20"/>
          <w:szCs w:val="20"/>
          <w:color w:val="auto"/>
        </w:rPr>
        <w:tab/>
      </w:r>
      <w:r>
        <w:rPr>
          <w:rFonts w:ascii="Arial" w:cs="Arial" w:eastAsia="Arial" w:hAnsi="Arial"/>
          <w:sz w:val="13"/>
          <w:szCs w:val="13"/>
          <w:b w:val="1"/>
          <w:bCs w:val="1"/>
          <w:color w:val="auto"/>
        </w:rPr>
        <w:t>I</w:t>
      </w:r>
      <w:r>
        <w:rPr>
          <w:rFonts w:ascii="Arial" w:cs="Arial" w:eastAsia="Arial" w:hAnsi="Arial"/>
          <w:sz w:val="9"/>
          <w:szCs w:val="9"/>
          <w:b w:val="1"/>
          <w:bCs w:val="1"/>
          <w:color w:val="auto"/>
        </w:rPr>
        <w:t>NTERCREDITOR</w:t>
      </w:r>
      <w:r>
        <w:rPr>
          <w:rFonts w:ascii="Arial" w:cs="Arial" w:eastAsia="Arial" w:hAnsi="Arial"/>
          <w:sz w:val="13"/>
          <w:szCs w:val="13"/>
          <w:b w:val="1"/>
          <w:bCs w:val="1"/>
          <w:color w:val="auto"/>
        </w:rPr>
        <w:t xml:space="preserve"> A</w:t>
      </w:r>
      <w:r>
        <w:rPr>
          <w:rFonts w:ascii="Arial" w:cs="Arial" w:eastAsia="Arial" w:hAnsi="Arial"/>
          <w:sz w:val="9"/>
          <w:szCs w:val="9"/>
          <w:b w:val="1"/>
          <w:bCs w:val="1"/>
          <w:color w:val="auto"/>
        </w:rPr>
        <w:t>GREEMENT</w:t>
      </w:r>
    </w:p>
    <w:p>
      <w:pPr>
        <w:spacing w:after="0" w:line="175" w:lineRule="exact"/>
        <w:rPr>
          <w:sz w:val="20"/>
          <w:szCs w:val="20"/>
          <w:color w:val="auto"/>
        </w:rPr>
      </w:pPr>
    </w:p>
    <w:p>
      <w:pPr>
        <w:jc w:val="both"/>
        <w:ind w:left="1519" w:right="40"/>
        <w:spacing w:after="0" w:line="310" w:lineRule="auto"/>
        <w:rPr>
          <w:sz w:val="20"/>
          <w:szCs w:val="20"/>
          <w:color w:val="auto"/>
        </w:rPr>
      </w:pPr>
      <w:r>
        <w:rPr>
          <w:rFonts w:ascii="Arial" w:cs="Arial" w:eastAsia="Arial" w:hAnsi="Arial"/>
          <w:sz w:val="12"/>
          <w:szCs w:val="12"/>
          <w:color w:val="auto"/>
        </w:rPr>
        <w:t>Each of the Loan Parties acknowledge that the exercise of certain of the Administrative Agent’s rights and remedies hereunder and under the other Loan Documents may be subject to, and restricted by, the provisions of the Intercreditor Agreement. Nothing contained in the Intercreditor Agreement shall be deemed to modify any of the provisions of this Agreement and the other Loan Documents, which, as among the Loan Parties, the Administrative Agent, and the Revolving Credit Lenders shall remain in full force and effect.</w:t>
      </w:r>
    </w:p>
    <w:p>
      <w:pPr>
        <w:spacing w:after="0" w:line="30" w:lineRule="exact"/>
        <w:rPr>
          <w:sz w:val="20"/>
          <w:szCs w:val="20"/>
          <w:color w:val="auto"/>
        </w:rPr>
      </w:pPr>
    </w:p>
    <w:p>
      <w:pPr>
        <w:ind w:left="1479" w:hanging="715"/>
        <w:spacing w:after="0"/>
        <w:tabs>
          <w:tab w:leader="none" w:pos="1479" w:val="left"/>
        </w:tabs>
        <w:numPr>
          <w:ilvl w:val="1"/>
          <w:numId w:val="38"/>
        </w:numPr>
        <w:rPr>
          <w:rFonts w:ascii="Arial" w:cs="Arial" w:eastAsia="Arial" w:hAnsi="Arial"/>
          <w:sz w:val="12"/>
          <w:szCs w:val="12"/>
          <w:color w:val="auto"/>
        </w:rPr>
      </w:pPr>
      <w:r>
        <w:rPr>
          <w:rFonts w:ascii="Arial" w:cs="Arial" w:eastAsia="Arial" w:hAnsi="Arial"/>
          <w:sz w:val="12"/>
          <w:szCs w:val="12"/>
          <w:color w:val="auto"/>
        </w:rPr>
        <w:t xml:space="preserve">EXHIBITS 1.1(a), 2.23, and 5.8 of the Loan Agreement are hereby amended and restated in their entirety as of the Second Amendment Effective Date as set forth in </w:t>
      </w:r>
      <w:r>
        <w:rPr>
          <w:rFonts w:ascii="Arial" w:cs="Arial" w:eastAsia="Arial" w:hAnsi="Arial"/>
          <w:sz w:val="12"/>
          <w:szCs w:val="12"/>
          <w:u w:val="single" w:color="auto"/>
          <w:color w:val="auto"/>
        </w:rPr>
        <w:t>Annex A</w:t>
      </w:r>
      <w:r>
        <w:rPr>
          <w:rFonts w:ascii="Arial" w:cs="Arial" w:eastAsia="Arial" w:hAnsi="Arial"/>
          <w:sz w:val="12"/>
          <w:szCs w:val="12"/>
          <w:color w:val="auto"/>
        </w:rPr>
        <w:t xml:space="preserve"> hereto.</w:t>
      </w:r>
    </w:p>
    <w:p>
      <w:pPr>
        <w:spacing w:after="0" w:line="98" w:lineRule="exact"/>
        <w:rPr>
          <w:rFonts w:ascii="Arial" w:cs="Arial" w:eastAsia="Arial" w:hAnsi="Arial"/>
          <w:sz w:val="12"/>
          <w:szCs w:val="12"/>
          <w:color w:val="auto"/>
        </w:rPr>
      </w:pPr>
    </w:p>
    <w:p>
      <w:pPr>
        <w:ind w:left="759" w:right="40" w:hanging="759"/>
        <w:spacing w:after="0" w:line="265" w:lineRule="auto"/>
        <w:tabs>
          <w:tab w:leader="none" w:pos="759"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w:t>
      </w:r>
      <w:r>
        <w:rPr>
          <w:rFonts w:ascii="Arial" w:cs="Arial" w:eastAsia="Arial" w:hAnsi="Arial"/>
          <w:sz w:val="16"/>
          <w:szCs w:val="16"/>
          <w:color w:val="auto"/>
        </w:rPr>
        <w:t>. This Second Amendment shall not be effective until each of the following conditions precedent has been fulfilled to the satisfaction of, or waived by, the Administrative Agent and the Revolving Credit Lenders:</w:t>
      </w:r>
    </w:p>
    <w:p>
      <w:pPr>
        <w:spacing w:after="0" w:line="43" w:lineRule="exact"/>
        <w:rPr>
          <w:rFonts w:ascii="Arial" w:cs="Arial" w:eastAsia="Arial" w:hAnsi="Arial"/>
          <w:sz w:val="16"/>
          <w:szCs w:val="16"/>
          <w:color w:val="auto"/>
        </w:rPr>
      </w:pPr>
    </w:p>
    <w:p>
      <w:pPr>
        <w:ind w:left="1479" w:right="440" w:hanging="715"/>
        <w:spacing w:after="0" w:line="294" w:lineRule="auto"/>
        <w:tabs>
          <w:tab w:leader="none" w:pos="1479" w:val="left"/>
        </w:tabs>
        <w:numPr>
          <w:ilvl w:val="1"/>
          <w:numId w:val="39"/>
        </w:numPr>
        <w:rPr>
          <w:rFonts w:ascii="Arial" w:cs="Arial" w:eastAsia="Arial" w:hAnsi="Arial"/>
          <w:sz w:val="13"/>
          <w:szCs w:val="13"/>
          <w:color w:val="auto"/>
        </w:rPr>
      </w:pPr>
      <w:r>
        <w:rPr>
          <w:rFonts w:ascii="Arial" w:cs="Arial" w:eastAsia="Arial" w:hAnsi="Arial"/>
          <w:sz w:val="13"/>
          <w:szCs w:val="13"/>
          <w:color w:val="auto"/>
        </w:rPr>
        <w:t>This Second Amendment shall have been duly executed and delivered by the Borrowers, the Borrowers’ Representative, the Guarantors, and the Revolving Credit Lenders. The Administrative Agent shall have received a fully executed original or .pdf copy hereof.</w:t>
      </w:r>
    </w:p>
    <w:p>
      <w:pPr>
        <w:spacing w:after="0" w:line="37" w:lineRule="exact"/>
        <w:rPr>
          <w:rFonts w:ascii="Arial" w:cs="Arial" w:eastAsia="Arial" w:hAnsi="Arial"/>
          <w:sz w:val="13"/>
          <w:szCs w:val="13"/>
          <w:color w:val="auto"/>
        </w:rPr>
      </w:pPr>
    </w:p>
    <w:p>
      <w:pPr>
        <w:ind w:left="1479" w:hanging="715"/>
        <w:spacing w:after="0" w:line="294" w:lineRule="auto"/>
        <w:tabs>
          <w:tab w:leader="none" w:pos="1479" w:val="left"/>
        </w:tabs>
        <w:numPr>
          <w:ilvl w:val="1"/>
          <w:numId w:val="39"/>
        </w:numPr>
        <w:rPr>
          <w:rFonts w:ascii="Arial" w:cs="Arial" w:eastAsia="Arial" w:hAnsi="Arial"/>
          <w:sz w:val="13"/>
          <w:szCs w:val="13"/>
          <w:color w:val="auto"/>
        </w:rPr>
      </w:pPr>
      <w:r>
        <w:rPr>
          <w:rFonts w:ascii="Arial" w:cs="Arial" w:eastAsia="Arial" w:hAnsi="Arial"/>
          <w:sz w:val="13"/>
          <w:szCs w:val="13"/>
          <w:color w:val="auto"/>
        </w:rPr>
        <w:t>Each Revolving Credit Lender that so requests shall have a received a Revolving Credit Note duly executed and delivered by each Borrower in the full amount of such Revolving Credit Lender’s Revolving Credit Dollar Commitment as of the date hereof.</w:t>
      </w:r>
    </w:p>
    <w:p>
      <w:pPr>
        <w:spacing w:after="0" w:line="37" w:lineRule="exact"/>
        <w:rPr>
          <w:rFonts w:ascii="Arial" w:cs="Arial" w:eastAsia="Arial" w:hAnsi="Arial"/>
          <w:sz w:val="13"/>
          <w:szCs w:val="13"/>
          <w:color w:val="auto"/>
        </w:rPr>
      </w:pPr>
    </w:p>
    <w:p>
      <w:pPr>
        <w:ind w:left="1479" w:hanging="715"/>
        <w:spacing w:after="0"/>
        <w:tabs>
          <w:tab w:leader="none" w:pos="1479" w:val="left"/>
        </w:tabs>
        <w:numPr>
          <w:ilvl w:val="1"/>
          <w:numId w:val="39"/>
        </w:numPr>
        <w:rPr>
          <w:rFonts w:ascii="Arial" w:cs="Arial" w:eastAsia="Arial" w:hAnsi="Arial"/>
          <w:sz w:val="12"/>
          <w:szCs w:val="12"/>
          <w:color w:val="auto"/>
        </w:rPr>
      </w:pPr>
      <w:r>
        <w:rPr>
          <w:rFonts w:ascii="Arial" w:cs="Arial" w:eastAsia="Arial" w:hAnsi="Arial"/>
          <w:sz w:val="12"/>
          <w:szCs w:val="12"/>
          <w:color w:val="auto"/>
        </w:rPr>
        <w:t>All action on the part of each Loan Party necessary for the valid execution, delivery and performance by such Loan Party of this Amendment shall have been duly and effectively taken.</w:t>
      </w:r>
    </w:p>
    <w:p>
      <w:pPr>
        <w:spacing w:after="0" w:line="185" w:lineRule="exact"/>
        <w:rPr>
          <w:sz w:val="20"/>
          <w:szCs w:val="20"/>
          <w:color w:val="auto"/>
        </w:rPr>
      </w:pPr>
    </w:p>
    <w:p>
      <w:pPr>
        <w:jc w:val="center"/>
        <w:ind w:right="-38"/>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419"/>
          </w:cols>
          <w:pgMar w:left="221" w:top="371" w:right="259" w:bottom="1440" w:gutter="0" w:footer="0" w:header="0"/>
        </w:sectPr>
      </w:pPr>
    </w:p>
    <w:bookmarkStart w:id="38" w:name="page39"/>
    <w:bookmarkEnd w:id="38"/>
    <w:p>
      <w:pPr>
        <w:ind w:left="1479" w:right="600" w:hanging="715"/>
        <w:spacing w:after="0" w:line="294" w:lineRule="auto"/>
        <w:tabs>
          <w:tab w:leader="none" w:pos="1479" w:val="left"/>
        </w:tabs>
        <w:numPr>
          <w:ilvl w:val="1"/>
          <w:numId w:val="40"/>
        </w:numPr>
        <w:rPr>
          <w:rFonts w:ascii="Arial" w:cs="Arial" w:eastAsia="Arial" w:hAnsi="Arial"/>
          <w:sz w:val="13"/>
          <w:szCs w:val="13"/>
          <w:color w:val="auto"/>
        </w:rPr>
      </w:pPr>
      <w:r>
        <w:rPr>
          <w:rFonts w:ascii="Arial" w:cs="Arial" w:eastAsia="Arial" w:hAnsi="Arial"/>
          <w:sz w:val="13"/>
          <w:szCs w:val="13"/>
          <w:color w:val="auto"/>
        </w:rPr>
        <w:t>Prior to or substantially simultaneously with the effectiveness of this Second Amendment, the Borrowers shall have received at least $15,000,000 in gross cash proceeds from borrowings under the Term Loan and the Term Loan Agreement shall be in full force and effect.</w:t>
      </w:r>
    </w:p>
    <w:p>
      <w:pPr>
        <w:spacing w:after="0" w:line="37" w:lineRule="exact"/>
        <w:rPr>
          <w:rFonts w:ascii="Arial" w:cs="Arial" w:eastAsia="Arial" w:hAnsi="Arial"/>
          <w:sz w:val="13"/>
          <w:szCs w:val="13"/>
          <w:color w:val="auto"/>
        </w:rPr>
      </w:pPr>
    </w:p>
    <w:p>
      <w:pPr>
        <w:ind w:left="1479" w:hanging="715"/>
        <w:spacing w:after="0"/>
        <w:tabs>
          <w:tab w:leader="none" w:pos="1479" w:val="left"/>
        </w:tabs>
        <w:numPr>
          <w:ilvl w:val="1"/>
          <w:numId w:val="40"/>
        </w:numPr>
        <w:rPr>
          <w:rFonts w:ascii="Arial" w:cs="Arial" w:eastAsia="Arial" w:hAnsi="Arial"/>
          <w:sz w:val="13"/>
          <w:szCs w:val="13"/>
          <w:color w:val="auto"/>
        </w:rPr>
      </w:pPr>
      <w:r>
        <w:rPr>
          <w:rFonts w:ascii="Arial" w:cs="Arial" w:eastAsia="Arial" w:hAnsi="Arial"/>
          <w:sz w:val="13"/>
          <w:szCs w:val="13"/>
          <w:color w:val="auto"/>
        </w:rPr>
        <w:t>The Intercreditor Agreement shall have been duly executed and delivered by each party thereto, and shall be in full force and effect.</w:t>
      </w:r>
    </w:p>
    <w:p>
      <w:pPr>
        <w:spacing w:after="0" w:line="92" w:lineRule="exact"/>
        <w:rPr>
          <w:rFonts w:ascii="Arial" w:cs="Arial" w:eastAsia="Arial" w:hAnsi="Arial"/>
          <w:sz w:val="13"/>
          <w:szCs w:val="13"/>
          <w:color w:val="auto"/>
        </w:rPr>
      </w:pPr>
    </w:p>
    <w:p>
      <w:pPr>
        <w:ind w:left="1479" w:right="160" w:hanging="715"/>
        <w:spacing w:after="0" w:line="294" w:lineRule="auto"/>
        <w:tabs>
          <w:tab w:leader="none" w:pos="1479" w:val="left"/>
        </w:tabs>
        <w:numPr>
          <w:ilvl w:val="1"/>
          <w:numId w:val="40"/>
        </w:numPr>
        <w:rPr>
          <w:rFonts w:ascii="Arial" w:cs="Arial" w:eastAsia="Arial" w:hAnsi="Arial"/>
          <w:sz w:val="13"/>
          <w:szCs w:val="13"/>
          <w:color w:val="auto"/>
        </w:rPr>
      </w:pPr>
      <w:r>
        <w:rPr>
          <w:rFonts w:ascii="Arial" w:cs="Arial" w:eastAsia="Arial" w:hAnsi="Arial"/>
          <w:sz w:val="13"/>
          <w:szCs w:val="13"/>
          <w:color w:val="auto"/>
        </w:rPr>
        <w:t>All fees payable under the Fee Letter and all Upfront Fees payable to the Revolving Credit Lenders under Section 2.14, as modified by this Second Amendment, and all out-of-pocket expenses of the Agents, including attorneys’ fees, shall have been paid in full on the Second Amendment Effective Date.</w:t>
      </w:r>
    </w:p>
    <w:p>
      <w:pPr>
        <w:spacing w:after="0" w:line="37" w:lineRule="exact"/>
        <w:rPr>
          <w:rFonts w:ascii="Arial" w:cs="Arial" w:eastAsia="Arial" w:hAnsi="Arial"/>
          <w:sz w:val="13"/>
          <w:szCs w:val="13"/>
          <w:color w:val="auto"/>
        </w:rPr>
      </w:pPr>
    </w:p>
    <w:p>
      <w:pPr>
        <w:ind w:left="1479" w:hanging="715"/>
        <w:spacing w:after="0" w:line="276" w:lineRule="auto"/>
        <w:tabs>
          <w:tab w:leader="none" w:pos="1479" w:val="left"/>
        </w:tabs>
        <w:numPr>
          <w:ilvl w:val="1"/>
          <w:numId w:val="40"/>
        </w:numPr>
        <w:rPr>
          <w:rFonts w:ascii="Arial" w:cs="Arial" w:eastAsia="Arial" w:hAnsi="Arial"/>
          <w:sz w:val="13"/>
          <w:szCs w:val="13"/>
          <w:color w:val="auto"/>
        </w:rPr>
      </w:pPr>
      <w:r>
        <w:rPr>
          <w:rFonts w:ascii="Arial" w:cs="Arial" w:eastAsia="Arial" w:hAnsi="Arial"/>
          <w:sz w:val="13"/>
          <w:szCs w:val="13"/>
          <w:color w:val="auto"/>
        </w:rPr>
        <w:t>There shall not have occurred a material adverse change (x) in the business, assets, properties, liabilities (actual or contingent), operations, condition (financial or otherwise) or prospects of the Borrowers’ Representative and its subsidiaries, taken as a whole, since February 1, 2014, or (y) in the facts and information regarding such entities as represented by such entities to date.</w:t>
      </w:r>
    </w:p>
    <w:p>
      <w:pPr>
        <w:spacing w:after="0" w:line="49" w:lineRule="exact"/>
        <w:rPr>
          <w:rFonts w:ascii="Arial" w:cs="Arial" w:eastAsia="Arial" w:hAnsi="Arial"/>
          <w:sz w:val="13"/>
          <w:szCs w:val="13"/>
          <w:color w:val="auto"/>
        </w:rPr>
      </w:pPr>
    </w:p>
    <w:p>
      <w:pPr>
        <w:ind w:left="1479" w:hanging="715"/>
        <w:spacing w:after="0"/>
        <w:tabs>
          <w:tab w:leader="none" w:pos="1479" w:val="left"/>
        </w:tabs>
        <w:numPr>
          <w:ilvl w:val="1"/>
          <w:numId w:val="40"/>
        </w:numPr>
        <w:rPr>
          <w:rFonts w:ascii="Arial" w:cs="Arial" w:eastAsia="Arial" w:hAnsi="Arial"/>
          <w:sz w:val="13"/>
          <w:szCs w:val="13"/>
          <w:color w:val="auto"/>
        </w:rPr>
      </w:pPr>
      <w:r>
        <w:rPr>
          <w:rFonts w:ascii="Arial" w:cs="Arial" w:eastAsia="Arial" w:hAnsi="Arial"/>
          <w:sz w:val="13"/>
          <w:szCs w:val="13"/>
          <w:color w:val="auto"/>
        </w:rPr>
        <w:t>After giving effect to this Second Amendment, no Default or Event of Default shall have occurred and be continuing.</w:t>
      </w:r>
    </w:p>
    <w:p>
      <w:pPr>
        <w:spacing w:after="0" w:line="92" w:lineRule="exact"/>
        <w:rPr>
          <w:rFonts w:ascii="Arial" w:cs="Arial" w:eastAsia="Arial" w:hAnsi="Arial"/>
          <w:sz w:val="13"/>
          <w:szCs w:val="13"/>
          <w:color w:val="auto"/>
        </w:rPr>
      </w:pPr>
    </w:p>
    <w:p>
      <w:pPr>
        <w:ind w:left="1479" w:hanging="715"/>
        <w:spacing w:after="0"/>
        <w:tabs>
          <w:tab w:leader="none" w:pos="1479" w:val="left"/>
        </w:tabs>
        <w:numPr>
          <w:ilvl w:val="1"/>
          <w:numId w:val="40"/>
        </w:numPr>
        <w:rPr>
          <w:rFonts w:ascii="Arial" w:cs="Arial" w:eastAsia="Arial" w:hAnsi="Arial"/>
          <w:sz w:val="13"/>
          <w:szCs w:val="13"/>
          <w:color w:val="auto"/>
        </w:rPr>
      </w:pPr>
      <w:r>
        <w:rPr>
          <w:rFonts w:ascii="Arial" w:cs="Arial" w:eastAsia="Arial" w:hAnsi="Arial"/>
          <w:sz w:val="13"/>
          <w:szCs w:val="13"/>
          <w:color w:val="auto"/>
        </w:rPr>
        <w:t>The Administrative Agent shall have received, in form and substance reasonably satisfactory to it, all such opinions of counsel or certifications as it may reasonably request.</w:t>
      </w:r>
    </w:p>
    <w:p>
      <w:pPr>
        <w:spacing w:after="0" w:line="86" w:lineRule="exact"/>
        <w:rPr>
          <w:rFonts w:ascii="Arial" w:cs="Arial" w:eastAsia="Arial" w:hAnsi="Arial"/>
          <w:sz w:val="13"/>
          <w:szCs w:val="13"/>
          <w:color w:val="auto"/>
        </w:rPr>
      </w:pPr>
    </w:p>
    <w:p>
      <w:pPr>
        <w:ind w:left="759" w:hanging="759"/>
        <w:spacing w:after="0"/>
        <w:tabs>
          <w:tab w:leader="none" w:pos="75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Loan Document</w:t>
      </w:r>
      <w:r>
        <w:rPr>
          <w:rFonts w:ascii="Arial" w:cs="Arial" w:eastAsia="Arial" w:hAnsi="Arial"/>
          <w:sz w:val="16"/>
          <w:szCs w:val="16"/>
          <w:color w:val="auto"/>
        </w:rPr>
        <w:t>. This Second Amendment shall constitute a Loan Document for all purposes.</w:t>
      </w:r>
    </w:p>
    <w:p>
      <w:pPr>
        <w:spacing w:after="0" w:line="78" w:lineRule="exact"/>
        <w:rPr>
          <w:rFonts w:ascii="Arial" w:cs="Arial" w:eastAsia="Arial" w:hAnsi="Arial"/>
          <w:sz w:val="16"/>
          <w:szCs w:val="16"/>
          <w:color w:val="auto"/>
        </w:rPr>
      </w:pPr>
    </w:p>
    <w:p>
      <w:pPr>
        <w:ind w:left="759" w:hanging="759"/>
        <w:spacing w:after="0" w:line="265" w:lineRule="auto"/>
        <w:tabs>
          <w:tab w:leader="none" w:pos="75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The terms and provisions hereof shall be binding upon the parties hereto and their successors and assigns and shall inure to the benefit of each Agent and each Revolving Credit Lender and their respective successors and assigns.</w:t>
      </w:r>
    </w:p>
    <w:p>
      <w:pPr>
        <w:spacing w:after="0" w:line="37" w:lineRule="exact"/>
        <w:rPr>
          <w:rFonts w:ascii="Arial" w:cs="Arial" w:eastAsia="Arial" w:hAnsi="Arial"/>
          <w:sz w:val="16"/>
          <w:szCs w:val="16"/>
          <w:color w:val="auto"/>
        </w:rPr>
      </w:pPr>
    </w:p>
    <w:p>
      <w:pPr>
        <w:ind w:left="759" w:right="60" w:hanging="759"/>
        <w:spacing w:after="0" w:line="251" w:lineRule="auto"/>
        <w:tabs>
          <w:tab w:leader="none" w:pos="75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Multiple Counterparts</w:t>
      </w:r>
      <w:r>
        <w:rPr>
          <w:rFonts w:ascii="Arial" w:cs="Arial" w:eastAsia="Arial" w:hAnsi="Arial"/>
          <w:sz w:val="16"/>
          <w:szCs w:val="16"/>
          <w:color w:val="auto"/>
        </w:rPr>
        <w:t>. This Second Amendment may be executed in multiple counterparts, each of which shall constitute an original and which together shall constitute but one and the same instrument. The delivery of an executed counterpart of a signature page of this Second Amendment by telecopier or other electronic transmission shall be as effective as delivery of a manually executed counterpart.</w:t>
      </w:r>
    </w:p>
    <w:p>
      <w:pPr>
        <w:spacing w:after="0" w:line="48" w:lineRule="exact"/>
        <w:rPr>
          <w:rFonts w:ascii="Arial" w:cs="Arial" w:eastAsia="Arial" w:hAnsi="Arial"/>
          <w:sz w:val="16"/>
          <w:szCs w:val="16"/>
          <w:color w:val="auto"/>
        </w:rPr>
      </w:pPr>
    </w:p>
    <w:p>
      <w:pPr>
        <w:ind w:left="759" w:hanging="759"/>
        <w:spacing w:after="0" w:line="251" w:lineRule="auto"/>
        <w:tabs>
          <w:tab w:leader="none" w:pos="75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Any determination that any provision of this Second Amendment or any application thereof is invalid, illegal, or unenforceable in any respect in any instance shall not affect the validity, legality, or enforceability of such provision in any other instance, or the validity, legality, or enforceability of any other provision of this Second Amendment.</w:t>
      </w:r>
    </w:p>
    <w:p>
      <w:pPr>
        <w:spacing w:after="0" w:line="48" w:lineRule="exact"/>
        <w:rPr>
          <w:rFonts w:ascii="Arial" w:cs="Arial" w:eastAsia="Arial" w:hAnsi="Arial"/>
          <w:sz w:val="16"/>
          <w:szCs w:val="16"/>
          <w:color w:val="auto"/>
        </w:rPr>
      </w:pPr>
    </w:p>
    <w:p>
      <w:pPr>
        <w:ind w:left="759" w:right="560" w:hanging="759"/>
        <w:spacing w:after="0" w:line="265" w:lineRule="auto"/>
        <w:tabs>
          <w:tab w:leader="none" w:pos="75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at various places in this Second Amendment are intended for convenience only and shall not affect the interpretation of this Second Amendment.</w:t>
      </w:r>
    </w:p>
    <w:p>
      <w:pPr>
        <w:spacing w:after="0" w:line="37" w:lineRule="exact"/>
        <w:rPr>
          <w:rFonts w:ascii="Arial" w:cs="Arial" w:eastAsia="Arial" w:hAnsi="Arial"/>
          <w:sz w:val="16"/>
          <w:szCs w:val="16"/>
          <w:color w:val="auto"/>
        </w:rPr>
      </w:pPr>
    </w:p>
    <w:p>
      <w:pPr>
        <w:ind w:left="759" w:right="780" w:hanging="759"/>
        <w:spacing w:after="0" w:line="265" w:lineRule="auto"/>
        <w:tabs>
          <w:tab w:leader="none" w:pos="75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SECOND AMENDMENT SHALL BE GOVERNED BY, AND CONSTRUED IN ACCORDANCE WITH, THE LAW OF THE COMMONWEALTH OF MASSACHUSETTS WITHOUT REGARD TO CONFLICT OF LAWS PRINCIPLES THEREOF.</w:t>
      </w:r>
    </w:p>
    <w:p>
      <w:pPr>
        <w:spacing w:after="0" w:line="124" w:lineRule="exact"/>
        <w:rPr>
          <w:sz w:val="20"/>
          <w:szCs w:val="20"/>
          <w:color w:val="auto"/>
        </w:rPr>
      </w:pPr>
    </w:p>
    <w:p>
      <w:pPr>
        <w:jc w:val="center"/>
        <w:ind w:right="-18"/>
        <w:spacing w:after="0"/>
        <w:rPr>
          <w:sz w:val="20"/>
          <w:szCs w:val="20"/>
          <w:color w:val="auto"/>
        </w:rPr>
      </w:pPr>
      <w:r>
        <w:rPr>
          <w:rFonts w:ascii="Arial" w:cs="Arial" w:eastAsia="Arial" w:hAnsi="Arial"/>
          <w:sz w:val="13"/>
          <w:szCs w:val="13"/>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439"/>
          </w:cols>
          <w:pgMar w:left="221" w:top="371" w:right="239" w:bottom="1440" w:gutter="0" w:footer="0" w:header="0"/>
        </w:sectPr>
      </w:pPr>
    </w:p>
    <w:bookmarkStart w:id="39" w:name="page40"/>
    <w:bookmarkEnd w:id="39"/>
    <w:p>
      <w:pPr>
        <w:ind w:right="160" w:firstLine="714"/>
        <w:spacing w:after="0" w:line="265" w:lineRule="auto"/>
        <w:rPr>
          <w:sz w:val="20"/>
          <w:szCs w:val="20"/>
          <w:color w:val="auto"/>
        </w:rPr>
      </w:pPr>
      <w:r>
        <w:rPr>
          <w:rFonts w:ascii="Arial" w:cs="Arial" w:eastAsia="Arial" w:hAnsi="Arial"/>
          <w:sz w:val="16"/>
          <w:szCs w:val="16"/>
          <w:color w:val="auto"/>
        </w:rPr>
        <w:t>IN WITNESS WHEREOF, this Second Amendment has been duly executed and delivered by each of the parties hereto as of the date first above written and is intended to take effect as a sealed instrument.</w:t>
      </w:r>
    </w:p>
    <w:p>
      <w:pPr>
        <w:spacing w:after="0" w:line="13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8890</wp:posOffset>
            </wp:positionV>
            <wp:extent cx="32721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5"/>
          <w:szCs w:val="15"/>
          <w:b w:val="1"/>
          <w:bCs w:val="1"/>
          <w:color w:val="auto"/>
        </w:rPr>
        <w:t>DESTINATION XL GROUP, INC. (f/k/a Casual Male Retail Group, Inc.)</w:t>
      </w:r>
      <w:r>
        <w:rPr>
          <w:rFonts w:ascii="Arial" w:cs="Arial" w:eastAsia="Arial" w:hAnsi="Arial"/>
          <w:sz w:val="15"/>
          <w:szCs w:val="15"/>
          <w:color w:val="auto"/>
        </w:rPr>
        <w:t>,</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as a Borrower</w:t>
      </w:r>
    </w:p>
    <w:p>
      <w:pPr>
        <w:spacing w:after="0" w:line="165" w:lineRule="exact"/>
        <w:rPr>
          <w:sz w:val="20"/>
          <w:szCs w:val="20"/>
          <w:color w:val="auto"/>
        </w:rPr>
      </w:pPr>
    </w:p>
    <w:tbl>
      <w:tblPr>
        <w:tblLayout w:type="fixed"/>
        <w:tblInd w:w="556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6"/>
                <w:szCs w:val="16"/>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A. Levin</w:t>
            </w:r>
          </w:p>
        </w:tc>
      </w:tr>
      <w:tr>
        <w:trPr>
          <w:trHeight w:val="155"/>
        </w:trPr>
        <w:tc>
          <w:tcPr>
            <w:tcW w:w="84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300" w:type="dxa"/>
            <w:vAlign w:val="bottom"/>
          </w:tcPr>
          <w:p>
            <w:pPr>
              <w:spacing w:after="0" w:line="155" w:lineRule="exact"/>
              <w:rPr>
                <w:sz w:val="20"/>
                <w:szCs w:val="20"/>
                <w:color w:val="auto"/>
              </w:rPr>
            </w:pPr>
            <w:r>
              <w:rPr>
                <w:rFonts w:ascii="Arial" w:cs="Arial" w:eastAsia="Arial" w:hAnsi="Arial"/>
                <w:sz w:val="16"/>
                <w:szCs w:val="16"/>
                <w:color w:val="auto"/>
              </w:rPr>
              <w:t>David A. Levin</w:t>
            </w:r>
          </w:p>
        </w:tc>
      </w:tr>
      <w:tr>
        <w:trPr>
          <w:trHeight w:val="206"/>
        </w:trPr>
        <w:tc>
          <w:tcPr>
            <w:tcW w:w="840" w:type="dxa"/>
            <w:vAlign w:val="bottom"/>
          </w:tcPr>
          <w:p>
            <w:pPr>
              <w:spacing w:after="0"/>
              <w:rPr>
                <w:sz w:val="20"/>
                <w:szCs w:val="20"/>
                <w:color w:val="auto"/>
              </w:rPr>
            </w:pPr>
            <w:r>
              <w:rPr>
                <w:rFonts w:ascii="Arial" w:cs="Arial" w:eastAsia="Arial" w:hAnsi="Arial"/>
                <w:sz w:val="16"/>
                <w:szCs w:val="16"/>
                <w:color w:val="auto"/>
              </w:rPr>
              <w:t>Title:</w:t>
            </w:r>
          </w:p>
        </w:tc>
        <w:tc>
          <w:tcPr>
            <w:tcW w:w="43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363"/>
        </w:trPr>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CMRG APPAREL, LLC</w:t>
            </w:r>
            <w:r>
              <w:rPr>
                <w:rFonts w:ascii="Arial" w:cs="Arial" w:eastAsia="Arial" w:hAnsi="Arial"/>
                <w:sz w:val="16"/>
                <w:szCs w:val="16"/>
                <w:color w:val="auto"/>
              </w:rPr>
              <w:t>, as a Borrower</w:t>
            </w:r>
          </w:p>
        </w:tc>
      </w:tr>
      <w:tr>
        <w:trPr>
          <w:trHeight w:val="355"/>
        </w:trPr>
        <w:tc>
          <w:tcPr>
            <w:tcW w:w="840" w:type="dxa"/>
            <w:vAlign w:val="bottom"/>
          </w:tcPr>
          <w:p>
            <w:pPr>
              <w:spacing w:after="0"/>
              <w:rPr>
                <w:sz w:val="20"/>
                <w:szCs w:val="20"/>
                <w:color w:val="auto"/>
              </w:rPr>
            </w:pPr>
            <w:r>
              <w:rPr>
                <w:rFonts w:ascii="Arial" w:cs="Arial" w:eastAsia="Arial" w:hAnsi="Arial"/>
                <w:sz w:val="16"/>
                <w:szCs w:val="16"/>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4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30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40" w:type="dxa"/>
            <w:vAlign w:val="bottom"/>
          </w:tcPr>
          <w:p>
            <w:pPr>
              <w:spacing w:after="0"/>
              <w:rPr>
                <w:sz w:val="20"/>
                <w:szCs w:val="20"/>
                <w:color w:val="auto"/>
              </w:rPr>
            </w:pPr>
            <w:r>
              <w:rPr>
                <w:rFonts w:ascii="Arial" w:cs="Arial" w:eastAsia="Arial" w:hAnsi="Arial"/>
                <w:sz w:val="16"/>
                <w:szCs w:val="16"/>
                <w:color w:val="auto"/>
              </w:rPr>
              <w:t>Title:</w:t>
            </w:r>
          </w:p>
        </w:tc>
        <w:tc>
          <w:tcPr>
            <w:tcW w:w="430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bl>
    <w:p>
      <w:pPr>
        <w:spacing w:after="0" w:line="15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BORROWERS’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8890</wp:posOffset>
            </wp:positionV>
            <wp:extent cx="327215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5"/>
          <w:szCs w:val="15"/>
          <w:b w:val="1"/>
          <w:bCs w:val="1"/>
          <w:color w:val="auto"/>
        </w:rPr>
        <w:t>DESTINATION XL GROUP, INC. (f/k/a Casual Male Retail Group, Inc.)</w:t>
      </w:r>
      <w:r>
        <w:rPr>
          <w:rFonts w:ascii="Arial" w:cs="Arial" w:eastAsia="Arial" w:hAnsi="Arial"/>
          <w:sz w:val="15"/>
          <w:szCs w:val="15"/>
          <w:color w:val="auto"/>
        </w:rPr>
        <w:t>,</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as Borrowers’ Representative</w:t>
      </w:r>
    </w:p>
    <w:p>
      <w:pPr>
        <w:spacing w:after="0" w:line="165" w:lineRule="exact"/>
        <w:rPr>
          <w:sz w:val="20"/>
          <w:szCs w:val="20"/>
          <w:color w:val="auto"/>
        </w:rPr>
      </w:pPr>
    </w:p>
    <w:tbl>
      <w:tblPr>
        <w:tblLayout w:type="fixed"/>
        <w:tblInd w:w="556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6"/>
                <w:szCs w:val="16"/>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A. Levin</w:t>
            </w:r>
          </w:p>
        </w:tc>
      </w:tr>
      <w:tr>
        <w:trPr>
          <w:trHeight w:val="155"/>
        </w:trPr>
        <w:tc>
          <w:tcPr>
            <w:tcW w:w="84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300" w:type="dxa"/>
            <w:vAlign w:val="bottom"/>
          </w:tcPr>
          <w:p>
            <w:pPr>
              <w:spacing w:after="0" w:line="155" w:lineRule="exact"/>
              <w:rPr>
                <w:sz w:val="20"/>
                <w:szCs w:val="20"/>
                <w:color w:val="auto"/>
              </w:rPr>
            </w:pPr>
            <w:r>
              <w:rPr>
                <w:rFonts w:ascii="Arial" w:cs="Arial" w:eastAsia="Arial" w:hAnsi="Arial"/>
                <w:sz w:val="16"/>
                <w:szCs w:val="16"/>
                <w:color w:val="auto"/>
              </w:rPr>
              <w:t>David A. Levin</w:t>
            </w:r>
          </w:p>
        </w:tc>
      </w:tr>
      <w:tr>
        <w:trPr>
          <w:trHeight w:val="206"/>
        </w:trPr>
        <w:tc>
          <w:tcPr>
            <w:tcW w:w="840" w:type="dxa"/>
            <w:vAlign w:val="bottom"/>
          </w:tcPr>
          <w:p>
            <w:pPr>
              <w:spacing w:after="0"/>
              <w:rPr>
                <w:sz w:val="20"/>
                <w:szCs w:val="20"/>
                <w:color w:val="auto"/>
              </w:rPr>
            </w:pPr>
            <w:r>
              <w:rPr>
                <w:rFonts w:ascii="Arial" w:cs="Arial" w:eastAsia="Arial" w:hAnsi="Arial"/>
                <w:sz w:val="16"/>
                <w:szCs w:val="16"/>
                <w:color w:val="auto"/>
              </w:rPr>
              <w:t>Title:</w:t>
            </w:r>
          </w:p>
        </w:tc>
        <w:tc>
          <w:tcPr>
            <w:tcW w:w="43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80"/>
        <w:spacing w:after="0"/>
        <w:rPr>
          <w:sz w:val="20"/>
          <w:szCs w:val="20"/>
          <w:color w:val="auto"/>
        </w:rPr>
      </w:pPr>
      <w:r>
        <w:rPr>
          <w:rFonts w:ascii="Arial" w:cs="Arial" w:eastAsia="Arial" w:hAnsi="Arial"/>
          <w:sz w:val="16"/>
          <w:szCs w:val="16"/>
          <w:i w:val="1"/>
          <w:iCs w:val="1"/>
          <w:color w:val="auto"/>
        </w:rPr>
        <w:t>[Signature Page to Second Amendment]</w:t>
      </w:r>
    </w:p>
    <w:p>
      <w:pPr>
        <w:sectPr>
          <w:pgSz w:w="11900" w:h="16838" w:orient="portrait"/>
          <w:cols w:equalWidth="0" w:num="1">
            <w:col w:w="10700"/>
          </w:cols>
          <w:pgMar w:left="980" w:top="304" w:right="219" w:bottom="1440" w:gutter="0" w:footer="0" w:header="0"/>
        </w:sectPr>
      </w:pPr>
    </w:p>
    <w:bookmarkStart w:id="40" w:name="page41"/>
    <w:bookmarkEnd w:id="40"/>
    <w:p>
      <w:pPr>
        <w:ind w:left="5100"/>
        <w:spacing w:after="0"/>
        <w:rPr>
          <w:sz w:val="20"/>
          <w:szCs w:val="20"/>
          <w:color w:val="auto"/>
        </w:rPr>
      </w:pPr>
      <w:r>
        <w:rPr>
          <w:rFonts w:ascii="Arial" w:cs="Arial" w:eastAsia="Arial" w:hAnsi="Arial"/>
          <w:sz w:val="16"/>
          <w:szCs w:val="16"/>
          <w:color w:val="auto"/>
        </w:rPr>
        <w:t>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8890</wp:posOffset>
            </wp:positionV>
            <wp:extent cx="327215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CASUAL MALE CANADA INC.</w:t>
      </w:r>
    </w:p>
    <w:p>
      <w:pPr>
        <w:spacing w:after="0" w:line="183" w:lineRule="exact"/>
        <w:rPr>
          <w:sz w:val="20"/>
          <w:szCs w:val="20"/>
          <w:color w:val="auto"/>
        </w:rPr>
      </w:pPr>
    </w:p>
    <w:tbl>
      <w:tblPr>
        <w:tblLayout w:type="fixed"/>
        <w:tblInd w:w="5100" w:type="dxa"/>
        <w:tblCellMar>
          <w:top w:w="0" w:type="dxa"/>
          <w:left w:w="0" w:type="dxa"/>
          <w:bottom w:w="0" w:type="dxa"/>
          <w:right w:w="0" w:type="dxa"/>
        </w:tblCellMar>
      </w:tblPr>
      <w:tr>
        <w:trPr>
          <w:trHeight w:val="198"/>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58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56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63"/>
        </w:trPr>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CAPTURE, LLC</w:t>
            </w:r>
          </w:p>
        </w:tc>
      </w:tr>
      <w:tr>
        <w:trPr>
          <w:trHeight w:val="363"/>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Pr>
          <w:p>
            <w:pPr>
              <w:spacing w:after="0"/>
              <w:rPr>
                <w:sz w:val="20"/>
                <w:szCs w:val="20"/>
                <w:color w:val="auto"/>
              </w:rPr>
            </w:pPr>
            <w:r>
              <w:rPr>
                <w:rFonts w:ascii="Arial" w:cs="Arial" w:eastAsia="Arial" w:hAnsi="Arial"/>
                <w:sz w:val="16"/>
                <w:szCs w:val="16"/>
                <w:color w:val="auto"/>
              </w:rPr>
              <w:t>Casual Male Store, LLC, its sole Member</w:t>
            </w:r>
          </w:p>
        </w:tc>
      </w:tr>
      <w:tr>
        <w:trPr>
          <w:trHeight w:val="355"/>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58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56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CASUAL MALE STORE, LLC</w:t>
            </w:r>
          </w:p>
        </w:tc>
      </w:tr>
      <w:tr>
        <w:trPr>
          <w:trHeight w:val="363"/>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58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56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CASUAL MALE RETAIL STORE, LLC</w:t>
            </w:r>
          </w:p>
        </w:tc>
      </w:tr>
      <w:tr>
        <w:trPr>
          <w:trHeight w:val="363"/>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58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56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CASUAL MALE DIRECT, LLC</w:t>
            </w:r>
          </w:p>
        </w:tc>
      </w:tr>
      <w:tr>
        <w:trPr>
          <w:trHeight w:val="363"/>
        </w:trPr>
        <w:tc>
          <w:tcPr>
            <w:tcW w:w="580" w:type="dxa"/>
            <w:vAlign w:val="bottom"/>
          </w:tcPr>
          <w:p>
            <w:pPr>
              <w:spacing w:after="0"/>
              <w:rPr>
                <w:sz w:val="20"/>
                <w:szCs w:val="20"/>
                <w:color w:val="auto"/>
              </w:rPr>
            </w:pPr>
            <w:r>
              <w:rPr>
                <w:rFonts w:ascii="Arial" w:cs="Arial" w:eastAsia="Arial" w:hAnsi="Arial"/>
                <w:sz w:val="16"/>
                <w:szCs w:val="16"/>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58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56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auto"/>
        </w:rPr>
        <w:t>[Signature Page to Second Amendment]</w:t>
      </w:r>
    </w:p>
    <w:p>
      <w:pPr>
        <w:sectPr>
          <w:pgSz w:w="11900" w:h="16838" w:orient="portrait"/>
          <w:cols w:equalWidth="0" w:num="1">
            <w:col w:w="10240"/>
          </w:cols>
          <w:pgMar w:left="1440" w:top="486" w:right="219" w:bottom="1440" w:gutter="0" w:footer="0" w:header="0"/>
        </w:sectPr>
      </w:pPr>
    </w:p>
    <w:bookmarkStart w:id="41" w:name="page42"/>
    <w:bookmarkEnd w:id="41"/>
    <w:p>
      <w:pPr>
        <w:ind w:left="5100"/>
        <w:spacing w:after="0"/>
        <w:rPr>
          <w:sz w:val="20"/>
          <w:szCs w:val="20"/>
          <w:color w:val="auto"/>
        </w:rPr>
      </w:pPr>
      <w:r>
        <w:rPr>
          <w:rFonts w:ascii="Arial" w:cs="Arial" w:eastAsia="Arial" w:hAnsi="Arial"/>
          <w:sz w:val="13"/>
          <w:szCs w:val="13"/>
          <w:b w:val="1"/>
          <w:bCs w:val="1"/>
          <w:color w:val="auto"/>
        </w:rPr>
        <w:t>CASUAL MALE RBT, LLC</w:t>
      </w:r>
    </w:p>
    <w:p>
      <w:pPr>
        <w:spacing w:after="0" w:line="190" w:lineRule="exact"/>
        <w:rPr>
          <w:sz w:val="20"/>
          <w:szCs w:val="20"/>
          <w:color w:val="auto"/>
        </w:rPr>
      </w:pPr>
    </w:p>
    <w:tbl>
      <w:tblPr>
        <w:tblLayout w:type="fixed"/>
        <w:tblInd w:w="5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6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28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CASUAL MALE RBT (U.K.) LLC</w:t>
            </w:r>
          </w:p>
        </w:tc>
      </w:tr>
      <w:tr>
        <w:trPr>
          <w:trHeight w:val="363"/>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6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28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CANTON PL LIQUIDATING CORP.</w:t>
            </w:r>
          </w:p>
        </w:tc>
      </w:tr>
      <w:tr>
        <w:trPr>
          <w:trHeight w:val="363"/>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6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28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THINK BIG PRODUCTS LLC</w:t>
            </w:r>
          </w:p>
        </w:tc>
      </w:tr>
      <w:tr>
        <w:trPr>
          <w:trHeight w:val="363"/>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6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28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CMXL APPAREL, LP</w:t>
            </w:r>
          </w:p>
        </w:tc>
      </w:tr>
      <w:tr>
        <w:trPr>
          <w:trHeight w:val="363"/>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6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28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CMRG HOLDCO, LLC</w:t>
            </w:r>
          </w:p>
        </w:tc>
      </w:tr>
      <w:tr>
        <w:trPr>
          <w:trHeight w:val="363"/>
        </w:trPr>
        <w:tc>
          <w:tcPr>
            <w:tcW w:w="860" w:type="dxa"/>
            <w:vAlign w:val="bottom"/>
          </w:tcPr>
          <w:p>
            <w:pPr>
              <w:spacing w:after="0"/>
              <w:rPr>
                <w:sz w:val="20"/>
                <w:szCs w:val="20"/>
                <w:color w:val="auto"/>
              </w:rPr>
            </w:pPr>
            <w:r>
              <w:rPr>
                <w:rFonts w:ascii="Arial" w:cs="Arial" w:eastAsia="Arial" w:hAnsi="Arial"/>
                <w:sz w:val="16"/>
                <w:szCs w:val="16"/>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6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28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428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auto"/>
        </w:rPr>
        <w:t>[Signature Page to Second Amendment]</w:t>
      </w:r>
    </w:p>
    <w:p>
      <w:pPr>
        <w:sectPr>
          <w:pgSz w:w="11900" w:h="16838" w:orient="portrait"/>
          <w:cols w:equalWidth="0" w:num="1">
            <w:col w:w="10240"/>
          </w:cols>
          <w:pgMar w:left="1440" w:top="490" w:right="219" w:bottom="1440" w:gutter="0" w:footer="0" w:header="0"/>
        </w:sectPr>
      </w:pPr>
    </w:p>
    <w:bookmarkStart w:id="42" w:name="page43"/>
    <w:bookmarkEnd w:id="42"/>
    <w:p>
      <w:pPr>
        <w:ind w:left="5100"/>
        <w:spacing w:after="0"/>
        <w:rPr>
          <w:sz w:val="20"/>
          <w:szCs w:val="20"/>
          <w:color w:val="auto"/>
        </w:rPr>
      </w:pPr>
      <w:r>
        <w:rPr>
          <w:rFonts w:ascii="Arial" w:cs="Arial" w:eastAsia="Arial" w:hAnsi="Arial"/>
          <w:sz w:val="13"/>
          <w:szCs w:val="13"/>
          <w:b w:val="1"/>
          <w:bCs w:val="1"/>
          <w:color w:val="auto"/>
        </w:rPr>
        <w:t>CMRG APPAREL MANAGEMENT,</w:t>
      </w:r>
    </w:p>
    <w:p>
      <w:pPr>
        <w:spacing w:after="0" w:line="24"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INC.</w:t>
      </w:r>
    </w:p>
    <w:p>
      <w:pPr>
        <w:spacing w:after="0" w:line="177" w:lineRule="exact"/>
        <w:rPr>
          <w:sz w:val="20"/>
          <w:szCs w:val="20"/>
          <w:color w:val="auto"/>
        </w:rPr>
      </w:pPr>
    </w:p>
    <w:tbl>
      <w:tblPr>
        <w:tblLayout w:type="fixed"/>
        <w:tblInd w:w="5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6"/>
                <w:szCs w:val="16"/>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2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32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20" w:type="dxa"/>
            <w:vAlign w:val="bottom"/>
          </w:tcPr>
          <w:p>
            <w:pPr>
              <w:spacing w:after="0"/>
              <w:rPr>
                <w:sz w:val="20"/>
                <w:szCs w:val="20"/>
                <w:color w:val="auto"/>
              </w:rPr>
            </w:pPr>
            <w:r>
              <w:rPr>
                <w:rFonts w:ascii="Arial" w:cs="Arial" w:eastAsia="Arial" w:hAnsi="Arial"/>
                <w:sz w:val="16"/>
                <w:szCs w:val="16"/>
                <w:color w:val="auto"/>
              </w:rPr>
              <w:t>Title:</w:t>
            </w:r>
          </w:p>
        </w:tc>
        <w:tc>
          <w:tcPr>
            <w:tcW w:w="432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r>
        <w:trPr>
          <w:trHeight w:val="335"/>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CASUAL MALE (EUROPE) LLC</w:t>
            </w:r>
          </w:p>
        </w:tc>
      </w:tr>
      <w:tr>
        <w:trPr>
          <w:trHeight w:val="363"/>
        </w:trPr>
        <w:tc>
          <w:tcPr>
            <w:tcW w:w="820" w:type="dxa"/>
            <w:vAlign w:val="bottom"/>
          </w:tcPr>
          <w:p>
            <w:pPr>
              <w:spacing w:after="0"/>
              <w:rPr>
                <w:sz w:val="20"/>
                <w:szCs w:val="20"/>
                <w:color w:val="auto"/>
              </w:rPr>
            </w:pPr>
            <w:r>
              <w:rPr>
                <w:rFonts w:ascii="Arial" w:cs="Arial" w:eastAsia="Arial" w:hAnsi="Arial"/>
                <w:sz w:val="16"/>
                <w:szCs w:val="16"/>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 Stratton, Jr.</w:t>
            </w:r>
          </w:p>
        </w:tc>
      </w:tr>
      <w:tr>
        <w:trPr>
          <w:trHeight w:val="155"/>
        </w:trPr>
        <w:tc>
          <w:tcPr>
            <w:tcW w:w="82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320" w:type="dxa"/>
            <w:vAlign w:val="bottom"/>
          </w:tcPr>
          <w:p>
            <w:pPr>
              <w:spacing w:after="0" w:line="155" w:lineRule="exact"/>
              <w:rPr>
                <w:sz w:val="20"/>
                <w:szCs w:val="20"/>
                <w:color w:val="auto"/>
              </w:rPr>
            </w:pPr>
            <w:r>
              <w:rPr>
                <w:rFonts w:ascii="Arial" w:cs="Arial" w:eastAsia="Arial" w:hAnsi="Arial"/>
                <w:sz w:val="16"/>
                <w:szCs w:val="16"/>
                <w:color w:val="auto"/>
              </w:rPr>
              <w:t>Peter H. Stratton, Jr.</w:t>
            </w:r>
          </w:p>
        </w:tc>
      </w:tr>
      <w:tr>
        <w:trPr>
          <w:trHeight w:val="206"/>
        </w:trPr>
        <w:tc>
          <w:tcPr>
            <w:tcW w:w="820" w:type="dxa"/>
            <w:vAlign w:val="bottom"/>
          </w:tcPr>
          <w:p>
            <w:pPr>
              <w:spacing w:after="0"/>
              <w:rPr>
                <w:sz w:val="20"/>
                <w:szCs w:val="20"/>
                <w:color w:val="auto"/>
              </w:rPr>
            </w:pPr>
            <w:r>
              <w:rPr>
                <w:rFonts w:ascii="Arial" w:cs="Arial" w:eastAsia="Arial" w:hAnsi="Arial"/>
                <w:sz w:val="16"/>
                <w:szCs w:val="16"/>
                <w:color w:val="auto"/>
              </w:rPr>
              <w:t>Title:</w:t>
            </w:r>
          </w:p>
        </w:tc>
        <w:tc>
          <w:tcPr>
            <w:tcW w:w="4320" w:type="dxa"/>
            <w:vAlign w:val="bottom"/>
          </w:tcPr>
          <w:p>
            <w:pPr>
              <w:spacing w:after="0"/>
              <w:rPr>
                <w:sz w:val="20"/>
                <w:szCs w:val="20"/>
                <w:color w:val="auto"/>
              </w:rPr>
            </w:pPr>
            <w:r>
              <w:rPr>
                <w:rFonts w:ascii="Arial" w:cs="Arial" w:eastAsia="Arial" w:hAnsi="Arial"/>
                <w:sz w:val="16"/>
                <w:szCs w:val="16"/>
                <w:color w:val="auto"/>
              </w:rPr>
              <w:t>Senior Vice President, 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auto"/>
        </w:rPr>
        <w:t>[Signature Page to Second Amendment]</w:t>
      </w:r>
    </w:p>
    <w:p>
      <w:pPr>
        <w:sectPr>
          <w:pgSz w:w="11900" w:h="16838" w:orient="portrait"/>
          <w:cols w:equalWidth="0" w:num="1">
            <w:col w:w="10240"/>
          </w:cols>
          <w:pgMar w:left="1440" w:top="490" w:right="219" w:bottom="1440" w:gutter="0" w:footer="0" w:header="0"/>
        </w:sectPr>
      </w:pPr>
    </w:p>
    <w:bookmarkStart w:id="43" w:name="page44"/>
    <w:bookmarkEnd w:id="43"/>
    <w:p>
      <w:pPr>
        <w:ind w:left="5100"/>
        <w:spacing w:after="0"/>
        <w:rPr>
          <w:sz w:val="20"/>
          <w:szCs w:val="20"/>
          <w:color w:val="auto"/>
        </w:rPr>
      </w:pPr>
      <w:r>
        <w:rPr>
          <w:rFonts w:ascii="Arial" w:cs="Arial" w:eastAsia="Arial" w:hAnsi="Arial"/>
          <w:sz w:val="16"/>
          <w:szCs w:val="16"/>
          <w:color w:val="auto"/>
        </w:rPr>
        <w:t>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8890</wp:posOffset>
            </wp:positionV>
            <wp:extent cx="327215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line="17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BANK OF AMERICA, N.A.</w:t>
      </w:r>
      <w:r>
        <w:rPr>
          <w:rFonts w:ascii="Arial" w:cs="Arial" w:eastAsia="Arial" w:hAnsi="Arial"/>
          <w:sz w:val="13"/>
          <w:szCs w:val="13"/>
          <w:color w:val="auto"/>
        </w:rPr>
        <w:t>, as Administrative Agent, as Collateral Agent, and as a</w:t>
      </w:r>
    </w:p>
    <w:p>
      <w:pPr>
        <w:spacing w:after="0" w:line="24"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Revolving Credit Lender</w:t>
      </w:r>
    </w:p>
    <w:p>
      <w:pPr>
        <w:spacing w:after="0" w:line="183" w:lineRule="exact"/>
        <w:rPr>
          <w:sz w:val="20"/>
          <w:szCs w:val="20"/>
          <w:color w:val="auto"/>
        </w:rPr>
      </w:pPr>
    </w:p>
    <w:tbl>
      <w:tblPr>
        <w:tblLayout w:type="fixed"/>
        <w:tblInd w:w="510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Vega</w:t>
            </w:r>
          </w:p>
        </w:tc>
      </w:tr>
      <w:tr>
        <w:trPr>
          <w:trHeight w:val="135"/>
        </w:trPr>
        <w:tc>
          <w:tcPr>
            <w:tcW w:w="580" w:type="dxa"/>
            <w:vAlign w:val="bottom"/>
          </w:tcPr>
          <w:p>
            <w:pPr>
              <w:spacing w:after="0" w:line="136" w:lineRule="exact"/>
              <w:rPr>
                <w:sz w:val="20"/>
                <w:szCs w:val="20"/>
                <w:color w:val="auto"/>
              </w:rPr>
            </w:pPr>
            <w:r>
              <w:rPr>
                <w:rFonts w:ascii="Arial" w:cs="Arial" w:eastAsia="Arial" w:hAnsi="Arial"/>
                <w:sz w:val="13"/>
                <w:szCs w:val="13"/>
                <w:color w:val="auto"/>
              </w:rPr>
              <w:t>Name</w:t>
            </w:r>
            <w:r>
              <w:rPr>
                <w:rFonts w:ascii="Arial" w:cs="Arial" w:eastAsia="Arial" w:hAnsi="Arial"/>
                <w:sz w:val="13"/>
                <w:szCs w:val="13"/>
                <w:color w:val="1F497D"/>
              </w:rPr>
              <w:t>:</w:t>
            </w:r>
          </w:p>
        </w:tc>
        <w:tc>
          <w:tcPr>
            <w:tcW w:w="4560" w:type="dxa"/>
            <w:vAlign w:val="bottom"/>
          </w:tcPr>
          <w:p>
            <w:pPr>
              <w:spacing w:after="0" w:line="136" w:lineRule="exact"/>
              <w:rPr>
                <w:sz w:val="20"/>
                <w:szCs w:val="20"/>
                <w:color w:val="auto"/>
              </w:rPr>
            </w:pPr>
            <w:r>
              <w:rPr>
                <w:rFonts w:ascii="Arial" w:cs="Arial" w:eastAsia="Arial" w:hAnsi="Arial"/>
                <w:sz w:val="13"/>
                <w:szCs w:val="13"/>
                <w:color w:val="auto"/>
              </w:rPr>
              <w:t>David Vega</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auto"/>
        </w:rPr>
        <w:t>[Signature Page to Second Amendment]</w:t>
      </w:r>
    </w:p>
    <w:p>
      <w:pPr>
        <w:sectPr>
          <w:pgSz w:w="11900" w:h="16838" w:orient="portrait"/>
          <w:cols w:equalWidth="0" w:num="1">
            <w:col w:w="10240"/>
          </w:cols>
          <w:pgMar w:left="1440" w:top="486" w:right="219" w:bottom="1440" w:gutter="0" w:footer="0" w:header="0"/>
        </w:sectPr>
      </w:pPr>
    </w:p>
    <w:bookmarkStart w:id="44" w:name="page45"/>
    <w:bookmarkEnd w:id="44"/>
    <w:p>
      <w:pPr>
        <w:ind w:left="5100"/>
        <w:spacing w:after="0"/>
        <w:rPr>
          <w:sz w:val="20"/>
          <w:szCs w:val="20"/>
          <w:color w:val="auto"/>
        </w:rPr>
      </w:pPr>
      <w:r>
        <w:rPr>
          <w:rFonts w:ascii="Arial" w:cs="Arial" w:eastAsia="Arial" w:hAnsi="Arial"/>
          <w:sz w:val="13"/>
          <w:szCs w:val="13"/>
          <w:color w:val="auto"/>
        </w:rPr>
        <w:t>REVOLVING CREDIT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14605</wp:posOffset>
            </wp:positionV>
            <wp:extent cx="327215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2155" cy="6350"/>
                    </a:xfrm>
                    <a:prstGeom prst="rect">
                      <a:avLst/>
                    </a:prstGeom>
                    <a:noFill/>
                  </pic:spPr>
                </pic:pic>
              </a:graphicData>
            </a:graphic>
          </wp:anchor>
        </w:drawing>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JPMORGAN CHASE BANK, N.A.</w:t>
      </w:r>
      <w:r>
        <w:rPr>
          <w:rFonts w:ascii="Arial" w:cs="Arial" w:eastAsia="Arial" w:hAnsi="Arial"/>
          <w:sz w:val="13"/>
          <w:szCs w:val="13"/>
          <w:color w:val="auto"/>
        </w:rPr>
        <w:t>, as a Revolving Credit Lender</w:t>
      </w:r>
    </w:p>
    <w:p>
      <w:pPr>
        <w:spacing w:after="0" w:line="195" w:lineRule="exact"/>
        <w:rPr>
          <w:sz w:val="20"/>
          <w:szCs w:val="20"/>
          <w:color w:val="auto"/>
        </w:rPr>
      </w:pPr>
    </w:p>
    <w:tbl>
      <w:tblPr>
        <w:tblLayout w:type="fixed"/>
        <w:tblInd w:w="5100" w:type="dxa"/>
        <w:tblCellMar>
          <w:top w:w="0" w:type="dxa"/>
          <w:left w:w="0" w:type="dxa"/>
          <w:bottom w:w="0" w:type="dxa"/>
          <w:right w:w="0" w:type="dxa"/>
        </w:tblCellMar>
      </w:tblPr>
      <w:tr>
        <w:trPr>
          <w:trHeight w:val="172"/>
        </w:trPr>
        <w:tc>
          <w:tcPr>
            <w:tcW w:w="500" w:type="dxa"/>
            <w:vAlign w:val="bottom"/>
          </w:tcPr>
          <w:p>
            <w:pPr>
              <w:spacing w:after="0"/>
              <w:rPr>
                <w:sz w:val="20"/>
                <w:szCs w:val="20"/>
                <w:color w:val="auto"/>
              </w:rPr>
            </w:pPr>
            <w:r>
              <w:rPr>
                <w:rFonts w:ascii="Arial" w:cs="Arial" w:eastAsia="Arial" w:hAnsi="Arial"/>
                <w:sz w:val="13"/>
                <w:szCs w:val="13"/>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/s/Nisha Gupta</w:t>
            </w:r>
          </w:p>
        </w:tc>
      </w:tr>
      <w:tr>
        <w:trPr>
          <w:trHeight w:val="135"/>
        </w:trPr>
        <w:tc>
          <w:tcPr>
            <w:tcW w:w="500" w:type="dxa"/>
            <w:vAlign w:val="bottom"/>
          </w:tcPr>
          <w:p>
            <w:pPr>
              <w:spacing w:after="0" w:line="136" w:lineRule="exact"/>
              <w:rPr>
                <w:sz w:val="20"/>
                <w:szCs w:val="20"/>
                <w:color w:val="auto"/>
              </w:rPr>
            </w:pPr>
            <w:r>
              <w:rPr>
                <w:rFonts w:ascii="Arial" w:cs="Arial" w:eastAsia="Arial" w:hAnsi="Arial"/>
                <w:sz w:val="13"/>
                <w:szCs w:val="13"/>
                <w:color w:val="auto"/>
              </w:rPr>
              <w:t>Name</w:t>
            </w:r>
            <w:r>
              <w:rPr>
                <w:rFonts w:ascii="Arial" w:cs="Arial" w:eastAsia="Arial" w:hAnsi="Arial"/>
                <w:sz w:val="13"/>
                <w:szCs w:val="13"/>
                <w:color w:val="1F497D"/>
              </w:rPr>
              <w:t>:</w:t>
            </w:r>
          </w:p>
        </w:tc>
        <w:tc>
          <w:tcPr>
            <w:tcW w:w="4640" w:type="dxa"/>
            <w:vAlign w:val="bottom"/>
          </w:tcPr>
          <w:p>
            <w:pPr>
              <w:spacing w:after="0" w:line="136" w:lineRule="exact"/>
              <w:rPr>
                <w:sz w:val="20"/>
                <w:szCs w:val="20"/>
                <w:color w:val="auto"/>
              </w:rPr>
            </w:pPr>
            <w:r>
              <w:rPr>
                <w:rFonts w:ascii="Arial" w:cs="Arial" w:eastAsia="Arial" w:hAnsi="Arial"/>
                <w:sz w:val="13"/>
                <w:szCs w:val="13"/>
                <w:color w:val="auto"/>
              </w:rPr>
              <w:t>Nisha Gupta</w:t>
            </w:r>
          </w:p>
        </w:tc>
      </w:tr>
      <w:tr>
        <w:trPr>
          <w:trHeight w:val="206"/>
        </w:trPr>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4640" w:type="dxa"/>
            <w:vAlign w:val="bottom"/>
          </w:tcPr>
          <w:p>
            <w:pPr>
              <w:spacing w:after="0"/>
              <w:rPr>
                <w:sz w:val="20"/>
                <w:szCs w:val="20"/>
                <w:color w:val="auto"/>
              </w:rPr>
            </w:pPr>
            <w:r>
              <w:rPr>
                <w:rFonts w:ascii="Arial" w:cs="Arial" w:eastAsia="Arial" w:hAnsi="Arial"/>
                <w:sz w:val="16"/>
                <w:szCs w:val="16"/>
                <w:color w:val="auto"/>
              </w:rPr>
              <w:t>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auto"/>
        </w:rPr>
        <w:t>[Signature Page to Second Amendment]</w:t>
      </w:r>
    </w:p>
    <w:p>
      <w:pPr>
        <w:sectPr>
          <w:pgSz w:w="11900" w:h="16838" w:orient="portrait"/>
          <w:cols w:equalWidth="0" w:num="1">
            <w:col w:w="10240"/>
          </w:cols>
          <w:pgMar w:left="1440" w:top="492" w:right="219" w:bottom="1440" w:gutter="0" w:footer="0" w:header="0"/>
        </w:sectPr>
      </w:pPr>
    </w:p>
    <w:bookmarkStart w:id="45" w:name="page46"/>
    <w:bookmarkEnd w:id="45"/>
    <w:p>
      <w:pPr>
        <w:ind w:left="5100"/>
        <w:spacing w:after="0"/>
        <w:rPr>
          <w:sz w:val="20"/>
          <w:szCs w:val="20"/>
          <w:color w:val="auto"/>
        </w:rPr>
      </w:pPr>
      <w:r>
        <w:rPr>
          <w:rFonts w:ascii="Arial" w:cs="Arial" w:eastAsia="Arial" w:hAnsi="Arial"/>
          <w:sz w:val="15"/>
          <w:szCs w:val="15"/>
          <w:b w:val="1"/>
          <w:bCs w:val="1"/>
          <w:color w:val="auto"/>
        </w:rPr>
        <w:t>WELLS FARGO BANK, NATIONAL ASSOCIATON</w:t>
      </w:r>
      <w:r>
        <w:rPr>
          <w:rFonts w:ascii="Arial" w:cs="Arial" w:eastAsia="Arial" w:hAnsi="Arial"/>
          <w:sz w:val="15"/>
          <w:szCs w:val="15"/>
          <w:color w:val="auto"/>
        </w:rPr>
        <w:t>, as a Revolving Credit</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Lender</w:t>
      </w:r>
    </w:p>
    <w:p>
      <w:pPr>
        <w:spacing w:after="0" w:line="170" w:lineRule="exact"/>
        <w:rPr>
          <w:sz w:val="20"/>
          <w:szCs w:val="20"/>
          <w:color w:val="auto"/>
        </w:rPr>
      </w:pPr>
    </w:p>
    <w:tbl>
      <w:tblPr>
        <w:tblLayout w:type="fixed"/>
        <w:tblInd w:w="5100" w:type="dxa"/>
        <w:tblCellMar>
          <w:top w:w="0" w:type="dxa"/>
          <w:left w:w="0" w:type="dxa"/>
          <w:bottom w:w="0" w:type="dxa"/>
          <w:right w:w="0" w:type="dxa"/>
        </w:tblCellMar>
      </w:tblPr>
      <w:tr>
        <w:trPr>
          <w:trHeight w:val="172"/>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Connie Liu</w:t>
            </w:r>
          </w:p>
        </w:tc>
      </w:tr>
      <w:tr>
        <w:trPr>
          <w:trHeight w:val="135"/>
        </w:trPr>
        <w:tc>
          <w:tcPr>
            <w:tcW w:w="580" w:type="dxa"/>
            <w:vAlign w:val="bottom"/>
          </w:tcPr>
          <w:p>
            <w:pPr>
              <w:spacing w:after="0" w:line="136" w:lineRule="exact"/>
              <w:rPr>
                <w:sz w:val="20"/>
                <w:szCs w:val="20"/>
                <w:color w:val="auto"/>
              </w:rPr>
            </w:pPr>
            <w:r>
              <w:rPr>
                <w:rFonts w:ascii="Arial" w:cs="Arial" w:eastAsia="Arial" w:hAnsi="Arial"/>
                <w:sz w:val="13"/>
                <w:szCs w:val="13"/>
                <w:color w:val="auto"/>
              </w:rPr>
              <w:t>Name:</w:t>
            </w:r>
          </w:p>
        </w:tc>
        <w:tc>
          <w:tcPr>
            <w:tcW w:w="4560" w:type="dxa"/>
            <w:vAlign w:val="bottom"/>
          </w:tcPr>
          <w:p>
            <w:pPr>
              <w:spacing w:after="0" w:line="136" w:lineRule="exact"/>
              <w:rPr>
                <w:sz w:val="20"/>
                <w:szCs w:val="20"/>
                <w:color w:val="auto"/>
              </w:rPr>
            </w:pPr>
            <w:r>
              <w:rPr>
                <w:rFonts w:ascii="Arial" w:cs="Arial" w:eastAsia="Arial" w:hAnsi="Arial"/>
                <w:sz w:val="13"/>
                <w:szCs w:val="13"/>
                <w:color w:val="auto"/>
              </w:rPr>
              <w:t>Connie Liu</w:t>
            </w:r>
          </w:p>
        </w:tc>
      </w:tr>
      <w:tr>
        <w:trPr>
          <w:trHeight w:val="206"/>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4560" w:type="dxa"/>
            <w:vAlign w:val="bottom"/>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20"/>
        <w:spacing w:after="0"/>
        <w:rPr>
          <w:sz w:val="20"/>
          <w:szCs w:val="20"/>
          <w:color w:val="auto"/>
        </w:rPr>
      </w:pPr>
      <w:r>
        <w:rPr>
          <w:rFonts w:ascii="Arial" w:cs="Arial" w:eastAsia="Arial" w:hAnsi="Arial"/>
          <w:sz w:val="16"/>
          <w:szCs w:val="16"/>
          <w:i w:val="1"/>
          <w:iCs w:val="1"/>
          <w:color w:val="auto"/>
        </w:rPr>
        <w:t>[Signature Page to Second Amendment]</w:t>
      </w:r>
    </w:p>
    <w:p>
      <w:pPr>
        <w:sectPr>
          <w:pgSz w:w="11900" w:h="16838" w:orient="portrait"/>
          <w:cols w:equalWidth="0" w:num="1">
            <w:col w:w="10240"/>
          </w:cols>
          <w:pgMar w:left="1440" w:top="486" w:right="219" w:bottom="1440" w:gutter="0" w:footer="0" w:header="0"/>
        </w:sectPr>
      </w:pPr>
    </w:p>
    <w:bookmarkStart w:id="46" w:name="page47"/>
    <w:bookmarkEnd w:id="46"/>
    <w:p>
      <w:pPr>
        <w:jc w:val="center"/>
        <w:ind w:right="-1220"/>
        <w:spacing w:after="0"/>
        <w:rPr>
          <w:sz w:val="20"/>
          <w:szCs w:val="20"/>
          <w:color w:val="auto"/>
        </w:rPr>
      </w:pPr>
      <w:r>
        <w:rPr>
          <w:rFonts w:ascii="Arial" w:cs="Arial" w:eastAsia="Arial" w:hAnsi="Arial"/>
          <w:sz w:val="16"/>
          <w:szCs w:val="16"/>
          <w:color w:val="auto"/>
        </w:rPr>
        <w:t>ANNEX A</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16"/>
          <w:szCs w:val="16"/>
          <w:u w:val="single" w:color="auto"/>
          <w:color w:val="auto"/>
        </w:rPr>
        <w:t>Exhibit1.1(a)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RICOH</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Equipment currently under Lease with Commencement Date of 02/01/10</w:t>
      </w:r>
      <w:r>
        <w:rPr>
          <w:rFonts w:ascii="Arial" w:cs="Arial" w:eastAsia="Arial" w:hAnsi="Arial"/>
          <w:sz w:val="15"/>
          <w:szCs w:val="15"/>
          <w:color w:val="auto"/>
        </w:rPr>
        <w:t>:</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1-Ricoh MPC4000 Color Copier</w:t>
      </w:r>
    </w:p>
    <w:p>
      <w:pPr>
        <w:ind w:left="340"/>
        <w:spacing w:after="0" w:line="238" w:lineRule="auto"/>
        <w:rPr>
          <w:sz w:val="20"/>
          <w:szCs w:val="20"/>
          <w:color w:val="auto"/>
        </w:rPr>
      </w:pPr>
      <w:r>
        <w:rPr>
          <w:rFonts w:ascii="Arial" w:cs="Arial" w:eastAsia="Arial" w:hAnsi="Arial"/>
          <w:sz w:val="15"/>
          <w:szCs w:val="15"/>
          <w:color w:val="auto"/>
        </w:rPr>
        <w:t>1-Ricoh MPC3300 Color Copier</w:t>
      </w:r>
    </w:p>
    <w:p>
      <w:pPr>
        <w:ind w:left="340"/>
        <w:spacing w:after="0"/>
        <w:rPr>
          <w:sz w:val="20"/>
          <w:szCs w:val="20"/>
          <w:color w:val="auto"/>
        </w:rPr>
      </w:pPr>
      <w:r>
        <w:rPr>
          <w:rFonts w:ascii="Arial" w:cs="Arial" w:eastAsia="Arial" w:hAnsi="Arial"/>
          <w:sz w:val="15"/>
          <w:szCs w:val="15"/>
          <w:color w:val="auto"/>
        </w:rPr>
        <w:t>6-Ricoh MC5000 B&amp;W Copiers</w:t>
      </w:r>
    </w:p>
    <w:p>
      <w:pPr>
        <w:ind w:left="340"/>
        <w:spacing w:after="0" w:line="238" w:lineRule="auto"/>
        <w:rPr>
          <w:sz w:val="20"/>
          <w:szCs w:val="20"/>
          <w:color w:val="auto"/>
        </w:rPr>
      </w:pPr>
      <w:r>
        <w:rPr>
          <w:rFonts w:ascii="Arial" w:cs="Arial" w:eastAsia="Arial" w:hAnsi="Arial"/>
          <w:sz w:val="15"/>
          <w:szCs w:val="15"/>
          <w:color w:val="auto"/>
        </w:rPr>
        <w:t>3-Ricoh MP6000 B&amp;W Copiers</w:t>
      </w:r>
    </w:p>
    <w:p>
      <w:pPr>
        <w:ind w:left="340"/>
        <w:spacing w:after="0"/>
        <w:rPr>
          <w:sz w:val="20"/>
          <w:szCs w:val="20"/>
          <w:color w:val="auto"/>
        </w:rPr>
      </w:pPr>
      <w:r>
        <w:rPr>
          <w:rFonts w:ascii="Arial" w:cs="Arial" w:eastAsia="Arial" w:hAnsi="Arial"/>
          <w:sz w:val="15"/>
          <w:szCs w:val="15"/>
          <w:color w:val="auto"/>
        </w:rPr>
        <w:t>2-Ricoh MP3350 B&amp;W Copiers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5"/>
                <w:szCs w:val="15"/>
                <w:color w:val="auto"/>
                <w:w w:val="98"/>
              </w:rPr>
              <w:t>Lease Expiration</w:t>
            </w:r>
          </w:p>
        </w:tc>
        <w:tc>
          <w:tcPr>
            <w:tcW w:w="1360" w:type="dxa"/>
            <w:vAlign w:val="bottom"/>
          </w:tcPr>
          <w:p>
            <w:pPr>
              <w:spacing w:after="0"/>
              <w:rPr>
                <w:sz w:val="14"/>
                <w:szCs w:val="14"/>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5"/>
                <w:szCs w:val="15"/>
                <w:color w:val="auto"/>
                <w:w w:val="99"/>
              </w:rPr>
              <w:t>Lease Commencement Date</w:t>
            </w:r>
          </w:p>
        </w:tc>
        <w:tc>
          <w:tcPr>
            <w:tcW w:w="8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Lease</w:t>
            </w:r>
          </w:p>
        </w:tc>
        <w:tc>
          <w:tcPr>
            <w:tcW w:w="244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color w:val="auto"/>
              </w:rPr>
              <w:t>Monthly Payment Date</w:t>
            </w:r>
          </w:p>
        </w:tc>
        <w:tc>
          <w:tcPr>
            <w:tcW w:w="13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w w:val="99"/>
              </w:rPr>
              <w:t>Total Lease</w:t>
            </w: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5"/>
                <w:szCs w:val="15"/>
                <w:color w:val="auto"/>
              </w:rPr>
              <w:t>1/7/2010</w:t>
            </w:r>
          </w:p>
        </w:tc>
        <w:tc>
          <w:tcPr>
            <w:tcW w:w="840" w:type="dxa"/>
            <w:vAlign w:val="bottom"/>
          </w:tcPr>
          <w:p>
            <w:pPr>
              <w:spacing w:after="0" w:line="149" w:lineRule="exact"/>
              <w:rPr>
                <w:sz w:val="20"/>
                <w:szCs w:val="20"/>
                <w:color w:val="auto"/>
              </w:rPr>
            </w:pPr>
            <w:r>
              <w:rPr>
                <w:rFonts w:ascii="Arial" w:cs="Arial" w:eastAsia="Arial" w:hAnsi="Arial"/>
                <w:sz w:val="15"/>
                <w:szCs w:val="15"/>
                <w:color w:val="auto"/>
              </w:rPr>
              <w:t>60 months</w:t>
            </w:r>
          </w:p>
        </w:tc>
        <w:tc>
          <w:tcPr>
            <w:tcW w:w="1320" w:type="dxa"/>
            <w:vAlign w:val="bottom"/>
          </w:tcPr>
          <w:p>
            <w:pPr>
              <w:jc w:val="right"/>
              <w:spacing w:after="0" w:line="149" w:lineRule="exact"/>
              <w:rPr>
                <w:sz w:val="20"/>
                <w:szCs w:val="20"/>
                <w:color w:val="auto"/>
              </w:rPr>
            </w:pPr>
            <w:r>
              <w:rPr>
                <w:rFonts w:ascii="Arial" w:cs="Arial" w:eastAsia="Arial" w:hAnsi="Arial"/>
                <w:sz w:val="15"/>
                <w:szCs w:val="15"/>
                <w:color w:val="auto"/>
              </w:rPr>
              <w:t>***</w:t>
            </w:r>
          </w:p>
        </w:tc>
        <w:tc>
          <w:tcPr>
            <w:tcW w:w="1120" w:type="dxa"/>
            <w:vAlign w:val="bottom"/>
          </w:tcPr>
          <w:p>
            <w:pPr>
              <w:jc w:val="center"/>
              <w:ind w:left="46"/>
              <w:spacing w:after="0" w:line="149" w:lineRule="exact"/>
              <w:rPr>
                <w:sz w:val="20"/>
                <w:szCs w:val="20"/>
                <w:color w:val="auto"/>
              </w:rPr>
            </w:pPr>
            <w:r>
              <w:rPr>
                <w:rFonts w:ascii="Arial" w:cs="Arial" w:eastAsia="Arial" w:hAnsi="Arial"/>
                <w:sz w:val="15"/>
                <w:szCs w:val="15"/>
                <w:color w:val="auto"/>
                <w:w w:val="88"/>
              </w:rPr>
              <w:t>1/6/2015</w:t>
            </w:r>
          </w:p>
        </w:tc>
        <w:tc>
          <w:tcPr>
            <w:tcW w:w="1360" w:type="dxa"/>
            <w:vAlign w:val="bottom"/>
          </w:tcPr>
          <w:p>
            <w:pPr>
              <w:jc w:val="right"/>
              <w:spacing w:after="0" w:line="149" w:lineRule="exact"/>
              <w:rPr>
                <w:sz w:val="20"/>
                <w:szCs w:val="20"/>
                <w:color w:val="auto"/>
              </w:rPr>
            </w:pPr>
            <w:r>
              <w:rPr>
                <w:rFonts w:ascii="Arial" w:cs="Arial" w:eastAsia="Arial" w:hAnsi="Arial"/>
                <w:sz w:val="15"/>
                <w:szCs w:val="15"/>
                <w:color w:val="auto"/>
              </w:rPr>
              <w:t>***</w:t>
            </w:r>
          </w:p>
        </w:tc>
      </w:tr>
      <w:tr>
        <w:trPr>
          <w:trHeight w:val="171"/>
        </w:trPr>
        <w:tc>
          <w:tcPr>
            <w:tcW w:w="1920" w:type="dxa"/>
            <w:vAlign w:val="bottom"/>
          </w:tcPr>
          <w:p>
            <w:pPr>
              <w:spacing w:after="0" w:line="172" w:lineRule="exact"/>
              <w:rPr>
                <w:sz w:val="20"/>
                <w:szCs w:val="20"/>
                <w:color w:val="auto"/>
              </w:rPr>
            </w:pPr>
            <w:r>
              <w:rPr>
                <w:rFonts w:ascii="Arial" w:cs="Arial" w:eastAsia="Arial" w:hAnsi="Arial"/>
                <w:sz w:val="15"/>
                <w:szCs w:val="15"/>
                <w:color w:val="auto"/>
              </w:rPr>
              <w:t>2/1/2010</w:t>
            </w:r>
          </w:p>
        </w:tc>
        <w:tc>
          <w:tcPr>
            <w:tcW w:w="840" w:type="dxa"/>
            <w:vAlign w:val="bottom"/>
          </w:tcPr>
          <w:p>
            <w:pPr>
              <w:spacing w:after="0" w:line="172" w:lineRule="exact"/>
              <w:rPr>
                <w:sz w:val="20"/>
                <w:szCs w:val="20"/>
                <w:color w:val="auto"/>
              </w:rPr>
            </w:pPr>
            <w:r>
              <w:rPr>
                <w:rFonts w:ascii="Arial" w:cs="Arial" w:eastAsia="Arial" w:hAnsi="Arial"/>
                <w:sz w:val="15"/>
                <w:szCs w:val="15"/>
                <w:color w:val="auto"/>
              </w:rPr>
              <w:t>60 months</w:t>
            </w:r>
          </w:p>
        </w:tc>
        <w:tc>
          <w:tcPr>
            <w:tcW w:w="13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120" w:type="dxa"/>
            <w:vAlign w:val="bottom"/>
          </w:tcPr>
          <w:p>
            <w:pPr>
              <w:jc w:val="center"/>
              <w:ind w:left="46"/>
              <w:spacing w:after="0" w:line="172" w:lineRule="exact"/>
              <w:rPr>
                <w:sz w:val="20"/>
                <w:szCs w:val="20"/>
                <w:color w:val="auto"/>
              </w:rPr>
            </w:pPr>
            <w:r>
              <w:rPr>
                <w:rFonts w:ascii="Arial" w:cs="Arial" w:eastAsia="Arial" w:hAnsi="Arial"/>
                <w:sz w:val="15"/>
                <w:szCs w:val="15"/>
                <w:color w:val="auto"/>
                <w:w w:val="89"/>
              </w:rPr>
              <w:t>1/31/2015</w:t>
            </w:r>
          </w:p>
        </w:tc>
        <w:tc>
          <w:tcPr>
            <w:tcW w:w="13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r>
      <w:tr>
        <w:trPr>
          <w:trHeight w:val="188"/>
        </w:trPr>
        <w:tc>
          <w:tcPr>
            <w:tcW w:w="1920" w:type="dxa"/>
            <w:vAlign w:val="bottom"/>
          </w:tcPr>
          <w:p>
            <w:pPr>
              <w:spacing w:after="0"/>
              <w:rPr>
                <w:sz w:val="20"/>
                <w:szCs w:val="20"/>
                <w:color w:val="auto"/>
              </w:rPr>
            </w:pPr>
            <w:r>
              <w:rPr>
                <w:rFonts w:ascii="Arial" w:cs="Arial" w:eastAsia="Arial" w:hAnsi="Arial"/>
                <w:sz w:val="15"/>
                <w:szCs w:val="15"/>
                <w:color w:val="auto"/>
              </w:rPr>
              <w:t>7/1/2012</w:t>
            </w:r>
          </w:p>
        </w:tc>
        <w:tc>
          <w:tcPr>
            <w:tcW w:w="840" w:type="dxa"/>
            <w:vAlign w:val="bottom"/>
          </w:tcPr>
          <w:p>
            <w:pPr>
              <w:spacing w:after="0"/>
              <w:rPr>
                <w:sz w:val="20"/>
                <w:szCs w:val="20"/>
                <w:color w:val="auto"/>
              </w:rPr>
            </w:pPr>
            <w:r>
              <w:rPr>
                <w:rFonts w:ascii="Arial" w:cs="Arial" w:eastAsia="Arial" w:hAnsi="Arial"/>
                <w:sz w:val="15"/>
                <w:szCs w:val="15"/>
                <w:color w:val="auto"/>
              </w:rPr>
              <w:t>60 months</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left="46"/>
              <w:spacing w:after="0"/>
              <w:rPr>
                <w:sz w:val="20"/>
                <w:szCs w:val="20"/>
                <w:color w:val="auto"/>
              </w:rPr>
            </w:pPr>
            <w:r>
              <w:rPr>
                <w:rFonts w:ascii="Arial" w:cs="Arial" w:eastAsia="Arial" w:hAnsi="Arial"/>
                <w:sz w:val="15"/>
                <w:szCs w:val="15"/>
                <w:color w:val="auto"/>
                <w:w w:val="88"/>
              </w:rPr>
              <w:t>7/1/2017</w:t>
            </w: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05" w:lineRule="exact"/>
        <w:rPr>
          <w:sz w:val="20"/>
          <w:szCs w:val="20"/>
          <w:color w:val="auto"/>
        </w:rPr>
      </w:pPr>
    </w:p>
    <w:p>
      <w:pPr>
        <w:ind w:left="340"/>
        <w:spacing w:after="0"/>
        <w:rPr>
          <w:sz w:val="20"/>
          <w:szCs w:val="20"/>
          <w:color w:val="auto"/>
        </w:rPr>
      </w:pPr>
      <w:r>
        <w:rPr>
          <w:rFonts w:ascii="Arial" w:cs="Arial" w:eastAsia="Arial" w:hAnsi="Arial"/>
          <w:sz w:val="15"/>
          <w:szCs w:val="15"/>
          <w:u w:val="single" w:color="auto"/>
          <w:color w:val="auto"/>
        </w:rPr>
        <w:t>Equipment under Lease commencing approximately 11/01/10</w:t>
      </w:r>
      <w:r>
        <w:rPr>
          <w:rFonts w:ascii="Arial" w:cs="Arial" w:eastAsia="Arial" w:hAnsi="Arial"/>
          <w:sz w:val="15"/>
          <w:szCs w:val="15"/>
          <w:color w:val="auto"/>
        </w:rPr>
        <w:t>:</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1 -Ricoh MP6002 SP copier</w:t>
      </w:r>
    </w:p>
    <w:p>
      <w:pPr>
        <w:ind w:left="340"/>
        <w:spacing w:after="0" w:line="238" w:lineRule="auto"/>
        <w:rPr>
          <w:sz w:val="20"/>
          <w:szCs w:val="20"/>
          <w:color w:val="auto"/>
        </w:rPr>
      </w:pPr>
      <w:r>
        <w:rPr>
          <w:rFonts w:ascii="Arial" w:cs="Arial" w:eastAsia="Arial" w:hAnsi="Arial"/>
          <w:sz w:val="15"/>
          <w:szCs w:val="15"/>
          <w:color w:val="auto"/>
        </w:rPr>
        <w:t>2- Ricoh MP5002 SP copiers</w:t>
      </w:r>
    </w:p>
    <w:p>
      <w:pPr>
        <w:ind w:left="340"/>
        <w:spacing w:after="0"/>
        <w:rPr>
          <w:sz w:val="20"/>
          <w:szCs w:val="20"/>
          <w:color w:val="auto"/>
        </w:rPr>
      </w:pPr>
      <w:r>
        <w:rPr>
          <w:rFonts w:ascii="Arial" w:cs="Arial" w:eastAsia="Arial" w:hAnsi="Arial"/>
          <w:sz w:val="15"/>
          <w:szCs w:val="15"/>
          <w:color w:val="auto"/>
        </w:rPr>
        <w:t>2 -Ricoh MP3353 SP copiers</w:t>
      </w:r>
    </w:p>
    <w:p>
      <w:pPr>
        <w:ind w:left="340"/>
        <w:spacing w:after="0" w:line="238" w:lineRule="auto"/>
        <w:rPr>
          <w:sz w:val="20"/>
          <w:szCs w:val="20"/>
          <w:color w:val="auto"/>
        </w:rPr>
      </w:pPr>
      <w:r>
        <w:rPr>
          <w:rFonts w:ascii="Arial" w:cs="Arial" w:eastAsia="Arial" w:hAnsi="Arial"/>
          <w:sz w:val="15"/>
          <w:szCs w:val="15"/>
          <w:color w:val="auto"/>
        </w:rPr>
        <w:t>1 - Ricoh Aficio MP8001 SP copier</w:t>
      </w:r>
    </w:p>
    <w:p>
      <w:pPr>
        <w:ind w:left="340"/>
        <w:spacing w:after="0"/>
        <w:rPr>
          <w:sz w:val="20"/>
          <w:szCs w:val="20"/>
          <w:color w:val="auto"/>
        </w:rPr>
      </w:pPr>
      <w:r>
        <w:rPr>
          <w:rFonts w:ascii="Arial" w:cs="Arial" w:eastAsia="Arial" w:hAnsi="Arial"/>
          <w:sz w:val="15"/>
          <w:szCs w:val="15"/>
          <w:color w:val="auto"/>
        </w:rPr>
        <w:t>5 - Ricoh MP4002 SP copiers</w:t>
      </w:r>
    </w:p>
    <w:p>
      <w:pPr>
        <w:ind w:left="340"/>
        <w:spacing w:after="0" w:line="238" w:lineRule="auto"/>
        <w:rPr>
          <w:sz w:val="20"/>
          <w:szCs w:val="20"/>
          <w:color w:val="auto"/>
        </w:rPr>
      </w:pPr>
      <w:r>
        <w:rPr>
          <w:rFonts w:ascii="Arial" w:cs="Arial" w:eastAsia="Arial" w:hAnsi="Arial"/>
          <w:sz w:val="15"/>
          <w:szCs w:val="15"/>
          <w:color w:val="auto"/>
        </w:rPr>
        <w:t>2- Richoh MPC3003 copiers</w:t>
      </w:r>
    </w:p>
    <w:p>
      <w:pPr>
        <w:ind w:left="340"/>
        <w:spacing w:after="0"/>
        <w:rPr>
          <w:sz w:val="20"/>
          <w:szCs w:val="20"/>
          <w:color w:val="auto"/>
        </w:rPr>
      </w:pPr>
      <w:r>
        <w:rPr>
          <w:rFonts w:ascii="Arial" w:cs="Arial" w:eastAsia="Arial" w:hAnsi="Arial"/>
          <w:sz w:val="15"/>
          <w:szCs w:val="15"/>
          <w:color w:val="auto"/>
        </w:rPr>
        <w:t>1-Ricoh C5100S copier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60" w:type="dxa"/>
            <w:vAlign w:val="bottom"/>
          </w:tcPr>
          <w:p>
            <w:pPr>
              <w:jc w:val="right"/>
              <w:ind w:right="1006"/>
              <w:spacing w:after="0"/>
              <w:rPr>
                <w:sz w:val="20"/>
                <w:szCs w:val="20"/>
                <w:color w:val="auto"/>
              </w:rPr>
            </w:pPr>
            <w:r>
              <w:rPr>
                <w:rFonts w:ascii="Arial" w:cs="Arial" w:eastAsia="Arial" w:hAnsi="Arial"/>
                <w:sz w:val="15"/>
                <w:szCs w:val="15"/>
                <w:color w:val="auto"/>
                <w:w w:val="87"/>
              </w:rPr>
              <w:t>Lease Commencement Date (1)</w:t>
            </w:r>
          </w:p>
        </w:tc>
        <w:tc>
          <w:tcPr>
            <w:tcW w:w="8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Term of Lease</w:t>
            </w:r>
          </w:p>
        </w:tc>
        <w:tc>
          <w:tcPr>
            <w:tcW w:w="80" w:type="dxa"/>
            <w:vAlign w:val="bottom"/>
          </w:tcPr>
          <w:p>
            <w:pPr>
              <w:spacing w:after="0"/>
              <w:rPr>
                <w:sz w:val="17"/>
                <w:szCs w:val="17"/>
                <w:color w:val="auto"/>
              </w:rPr>
            </w:pPr>
          </w:p>
        </w:tc>
        <w:tc>
          <w:tcPr>
            <w:tcW w:w="1160" w:type="dxa"/>
            <w:vAlign w:val="bottom"/>
          </w:tcPr>
          <w:p>
            <w:pPr>
              <w:jc w:val="right"/>
              <w:ind w:right="26"/>
              <w:spacing w:after="0"/>
              <w:rPr>
                <w:sz w:val="20"/>
                <w:szCs w:val="20"/>
                <w:color w:val="auto"/>
              </w:rPr>
            </w:pPr>
            <w:r>
              <w:rPr>
                <w:rFonts w:ascii="Arial" w:cs="Arial" w:eastAsia="Arial" w:hAnsi="Arial"/>
                <w:sz w:val="15"/>
                <w:szCs w:val="15"/>
                <w:color w:val="auto"/>
                <w:w w:val="89"/>
              </w:rPr>
              <w:t>Monthly Payment</w:t>
            </w:r>
          </w:p>
        </w:tc>
        <w:tc>
          <w:tcPr>
            <w:tcW w:w="320" w:type="dxa"/>
            <w:vAlign w:val="bottom"/>
          </w:tcPr>
          <w:p>
            <w:pPr>
              <w:spacing w:after="0"/>
              <w:rPr>
                <w:sz w:val="17"/>
                <w:szCs w:val="17"/>
                <w:color w:val="auto"/>
              </w:rPr>
            </w:pPr>
          </w:p>
        </w:tc>
        <w:tc>
          <w:tcPr>
            <w:tcW w:w="1460" w:type="dxa"/>
            <w:vAlign w:val="bottom"/>
          </w:tcPr>
          <w:p>
            <w:pPr>
              <w:jc w:val="right"/>
              <w:ind w:right="46"/>
              <w:spacing w:after="0"/>
              <w:rPr>
                <w:sz w:val="20"/>
                <w:szCs w:val="20"/>
                <w:color w:val="auto"/>
              </w:rPr>
            </w:pPr>
            <w:r>
              <w:rPr>
                <w:rFonts w:ascii="Arial" w:cs="Arial" w:eastAsia="Arial" w:hAnsi="Arial"/>
                <w:sz w:val="15"/>
                <w:szCs w:val="15"/>
                <w:color w:val="auto"/>
                <w:w w:val="89"/>
              </w:rPr>
              <w:t>Lease Expiration Date</w:t>
            </w:r>
          </w:p>
        </w:tc>
        <w:tc>
          <w:tcPr>
            <w:tcW w:w="160" w:type="dxa"/>
            <w:vAlign w:val="bottom"/>
          </w:tcPr>
          <w:p>
            <w:pPr>
              <w:spacing w:after="0"/>
              <w:rPr>
                <w:sz w:val="17"/>
                <w:szCs w:val="17"/>
                <w:color w:val="auto"/>
              </w:rPr>
            </w:pPr>
          </w:p>
        </w:tc>
        <w:tc>
          <w:tcPr>
            <w:tcW w:w="1400" w:type="dxa"/>
            <w:vAlign w:val="bottom"/>
            <w:gridSpan w:val="2"/>
          </w:tcPr>
          <w:p>
            <w:pPr>
              <w:jc w:val="right"/>
              <w:ind w:right="426"/>
              <w:spacing w:after="0"/>
              <w:rPr>
                <w:sz w:val="20"/>
                <w:szCs w:val="20"/>
                <w:color w:val="auto"/>
              </w:rPr>
            </w:pPr>
            <w:r>
              <w:rPr>
                <w:rFonts w:ascii="Arial" w:cs="Arial" w:eastAsia="Arial" w:hAnsi="Arial"/>
                <w:sz w:val="16"/>
                <w:szCs w:val="16"/>
                <w:color w:val="auto"/>
              </w:rPr>
              <w:t>Total Lease</w:t>
            </w:r>
          </w:p>
        </w:tc>
      </w:tr>
      <w:tr>
        <w:trPr>
          <w:trHeight w:val="327"/>
        </w:trPr>
        <w:tc>
          <w:tcPr>
            <w:tcW w:w="2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10/1/2014</w:t>
            </w:r>
          </w:p>
        </w:tc>
        <w:tc>
          <w:tcPr>
            <w:tcW w:w="80" w:type="dxa"/>
            <w:vAlign w:val="bottom"/>
          </w:tcPr>
          <w:p>
            <w:pPr>
              <w:spacing w:after="0"/>
              <w:rPr>
                <w:sz w:val="24"/>
                <w:szCs w:val="24"/>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62 months (2)</w:t>
            </w:r>
          </w:p>
        </w:tc>
        <w:tc>
          <w:tcPr>
            <w:tcW w:w="8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12/1/2019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r>
    </w:tbl>
    <w:p>
      <w:pPr>
        <w:spacing w:after="0" w:line="151" w:lineRule="exact"/>
        <w:rPr>
          <w:sz w:val="20"/>
          <w:szCs w:val="20"/>
          <w:color w:val="auto"/>
        </w:rPr>
      </w:pPr>
    </w:p>
    <w:p>
      <w:pPr>
        <w:ind w:left="180" w:hanging="179"/>
        <w:spacing w:after="0"/>
        <w:tabs>
          <w:tab w:leader="none" w:pos="1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Commencement Date is approximate. Lease commences as of the equipment delivery date.</w:t>
      </w:r>
    </w:p>
    <w:p>
      <w:pPr>
        <w:spacing w:after="0" w:line="23" w:lineRule="exact"/>
        <w:rPr>
          <w:rFonts w:ascii="Arial" w:cs="Arial" w:eastAsia="Arial" w:hAnsi="Arial"/>
          <w:sz w:val="12"/>
          <w:szCs w:val="12"/>
          <w:color w:val="auto"/>
        </w:rPr>
      </w:pPr>
    </w:p>
    <w:p>
      <w:pPr>
        <w:ind w:left="180" w:hanging="179"/>
        <w:spacing w:after="0"/>
        <w:tabs>
          <w:tab w:leader="none" w:pos="1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First 2 months payment $0; Months 3 – 62 = *** / month.</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IBM CREDIT LLC</w:t>
      </w:r>
    </w:p>
    <w:p>
      <w:pPr>
        <w:sectPr>
          <w:pgSz w:w="11900" w:h="16838" w:orient="portrait"/>
          <w:cols w:equalWidth="0" w:num="1">
            <w:col w:w="10239"/>
          </w:cols>
          <w:pgMar w:left="220" w:top="304" w:right="1440" w:bottom="1440" w:gutter="0" w:footer="0" w:header="0"/>
        </w:sectPr>
      </w:pPr>
    </w:p>
    <w:p>
      <w:pPr>
        <w:spacing w:after="0" w:line="124" w:lineRule="exact"/>
        <w:rPr>
          <w:sz w:val="20"/>
          <w:szCs w:val="20"/>
          <w:color w:val="auto"/>
        </w:rPr>
      </w:pPr>
    </w:p>
    <w:p>
      <w:pPr>
        <w:ind w:left="340"/>
        <w:spacing w:after="0"/>
        <w:rPr>
          <w:sz w:val="20"/>
          <w:szCs w:val="20"/>
          <w:color w:val="auto"/>
        </w:rPr>
      </w:pPr>
      <w:r>
        <w:rPr>
          <w:rFonts w:ascii="Arial" w:cs="Arial" w:eastAsia="Arial" w:hAnsi="Arial"/>
          <w:sz w:val="13"/>
          <w:szCs w:val="13"/>
          <w:u w:val="single" w:color="auto"/>
          <w:color w:val="auto"/>
        </w:rPr>
        <w:t>Equipment under Contract commencing approximately 02/01/2015</w:t>
      </w:r>
      <w:r>
        <w:rPr>
          <w:rFonts w:ascii="Arial" w:cs="Arial" w:eastAsia="Arial" w:hAnsi="Arial"/>
          <w:sz w:val="13"/>
          <w:szCs w:val="13"/>
          <w:color w:val="auto"/>
        </w:rPr>
        <w: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5"/>
          <w:szCs w:val="15"/>
          <w:u w:val="single" w:color="auto"/>
          <w:color w:val="auto"/>
        </w:rPr>
        <w:t>1 – 9992-003 IBM PureData System for analytics N2002-005</w:t>
      </w:r>
    </w:p>
    <w:p>
      <w:pPr>
        <w:spacing w:after="0" w:line="120" w:lineRule="exact"/>
        <w:rPr>
          <w:sz w:val="20"/>
          <w:szCs w:val="20"/>
          <w:color w:val="auto"/>
        </w:rPr>
      </w:pPr>
    </w:p>
    <w:p>
      <w:pPr>
        <w:spacing w:after="0"/>
        <w:tabs>
          <w:tab w:leader="none" w:pos="2940" w:val="left"/>
        </w:tabs>
        <w:rPr>
          <w:sz w:val="20"/>
          <w:szCs w:val="20"/>
          <w:color w:val="auto"/>
        </w:rPr>
      </w:pPr>
      <w:r>
        <w:rPr>
          <w:rFonts w:ascii="Arial" w:cs="Arial" w:eastAsia="Arial" w:hAnsi="Arial"/>
          <w:sz w:val="15"/>
          <w:szCs w:val="15"/>
          <w:color w:val="auto"/>
        </w:rPr>
        <w:t>Commencement Date</w:t>
      </w:r>
      <w:r>
        <w:rPr>
          <w:sz w:val="20"/>
          <w:szCs w:val="20"/>
          <w:color w:val="auto"/>
        </w:rPr>
        <w:tab/>
      </w:r>
      <w:r>
        <w:rPr>
          <w:rFonts w:ascii="Arial" w:cs="Arial" w:eastAsia="Arial" w:hAnsi="Arial"/>
          <w:sz w:val="13"/>
          <w:szCs w:val="13"/>
          <w:color w:val="auto"/>
        </w:rPr>
        <w:t>Monthly Payment Total</w:t>
      </w:r>
    </w:p>
    <w:p>
      <w:pPr>
        <w:spacing w:after="0" w:line="11" w:lineRule="exact"/>
        <w:rPr>
          <w:sz w:val="20"/>
          <w:szCs w:val="20"/>
          <w:color w:val="auto"/>
        </w:rPr>
      </w:pPr>
    </w:p>
    <w:p>
      <w:pPr>
        <w:ind w:left="1400"/>
        <w:spacing w:after="0"/>
        <w:tabs>
          <w:tab w:leader="none" w:pos="3840" w:val="left"/>
        </w:tabs>
        <w:rPr>
          <w:sz w:val="20"/>
          <w:szCs w:val="20"/>
          <w:color w:val="auto"/>
        </w:rPr>
      </w:pPr>
      <w:r>
        <w:rPr>
          <w:rFonts w:ascii="Arial" w:cs="Arial" w:eastAsia="Arial" w:hAnsi="Arial"/>
          <w:sz w:val="15"/>
          <w:szCs w:val="15"/>
          <w:color w:val="auto"/>
        </w:rPr>
        <w:t>2/1/20159 months</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20" w:lineRule="exact"/>
        <w:rPr>
          <w:sz w:val="20"/>
          <w:szCs w:val="20"/>
          <w:color w:val="auto"/>
        </w:rPr>
      </w:pPr>
    </w:p>
    <w:p>
      <w:pPr>
        <w:sectPr>
          <w:pgSz w:w="11900" w:h="16838" w:orient="portrait"/>
          <w:cols w:equalWidth="0" w:num="2">
            <w:col w:w="4380" w:space="720"/>
            <w:col w:w="5139"/>
          </w:cols>
          <w:pgMar w:left="220" w:top="304" w:right="1440" w:bottom="1440" w:gutter="0" w:footer="0" w:header="0"/>
          <w:type w:val="continuous"/>
        </w:sectPr>
      </w:pPr>
    </w:p>
    <w:p>
      <w:pPr>
        <w:ind w:left="340"/>
        <w:spacing w:after="0"/>
        <w:rPr>
          <w:sz w:val="20"/>
          <w:szCs w:val="20"/>
          <w:color w:val="auto"/>
        </w:rPr>
      </w:pPr>
      <w:r>
        <w:rPr>
          <w:rFonts w:ascii="Arial" w:cs="Arial" w:eastAsia="Arial" w:hAnsi="Arial"/>
          <w:sz w:val="15"/>
          <w:szCs w:val="15"/>
          <w:color w:val="auto"/>
        </w:rPr>
        <w:t>Equipment is owned after term ends.</w:t>
      </w:r>
    </w:p>
    <w:p>
      <w:pPr>
        <w:spacing w:after="0" w:line="90" w:lineRule="exact"/>
        <w:rPr>
          <w:sz w:val="20"/>
          <w:szCs w:val="20"/>
          <w:color w:val="auto"/>
        </w:rPr>
      </w:pPr>
    </w:p>
    <w:p>
      <w:pPr>
        <w:ind w:left="460" w:hanging="459"/>
        <w:spacing w:after="0"/>
        <w:tabs>
          <w:tab w:leader="none" w:pos="460"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pacing w:after="0" w:line="200" w:lineRule="exact"/>
        <w:rPr>
          <w:rFonts w:ascii="Arial" w:cs="Arial" w:eastAsia="Arial" w:hAnsi="Arial"/>
          <w:sz w:val="12"/>
          <w:szCs w:val="12"/>
          <w:b w:val="1"/>
          <w:bCs w:val="1"/>
          <w:color w:val="auto"/>
        </w:rPr>
      </w:pPr>
    </w:p>
    <w:p>
      <w:pPr>
        <w:spacing w:after="0" w:line="289" w:lineRule="exact"/>
        <w:rPr>
          <w:rFonts w:ascii="Arial" w:cs="Arial" w:eastAsia="Arial" w:hAnsi="Arial"/>
          <w:sz w:val="12"/>
          <w:szCs w:val="12"/>
          <w:b w:val="1"/>
          <w:bCs w:val="1"/>
          <w:color w:val="auto"/>
        </w:rPr>
      </w:pPr>
    </w:p>
    <w:p>
      <w:pPr>
        <w:ind w:left="5500"/>
        <w:spacing w:after="0"/>
        <w:rPr>
          <w:rFonts w:ascii="Arial" w:cs="Arial" w:eastAsia="Arial" w:hAnsi="Arial"/>
          <w:sz w:val="12"/>
          <w:szCs w:val="12"/>
          <w:b w:val="1"/>
          <w:bCs w:val="1"/>
          <w:color w:val="auto"/>
        </w:rPr>
      </w:pPr>
      <w:r>
        <w:rPr>
          <w:rFonts w:ascii="Arial" w:cs="Arial" w:eastAsia="Arial" w:hAnsi="Arial"/>
          <w:sz w:val="13"/>
          <w:szCs w:val="13"/>
          <w:i w:val="1"/>
          <w:iCs w:val="1"/>
          <w:color w:val="auto"/>
        </w:rPr>
        <w:t>Annex A</w:t>
      </w:r>
    </w:p>
    <w:p>
      <w:pPr>
        <w:sectPr>
          <w:pgSz w:w="11900" w:h="16838" w:orient="portrait"/>
          <w:cols w:equalWidth="0" w:num="1">
            <w:col w:w="10239"/>
          </w:cols>
          <w:pgMar w:left="220" w:top="304" w:right="1440"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5000" w:type="dxa"/>
            <w:vAlign w:val="bottom"/>
            <w:gridSpan w:val="4"/>
          </w:tcPr>
          <w:p>
            <w:pPr>
              <w:ind w:left="2420"/>
              <w:spacing w:after="0"/>
              <w:rPr>
                <w:sz w:val="20"/>
                <w:szCs w:val="20"/>
                <w:color w:val="auto"/>
              </w:rPr>
            </w:pPr>
            <w:r>
              <w:rPr>
                <w:rFonts w:ascii="Arial" w:cs="Arial" w:eastAsia="Arial" w:hAnsi="Arial"/>
                <w:sz w:val="16"/>
                <w:szCs w:val="16"/>
                <w:color w:val="auto"/>
              </w:rPr>
              <w:t>Exhibit 2.23</w:t>
            </w:r>
          </w:p>
        </w:tc>
      </w:tr>
      <w:tr>
        <w:trPr>
          <w:trHeight w:val="353"/>
        </w:trPr>
        <w:tc>
          <w:tcPr>
            <w:tcW w:w="2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80" w:type="dxa"/>
            <w:vAlign w:val="bottom"/>
          </w:tcPr>
          <w:p>
            <w:pPr>
              <w:jc w:val="center"/>
              <w:ind w:left="519"/>
              <w:spacing w:after="0"/>
              <w:rPr>
                <w:sz w:val="20"/>
                <w:szCs w:val="20"/>
                <w:color w:val="auto"/>
              </w:rPr>
            </w:pPr>
            <w:r>
              <w:rPr>
                <w:rFonts w:ascii="Arial" w:cs="Arial" w:eastAsia="Arial" w:hAnsi="Arial"/>
                <w:sz w:val="16"/>
                <w:szCs w:val="16"/>
                <w:b w:val="1"/>
                <w:bCs w:val="1"/>
                <w:color w:val="auto"/>
                <w:w w:val="92"/>
              </w:rPr>
              <w:t>Revolving Credit</w:t>
            </w:r>
          </w:p>
        </w:tc>
      </w:tr>
      <w:tr>
        <w:trPr>
          <w:trHeight w:val="182"/>
        </w:trPr>
        <w:tc>
          <w:tcPr>
            <w:tcW w:w="2920" w:type="dxa"/>
            <w:vAlign w:val="bottom"/>
          </w:tcPr>
          <w:p>
            <w:pPr>
              <w:spacing w:after="0"/>
              <w:rPr>
                <w:sz w:val="15"/>
                <w:szCs w:val="15"/>
                <w:color w:val="auto"/>
              </w:rPr>
            </w:pPr>
          </w:p>
        </w:tc>
        <w:tc>
          <w:tcPr>
            <w:tcW w:w="296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92"/>
              </w:rPr>
              <w:t>Revolving Credit Lender Revolving Credit</w:t>
            </w:r>
          </w:p>
        </w:tc>
        <w:tc>
          <w:tcPr>
            <w:tcW w:w="260" w:type="dxa"/>
            <w:vAlign w:val="bottom"/>
          </w:tcPr>
          <w:p>
            <w:pPr>
              <w:spacing w:after="0"/>
              <w:rPr>
                <w:sz w:val="15"/>
                <w:szCs w:val="15"/>
                <w:color w:val="auto"/>
              </w:rPr>
            </w:pPr>
          </w:p>
        </w:tc>
        <w:tc>
          <w:tcPr>
            <w:tcW w:w="1780" w:type="dxa"/>
            <w:vAlign w:val="bottom"/>
          </w:tcPr>
          <w:p>
            <w:pPr>
              <w:jc w:val="center"/>
              <w:ind w:left="539"/>
              <w:spacing w:after="0" w:line="181" w:lineRule="exact"/>
              <w:rPr>
                <w:sz w:val="20"/>
                <w:szCs w:val="20"/>
                <w:color w:val="auto"/>
              </w:rPr>
            </w:pPr>
            <w:r>
              <w:rPr>
                <w:rFonts w:ascii="Arial" w:cs="Arial" w:eastAsia="Arial" w:hAnsi="Arial"/>
                <w:sz w:val="16"/>
                <w:szCs w:val="16"/>
                <w:b w:val="1"/>
                <w:bCs w:val="1"/>
                <w:color w:val="auto"/>
                <w:w w:val="88"/>
              </w:rPr>
              <w:t>Percentage</w:t>
            </w:r>
          </w:p>
        </w:tc>
      </w:tr>
      <w:tr>
        <w:trPr>
          <w:trHeight w:val="186"/>
        </w:trPr>
        <w:tc>
          <w:tcPr>
            <w:tcW w:w="2920" w:type="dxa"/>
            <w:vAlign w:val="bottom"/>
          </w:tcPr>
          <w:p>
            <w:pPr>
              <w:ind w:left="40"/>
              <w:spacing w:after="0"/>
              <w:rPr>
                <w:sz w:val="20"/>
                <w:szCs w:val="20"/>
                <w:color w:val="auto"/>
              </w:rPr>
            </w:pPr>
            <w:r>
              <w:rPr>
                <w:rFonts w:ascii="Arial" w:cs="Arial" w:eastAsia="Arial" w:hAnsi="Arial"/>
                <w:sz w:val="16"/>
                <w:szCs w:val="16"/>
                <w:b w:val="1"/>
                <w:bCs w:val="1"/>
                <w:color w:val="auto"/>
                <w:w w:val="92"/>
              </w:rPr>
              <w:t>Revolving Credit Lenders’ Commitments</w:t>
            </w: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Dollar Commitment</w:t>
            </w:r>
          </w:p>
        </w:tc>
        <w:tc>
          <w:tcPr>
            <w:tcW w:w="260" w:type="dxa"/>
            <w:vAlign w:val="bottom"/>
          </w:tcPr>
          <w:p>
            <w:pPr>
              <w:spacing w:after="0"/>
              <w:rPr>
                <w:sz w:val="16"/>
                <w:szCs w:val="16"/>
                <w:color w:val="auto"/>
              </w:rPr>
            </w:pPr>
          </w:p>
        </w:tc>
        <w:tc>
          <w:tcPr>
            <w:tcW w:w="1780" w:type="dxa"/>
            <w:vAlign w:val="bottom"/>
          </w:tcPr>
          <w:p>
            <w:pPr>
              <w:jc w:val="center"/>
              <w:ind w:left="519"/>
              <w:spacing w:after="0"/>
              <w:rPr>
                <w:sz w:val="20"/>
                <w:szCs w:val="20"/>
                <w:color w:val="auto"/>
              </w:rPr>
            </w:pPr>
            <w:r>
              <w:rPr>
                <w:rFonts w:ascii="Arial" w:cs="Arial" w:eastAsia="Arial" w:hAnsi="Arial"/>
                <w:sz w:val="16"/>
                <w:szCs w:val="16"/>
                <w:b w:val="1"/>
                <w:bCs w:val="1"/>
                <w:color w:val="auto"/>
                <w:w w:val="91"/>
              </w:rPr>
              <w:t>Commitment</w:t>
            </w:r>
          </w:p>
        </w:tc>
      </w:tr>
      <w:tr>
        <w:trPr>
          <w:trHeight w:val="182"/>
        </w:trPr>
        <w:tc>
          <w:tcPr>
            <w:tcW w:w="2920" w:type="dxa"/>
            <w:vAlign w:val="bottom"/>
          </w:tcPr>
          <w:p>
            <w:pPr>
              <w:spacing w:after="0" w:line="181" w:lineRule="exact"/>
              <w:rPr>
                <w:sz w:val="20"/>
                <w:szCs w:val="20"/>
                <w:color w:val="auto"/>
              </w:rPr>
            </w:pPr>
            <w:r>
              <w:rPr>
                <w:rFonts w:ascii="Arial" w:cs="Arial" w:eastAsia="Arial" w:hAnsi="Arial"/>
                <w:sz w:val="16"/>
                <w:szCs w:val="16"/>
                <w:color w:val="auto"/>
              </w:rPr>
              <w:t>Bank of America, N.A.</w:t>
            </w:r>
          </w:p>
        </w:tc>
        <w:tc>
          <w:tcPr>
            <w:tcW w:w="2420" w:type="dxa"/>
            <w:vAlign w:val="bottom"/>
          </w:tcPr>
          <w:p>
            <w:pPr>
              <w:jc w:val="center"/>
              <w:ind w:left="459"/>
              <w:spacing w:after="0" w:line="181" w:lineRule="exact"/>
              <w:rPr>
                <w:sz w:val="20"/>
                <w:szCs w:val="20"/>
                <w:color w:val="auto"/>
              </w:rPr>
            </w:pPr>
            <w:r>
              <w:rPr>
                <w:rFonts w:ascii="Arial" w:cs="Arial" w:eastAsia="Arial" w:hAnsi="Arial"/>
                <w:sz w:val="16"/>
                <w:szCs w:val="16"/>
                <w:color w:val="auto"/>
                <w:w w:val="89"/>
              </w:rPr>
              <w:t>$55,000,000</w:t>
            </w:r>
          </w:p>
        </w:tc>
        <w:tc>
          <w:tcPr>
            <w:tcW w:w="540" w:type="dxa"/>
            <w:vAlign w:val="bottom"/>
          </w:tcPr>
          <w:p>
            <w:pPr>
              <w:spacing w:after="0"/>
              <w:rPr>
                <w:sz w:val="15"/>
                <w:szCs w:val="15"/>
                <w:color w:val="auto"/>
              </w:rPr>
            </w:pPr>
          </w:p>
        </w:tc>
        <w:tc>
          <w:tcPr>
            <w:tcW w:w="2040" w:type="dxa"/>
            <w:vAlign w:val="bottom"/>
            <w:gridSpan w:val="2"/>
          </w:tcPr>
          <w:p>
            <w:pPr>
              <w:spacing w:after="0" w:line="181" w:lineRule="exact"/>
              <w:rPr>
                <w:sz w:val="20"/>
                <w:szCs w:val="20"/>
                <w:color w:val="auto"/>
              </w:rPr>
            </w:pPr>
            <w:r>
              <w:rPr>
                <w:rFonts w:ascii="Arial" w:cs="Arial" w:eastAsia="Arial" w:hAnsi="Arial"/>
                <w:sz w:val="16"/>
                <w:szCs w:val="16"/>
                <w:color w:val="auto"/>
              </w:rPr>
              <w:t>44.000000000%</w:t>
            </w:r>
          </w:p>
        </w:tc>
      </w:tr>
      <w:tr>
        <w:trPr>
          <w:trHeight w:val="182"/>
        </w:trPr>
        <w:tc>
          <w:tcPr>
            <w:tcW w:w="2920" w:type="dxa"/>
            <w:vAlign w:val="bottom"/>
          </w:tcPr>
          <w:p>
            <w:pPr>
              <w:spacing w:after="0" w:line="181" w:lineRule="exact"/>
              <w:rPr>
                <w:sz w:val="20"/>
                <w:szCs w:val="20"/>
                <w:color w:val="auto"/>
              </w:rPr>
            </w:pPr>
            <w:r>
              <w:rPr>
                <w:rFonts w:ascii="Arial" w:cs="Arial" w:eastAsia="Arial" w:hAnsi="Arial"/>
                <w:sz w:val="16"/>
                <w:szCs w:val="16"/>
                <w:color w:val="auto"/>
              </w:rPr>
              <w:t>JPMorgan Chase Bank,</w:t>
            </w:r>
          </w:p>
        </w:tc>
        <w:tc>
          <w:tcPr>
            <w:tcW w:w="2420" w:type="dxa"/>
            <w:vAlign w:val="bottom"/>
          </w:tcPr>
          <w:p>
            <w:pPr>
              <w:jc w:val="center"/>
              <w:ind w:left="459"/>
              <w:spacing w:after="0" w:line="181" w:lineRule="exact"/>
              <w:rPr>
                <w:sz w:val="20"/>
                <w:szCs w:val="20"/>
                <w:color w:val="auto"/>
              </w:rPr>
            </w:pPr>
            <w:r>
              <w:rPr>
                <w:rFonts w:ascii="Arial" w:cs="Arial" w:eastAsia="Arial" w:hAnsi="Arial"/>
                <w:sz w:val="16"/>
                <w:szCs w:val="16"/>
                <w:color w:val="auto"/>
                <w:w w:val="89"/>
              </w:rPr>
              <w:t>$35,000,000</w:t>
            </w:r>
          </w:p>
        </w:tc>
        <w:tc>
          <w:tcPr>
            <w:tcW w:w="540" w:type="dxa"/>
            <w:vAlign w:val="bottom"/>
          </w:tcPr>
          <w:p>
            <w:pPr>
              <w:spacing w:after="0"/>
              <w:rPr>
                <w:sz w:val="15"/>
                <w:szCs w:val="15"/>
                <w:color w:val="auto"/>
              </w:rPr>
            </w:pPr>
          </w:p>
        </w:tc>
        <w:tc>
          <w:tcPr>
            <w:tcW w:w="2040" w:type="dxa"/>
            <w:vAlign w:val="bottom"/>
            <w:gridSpan w:val="2"/>
          </w:tcPr>
          <w:p>
            <w:pPr>
              <w:spacing w:after="0" w:line="181" w:lineRule="exact"/>
              <w:rPr>
                <w:sz w:val="20"/>
                <w:szCs w:val="20"/>
                <w:color w:val="auto"/>
              </w:rPr>
            </w:pPr>
            <w:r>
              <w:rPr>
                <w:rFonts w:ascii="Arial" w:cs="Arial" w:eastAsia="Arial" w:hAnsi="Arial"/>
                <w:sz w:val="16"/>
                <w:szCs w:val="16"/>
                <w:color w:val="auto"/>
              </w:rPr>
              <w:t>28.000000000%</w:t>
            </w:r>
          </w:p>
        </w:tc>
      </w:tr>
      <w:tr>
        <w:trPr>
          <w:trHeight w:val="182"/>
        </w:trPr>
        <w:tc>
          <w:tcPr>
            <w:tcW w:w="2920" w:type="dxa"/>
            <w:vAlign w:val="bottom"/>
          </w:tcPr>
          <w:p>
            <w:pPr>
              <w:spacing w:after="0" w:line="181" w:lineRule="exact"/>
              <w:rPr>
                <w:sz w:val="20"/>
                <w:szCs w:val="20"/>
                <w:color w:val="auto"/>
              </w:rPr>
            </w:pPr>
            <w:r>
              <w:rPr>
                <w:rFonts w:ascii="Arial" w:cs="Arial" w:eastAsia="Arial" w:hAnsi="Arial"/>
                <w:sz w:val="16"/>
                <w:szCs w:val="16"/>
                <w:color w:val="auto"/>
              </w:rPr>
              <w:t>N.A.</w:t>
            </w:r>
          </w:p>
        </w:tc>
        <w:tc>
          <w:tcPr>
            <w:tcW w:w="2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2"/>
        </w:trPr>
        <w:tc>
          <w:tcPr>
            <w:tcW w:w="2920" w:type="dxa"/>
            <w:vAlign w:val="bottom"/>
          </w:tcPr>
          <w:p>
            <w:pPr>
              <w:spacing w:after="0" w:line="181" w:lineRule="exact"/>
              <w:rPr>
                <w:sz w:val="20"/>
                <w:szCs w:val="20"/>
                <w:color w:val="auto"/>
              </w:rPr>
            </w:pPr>
            <w:r>
              <w:rPr>
                <w:rFonts w:ascii="Arial" w:cs="Arial" w:eastAsia="Arial" w:hAnsi="Arial"/>
                <w:sz w:val="16"/>
                <w:szCs w:val="16"/>
                <w:color w:val="auto"/>
              </w:rPr>
              <w:t>Wells Fargo Bank, National</w:t>
            </w:r>
          </w:p>
        </w:tc>
        <w:tc>
          <w:tcPr>
            <w:tcW w:w="2420" w:type="dxa"/>
            <w:vAlign w:val="bottom"/>
          </w:tcPr>
          <w:p>
            <w:pPr>
              <w:jc w:val="center"/>
              <w:ind w:left="459"/>
              <w:spacing w:after="0" w:line="181" w:lineRule="exact"/>
              <w:rPr>
                <w:sz w:val="20"/>
                <w:szCs w:val="20"/>
                <w:color w:val="auto"/>
              </w:rPr>
            </w:pPr>
            <w:r>
              <w:rPr>
                <w:rFonts w:ascii="Arial" w:cs="Arial" w:eastAsia="Arial" w:hAnsi="Arial"/>
                <w:sz w:val="16"/>
                <w:szCs w:val="16"/>
                <w:color w:val="auto"/>
                <w:w w:val="89"/>
              </w:rPr>
              <w:t>$35,000,000</w:t>
            </w:r>
          </w:p>
        </w:tc>
        <w:tc>
          <w:tcPr>
            <w:tcW w:w="540" w:type="dxa"/>
            <w:vAlign w:val="bottom"/>
          </w:tcPr>
          <w:p>
            <w:pPr>
              <w:spacing w:after="0"/>
              <w:rPr>
                <w:sz w:val="15"/>
                <w:szCs w:val="15"/>
                <w:color w:val="auto"/>
              </w:rPr>
            </w:pPr>
          </w:p>
        </w:tc>
        <w:tc>
          <w:tcPr>
            <w:tcW w:w="2040" w:type="dxa"/>
            <w:vAlign w:val="bottom"/>
            <w:gridSpan w:val="2"/>
          </w:tcPr>
          <w:p>
            <w:pPr>
              <w:spacing w:after="0" w:line="181" w:lineRule="exact"/>
              <w:rPr>
                <w:sz w:val="20"/>
                <w:szCs w:val="20"/>
                <w:color w:val="auto"/>
              </w:rPr>
            </w:pPr>
            <w:r>
              <w:rPr>
                <w:rFonts w:ascii="Arial" w:cs="Arial" w:eastAsia="Arial" w:hAnsi="Arial"/>
                <w:sz w:val="16"/>
                <w:szCs w:val="16"/>
                <w:color w:val="auto"/>
              </w:rPr>
              <w:t>28.000000000%</w:t>
            </w:r>
          </w:p>
        </w:tc>
      </w:tr>
      <w:tr>
        <w:trPr>
          <w:trHeight w:val="178"/>
        </w:trPr>
        <w:tc>
          <w:tcPr>
            <w:tcW w:w="2920" w:type="dxa"/>
            <w:vAlign w:val="bottom"/>
          </w:tcPr>
          <w:p>
            <w:pPr>
              <w:spacing w:after="0" w:line="178" w:lineRule="exact"/>
              <w:rPr>
                <w:sz w:val="20"/>
                <w:szCs w:val="20"/>
                <w:color w:val="auto"/>
              </w:rPr>
            </w:pPr>
            <w:r>
              <w:rPr>
                <w:rFonts w:ascii="Arial" w:cs="Arial" w:eastAsia="Arial" w:hAnsi="Arial"/>
                <w:sz w:val="16"/>
                <w:szCs w:val="16"/>
                <w:color w:val="auto"/>
              </w:rPr>
              <w:t>Association</w:t>
            </w:r>
          </w:p>
        </w:tc>
        <w:tc>
          <w:tcPr>
            <w:tcW w:w="2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20" w:type="dxa"/>
            <w:vAlign w:val="bottom"/>
          </w:tcPr>
          <w:p>
            <w:pPr>
              <w:jc w:val="center"/>
              <w:ind w:left="459"/>
              <w:spacing w:after="0"/>
              <w:rPr>
                <w:sz w:val="20"/>
                <w:szCs w:val="20"/>
                <w:color w:val="auto"/>
              </w:rPr>
            </w:pPr>
            <w:r>
              <w:rPr>
                <w:rFonts w:ascii="Arial" w:cs="Arial" w:eastAsia="Arial" w:hAnsi="Arial"/>
                <w:sz w:val="16"/>
                <w:szCs w:val="16"/>
                <w:b w:val="1"/>
                <w:bCs w:val="1"/>
                <w:color w:val="auto"/>
                <w:w w:val="89"/>
              </w:rPr>
              <w:t>$125,000,000</w:t>
            </w:r>
          </w:p>
        </w:tc>
        <w:tc>
          <w:tcPr>
            <w:tcW w:w="54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Arial" w:cs="Arial" w:eastAsia="Arial" w:hAnsi="Arial"/>
          <w:sz w:val="13"/>
          <w:szCs w:val="13"/>
          <w:i w:val="1"/>
          <w:iCs w:val="1"/>
          <w:color w:val="auto"/>
        </w:rPr>
        <w:t>Annex A</w:t>
      </w:r>
    </w:p>
    <w:p>
      <w:pPr>
        <w:sectPr>
          <w:pgSz w:w="11900" w:h="16838" w:orient="portrait"/>
          <w:cols w:equalWidth="0" w:num="1">
            <w:col w:w="10239"/>
          </w:cols>
          <w:pgMar w:left="220" w:top="268" w:right="1440" w:bottom="1440" w:gutter="0" w:footer="0" w:header="0"/>
        </w:sectPr>
      </w:pPr>
    </w:p>
    <w:bookmarkStart w:id="48" w:name="page49"/>
    <w:bookmarkEnd w:id="48"/>
    <w:p>
      <w:pPr>
        <w:ind w:left="5380"/>
        <w:spacing w:after="0"/>
        <w:rPr>
          <w:sz w:val="20"/>
          <w:szCs w:val="20"/>
          <w:color w:val="auto"/>
        </w:rPr>
      </w:pPr>
      <w:r>
        <w:rPr>
          <w:rFonts w:ascii="Arial" w:cs="Arial" w:eastAsia="Arial" w:hAnsi="Arial"/>
          <w:sz w:val="16"/>
          <w:szCs w:val="16"/>
          <w:u w:val="single" w:color="auto"/>
          <w:color w:val="auto"/>
        </w:rPr>
        <w:t>Exhibit 5.8</w:t>
      </w:r>
    </w:p>
    <w:p>
      <w:pPr>
        <w:spacing w:after="0" w:line="15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EXHIBIT 5.8 to Loan and Security Agreement</w:t>
      </w:r>
    </w:p>
    <w:p>
      <w:pPr>
        <w:spacing w:after="0" w:line="15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Form of Compliance Certificate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[Company Letterhead]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 20__</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 Federal Street, 9th Floor</w:t>
      </w:r>
    </w:p>
    <w:p>
      <w:pPr>
        <w:spacing w:after="0" w:line="236" w:lineRule="auto"/>
        <w:rPr>
          <w:sz w:val="20"/>
          <w:szCs w:val="20"/>
          <w:color w:val="auto"/>
        </w:rPr>
      </w:pPr>
      <w:r>
        <w:rPr>
          <w:rFonts w:ascii="Arial" w:cs="Arial" w:eastAsia="Arial" w:hAnsi="Arial"/>
          <w:sz w:val="16"/>
          <w:szCs w:val="16"/>
          <w:color w:val="auto"/>
        </w:rPr>
        <w:t>Boston, MA 02110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Attention: Christopher Santos, Retail Analyst</w:t>
      </w:r>
    </w:p>
    <w:p>
      <w:pPr>
        <w:spacing w:after="0" w:line="14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i w:val="1"/>
          <w:iCs w:val="1"/>
          <w:color w:val="auto"/>
        </w:rPr>
        <w:t>DESTINATION XL GROUP, INC.</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“Borrower’s Representative”)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 For: The [month][quarter][year] ended __________________, 20__.</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Dear Chris:</w:t>
      </w:r>
    </w:p>
    <w:p>
      <w:pPr>
        <w:spacing w:after="0" w:line="7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This Certificate accompanies the above described financial statement (the “Financial Statement”) furnished to you by the Borrower’s Representative and is delivered in accordance with Article 5 of the Loan and Security Agreement dated November 10, 2010 (as amended, restated, supplemented or otherwise modified from time to time, the “Loan Agreement”) between, among others, the Borrower’s Representative, the Borrowers, and you. Terms used herein which are defined in the Loan Agreement are used as so defined.</w:t>
      </w:r>
    </w:p>
    <w:p>
      <w:pPr>
        <w:spacing w:after="0" w:line="13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undersigned have each reviewed the Financial Statement, the Loan Agreement, and each of the other Loan Documents, and has made such inquiry as the undersigned deem appropriate. Following such review, the undersigned CERTIFIES as follows:</w:t>
      </w:r>
    </w:p>
    <w:p>
      <w:pPr>
        <w:spacing w:after="0" w:line="37" w:lineRule="exact"/>
        <w:rPr>
          <w:sz w:val="20"/>
          <w:szCs w:val="20"/>
          <w:color w:val="auto"/>
        </w:rPr>
      </w:pPr>
    </w:p>
    <w:p>
      <w:pPr>
        <w:ind w:firstLine="765"/>
        <w:spacing w:after="0" w:line="251" w:lineRule="auto"/>
        <w:tabs>
          <w:tab w:leader="none" w:pos="9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Financial Statement. The Financial Statement was prepared in accordance with GAAP consistently applied and present fairly the consolidated financial condition of the Loan Parties at the close of, and the results of the Loan Parties’ operations and cash flows for, the period(s) covered by the Financial Statement, subject however (unless this Certificate accompanies the annual Financial Statement) to usual year end adjustment.</w:t>
      </w:r>
    </w:p>
    <w:p>
      <w:pPr>
        <w:spacing w:after="0" w:line="48" w:lineRule="exact"/>
        <w:rPr>
          <w:rFonts w:ascii="Arial" w:cs="Arial" w:eastAsia="Arial" w:hAnsi="Arial"/>
          <w:sz w:val="16"/>
          <w:szCs w:val="16"/>
          <w:color w:val="auto"/>
        </w:rPr>
      </w:pPr>
    </w:p>
    <w:p>
      <w:pPr>
        <w:ind w:right="420" w:firstLine="765"/>
        <w:spacing w:after="0" w:line="265" w:lineRule="auto"/>
        <w:tabs>
          <w:tab w:leader="none" w:pos="993"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Defaults. Except as set forth below, no Default has occurred or is continuing. If a Default has occurred, the following describes the nature of the Default in reasonable detail and the steps, if any, being taken or contemplated by the Loan Parties to be taken on account thereof.</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Describe Default(s) and steps taken (Note, if no Default has occurred, insert “Not Applicable”):</w:t>
      </w:r>
    </w:p>
    <w:p>
      <w:pPr>
        <w:spacing w:after="0" w:line="78" w:lineRule="exact"/>
        <w:rPr>
          <w:sz w:val="20"/>
          <w:szCs w:val="20"/>
          <w:color w:val="auto"/>
        </w:rPr>
      </w:pPr>
    </w:p>
    <w:p>
      <w:pPr>
        <w:ind w:right="260" w:firstLine="765"/>
        <w:spacing w:after="0" w:line="265" w:lineRule="auto"/>
        <w:tabs>
          <w:tab w:leader="none" w:pos="984"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Notices. No event, immediate notice of which is to be provided by the Borrower’s Representative in accordance with Section 5.3 of the Loan Agreement, has occurred, other than those events, written notice of which has previously been provided and those events (if any) described below:</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Describe Section 5-3 events (Note, if no such event has occurred, insert “Not Applicable”):</w:t>
      </w:r>
    </w:p>
    <w:p>
      <w:pPr>
        <w:spacing w:after="0" w:line="78" w:lineRule="exact"/>
        <w:rPr>
          <w:sz w:val="20"/>
          <w:szCs w:val="20"/>
          <w:color w:val="auto"/>
        </w:rPr>
      </w:pPr>
    </w:p>
    <w:p>
      <w:pPr>
        <w:ind w:left="220" w:hanging="219"/>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Consolidated Fixed Charge Coverage Ratio. The reasonably detailed calculations with respect to the Consolidated Fixed Charge Coverage Ratio for the Fiscal Month ending</w:t>
      </w:r>
    </w:p>
    <w:p>
      <w:pPr>
        <w:spacing w:after="0" w:line="3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______________ are attached hereto as Appendix I.</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3"/>
          <w:szCs w:val="13"/>
          <w:i w:val="1"/>
          <w:iCs w:val="1"/>
          <w:color w:val="auto"/>
        </w:rPr>
        <w:t>Annex A</w:t>
      </w:r>
    </w:p>
    <w:p>
      <w:pPr>
        <w:sectPr>
          <w:pgSz w:w="11900" w:h="16838" w:orient="portrait"/>
          <w:cols w:equalWidth="0" w:num="1">
            <w:col w:w="11400"/>
          </w:cols>
          <w:pgMar w:left="220" w:top="284" w:right="279" w:bottom="1440" w:gutter="0" w:footer="0" w:header="0"/>
        </w:sectPr>
      </w:pPr>
    </w:p>
    <w:bookmarkStart w:id="49" w:name="page50"/>
    <w:bookmarkEnd w:id="49"/>
    <w:p>
      <w:pPr>
        <w:jc w:val="both"/>
        <w:ind w:firstLine="1"/>
        <w:spacing w:after="0" w:line="251" w:lineRule="auto"/>
        <w:tabs>
          <w:tab w:leader="none" w:pos="2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[Store Openings/Store Closings. A list of Stores that were opened and/or closed, including, without limitation, the name and address of each such Store and date of the opening or closing, since the Fiscal Quarter ending on __________, is attached hereto as Appendix II. Exhibit 4.5 of the Loan Agreement is deemed updated to reflect the information set forth in such Appendix II.</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(Note, if no Store openings or closings have occurred, insert “Not Applicable”.)]1</w:t>
      </w:r>
    </w:p>
    <w:p>
      <w:pPr>
        <w:spacing w:after="0" w:line="179" w:lineRule="exact"/>
        <w:rPr>
          <w:sz w:val="20"/>
          <w:szCs w:val="20"/>
          <w:color w:val="auto"/>
        </w:rPr>
      </w:pPr>
    </w:p>
    <w:p>
      <w:pPr>
        <w:ind w:left="6320"/>
        <w:spacing w:after="0"/>
        <w:rPr>
          <w:sz w:val="20"/>
          <w:szCs w:val="20"/>
          <w:color w:val="auto"/>
        </w:rPr>
      </w:pPr>
      <w:r>
        <w:rPr>
          <w:rFonts w:ascii="Arial" w:cs="Arial" w:eastAsia="Arial" w:hAnsi="Arial"/>
          <w:sz w:val="16"/>
          <w:szCs w:val="16"/>
          <w:i w:val="1"/>
          <w:iCs w:val="1"/>
          <w:color w:val="auto"/>
        </w:rPr>
        <w:t>Destination XL Group, Inc.</w:t>
      </w:r>
    </w:p>
    <w:p>
      <w:pPr>
        <w:spacing w:after="0" w:line="189" w:lineRule="exact"/>
        <w:rPr>
          <w:sz w:val="20"/>
          <w:szCs w:val="20"/>
          <w:color w:val="auto"/>
        </w:rPr>
      </w:pPr>
    </w:p>
    <w:p>
      <w:pPr>
        <w:ind w:left="6320"/>
        <w:spacing w:after="0"/>
        <w:tabs>
          <w:tab w:leader="none" w:pos="6720" w:val="left"/>
        </w:tabs>
        <w:rPr>
          <w:sz w:val="20"/>
          <w:szCs w:val="20"/>
          <w:color w:val="auto"/>
        </w:rPr>
      </w:pPr>
      <w:r>
        <w:rPr>
          <w:rFonts w:ascii="Arial" w:cs="Arial" w:eastAsia="Arial" w:hAnsi="Arial"/>
          <w:sz w:val="16"/>
          <w:szCs w:val="16"/>
          <w:color w:val="auto"/>
        </w:rPr>
        <w:t>By:</w:t>
        <w:tab/>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-111760</wp:posOffset>
            </wp:positionV>
            <wp:extent cx="29972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7200" cy="635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6"/>
          <w:szCs w:val="16"/>
          <w:color w:val="auto"/>
        </w:rPr>
        <w:t>Senior Vice President and CFO</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1 NTD: to be used only if accompanying quarterly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79"/>
        <w:spacing w:after="0"/>
        <w:rPr>
          <w:sz w:val="20"/>
          <w:szCs w:val="20"/>
          <w:color w:val="auto"/>
        </w:rPr>
      </w:pPr>
      <w:r>
        <w:rPr>
          <w:rFonts w:ascii="Arial" w:cs="Arial" w:eastAsia="Arial" w:hAnsi="Arial"/>
          <w:sz w:val="13"/>
          <w:szCs w:val="13"/>
          <w:i w:val="1"/>
          <w:iCs w:val="1"/>
          <w:color w:val="auto"/>
        </w:rPr>
        <w:t>Annex A</w:t>
      </w:r>
    </w:p>
    <w:p>
      <w:pPr>
        <w:sectPr>
          <w:pgSz w:w="11900" w:h="16838" w:orient="portrait"/>
          <w:cols w:equalWidth="0" w:num="1">
            <w:col w:w="10980"/>
          </w:cols>
          <w:pgMar w:left="220" w:top="365" w:right="69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Appendix I to Compliance Certificate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calculation of Consolidated Fixed Charge Coverage Ratio for the Fiscal Month ending on ___________________:</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00"/>
        <w:spacing w:after="0"/>
        <w:rPr>
          <w:sz w:val="20"/>
          <w:szCs w:val="20"/>
          <w:color w:val="auto"/>
        </w:rPr>
      </w:pPr>
      <w:r>
        <w:rPr>
          <w:rFonts w:ascii="Arial" w:cs="Arial" w:eastAsia="Arial" w:hAnsi="Arial"/>
          <w:sz w:val="13"/>
          <w:szCs w:val="13"/>
          <w:i w:val="1"/>
          <w:iCs w:val="1"/>
          <w:color w:val="auto"/>
        </w:rPr>
        <w:t>Annex A</w:t>
      </w:r>
    </w:p>
    <w:p>
      <w:pPr>
        <w:sectPr>
          <w:pgSz w:w="11900" w:h="16838" w:orient="portrait"/>
          <w:cols w:equalWidth="0" w:num="1">
            <w:col w:w="10239"/>
          </w:cols>
          <w:pgMar w:left="220" w:top="280" w:right="1440"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Appendix II to Compliance Certificate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Stores were opened since __________ (the date of the last similar certification):</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AddressDate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Stores were closed since __________ (the date of the last similar certification):</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AddressDate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00"/>
        <w:spacing w:after="0"/>
        <w:rPr>
          <w:sz w:val="20"/>
          <w:szCs w:val="20"/>
          <w:color w:val="auto"/>
        </w:rPr>
      </w:pPr>
      <w:r>
        <w:rPr>
          <w:rFonts w:ascii="Arial" w:cs="Arial" w:eastAsia="Arial" w:hAnsi="Arial"/>
          <w:sz w:val="13"/>
          <w:szCs w:val="13"/>
          <w:i w:val="1"/>
          <w:iCs w:val="1"/>
          <w:color w:val="auto"/>
        </w:rPr>
        <w:t>Annex A</w:t>
      </w:r>
    </w:p>
    <w:p>
      <w:pPr>
        <w:sectPr>
          <w:pgSz w:w="11900" w:h="16838" w:orient="portrait"/>
          <w:cols w:equalWidth="0" w:num="1">
            <w:col w:w="10239"/>
          </w:cols>
          <w:pgMar w:left="220" w:top="280"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10.2</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Confidential Treatment Requested as to certain information contained in this Exhibit and filed separately with the Securities and Exchange Commission.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TERM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13970</wp:posOffset>
            </wp:positionV>
            <wp:extent cx="533463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34635" cy="635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26670</wp:posOffset>
            </wp:positionV>
            <wp:extent cx="533463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34635" cy="635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154940</wp:posOffset>
            </wp:positionV>
            <wp:extent cx="533463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34635" cy="635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167640</wp:posOffset>
            </wp:positionV>
            <wp:extent cx="533463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34635" cy="635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WELLS FARGO BANK, NATIONAL ASSOCIATION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S</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DMINISTRATIVE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ND</w:t>
      </w:r>
    </w:p>
    <w:p>
      <w:pPr>
        <w:jc w:val="center"/>
        <w:spacing w:after="0"/>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114935</wp:posOffset>
            </wp:positionV>
            <wp:extent cx="533463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34635" cy="635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127635</wp:posOffset>
            </wp:positionV>
            <wp:extent cx="533463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34635" cy="6350"/>
                    </a:xfrm>
                    <a:prstGeom prst="rect">
                      <a:avLst/>
                    </a:prstGeom>
                    <a:noFill/>
                  </pic:spPr>
                </pic:pic>
              </a:graphicData>
            </a:graphic>
          </wp:anchor>
        </w:drawing>
      </w:r>
    </w:p>
    <w:p>
      <w:pPr>
        <w:spacing w:after="0" w:line="336"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TERM LENDERS</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114935</wp:posOffset>
            </wp:positionV>
            <wp:extent cx="533463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34635" cy="635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127635</wp:posOffset>
            </wp:positionV>
            <wp:extent cx="533463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34635" cy="635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DESTINATION XL GROUP,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ORROWERS</w:t>
      </w:r>
      <w:r>
        <w:rPr>
          <w:rFonts w:ascii="Arial" w:cs="Arial" w:eastAsia="Arial" w:hAnsi="Arial"/>
          <w:sz w:val="15"/>
          <w:szCs w:val="15"/>
          <w:b w:val="1"/>
          <w:bCs w:val="1"/>
          <w:color w:val="auto"/>
        </w:rPr>
        <w:t>’ R</w:t>
      </w:r>
      <w:r>
        <w:rPr>
          <w:rFonts w:ascii="Arial" w:cs="Arial" w:eastAsia="Arial" w:hAnsi="Arial"/>
          <w:sz w:val="10"/>
          <w:szCs w:val="10"/>
          <w:b w:val="1"/>
          <w:bCs w:val="1"/>
          <w:color w:val="auto"/>
        </w:rPr>
        <w:t>EPRESENTATIVE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OR</w:t>
      </w:r>
      <w:r>
        <w:rPr>
          <w:rFonts w:ascii="Arial" w:cs="Arial" w:eastAsia="Arial" w:hAnsi="Arial"/>
          <w:sz w:val="15"/>
          <w:szCs w:val="15"/>
          <w:b w:val="1"/>
          <w:bCs w:val="1"/>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DESTINATION XL GROUP, INC. f/k/a CASUAL MALE RETAIL GROUP,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CMRG APPAREL, LLC,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the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131445</wp:posOffset>
            </wp:positionV>
            <wp:extent cx="533463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34635" cy="635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144145</wp:posOffset>
            </wp:positionV>
            <wp:extent cx="533463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34635" cy="635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October 29, 2014</w:t>
      </w:r>
    </w:p>
    <w:p>
      <w:pPr>
        <w:sectPr>
          <w:pgSz w:w="11900" w:h="16838" w:orient="portrait"/>
          <w:cols w:equalWidth="0" w:num="1">
            <w:col w:w="11460"/>
          </w:cols>
          <w:pgMar w:left="220" w:top="288"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8080" w:type="dxa"/>
            <w:vAlign w:val="bottom"/>
          </w:tcPr>
          <w:p>
            <w:pPr>
              <w:ind w:left="4160"/>
              <w:spacing w:after="0"/>
              <w:rPr>
                <w:sz w:val="20"/>
                <w:szCs w:val="20"/>
                <w:color w:val="auto"/>
              </w:rPr>
            </w:pPr>
            <w:r>
              <w:rPr>
                <w:rFonts w:ascii="Arial" w:cs="Arial" w:eastAsia="Arial" w:hAnsi="Arial"/>
                <w:sz w:val="15"/>
                <w:szCs w:val="15"/>
                <w:b w:val="1"/>
                <w:bCs w:val="1"/>
                <w:color w:val="auto"/>
              </w:rPr>
              <w:t>TABLE OF CONTENTS</w:t>
            </w:r>
          </w:p>
        </w:tc>
        <w:tc>
          <w:tcPr>
            <w:tcW w:w="2600" w:type="dxa"/>
            <w:vAlign w:val="bottom"/>
          </w:tcPr>
          <w:p>
            <w:pPr>
              <w:spacing w:after="0"/>
              <w:rPr>
                <w:sz w:val="16"/>
                <w:szCs w:val="16"/>
                <w:color w:val="auto"/>
              </w:rPr>
            </w:pPr>
          </w:p>
        </w:tc>
      </w:tr>
      <w:tr>
        <w:trPr>
          <w:trHeight w:val="317"/>
        </w:trPr>
        <w:tc>
          <w:tcPr>
            <w:tcW w:w="78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AGE</w:t>
            </w:r>
          </w:p>
        </w:tc>
      </w:tr>
      <w:tr>
        <w:trPr>
          <w:trHeight w:val="188"/>
        </w:trPr>
        <w:tc>
          <w:tcPr>
            <w:tcW w:w="8860" w:type="dxa"/>
            <w:vAlign w:val="bottom"/>
            <w:gridSpan w:val="2"/>
          </w:tcPr>
          <w:p>
            <w:pPr>
              <w:spacing w:after="0"/>
              <w:rPr>
                <w:sz w:val="20"/>
                <w:szCs w:val="20"/>
                <w:color w:val="auto"/>
              </w:rPr>
            </w:pPr>
            <w:r>
              <w:rPr>
                <w:rFonts w:ascii="Arial" w:cs="Arial" w:eastAsia="Arial" w:hAnsi="Arial"/>
                <w:sz w:val="15"/>
                <w:szCs w:val="15"/>
                <w:color w:val="auto"/>
              </w:rPr>
              <w:t>ARTICLE 1 - D</w:t>
            </w:r>
            <w:r>
              <w:rPr>
                <w:rFonts w:ascii="Arial" w:cs="Arial" w:eastAsia="Arial" w:hAnsi="Arial"/>
                <w:sz w:val="10"/>
                <w:szCs w:val="10"/>
                <w:color w:val="auto"/>
              </w:rPr>
              <w:t>EFINITIONS</w:t>
            </w: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52"/>
        </w:trPr>
        <w:tc>
          <w:tcPr>
            <w:tcW w:w="8860" w:type="dxa"/>
            <w:vAlign w:val="bottom"/>
            <w:gridSpan w:val="2"/>
          </w:tcPr>
          <w:p>
            <w:pPr>
              <w:spacing w:after="0"/>
              <w:rPr>
                <w:sz w:val="20"/>
                <w:szCs w:val="20"/>
                <w:color w:val="auto"/>
              </w:rPr>
            </w:pPr>
            <w:r>
              <w:rPr>
                <w:rFonts w:ascii="Arial" w:cs="Arial" w:eastAsia="Arial" w:hAnsi="Arial"/>
                <w:sz w:val="15"/>
                <w:szCs w:val="15"/>
                <w:color w:val="auto"/>
              </w:rPr>
              <w:t>ARTICLE 2 - C</w:t>
            </w:r>
            <w:r>
              <w:rPr>
                <w:rFonts w:ascii="Arial" w:cs="Arial" w:eastAsia="Arial" w:hAnsi="Arial"/>
                <w:sz w:val="10"/>
                <w:szCs w:val="10"/>
                <w:color w:val="auto"/>
              </w:rPr>
              <w:t>OMMITMENTS AND</w:t>
            </w:r>
            <w:r>
              <w:rPr>
                <w:rFonts w:ascii="Arial" w:cs="Arial" w:eastAsia="Arial" w:hAnsi="Arial"/>
                <w:sz w:val="15"/>
                <w:szCs w:val="15"/>
                <w:color w:val="auto"/>
              </w:rPr>
              <w:t xml:space="preserve"> C</w:t>
            </w:r>
            <w:r>
              <w:rPr>
                <w:rFonts w:ascii="Arial" w:cs="Arial" w:eastAsia="Arial" w:hAnsi="Arial"/>
                <w:sz w:val="10"/>
                <w:szCs w:val="10"/>
                <w:color w:val="auto"/>
              </w:rPr>
              <w:t>REDIT</w:t>
            </w:r>
            <w:r>
              <w:rPr>
                <w:rFonts w:ascii="Arial" w:cs="Arial" w:eastAsia="Arial" w:hAnsi="Arial"/>
                <w:sz w:val="15"/>
                <w:szCs w:val="15"/>
                <w:color w:val="auto"/>
              </w:rPr>
              <w:t xml:space="preserve"> E</w:t>
            </w:r>
            <w:r>
              <w:rPr>
                <w:rFonts w:ascii="Arial" w:cs="Arial" w:eastAsia="Arial" w:hAnsi="Arial"/>
                <w:sz w:val="10"/>
                <w:szCs w:val="10"/>
                <w:color w:val="auto"/>
              </w:rPr>
              <w:t>XTENSIONS</w:t>
            </w: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3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2.1.</w:t>
            </w:r>
          </w:p>
        </w:tc>
        <w:tc>
          <w:tcPr>
            <w:tcW w:w="8080" w:type="dxa"/>
            <w:vAlign w:val="bottom"/>
          </w:tcPr>
          <w:p>
            <w:pPr>
              <w:ind w:left="380"/>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0"/>
                <w:szCs w:val="10"/>
                <w:b w:val="1"/>
                <w:bCs w:val="1"/>
                <w:color w:val="auto"/>
              </w:rPr>
              <w:t>STABLISHMENT</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F</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2.2.</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ROTECTIVE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DVANCES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23</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2.3.</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NITIAL RESERVES</w:t>
            </w:r>
            <w:r>
              <w:rPr>
                <w:rFonts w:ascii="Arial" w:cs="Arial" w:eastAsia="Arial" w:hAnsi="Arial"/>
                <w:sz w:val="15"/>
                <w:szCs w:val="15"/>
                <w:b w:val="1"/>
                <w:bCs w:val="1"/>
                <w:color w:val="auto"/>
              </w:rPr>
              <w:t>; C</w:t>
            </w:r>
            <w:r>
              <w:rPr>
                <w:rFonts w:ascii="Arial" w:cs="Arial" w:eastAsia="Arial" w:hAnsi="Arial"/>
                <w:sz w:val="10"/>
                <w:szCs w:val="10"/>
                <w:b w:val="1"/>
                <w:bCs w:val="1"/>
                <w:color w:val="auto"/>
              </w:rPr>
              <w:t>HANGES TO</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ESERVES</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2.4.</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ISKS OF</w:t>
            </w:r>
            <w:r>
              <w:rPr>
                <w:rFonts w:ascii="Arial" w:cs="Arial" w:eastAsia="Arial" w:hAnsi="Arial"/>
                <w:sz w:val="15"/>
                <w:szCs w:val="15"/>
                <w:b w:val="1"/>
                <w:bCs w:val="1"/>
                <w:color w:val="auto"/>
              </w:rPr>
              <w:t xml:space="preserve"> V</w:t>
            </w:r>
            <w:r>
              <w:rPr>
                <w:rFonts w:ascii="Arial" w:cs="Arial" w:eastAsia="Arial" w:hAnsi="Arial"/>
                <w:sz w:val="10"/>
                <w:szCs w:val="10"/>
                <w:b w:val="1"/>
                <w:bCs w:val="1"/>
                <w:color w:val="auto"/>
              </w:rPr>
              <w:t>ALUE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2.5.</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2.6.</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2.7.</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2.8.</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2.9.</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MORTIZATION</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2.10.</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OTES</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2.11.</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O</w:t>
            </w:r>
            <w:r>
              <w:rPr>
                <w:rFonts w:ascii="Arial" w:cs="Arial" w:eastAsia="Arial" w:hAnsi="Arial"/>
                <w:sz w:val="10"/>
                <w:szCs w:val="10"/>
                <w:b w:val="1"/>
                <w:bCs w:val="1"/>
                <w:color w:val="auto"/>
              </w:rPr>
              <w:t>PTIONAL</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REPAYMENTS</w:t>
            </w:r>
            <w:r>
              <w:rPr>
                <w:rFonts w:ascii="Arial" w:cs="Arial" w:eastAsia="Arial" w:hAnsi="Arial"/>
                <w:sz w:val="15"/>
                <w:szCs w:val="15"/>
                <w:b w:val="1"/>
                <w:bCs w:val="1"/>
                <w:color w:val="auto"/>
              </w:rPr>
              <w:t>; M</w:t>
            </w:r>
            <w:r>
              <w:rPr>
                <w:rFonts w:ascii="Arial" w:cs="Arial" w:eastAsia="Arial" w:hAnsi="Arial"/>
                <w:sz w:val="10"/>
                <w:szCs w:val="10"/>
                <w:b w:val="1"/>
                <w:bCs w:val="1"/>
                <w:color w:val="auto"/>
              </w:rPr>
              <w:t>ANDATORY</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REPAYMENTS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2.12.</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NTEREST ON</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OANS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2.13.</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E</w:t>
            </w:r>
            <w:r>
              <w:rPr>
                <w:rFonts w:ascii="Arial" w:cs="Arial" w:eastAsia="Arial" w:hAnsi="Arial"/>
                <w:sz w:val="10"/>
                <w:szCs w:val="10"/>
                <w:b w:val="1"/>
                <w:bCs w:val="1"/>
                <w:color w:val="auto"/>
              </w:rPr>
              <w:t>ARLY</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ERMINATION</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EE</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2.14.</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U</w:t>
            </w:r>
            <w:r>
              <w:rPr>
                <w:rFonts w:ascii="Arial" w:cs="Arial" w:eastAsia="Arial" w:hAnsi="Arial"/>
                <w:sz w:val="10"/>
                <w:szCs w:val="10"/>
                <w:b w:val="1"/>
                <w:bCs w:val="1"/>
                <w:color w:val="auto"/>
              </w:rPr>
              <w:t>PFRONT</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EES</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2.15.</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2.16.</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2.17.</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GENTS</w:t>
            </w:r>
            <w:r>
              <w:rPr>
                <w:rFonts w:ascii="Arial" w:cs="Arial" w:eastAsia="Arial" w:hAnsi="Arial"/>
                <w:sz w:val="15"/>
                <w:szCs w:val="15"/>
                <w:b w:val="1"/>
                <w:bCs w:val="1"/>
                <w:color w:val="auto"/>
              </w:rPr>
              <w:t xml:space="preserve">’ </w:t>
            </w:r>
            <w:r>
              <w:rPr>
                <w:rFonts w:ascii="Arial" w:cs="Arial" w:eastAsia="Arial" w:hAnsi="Arial"/>
                <w:sz w:val="10"/>
                <w:szCs w:val="10"/>
                <w:b w:val="1"/>
                <w:bCs w:val="1"/>
                <w:color w:val="auto"/>
              </w:rPr>
              <w:t>AND</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b w:val="1"/>
                <w:bCs w:val="1"/>
                <w:color w:val="auto"/>
              </w:rPr>
              <w:t>’ D</w:t>
            </w:r>
            <w:r>
              <w:rPr>
                <w:rFonts w:ascii="Arial" w:cs="Arial" w:eastAsia="Arial" w:hAnsi="Arial"/>
                <w:sz w:val="10"/>
                <w:szCs w:val="10"/>
                <w:b w:val="1"/>
                <w:bCs w:val="1"/>
                <w:color w:val="auto"/>
              </w:rPr>
              <w:t>ISCRETION</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26</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2.18.</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26</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2.19.</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HANGED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IRCUMSTANCES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26</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2.20.</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ESIGNATION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ORROWERS</w:t>
            </w:r>
            <w:r>
              <w:rPr>
                <w:rFonts w:ascii="Arial" w:cs="Arial" w:eastAsia="Arial" w:hAnsi="Arial"/>
                <w:sz w:val="15"/>
                <w:szCs w:val="15"/>
                <w:b w:val="1"/>
                <w:bCs w:val="1"/>
                <w:color w:val="auto"/>
              </w:rPr>
              <w:t>’ R</w:t>
            </w:r>
            <w:r>
              <w:rPr>
                <w:rFonts w:ascii="Arial" w:cs="Arial" w:eastAsia="Arial" w:hAnsi="Arial"/>
                <w:sz w:val="10"/>
                <w:szCs w:val="10"/>
                <w:b w:val="1"/>
                <w:bCs w:val="1"/>
                <w:color w:val="auto"/>
              </w:rPr>
              <w:t>EPRESENTATIVE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ORROWERS</w:t>
            </w:r>
            <w:r>
              <w:rPr>
                <w:rFonts w:ascii="Arial" w:cs="Arial" w:eastAsia="Arial" w:hAnsi="Arial"/>
                <w:sz w:val="15"/>
                <w:szCs w:val="15"/>
                <w:b w:val="1"/>
                <w:bCs w:val="1"/>
                <w:color w:val="auto"/>
              </w:rPr>
              <w:t>’ A</w:t>
            </w:r>
            <w:r>
              <w:rPr>
                <w:rFonts w:ascii="Arial" w:cs="Arial" w:eastAsia="Arial" w:hAnsi="Arial"/>
                <w:sz w:val="10"/>
                <w:szCs w:val="10"/>
                <w:b w:val="1"/>
                <w:bCs w:val="1"/>
                <w:color w:val="auto"/>
              </w:rPr>
              <w:t>GENT</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27</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2.21.</w:t>
            </w:r>
          </w:p>
        </w:tc>
        <w:tc>
          <w:tcPr>
            <w:tcW w:w="8080" w:type="dxa"/>
            <w:vAlign w:val="bottom"/>
          </w:tcPr>
          <w:p>
            <w:pPr>
              <w:ind w:left="380"/>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b w:val="1"/>
                <w:bCs w:val="1"/>
                <w:color w:val="auto"/>
              </w:rPr>
              <w:t>’ C</w:t>
            </w:r>
            <w:r>
              <w:rPr>
                <w:rFonts w:ascii="Arial" w:cs="Arial" w:eastAsia="Arial" w:hAnsi="Arial"/>
                <w:sz w:val="10"/>
                <w:szCs w:val="10"/>
                <w:b w:val="1"/>
                <w:bCs w:val="1"/>
                <w:color w:val="auto"/>
              </w:rPr>
              <w:t>OMMITMENTS</w:t>
            </w: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52"/>
        </w:trPr>
        <w:tc>
          <w:tcPr>
            <w:tcW w:w="8860" w:type="dxa"/>
            <w:vAlign w:val="bottom"/>
            <w:gridSpan w:val="2"/>
          </w:tcPr>
          <w:p>
            <w:pPr>
              <w:spacing w:after="0"/>
              <w:rPr>
                <w:sz w:val="20"/>
                <w:szCs w:val="20"/>
                <w:color w:val="auto"/>
              </w:rPr>
            </w:pPr>
            <w:r>
              <w:rPr>
                <w:rFonts w:ascii="Arial" w:cs="Arial" w:eastAsia="Arial" w:hAnsi="Arial"/>
                <w:sz w:val="15"/>
                <w:szCs w:val="15"/>
                <w:color w:val="auto"/>
              </w:rPr>
              <w:t>ARTICLE 3 - C</w:t>
            </w:r>
            <w:r>
              <w:rPr>
                <w:rFonts w:ascii="Arial" w:cs="Arial" w:eastAsia="Arial" w:hAnsi="Arial"/>
                <w:sz w:val="10"/>
                <w:szCs w:val="10"/>
                <w:color w:val="auto"/>
              </w:rPr>
              <w:t>ONDITIONS</w:t>
            </w:r>
            <w:r>
              <w:rPr>
                <w:rFonts w:ascii="Arial" w:cs="Arial" w:eastAsia="Arial" w:hAnsi="Arial"/>
                <w:sz w:val="15"/>
                <w:szCs w:val="15"/>
                <w:color w:val="auto"/>
              </w:rPr>
              <w:t xml:space="preserve"> P</w:t>
            </w:r>
            <w:r>
              <w:rPr>
                <w:rFonts w:ascii="Arial" w:cs="Arial" w:eastAsia="Arial" w:hAnsi="Arial"/>
                <w:sz w:val="10"/>
                <w:szCs w:val="10"/>
                <w:color w:val="auto"/>
              </w:rPr>
              <w:t>RECEDENT</w:t>
            </w: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52"/>
        </w:trPr>
        <w:tc>
          <w:tcPr>
            <w:tcW w:w="8860" w:type="dxa"/>
            <w:vAlign w:val="bottom"/>
            <w:gridSpan w:val="2"/>
          </w:tcPr>
          <w:p>
            <w:pPr>
              <w:spacing w:after="0"/>
              <w:rPr>
                <w:sz w:val="20"/>
                <w:szCs w:val="20"/>
                <w:color w:val="auto"/>
              </w:rPr>
            </w:pPr>
            <w:r>
              <w:rPr>
                <w:rFonts w:ascii="Arial" w:cs="Arial" w:eastAsia="Arial" w:hAnsi="Arial"/>
                <w:sz w:val="15"/>
                <w:szCs w:val="15"/>
                <w:color w:val="auto"/>
              </w:rPr>
              <w:t>ARTICLE 4 - G</w:t>
            </w:r>
            <w:r>
              <w:rPr>
                <w:rFonts w:ascii="Arial" w:cs="Arial" w:eastAsia="Arial" w:hAnsi="Arial"/>
                <w:sz w:val="10"/>
                <w:szCs w:val="10"/>
                <w:color w:val="auto"/>
              </w:rPr>
              <w:t>ENERAL</w:t>
            </w:r>
            <w:r>
              <w:rPr>
                <w:rFonts w:ascii="Arial" w:cs="Arial" w:eastAsia="Arial" w:hAnsi="Arial"/>
                <w:sz w:val="15"/>
                <w:szCs w:val="15"/>
                <w:color w:val="auto"/>
              </w:rPr>
              <w:t xml:space="preserve"> R</w:t>
            </w:r>
            <w:r>
              <w:rPr>
                <w:rFonts w:ascii="Arial" w:cs="Arial" w:eastAsia="Arial" w:hAnsi="Arial"/>
                <w:sz w:val="10"/>
                <w:szCs w:val="10"/>
                <w:color w:val="auto"/>
              </w:rPr>
              <w:t>EPRESENTATIONS</w:t>
            </w:r>
            <w:r>
              <w:rPr>
                <w:rFonts w:ascii="Arial" w:cs="Arial" w:eastAsia="Arial" w:hAnsi="Arial"/>
                <w:sz w:val="15"/>
                <w:szCs w:val="15"/>
                <w:color w:val="auto"/>
              </w:rPr>
              <w:t>, C</w:t>
            </w:r>
            <w:r>
              <w:rPr>
                <w:rFonts w:ascii="Arial" w:cs="Arial" w:eastAsia="Arial" w:hAnsi="Arial"/>
                <w:sz w:val="10"/>
                <w:szCs w:val="10"/>
                <w:color w:val="auto"/>
              </w:rPr>
              <w:t>OVENANTS AND</w:t>
            </w:r>
            <w:r>
              <w:rPr>
                <w:rFonts w:ascii="Arial" w:cs="Arial" w:eastAsia="Arial" w:hAnsi="Arial"/>
                <w:sz w:val="15"/>
                <w:szCs w:val="15"/>
                <w:color w:val="auto"/>
              </w:rPr>
              <w:t xml:space="preserve"> W</w:t>
            </w:r>
            <w:r>
              <w:rPr>
                <w:rFonts w:ascii="Arial" w:cs="Arial" w:eastAsia="Arial" w:hAnsi="Arial"/>
                <w:sz w:val="10"/>
                <w:szCs w:val="10"/>
                <w:color w:val="auto"/>
              </w:rPr>
              <w:t>ARRANTIES</w:t>
            </w: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23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4.1.</w:t>
            </w:r>
          </w:p>
        </w:tc>
        <w:tc>
          <w:tcPr>
            <w:tcW w:w="8080" w:type="dxa"/>
            <w:vAlign w:val="bottom"/>
          </w:tcPr>
          <w:p>
            <w:pPr>
              <w:ind w:left="380"/>
              <w:spacing w:after="0"/>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AYMENT</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ND</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ERFORMANCE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IABILITIES</w:t>
            </w:r>
            <w:r>
              <w:rPr>
                <w:rFonts w:ascii="Arial" w:cs="Arial" w:eastAsia="Arial" w:hAnsi="Arial"/>
                <w:sz w:val="15"/>
                <w:szCs w:val="15"/>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UE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RGANIZATION</w:t>
            </w:r>
            <w:r>
              <w:rPr>
                <w:rFonts w:ascii="Arial" w:cs="Arial" w:eastAsia="Arial" w:hAnsi="Arial"/>
                <w:sz w:val="15"/>
                <w:szCs w:val="15"/>
                <w:b w:val="1"/>
                <w:bCs w:val="1"/>
                <w:color w:val="auto"/>
              </w:rPr>
              <w:t>; A</w:t>
            </w:r>
            <w:r>
              <w:rPr>
                <w:rFonts w:ascii="Arial" w:cs="Arial" w:eastAsia="Arial" w:hAnsi="Arial"/>
                <w:sz w:val="10"/>
                <w:szCs w:val="10"/>
                <w:b w:val="1"/>
                <w:bCs w:val="1"/>
                <w:color w:val="auto"/>
              </w:rPr>
              <w:t>UTHORIZATION</w:t>
            </w:r>
            <w:r>
              <w:rPr>
                <w:rFonts w:ascii="Arial" w:cs="Arial" w:eastAsia="Arial" w:hAnsi="Arial"/>
                <w:sz w:val="15"/>
                <w:szCs w:val="15"/>
                <w:b w:val="1"/>
                <w:bCs w:val="1"/>
                <w:color w:val="auto"/>
              </w:rPr>
              <w:t>; 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ONFLICTS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4.3.</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RADE</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AMES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31</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4.4.</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NFRASTRUCTURE</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31</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4.5.</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L</w:t>
            </w:r>
            <w:r>
              <w:rPr>
                <w:rFonts w:ascii="Arial" w:cs="Arial" w:eastAsia="Arial" w:hAnsi="Arial"/>
                <w:sz w:val="10"/>
                <w:szCs w:val="10"/>
                <w:b w:val="1"/>
                <w:bCs w:val="1"/>
                <w:color w:val="auto"/>
              </w:rPr>
              <w:t>OCATIONS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31</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4.6.</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S</w:t>
            </w:r>
            <w:r>
              <w:rPr>
                <w:rFonts w:ascii="Arial" w:cs="Arial" w:eastAsia="Arial" w:hAnsi="Arial"/>
                <w:sz w:val="10"/>
                <w:szCs w:val="10"/>
                <w:b w:val="1"/>
                <w:bCs w:val="1"/>
                <w:color w:val="auto"/>
              </w:rPr>
              <w:t>TORES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32</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4.7.</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ITLE TO</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SSETS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32</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4.8.</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NDEBTEDNESS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33</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4.9.</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NSURANCE</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33</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4.10.</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L</w:t>
            </w:r>
            <w:r>
              <w:rPr>
                <w:rFonts w:ascii="Arial" w:cs="Arial" w:eastAsia="Arial" w:hAnsi="Arial"/>
                <w:sz w:val="10"/>
                <w:szCs w:val="10"/>
                <w:b w:val="1"/>
                <w:bCs w:val="1"/>
                <w:color w:val="auto"/>
              </w:rPr>
              <w:t>ICENSES</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33</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4.11.</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L</w:t>
            </w:r>
            <w:r>
              <w:rPr>
                <w:rFonts w:ascii="Arial" w:cs="Arial" w:eastAsia="Arial" w:hAnsi="Arial"/>
                <w:sz w:val="10"/>
                <w:szCs w:val="10"/>
                <w:b w:val="1"/>
                <w:bCs w:val="1"/>
                <w:color w:val="auto"/>
              </w:rPr>
              <w:t>EASES</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4.12.</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EQUIREMENTS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AW</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4.13.</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L</w:t>
            </w:r>
            <w:r>
              <w:rPr>
                <w:rFonts w:ascii="Arial" w:cs="Arial" w:eastAsia="Arial" w:hAnsi="Arial"/>
                <w:sz w:val="10"/>
                <w:szCs w:val="10"/>
                <w:b w:val="1"/>
                <w:bCs w:val="1"/>
                <w:color w:val="auto"/>
              </w:rPr>
              <w:t>ABOR</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ELATIONS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4.14.</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M</w:t>
            </w:r>
            <w:r>
              <w:rPr>
                <w:rFonts w:ascii="Arial" w:cs="Arial" w:eastAsia="Arial" w:hAnsi="Arial"/>
                <w:sz w:val="10"/>
                <w:szCs w:val="10"/>
                <w:b w:val="1"/>
                <w:bCs w:val="1"/>
                <w:color w:val="auto"/>
              </w:rPr>
              <w:t>AINTAIN</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ROPERTIES</w:t>
            </w:r>
            <w:r>
              <w:rPr>
                <w:rFonts w:ascii="Arial" w:cs="Arial" w:eastAsia="Arial" w:hAnsi="Arial"/>
                <w:sz w:val="15"/>
                <w:szCs w:val="15"/>
                <w:b w:val="1"/>
                <w:bCs w:val="1"/>
                <w:color w:val="auto"/>
              </w:rPr>
              <w:t>; A</w:t>
            </w:r>
            <w:r>
              <w:rPr>
                <w:rFonts w:ascii="Arial" w:cs="Arial" w:eastAsia="Arial" w:hAnsi="Arial"/>
                <w:sz w:val="10"/>
                <w:szCs w:val="10"/>
                <w:b w:val="1"/>
                <w:bCs w:val="1"/>
                <w:color w:val="auto"/>
              </w:rPr>
              <w:t>SSET</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ALES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4.15.</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AXES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4.16.</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ARGIN</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5"/>
                <w:szCs w:val="15"/>
                <w:b w:val="1"/>
                <w:bCs w:val="1"/>
                <w:color w:val="auto"/>
              </w:rPr>
              <w:t>; N</w:t>
            </w:r>
            <w:r>
              <w:rPr>
                <w:rFonts w:ascii="Arial" w:cs="Arial" w:eastAsia="Arial" w:hAnsi="Arial"/>
                <w:sz w:val="10"/>
                <w:szCs w:val="10"/>
                <w:b w:val="1"/>
                <w:bCs w:val="1"/>
                <w:color w:val="auto"/>
              </w:rPr>
              <w:t>OT</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NVESTMENT</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4.17.</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E</w:t>
            </w:r>
            <w:r>
              <w:rPr>
                <w:rFonts w:ascii="Arial" w:cs="Arial" w:eastAsia="Arial" w:hAnsi="Arial"/>
                <w:sz w:val="10"/>
                <w:szCs w:val="10"/>
                <w:b w:val="1"/>
                <w:bCs w:val="1"/>
                <w:color w:val="auto"/>
              </w:rPr>
              <w:t>RISA</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4.18.</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H</w:t>
            </w:r>
            <w:r>
              <w:rPr>
                <w:rFonts w:ascii="Arial" w:cs="Arial" w:eastAsia="Arial" w:hAnsi="Arial"/>
                <w:sz w:val="10"/>
                <w:szCs w:val="10"/>
                <w:b w:val="1"/>
                <w:bCs w:val="1"/>
                <w:color w:val="auto"/>
              </w:rPr>
              <w:t>AZARDOUS</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ATERIALS</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36</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4.19.</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L</w:t>
            </w:r>
            <w:r>
              <w:rPr>
                <w:rFonts w:ascii="Arial" w:cs="Arial" w:eastAsia="Arial" w:hAnsi="Arial"/>
                <w:sz w:val="10"/>
                <w:szCs w:val="10"/>
                <w:b w:val="1"/>
                <w:bCs w:val="1"/>
                <w:color w:val="auto"/>
              </w:rPr>
              <w:t>ITIGATION</w:t>
            </w:r>
            <w:r>
              <w:rPr>
                <w:rFonts w:ascii="Arial" w:cs="Arial" w:eastAsia="Arial" w:hAnsi="Arial"/>
                <w:sz w:val="15"/>
                <w:szCs w:val="15"/>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36</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4.20.</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IVIDENDS</w:t>
            </w:r>
            <w:r>
              <w:rPr>
                <w:rFonts w:ascii="Arial" w:cs="Arial" w:eastAsia="Arial" w:hAnsi="Arial"/>
                <w:sz w:val="15"/>
                <w:szCs w:val="15"/>
                <w:b w:val="1"/>
                <w:bCs w:val="1"/>
                <w:color w:val="auto"/>
              </w:rPr>
              <w:t>, I</w:t>
            </w:r>
            <w:r>
              <w:rPr>
                <w:rFonts w:ascii="Arial" w:cs="Arial" w:eastAsia="Arial" w:hAnsi="Arial"/>
                <w:sz w:val="10"/>
                <w:szCs w:val="10"/>
                <w:b w:val="1"/>
                <w:bCs w:val="1"/>
                <w:color w:val="auto"/>
              </w:rPr>
              <w:t>NVESTMENTS</w:t>
            </w:r>
            <w:r>
              <w:rPr>
                <w:rFonts w:ascii="Arial" w:cs="Arial" w:eastAsia="Arial" w:hAnsi="Arial"/>
                <w:sz w:val="15"/>
                <w:szCs w:val="15"/>
                <w:b w:val="1"/>
                <w:bCs w:val="1"/>
                <w:color w:val="auto"/>
              </w:rPr>
              <w:t>, E</w:t>
            </w:r>
            <w:r>
              <w:rPr>
                <w:rFonts w:ascii="Arial" w:cs="Arial" w:eastAsia="Arial" w:hAnsi="Arial"/>
                <w:sz w:val="10"/>
                <w:szCs w:val="10"/>
                <w:b w:val="1"/>
                <w:bCs w:val="1"/>
                <w:color w:val="auto"/>
              </w:rPr>
              <w:t>NTITY</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CTION</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36</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4.21.</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ERMITTED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CQUISITIONS</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37</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4.22.</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L</w:t>
            </w:r>
            <w:r>
              <w:rPr>
                <w:rFonts w:ascii="Arial" w:cs="Arial" w:eastAsia="Arial" w:hAnsi="Arial"/>
                <w:sz w:val="10"/>
                <w:szCs w:val="10"/>
                <w:b w:val="1"/>
                <w:bCs w:val="1"/>
                <w:color w:val="auto"/>
              </w:rPr>
              <w:t>OANS</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37</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4.23.</w:t>
            </w:r>
          </w:p>
        </w:tc>
        <w:tc>
          <w:tcPr>
            <w:tcW w:w="808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ESTRICTIONS ON</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ALE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 L</w:t>
            </w:r>
            <w:r>
              <w:rPr>
                <w:rFonts w:ascii="Arial" w:cs="Arial" w:eastAsia="Arial" w:hAnsi="Arial"/>
                <w:sz w:val="10"/>
                <w:szCs w:val="10"/>
                <w:b w:val="1"/>
                <w:bCs w:val="1"/>
                <w:color w:val="auto"/>
              </w:rPr>
              <w:t>ICENSE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GREEMENTS</w:t>
            </w:r>
            <w:r>
              <w:rPr>
                <w:rFonts w:ascii="Arial" w:cs="Arial" w:eastAsia="Arial" w:hAnsi="Arial"/>
                <w:sz w:val="15"/>
                <w:szCs w:val="15"/>
                <w:b w:val="1"/>
                <w:bCs w:val="1"/>
                <w:color w:val="auto"/>
              </w:rPr>
              <w:t>.</w:t>
            </w:r>
          </w:p>
        </w:tc>
        <w:tc>
          <w:tcPr>
            <w:tcW w:w="2600" w:type="dxa"/>
            <w:vAlign w:val="bottom"/>
          </w:tcPr>
          <w:p>
            <w:pPr>
              <w:jc w:val="right"/>
              <w:spacing w:after="0" w:line="172" w:lineRule="exact"/>
              <w:rPr>
                <w:sz w:val="20"/>
                <w:szCs w:val="20"/>
                <w:color w:val="auto"/>
              </w:rPr>
            </w:pPr>
            <w:r>
              <w:rPr>
                <w:rFonts w:ascii="Arial" w:cs="Arial" w:eastAsia="Arial" w:hAnsi="Arial"/>
                <w:sz w:val="15"/>
                <w:szCs w:val="15"/>
                <w:color w:val="auto"/>
              </w:rPr>
              <w:t>38</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4.24.</w:t>
            </w:r>
          </w:p>
        </w:tc>
        <w:tc>
          <w:tcPr>
            <w:tcW w:w="8080" w:type="dxa"/>
            <w:vAlign w:val="bottom"/>
          </w:tcPr>
          <w:p>
            <w:pPr>
              <w:ind w:left="380"/>
              <w:spacing w:after="0"/>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ROTECTION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SSETS</w:t>
            </w:r>
            <w:r>
              <w:rPr>
                <w:rFonts w:ascii="Arial" w:cs="Arial" w:eastAsia="Arial" w:hAnsi="Arial"/>
                <w:sz w:val="15"/>
                <w:szCs w:val="15"/>
                <w:b w:val="1"/>
                <w:bCs w:val="1"/>
                <w:color w:val="auto"/>
              </w:rPr>
              <w:t>.</w:t>
            </w:r>
          </w:p>
        </w:tc>
        <w:tc>
          <w:tcPr>
            <w:tcW w:w="2600" w:type="dxa"/>
            <w:vAlign w:val="bottom"/>
          </w:tcPr>
          <w:p>
            <w:pPr>
              <w:jc w:val="right"/>
              <w:spacing w:after="0"/>
              <w:rPr>
                <w:sz w:val="20"/>
                <w:szCs w:val="20"/>
                <w:color w:val="auto"/>
              </w:rPr>
            </w:pPr>
            <w:r>
              <w:rPr>
                <w:rFonts w:ascii="Arial" w:cs="Arial" w:eastAsia="Arial" w:hAnsi="Arial"/>
                <w:sz w:val="15"/>
                <w:szCs w:val="15"/>
                <w:color w:val="auto"/>
              </w:rPr>
              <w:t>38</w:t>
            </w: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460"/>
          </w:cols>
          <w:pgMar w:left="220" w:top="466"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4.25.</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L</w:t>
            </w:r>
            <w:r>
              <w:rPr>
                <w:rFonts w:ascii="Arial" w:cs="Arial" w:eastAsia="Arial" w:hAnsi="Arial"/>
                <w:sz w:val="10"/>
                <w:szCs w:val="10"/>
                <w:b w:val="1"/>
                <w:bCs w:val="1"/>
                <w:color w:val="auto"/>
              </w:rPr>
              <w:t>INE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USINESS</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4.26.</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FFILIATE</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RANSACTIONS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38</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4.27.</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URTHER</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SSURANCES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39</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4.28.</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DEQUACY OF</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ISCLOSURE</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39</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4.29.</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ESTRICTIONS ON</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IABILITIES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4.30.</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OVENANTS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4.31.</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NTENTIONALLY</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MITTED</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4.32.</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S</w:t>
            </w:r>
            <w:r>
              <w:rPr>
                <w:rFonts w:ascii="Arial" w:cs="Arial" w:eastAsia="Arial" w:hAnsi="Arial"/>
                <w:sz w:val="10"/>
                <w:szCs w:val="10"/>
                <w:b w:val="1"/>
                <w:bCs w:val="1"/>
                <w:color w:val="auto"/>
              </w:rPr>
              <w:t>OLVENCY</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4.33.</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ATRIOT</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CT</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40</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4.34.</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NTI</w:t>
            </w:r>
            <w:r>
              <w:rPr>
                <w:rFonts w:ascii="Arial" w:cs="Arial" w:eastAsia="Arial" w:hAnsi="Arial"/>
                <w:sz w:val="15"/>
                <w:szCs w:val="15"/>
                <w:b w:val="1"/>
                <w:bCs w:val="1"/>
                <w:color w:val="auto"/>
              </w:rPr>
              <w:t>-C</w:t>
            </w:r>
            <w:r>
              <w:rPr>
                <w:rFonts w:ascii="Arial" w:cs="Arial" w:eastAsia="Arial" w:hAnsi="Arial"/>
                <w:sz w:val="10"/>
                <w:szCs w:val="10"/>
                <w:b w:val="1"/>
                <w:bCs w:val="1"/>
                <w:color w:val="auto"/>
              </w:rPr>
              <w:t>ORRUPTION</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AWS AND</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ANCTIONS</w:t>
            </w:r>
            <w:r>
              <w:rPr>
                <w:rFonts w:ascii="Arial" w:cs="Arial" w:eastAsia="Arial" w:hAnsi="Arial"/>
                <w:sz w:val="15"/>
                <w:szCs w:val="15"/>
                <w:b w:val="1"/>
                <w:bCs w:val="1"/>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52"/>
        </w:trPr>
        <w:tc>
          <w:tcPr>
            <w:tcW w:w="8240" w:type="dxa"/>
            <w:vAlign w:val="bottom"/>
            <w:gridSpan w:val="2"/>
          </w:tcPr>
          <w:p>
            <w:pPr>
              <w:spacing w:after="0"/>
              <w:rPr>
                <w:sz w:val="20"/>
                <w:szCs w:val="20"/>
                <w:color w:val="auto"/>
              </w:rPr>
            </w:pPr>
            <w:r>
              <w:rPr>
                <w:rFonts w:ascii="Arial" w:cs="Arial" w:eastAsia="Arial" w:hAnsi="Arial"/>
                <w:sz w:val="15"/>
                <w:szCs w:val="15"/>
                <w:color w:val="auto"/>
              </w:rPr>
              <w:t>ARTICLE 5 - F</w:t>
            </w:r>
            <w:r>
              <w:rPr>
                <w:rFonts w:ascii="Arial" w:cs="Arial" w:eastAsia="Arial" w:hAnsi="Arial"/>
                <w:sz w:val="10"/>
                <w:szCs w:val="10"/>
                <w:color w:val="auto"/>
              </w:rPr>
              <w:t>INANCIAL</w:t>
            </w:r>
            <w:r>
              <w:rPr>
                <w:rFonts w:ascii="Arial" w:cs="Arial" w:eastAsia="Arial" w:hAnsi="Arial"/>
                <w:sz w:val="15"/>
                <w:szCs w:val="15"/>
                <w:color w:val="auto"/>
              </w:rPr>
              <w:t xml:space="preserve"> R</w:t>
            </w:r>
            <w:r>
              <w:rPr>
                <w:rFonts w:ascii="Arial" w:cs="Arial" w:eastAsia="Arial" w:hAnsi="Arial"/>
                <w:sz w:val="10"/>
                <w:szCs w:val="10"/>
                <w:color w:val="auto"/>
              </w:rPr>
              <w:t>EPORTING AND</w:t>
            </w:r>
            <w:r>
              <w:rPr>
                <w:rFonts w:ascii="Arial" w:cs="Arial" w:eastAsia="Arial" w:hAnsi="Arial"/>
                <w:sz w:val="15"/>
                <w:szCs w:val="15"/>
                <w:color w:val="auto"/>
              </w:rPr>
              <w:t xml:space="preserve"> P</w:t>
            </w:r>
            <w:r>
              <w:rPr>
                <w:rFonts w:ascii="Arial" w:cs="Arial" w:eastAsia="Arial" w:hAnsi="Arial"/>
                <w:sz w:val="10"/>
                <w:szCs w:val="10"/>
                <w:color w:val="auto"/>
              </w:rPr>
              <w:t>ERFORMANCE</w:t>
            </w:r>
            <w:r>
              <w:rPr>
                <w:rFonts w:ascii="Arial" w:cs="Arial" w:eastAsia="Arial" w:hAnsi="Arial"/>
                <w:sz w:val="15"/>
                <w:szCs w:val="15"/>
                <w:color w:val="auto"/>
              </w:rPr>
              <w:t xml:space="preserve"> C</w:t>
            </w:r>
            <w:r>
              <w:rPr>
                <w:rFonts w:ascii="Arial" w:cs="Arial" w:eastAsia="Arial" w:hAnsi="Arial"/>
                <w:sz w:val="10"/>
                <w:szCs w:val="10"/>
                <w:color w:val="auto"/>
              </w:rPr>
              <w:t>OVENANTS</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3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5.1.</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M</w:t>
            </w:r>
            <w:r>
              <w:rPr>
                <w:rFonts w:ascii="Arial" w:cs="Arial" w:eastAsia="Arial" w:hAnsi="Arial"/>
                <w:sz w:val="10"/>
                <w:szCs w:val="10"/>
                <w:b w:val="1"/>
                <w:bCs w:val="1"/>
                <w:color w:val="auto"/>
              </w:rPr>
              <w:t>AINTAIN</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ECORDS</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5.2.</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CCESS TO</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ECORDS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41</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5.3.</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ROMPT</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OTICE TO</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DMINISTRATIVE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41</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5.4.</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B</w:t>
            </w:r>
            <w:r>
              <w:rPr>
                <w:rFonts w:ascii="Arial" w:cs="Arial" w:eastAsia="Arial" w:hAnsi="Arial"/>
                <w:sz w:val="10"/>
                <w:szCs w:val="10"/>
                <w:b w:val="1"/>
                <w:bCs w:val="1"/>
                <w:color w:val="auto"/>
              </w:rPr>
              <w:t>ORROWING</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ASE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ERTIFICATE</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42</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5.5.</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M</w:t>
            </w:r>
            <w:r>
              <w:rPr>
                <w:rFonts w:ascii="Arial" w:cs="Arial" w:eastAsia="Arial" w:hAnsi="Arial"/>
                <w:sz w:val="10"/>
                <w:szCs w:val="10"/>
                <w:b w:val="1"/>
                <w:bCs w:val="1"/>
                <w:color w:val="auto"/>
              </w:rPr>
              <w:t>ONTHLY</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EPORTS</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42</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5.6.</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Q</w:t>
            </w:r>
            <w:r>
              <w:rPr>
                <w:rFonts w:ascii="Arial" w:cs="Arial" w:eastAsia="Arial" w:hAnsi="Arial"/>
                <w:sz w:val="10"/>
                <w:szCs w:val="10"/>
                <w:b w:val="1"/>
                <w:bCs w:val="1"/>
                <w:color w:val="auto"/>
              </w:rPr>
              <w:t>UARTERLY</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EPORTS</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43</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5.7.</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NNUAL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43</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5.8.</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OMPLIANCE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ERTIFICATES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5.9.</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NVENTORIES</w:t>
            </w:r>
            <w:r>
              <w:rPr>
                <w:rFonts w:ascii="Arial" w:cs="Arial" w:eastAsia="Arial" w:hAnsi="Arial"/>
                <w:sz w:val="15"/>
                <w:szCs w:val="15"/>
                <w:b w:val="1"/>
                <w:bCs w:val="1"/>
                <w:color w:val="auto"/>
              </w:rPr>
              <w:t>, A</w:t>
            </w:r>
            <w:r>
              <w:rPr>
                <w:rFonts w:ascii="Arial" w:cs="Arial" w:eastAsia="Arial" w:hAnsi="Arial"/>
                <w:sz w:val="10"/>
                <w:szCs w:val="10"/>
                <w:b w:val="1"/>
                <w:bCs w:val="1"/>
                <w:color w:val="auto"/>
              </w:rPr>
              <w:t>PPRAISALS</w:t>
            </w:r>
            <w:r>
              <w:rPr>
                <w:rFonts w:ascii="Arial" w:cs="Arial" w:eastAsia="Arial" w:hAnsi="Arial"/>
                <w:sz w:val="15"/>
                <w:szCs w:val="15"/>
                <w:b w:val="1"/>
                <w:bCs w:val="1"/>
                <w:color w:val="auto"/>
              </w:rPr>
              <w:t xml:space="preserve">, </w:t>
            </w:r>
            <w:r>
              <w:rPr>
                <w:rFonts w:ascii="Arial" w:cs="Arial" w:eastAsia="Arial" w:hAnsi="Arial"/>
                <w:sz w:val="10"/>
                <w:szCs w:val="10"/>
                <w:b w:val="1"/>
                <w:bCs w:val="1"/>
                <w:color w:val="auto"/>
              </w:rPr>
              <w:t>AND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UDITS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44</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5.10.</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DDITIONAL</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INANCIAL</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NFORMATION</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5.11.</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INANCIAL</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OVENANT</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45</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5.12.</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OAN</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USH</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OWN</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ESERVE</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52"/>
        </w:trPr>
        <w:tc>
          <w:tcPr>
            <w:tcW w:w="8240" w:type="dxa"/>
            <w:vAlign w:val="bottom"/>
            <w:gridSpan w:val="2"/>
          </w:tcPr>
          <w:p>
            <w:pPr>
              <w:spacing w:after="0"/>
              <w:rPr>
                <w:sz w:val="20"/>
                <w:szCs w:val="20"/>
                <w:color w:val="auto"/>
              </w:rPr>
            </w:pPr>
            <w:r>
              <w:rPr>
                <w:rFonts w:ascii="Arial" w:cs="Arial" w:eastAsia="Arial" w:hAnsi="Arial"/>
                <w:sz w:val="15"/>
                <w:szCs w:val="15"/>
                <w:color w:val="auto"/>
              </w:rPr>
              <w:t>ARTICLE 6 - U</w:t>
            </w:r>
            <w:r>
              <w:rPr>
                <w:rFonts w:ascii="Arial" w:cs="Arial" w:eastAsia="Arial" w:hAnsi="Arial"/>
                <w:sz w:val="10"/>
                <w:szCs w:val="10"/>
                <w:color w:val="auto"/>
              </w:rPr>
              <w:t>SE OF</w:t>
            </w:r>
            <w:r>
              <w:rPr>
                <w:rFonts w:ascii="Arial" w:cs="Arial" w:eastAsia="Arial" w:hAnsi="Arial"/>
                <w:sz w:val="15"/>
                <w:szCs w:val="15"/>
                <w:color w:val="auto"/>
              </w:rPr>
              <w:t xml:space="preserve"> C</w:t>
            </w:r>
            <w:r>
              <w:rPr>
                <w:rFonts w:ascii="Arial" w:cs="Arial" w:eastAsia="Arial" w:hAnsi="Arial"/>
                <w:sz w:val="10"/>
                <w:szCs w:val="10"/>
                <w:color w:val="auto"/>
              </w:rPr>
              <w:t>OLLATERAL</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3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6.1.</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U</w:t>
            </w:r>
            <w:r>
              <w:rPr>
                <w:rFonts w:ascii="Arial" w:cs="Arial" w:eastAsia="Arial" w:hAnsi="Arial"/>
                <w:sz w:val="10"/>
                <w:szCs w:val="10"/>
                <w:b w:val="1"/>
                <w:bCs w:val="1"/>
                <w:color w:val="auto"/>
              </w:rPr>
              <w:t>SE OF</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NVENTORY</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6.2.</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NVENTORY</w:t>
            </w:r>
            <w:r>
              <w:rPr>
                <w:rFonts w:ascii="Arial" w:cs="Arial" w:eastAsia="Arial" w:hAnsi="Arial"/>
                <w:sz w:val="15"/>
                <w:szCs w:val="15"/>
                <w:b w:val="1"/>
                <w:bCs w:val="1"/>
                <w:color w:val="auto"/>
              </w:rPr>
              <w:t xml:space="preserve"> Q</w:t>
            </w:r>
            <w:r>
              <w:rPr>
                <w:rFonts w:ascii="Arial" w:cs="Arial" w:eastAsia="Arial" w:hAnsi="Arial"/>
                <w:sz w:val="10"/>
                <w:szCs w:val="10"/>
                <w:b w:val="1"/>
                <w:bCs w:val="1"/>
                <w:color w:val="auto"/>
              </w:rPr>
              <w:t>UALITY</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46</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6.3.</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DJUSTMENTS AND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LLOWANCES</w:t>
            </w:r>
            <w:r>
              <w:rPr>
                <w:rFonts w:ascii="Arial" w:cs="Arial" w:eastAsia="Arial" w:hAnsi="Arial"/>
                <w:sz w:val="15"/>
                <w:szCs w:val="15"/>
                <w:b w:val="1"/>
                <w:bCs w:val="1"/>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52"/>
        </w:trPr>
        <w:tc>
          <w:tcPr>
            <w:tcW w:w="8240" w:type="dxa"/>
            <w:vAlign w:val="bottom"/>
            <w:gridSpan w:val="2"/>
          </w:tcPr>
          <w:p>
            <w:pPr>
              <w:spacing w:after="0"/>
              <w:rPr>
                <w:sz w:val="20"/>
                <w:szCs w:val="20"/>
                <w:color w:val="auto"/>
              </w:rPr>
            </w:pPr>
            <w:r>
              <w:rPr>
                <w:rFonts w:ascii="Arial" w:cs="Arial" w:eastAsia="Arial" w:hAnsi="Arial"/>
                <w:sz w:val="15"/>
                <w:szCs w:val="15"/>
                <w:color w:val="auto"/>
              </w:rPr>
              <w:t>ARTICLE 7 - C</w:t>
            </w:r>
            <w:r>
              <w:rPr>
                <w:rFonts w:ascii="Arial" w:cs="Arial" w:eastAsia="Arial" w:hAnsi="Arial"/>
                <w:sz w:val="10"/>
                <w:szCs w:val="10"/>
                <w:color w:val="auto"/>
              </w:rPr>
              <w:t>ASH</w:t>
            </w:r>
            <w:r>
              <w:rPr>
                <w:rFonts w:ascii="Arial" w:cs="Arial" w:eastAsia="Arial" w:hAnsi="Arial"/>
                <w:sz w:val="15"/>
                <w:szCs w:val="15"/>
                <w:color w:val="auto"/>
              </w:rPr>
              <w:t xml:space="preserve"> M</w:t>
            </w:r>
            <w:r>
              <w:rPr>
                <w:rFonts w:ascii="Arial" w:cs="Arial" w:eastAsia="Arial" w:hAnsi="Arial"/>
                <w:sz w:val="10"/>
                <w:szCs w:val="10"/>
                <w:color w:val="auto"/>
              </w:rPr>
              <w:t>ANAGEMENT</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3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7.1.</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EPOSITORY</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CCOUNTS</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7.2.</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REDIT</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ARD</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ECEIPTS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46</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7.3.</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DMINISTRATIVE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r>
              <w:rPr>
                <w:rFonts w:ascii="Arial" w:cs="Arial" w:eastAsia="Arial" w:hAnsi="Arial"/>
                <w:sz w:val="15"/>
                <w:szCs w:val="15"/>
                <w:b w:val="1"/>
                <w:bCs w:val="1"/>
                <w:color w:val="auto"/>
              </w:rPr>
              <w:t>’</w:t>
            </w:r>
            <w:r>
              <w:rPr>
                <w:rFonts w:ascii="Arial" w:cs="Arial" w:eastAsia="Arial" w:hAnsi="Arial"/>
                <w:sz w:val="10"/>
                <w:szCs w:val="10"/>
                <w:b w:val="1"/>
                <w:bCs w:val="1"/>
                <w:color w:val="auto"/>
              </w:rPr>
              <w:t>S</w:t>
            </w:r>
            <w:r>
              <w:rPr>
                <w:rFonts w:ascii="Arial" w:cs="Arial" w:eastAsia="Arial" w:hAnsi="Arial"/>
                <w:sz w:val="15"/>
                <w:szCs w:val="15"/>
                <w:b w:val="1"/>
                <w:bCs w:val="1"/>
                <w:color w:val="auto"/>
              </w:rPr>
              <w:t>, B</w:t>
            </w:r>
            <w:r>
              <w:rPr>
                <w:rFonts w:ascii="Arial" w:cs="Arial" w:eastAsia="Arial" w:hAnsi="Arial"/>
                <w:sz w:val="10"/>
                <w:szCs w:val="10"/>
                <w:b w:val="1"/>
                <w:bCs w:val="1"/>
                <w:color w:val="auto"/>
              </w:rPr>
              <w:t>LOCKED</w:t>
            </w:r>
            <w:r>
              <w:rPr>
                <w:rFonts w:ascii="Arial" w:cs="Arial" w:eastAsia="Arial" w:hAnsi="Arial"/>
                <w:sz w:val="15"/>
                <w:szCs w:val="15"/>
                <w:b w:val="1"/>
                <w:bCs w:val="1"/>
                <w:color w:val="auto"/>
              </w:rPr>
              <w:t xml:space="preserve">, </w:t>
            </w:r>
            <w:r>
              <w:rPr>
                <w:rFonts w:ascii="Arial" w:cs="Arial" w:eastAsia="Arial" w:hAnsi="Arial"/>
                <w:sz w:val="10"/>
                <w:szCs w:val="10"/>
                <w:b w:val="1"/>
                <w:bCs w:val="1"/>
                <w:color w:val="auto"/>
              </w:rPr>
              <w:t>AND</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PERATING</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CCOUNTS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47</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7.4.</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ROCEEDS AND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OLLECTIONS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47</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7.5.</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AYMENT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IABILITIES</w:t>
            </w:r>
            <w:r>
              <w:rPr>
                <w:rFonts w:ascii="Arial" w:cs="Arial" w:eastAsia="Arial" w:hAnsi="Arial"/>
                <w:sz w:val="15"/>
                <w:szCs w:val="15"/>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48</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7.6.</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PERATING</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CCOUNT</w:t>
            </w:r>
            <w:r>
              <w:rPr>
                <w:rFonts w:ascii="Arial" w:cs="Arial" w:eastAsia="Arial" w:hAnsi="Arial"/>
                <w:sz w:val="15"/>
                <w:szCs w:val="15"/>
                <w:b w:val="1"/>
                <w:bCs w:val="1"/>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52"/>
        </w:trPr>
        <w:tc>
          <w:tcPr>
            <w:tcW w:w="8240" w:type="dxa"/>
            <w:vAlign w:val="bottom"/>
            <w:gridSpan w:val="2"/>
          </w:tcPr>
          <w:p>
            <w:pPr>
              <w:spacing w:after="0"/>
              <w:rPr>
                <w:sz w:val="20"/>
                <w:szCs w:val="20"/>
                <w:color w:val="auto"/>
              </w:rPr>
            </w:pPr>
            <w:r>
              <w:rPr>
                <w:rFonts w:ascii="Arial" w:cs="Arial" w:eastAsia="Arial" w:hAnsi="Arial"/>
                <w:sz w:val="15"/>
                <w:szCs w:val="15"/>
                <w:color w:val="auto"/>
              </w:rPr>
              <w:t>ARTICLE 8 - G</w:t>
            </w:r>
            <w:r>
              <w:rPr>
                <w:rFonts w:ascii="Arial" w:cs="Arial" w:eastAsia="Arial" w:hAnsi="Arial"/>
                <w:sz w:val="10"/>
                <w:szCs w:val="10"/>
                <w:color w:val="auto"/>
              </w:rPr>
              <w:t>RANT OF</w:t>
            </w:r>
            <w:r>
              <w:rPr>
                <w:rFonts w:ascii="Arial" w:cs="Arial" w:eastAsia="Arial" w:hAnsi="Arial"/>
                <w:sz w:val="15"/>
                <w:szCs w:val="15"/>
                <w:color w:val="auto"/>
              </w:rPr>
              <w:t xml:space="preserve"> S</w:t>
            </w:r>
            <w:r>
              <w:rPr>
                <w:rFonts w:ascii="Arial" w:cs="Arial" w:eastAsia="Arial" w:hAnsi="Arial"/>
                <w:sz w:val="10"/>
                <w:szCs w:val="10"/>
                <w:color w:val="auto"/>
              </w:rPr>
              <w:t>ECURITY</w:t>
            </w:r>
            <w:r>
              <w:rPr>
                <w:rFonts w:ascii="Arial" w:cs="Arial" w:eastAsia="Arial" w:hAnsi="Arial"/>
                <w:sz w:val="15"/>
                <w:szCs w:val="15"/>
                <w:color w:val="auto"/>
              </w:rPr>
              <w:t xml:space="preserve"> I</w:t>
            </w:r>
            <w:r>
              <w:rPr>
                <w:rFonts w:ascii="Arial" w:cs="Arial" w:eastAsia="Arial" w:hAnsi="Arial"/>
                <w:sz w:val="10"/>
                <w:szCs w:val="10"/>
                <w:color w:val="auto"/>
              </w:rPr>
              <w:t>NTEREST</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23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8.1.</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G</w:t>
            </w:r>
            <w:r>
              <w:rPr>
                <w:rFonts w:ascii="Arial" w:cs="Arial" w:eastAsia="Arial" w:hAnsi="Arial"/>
                <w:sz w:val="10"/>
                <w:szCs w:val="10"/>
                <w:b w:val="1"/>
                <w:bCs w:val="1"/>
                <w:color w:val="auto"/>
              </w:rPr>
              <w:t>RANT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ECURITY</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NTEREST</w:t>
            </w:r>
            <w:r>
              <w:rPr>
                <w:rFonts w:ascii="Arial" w:cs="Arial" w:eastAsia="Arial" w:hAnsi="Arial"/>
                <w:sz w:val="15"/>
                <w:szCs w:val="15"/>
                <w:b w:val="1"/>
                <w:bCs w:val="1"/>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48</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8.2.</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0"/>
                <w:szCs w:val="10"/>
                <w:b w:val="1"/>
                <w:bCs w:val="1"/>
                <w:color w:val="auto"/>
              </w:rPr>
              <w:t>XTENT AND</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URATION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ECURITY</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NTEREST</w:t>
            </w:r>
            <w:r>
              <w:rPr>
                <w:rFonts w:ascii="Arial" w:cs="Arial" w:eastAsia="Arial" w:hAnsi="Arial"/>
                <w:sz w:val="15"/>
                <w:szCs w:val="15"/>
                <w:b w:val="1"/>
                <w:bCs w:val="1"/>
                <w:color w:val="auto"/>
              </w:rPr>
              <w:t>; N</w:t>
            </w:r>
            <w:r>
              <w:rPr>
                <w:rFonts w:ascii="Arial" w:cs="Arial" w:eastAsia="Arial" w:hAnsi="Arial"/>
                <w:sz w:val="10"/>
                <w:szCs w:val="10"/>
                <w:b w:val="1"/>
                <w:bCs w:val="1"/>
                <w:color w:val="auto"/>
              </w:rPr>
              <w:t>OTICE</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52"/>
        </w:trPr>
        <w:tc>
          <w:tcPr>
            <w:tcW w:w="8240" w:type="dxa"/>
            <w:vAlign w:val="bottom"/>
            <w:gridSpan w:val="2"/>
          </w:tcPr>
          <w:p>
            <w:pPr>
              <w:spacing w:after="0"/>
              <w:rPr>
                <w:sz w:val="20"/>
                <w:szCs w:val="20"/>
                <w:color w:val="auto"/>
              </w:rPr>
            </w:pPr>
            <w:r>
              <w:rPr>
                <w:rFonts w:ascii="Arial" w:cs="Arial" w:eastAsia="Arial" w:hAnsi="Arial"/>
                <w:sz w:val="15"/>
                <w:szCs w:val="15"/>
                <w:color w:val="auto"/>
              </w:rPr>
              <w:t>ARTICLE 9 - C</w:t>
            </w:r>
            <w:r>
              <w:rPr>
                <w:rFonts w:ascii="Arial" w:cs="Arial" w:eastAsia="Arial" w:hAnsi="Arial"/>
                <w:sz w:val="10"/>
                <w:szCs w:val="10"/>
                <w:color w:val="auto"/>
              </w:rPr>
              <w:t>OLLATERAL</w:t>
            </w:r>
            <w:r>
              <w:rPr>
                <w:rFonts w:ascii="Arial" w:cs="Arial" w:eastAsia="Arial" w:hAnsi="Arial"/>
                <w:sz w:val="15"/>
                <w:szCs w:val="15"/>
                <w:color w:val="auto"/>
              </w:rPr>
              <w:t xml:space="preserve"> A</w:t>
            </w:r>
            <w:r>
              <w:rPr>
                <w:rFonts w:ascii="Arial" w:cs="Arial" w:eastAsia="Arial" w:hAnsi="Arial"/>
                <w:sz w:val="10"/>
                <w:szCs w:val="10"/>
                <w:color w:val="auto"/>
              </w:rPr>
              <w:t>GENT</w:t>
            </w:r>
            <w:r>
              <w:rPr>
                <w:rFonts w:ascii="Arial" w:cs="Arial" w:eastAsia="Arial" w:hAnsi="Arial"/>
                <w:sz w:val="15"/>
                <w:szCs w:val="15"/>
                <w:color w:val="auto"/>
              </w:rPr>
              <w:t xml:space="preserve"> A</w:t>
            </w:r>
            <w:r>
              <w:rPr>
                <w:rFonts w:ascii="Arial" w:cs="Arial" w:eastAsia="Arial" w:hAnsi="Arial"/>
                <w:sz w:val="10"/>
                <w:szCs w:val="10"/>
                <w:color w:val="auto"/>
              </w:rPr>
              <w:t>S</w:t>
            </w:r>
            <w:r>
              <w:rPr>
                <w:rFonts w:ascii="Arial" w:cs="Arial" w:eastAsia="Arial" w:hAnsi="Arial"/>
                <w:sz w:val="15"/>
                <w:szCs w:val="15"/>
                <w:color w:val="auto"/>
              </w:rPr>
              <w:t xml:space="preserve"> A</w:t>
            </w:r>
            <w:r>
              <w:rPr>
                <w:rFonts w:ascii="Arial" w:cs="Arial" w:eastAsia="Arial" w:hAnsi="Arial"/>
                <w:sz w:val="10"/>
                <w:szCs w:val="10"/>
                <w:color w:val="auto"/>
              </w:rPr>
              <w:t>TTORNEY</w:t>
            </w:r>
            <w:r>
              <w:rPr>
                <w:rFonts w:ascii="Arial" w:cs="Arial" w:eastAsia="Arial" w:hAnsi="Arial"/>
                <w:sz w:val="15"/>
                <w:szCs w:val="15"/>
                <w:color w:val="auto"/>
              </w:rPr>
              <w:t>-I</w:t>
            </w:r>
            <w:r>
              <w:rPr>
                <w:rFonts w:ascii="Arial" w:cs="Arial" w:eastAsia="Arial" w:hAnsi="Arial"/>
                <w:sz w:val="10"/>
                <w:szCs w:val="10"/>
                <w:color w:val="auto"/>
              </w:rPr>
              <w:t>N</w:t>
            </w:r>
            <w:r>
              <w:rPr>
                <w:rFonts w:ascii="Arial" w:cs="Arial" w:eastAsia="Arial" w:hAnsi="Arial"/>
                <w:sz w:val="15"/>
                <w:szCs w:val="15"/>
                <w:color w:val="auto"/>
              </w:rPr>
              <w:t>-F</w:t>
            </w:r>
            <w:r>
              <w:rPr>
                <w:rFonts w:ascii="Arial" w:cs="Arial" w:eastAsia="Arial" w:hAnsi="Arial"/>
                <w:sz w:val="10"/>
                <w:szCs w:val="10"/>
                <w:color w:val="auto"/>
              </w:rPr>
              <w:t>ACT</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23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9.1.</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PPOINTMENT AS</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TTORNEY</w:t>
            </w: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-F</w:t>
            </w:r>
            <w:r>
              <w:rPr>
                <w:rFonts w:ascii="Arial" w:cs="Arial" w:eastAsia="Arial" w:hAnsi="Arial"/>
                <w:sz w:val="10"/>
                <w:szCs w:val="10"/>
                <w:b w:val="1"/>
                <w:bCs w:val="1"/>
                <w:color w:val="auto"/>
              </w:rPr>
              <w:t>ACT</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49</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9.2.</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BLIGATION TO</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CT</w:t>
            </w:r>
            <w:r>
              <w:rPr>
                <w:rFonts w:ascii="Arial" w:cs="Arial" w:eastAsia="Arial" w:hAnsi="Arial"/>
                <w:sz w:val="15"/>
                <w:szCs w:val="15"/>
                <w:b w:val="1"/>
                <w:bCs w:val="1"/>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52"/>
        </w:trPr>
        <w:tc>
          <w:tcPr>
            <w:tcW w:w="8240" w:type="dxa"/>
            <w:vAlign w:val="bottom"/>
            <w:gridSpan w:val="2"/>
          </w:tcPr>
          <w:p>
            <w:pPr>
              <w:spacing w:after="0"/>
              <w:rPr>
                <w:sz w:val="20"/>
                <w:szCs w:val="20"/>
                <w:color w:val="auto"/>
              </w:rPr>
            </w:pPr>
            <w:r>
              <w:rPr>
                <w:rFonts w:ascii="Arial" w:cs="Arial" w:eastAsia="Arial" w:hAnsi="Arial"/>
                <w:sz w:val="15"/>
                <w:szCs w:val="15"/>
                <w:color w:val="auto"/>
              </w:rPr>
              <w:t>ARTICLE 10 - E</w:t>
            </w:r>
            <w:r>
              <w:rPr>
                <w:rFonts w:ascii="Arial" w:cs="Arial" w:eastAsia="Arial" w:hAnsi="Arial"/>
                <w:sz w:val="10"/>
                <w:szCs w:val="10"/>
                <w:color w:val="auto"/>
              </w:rPr>
              <w:t>VENTS OF</w:t>
            </w:r>
            <w:r>
              <w:rPr>
                <w:rFonts w:ascii="Arial" w:cs="Arial" w:eastAsia="Arial" w:hAnsi="Arial"/>
                <w:sz w:val="15"/>
                <w:szCs w:val="15"/>
                <w:color w:val="auto"/>
              </w:rPr>
              <w:t xml:space="preserve"> D</w:t>
            </w:r>
            <w:r>
              <w:rPr>
                <w:rFonts w:ascii="Arial" w:cs="Arial" w:eastAsia="Arial" w:hAnsi="Arial"/>
                <w:sz w:val="10"/>
                <w:szCs w:val="10"/>
                <w:color w:val="auto"/>
              </w:rPr>
              <w:t>EFAULT</w:t>
            </w:r>
            <w:r>
              <w:rPr>
                <w:rFonts w:ascii="Arial" w:cs="Arial" w:eastAsia="Arial" w:hAnsi="Arial"/>
                <w:sz w:val="15"/>
                <w:szCs w:val="15"/>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3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10.1.</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AILURE 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AY THE</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b w:val="1"/>
                <w:bCs w:val="1"/>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10.2.</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AILURE TO</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AKE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AYMENTS</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50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10.3.</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AILURE 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ERFORM</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OVENANT OR</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IABILITY</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RACE</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ERIOD</w:t>
            </w:r>
            <w:r>
              <w:rPr>
                <w:rFonts w:ascii="Arial" w:cs="Arial" w:eastAsia="Arial" w:hAnsi="Arial"/>
                <w:sz w:val="15"/>
                <w:szCs w:val="15"/>
                <w:b w:val="1"/>
                <w:bCs w:val="1"/>
                <w:color w:val="auto"/>
              </w:rPr>
              <w:t>) .</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50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10.4.</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INANCIAL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EPORTING</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EQUIREMENTS</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50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10.5.</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AILURE 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ERFORM</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OVENANT OR</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IABILITY</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RACE</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ERIOD</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50</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10.6.</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M</w:t>
            </w:r>
            <w:r>
              <w:rPr>
                <w:rFonts w:ascii="Arial" w:cs="Arial" w:eastAsia="Arial" w:hAnsi="Arial"/>
                <w:sz w:val="10"/>
                <w:szCs w:val="10"/>
                <w:b w:val="1"/>
                <w:bCs w:val="1"/>
                <w:color w:val="auto"/>
              </w:rPr>
              <w:t>ISREPRESENTATION</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51</w:t>
            </w:r>
          </w:p>
        </w:tc>
      </w:tr>
      <w:tr>
        <w:trPr>
          <w:trHeight w:val="171"/>
        </w:trPr>
        <w:tc>
          <w:tcPr>
            <w:tcW w:w="78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10.7.</w:t>
            </w:r>
          </w:p>
        </w:tc>
        <w:tc>
          <w:tcPr>
            <w:tcW w:w="7460" w:type="dxa"/>
            <w:vAlign w:val="bottom"/>
          </w:tcPr>
          <w:p>
            <w:pPr>
              <w:ind w:left="38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CCELERATION OF</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EBT</w:t>
            </w:r>
            <w:r>
              <w:rPr>
                <w:rFonts w:ascii="Arial" w:cs="Arial" w:eastAsia="Arial" w:hAnsi="Arial"/>
                <w:sz w:val="15"/>
                <w:szCs w:val="15"/>
                <w:b w:val="1"/>
                <w:bCs w:val="1"/>
                <w:color w:val="auto"/>
              </w:rPr>
              <w:t>; B</w:t>
            </w:r>
            <w:r>
              <w:rPr>
                <w:rFonts w:ascii="Arial" w:cs="Arial" w:eastAsia="Arial" w:hAnsi="Arial"/>
                <w:sz w:val="10"/>
                <w:szCs w:val="10"/>
                <w:b w:val="1"/>
                <w:bCs w:val="1"/>
                <w:color w:val="auto"/>
              </w:rPr>
              <w:t>REACH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EASE</w:t>
            </w:r>
            <w:r>
              <w:rPr>
                <w:rFonts w:ascii="Arial" w:cs="Arial" w:eastAsia="Arial" w:hAnsi="Arial"/>
                <w:sz w:val="15"/>
                <w:szCs w:val="15"/>
                <w:b w:val="1"/>
                <w:bCs w:val="1"/>
                <w:color w:val="auto"/>
              </w:rPr>
              <w:t>.</w:t>
            </w:r>
          </w:p>
        </w:tc>
        <w:tc>
          <w:tcPr>
            <w:tcW w:w="3220" w:type="dxa"/>
            <w:vAlign w:val="bottom"/>
          </w:tcPr>
          <w:p>
            <w:pPr>
              <w:jc w:val="right"/>
              <w:spacing w:after="0" w:line="172" w:lineRule="exact"/>
              <w:rPr>
                <w:sz w:val="20"/>
                <w:szCs w:val="20"/>
                <w:color w:val="auto"/>
              </w:rPr>
            </w:pPr>
            <w:r>
              <w:rPr>
                <w:rFonts w:ascii="Arial" w:cs="Arial" w:eastAsia="Arial" w:hAnsi="Arial"/>
                <w:sz w:val="15"/>
                <w:szCs w:val="15"/>
                <w:color w:val="auto"/>
              </w:rPr>
              <w:t>51</w:t>
            </w:r>
          </w:p>
        </w:tc>
      </w:tr>
      <w:tr>
        <w:trPr>
          <w:trHeight w:val="192"/>
        </w:trPr>
        <w:tc>
          <w:tcPr>
            <w:tcW w:w="780" w:type="dxa"/>
            <w:vAlign w:val="bottom"/>
          </w:tcPr>
          <w:p>
            <w:pPr>
              <w:ind w:left="100"/>
              <w:spacing w:after="0"/>
              <w:rPr>
                <w:sz w:val="20"/>
                <w:szCs w:val="20"/>
                <w:color w:val="auto"/>
              </w:rPr>
            </w:pPr>
            <w:r>
              <w:rPr>
                <w:rFonts w:ascii="Arial" w:cs="Arial" w:eastAsia="Arial" w:hAnsi="Arial"/>
                <w:sz w:val="15"/>
                <w:szCs w:val="15"/>
                <w:b w:val="1"/>
                <w:bCs w:val="1"/>
                <w:color w:val="auto"/>
              </w:rPr>
              <w:t>10.8.</w:t>
            </w:r>
          </w:p>
        </w:tc>
        <w:tc>
          <w:tcPr>
            <w:tcW w:w="7460" w:type="dxa"/>
            <w:vAlign w:val="bottom"/>
          </w:tcPr>
          <w:p>
            <w:pPr>
              <w:ind w:left="380"/>
              <w:spacing w:after="0"/>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EFAULT</w:t>
            </w:r>
            <w:r>
              <w:rPr>
                <w:rFonts w:ascii="Arial" w:cs="Arial" w:eastAsia="Arial" w:hAnsi="Arial"/>
                <w:sz w:val="15"/>
                <w:szCs w:val="15"/>
                <w:b w:val="1"/>
                <w:bCs w:val="1"/>
                <w:color w:val="auto"/>
              </w:rPr>
              <w:t xml:space="preserve"> U</w:t>
            </w:r>
            <w:r>
              <w:rPr>
                <w:rFonts w:ascii="Arial" w:cs="Arial" w:eastAsia="Arial" w:hAnsi="Arial"/>
                <w:sz w:val="10"/>
                <w:szCs w:val="10"/>
                <w:b w:val="1"/>
                <w:bCs w:val="1"/>
                <w:color w:val="auto"/>
              </w:rPr>
              <w:t>NDER</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GREEMENTS</w:t>
            </w:r>
            <w:r>
              <w:rPr>
                <w:rFonts w:ascii="Arial" w:cs="Arial" w:eastAsia="Arial" w:hAnsi="Arial"/>
                <w:sz w:val="15"/>
                <w:szCs w:val="15"/>
                <w:b w:val="1"/>
                <w:bCs w:val="1"/>
                <w:color w:val="auto"/>
              </w:rPr>
              <w:t>.</w:t>
            </w:r>
          </w:p>
        </w:tc>
        <w:tc>
          <w:tcPr>
            <w:tcW w:w="3220" w:type="dxa"/>
            <w:vAlign w:val="bottom"/>
          </w:tcPr>
          <w:p>
            <w:pPr>
              <w:jc w:val="right"/>
              <w:spacing w:after="0"/>
              <w:rPr>
                <w:sz w:val="20"/>
                <w:szCs w:val="20"/>
                <w:color w:val="auto"/>
              </w:rPr>
            </w:pPr>
            <w:r>
              <w:rPr>
                <w:rFonts w:ascii="Arial" w:cs="Arial" w:eastAsia="Arial" w:hAnsi="Arial"/>
                <w:sz w:val="15"/>
                <w:szCs w:val="15"/>
                <w:color w:val="auto"/>
              </w:rPr>
              <w:t>51</w:t>
            </w: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460"/>
          </w:cols>
          <w:pgMar w:left="220" w:top="303"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10.9.</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U</w:t>
            </w:r>
            <w:r>
              <w:rPr>
                <w:rFonts w:ascii="Arial" w:cs="Arial" w:eastAsia="Arial" w:hAnsi="Arial"/>
                <w:sz w:val="10"/>
                <w:szCs w:val="10"/>
                <w:b w:val="1"/>
                <w:bCs w:val="1"/>
                <w:color w:val="auto"/>
              </w:rPr>
              <w:t>NINSURED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ASUALTY</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OSS</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51</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10.10.</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TTACHMENT</w:t>
            </w:r>
            <w:r>
              <w:rPr>
                <w:rFonts w:ascii="Arial" w:cs="Arial" w:eastAsia="Arial" w:hAnsi="Arial"/>
                <w:sz w:val="15"/>
                <w:szCs w:val="15"/>
                <w:b w:val="1"/>
                <w:bCs w:val="1"/>
                <w:color w:val="auto"/>
              </w:rPr>
              <w:t>; J</w:t>
            </w:r>
            <w:r>
              <w:rPr>
                <w:rFonts w:ascii="Arial" w:cs="Arial" w:eastAsia="Arial" w:hAnsi="Arial"/>
                <w:sz w:val="10"/>
                <w:szCs w:val="10"/>
                <w:b w:val="1"/>
                <w:bCs w:val="1"/>
                <w:color w:val="auto"/>
              </w:rPr>
              <w:t>UDGMENT</w:t>
            </w:r>
            <w:r>
              <w:rPr>
                <w:rFonts w:ascii="Arial" w:cs="Arial" w:eastAsia="Arial" w:hAnsi="Arial"/>
                <w:sz w:val="15"/>
                <w:szCs w:val="15"/>
                <w:b w:val="1"/>
                <w:bCs w:val="1"/>
                <w:color w:val="auto"/>
              </w:rPr>
              <w:t>; R</w:t>
            </w:r>
            <w:r>
              <w:rPr>
                <w:rFonts w:ascii="Arial" w:cs="Arial" w:eastAsia="Arial" w:hAnsi="Arial"/>
                <w:sz w:val="10"/>
                <w:szCs w:val="10"/>
                <w:b w:val="1"/>
                <w:bCs w:val="1"/>
                <w:color w:val="auto"/>
              </w:rPr>
              <w:t>ESTRAINT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USINESS</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51</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10.11.</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NDICTMENT</w:t>
            </w:r>
            <w:r>
              <w:rPr>
                <w:rFonts w:ascii="Arial" w:cs="Arial" w:eastAsia="Arial" w:hAnsi="Arial"/>
                <w:sz w:val="15"/>
                <w:szCs w:val="15"/>
                <w:b w:val="1"/>
                <w:bCs w:val="1"/>
                <w:color w:val="auto"/>
              </w:rPr>
              <w:t xml:space="preserve"> - F</w:t>
            </w:r>
            <w:r>
              <w:rPr>
                <w:rFonts w:ascii="Arial" w:cs="Arial" w:eastAsia="Arial" w:hAnsi="Arial"/>
                <w:sz w:val="10"/>
                <w:szCs w:val="10"/>
                <w:b w:val="1"/>
                <w:bCs w:val="1"/>
                <w:color w:val="auto"/>
              </w:rPr>
              <w:t>ORFEITURE</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51</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10.12.</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HALLENGE TO</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OAN</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OCUMENTS</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51</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10.13.</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HANGE</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ONTROL</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51</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10.14.</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B</w:t>
            </w:r>
            <w:r>
              <w:rPr>
                <w:rFonts w:ascii="Arial" w:cs="Arial" w:eastAsia="Arial" w:hAnsi="Arial"/>
                <w:sz w:val="10"/>
                <w:szCs w:val="10"/>
                <w:b w:val="1"/>
                <w:bCs w:val="1"/>
                <w:color w:val="auto"/>
              </w:rPr>
              <w:t>USINESS</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AILURE</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51</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10.15.</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B</w:t>
            </w:r>
            <w:r>
              <w:rPr>
                <w:rFonts w:ascii="Arial" w:cs="Arial" w:eastAsia="Arial" w:hAnsi="Arial"/>
                <w:sz w:val="10"/>
                <w:szCs w:val="10"/>
                <w:b w:val="1"/>
                <w:bCs w:val="1"/>
                <w:color w:val="auto"/>
              </w:rPr>
              <w:t>ANKRUPTCY</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52</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10.16.</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ERMINATION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USINESS</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52</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10.17.</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AYMENT OF</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NDEBTEDNESS</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52</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10.18.</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EFAULT BY</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UARANTOR</w:t>
            </w:r>
            <w:r>
              <w:rPr>
                <w:rFonts w:ascii="Arial" w:cs="Arial" w:eastAsia="Arial" w:hAnsi="Arial"/>
                <w:sz w:val="15"/>
                <w:szCs w:val="15"/>
                <w:b w:val="1"/>
                <w:bCs w:val="1"/>
                <w:color w:val="auto"/>
              </w:rPr>
              <w:t>; T</w:t>
            </w:r>
            <w:r>
              <w:rPr>
                <w:rFonts w:ascii="Arial" w:cs="Arial" w:eastAsia="Arial" w:hAnsi="Arial"/>
                <w:sz w:val="10"/>
                <w:szCs w:val="10"/>
                <w:b w:val="1"/>
                <w:bCs w:val="1"/>
                <w:color w:val="auto"/>
              </w:rPr>
              <w:t>ERMINATION OF</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UARANTY</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52</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10.19.</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M</w:t>
            </w:r>
            <w:r>
              <w:rPr>
                <w:rFonts w:ascii="Arial" w:cs="Arial" w:eastAsia="Arial" w:hAnsi="Arial"/>
                <w:sz w:val="10"/>
                <w:szCs w:val="10"/>
                <w:b w:val="1"/>
                <w:bCs w:val="1"/>
                <w:color w:val="auto"/>
              </w:rPr>
              <w:t>ATERIAL</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DVERSE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HANGE</w:t>
            </w:r>
            <w:r>
              <w:rPr>
                <w:rFonts w:ascii="Arial" w:cs="Arial" w:eastAsia="Arial" w:hAnsi="Arial"/>
                <w:sz w:val="15"/>
                <w:szCs w:val="15"/>
                <w:b w:val="1"/>
                <w:bCs w:val="1"/>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52"/>
        </w:trPr>
        <w:tc>
          <w:tcPr>
            <w:tcW w:w="8220" w:type="dxa"/>
            <w:vAlign w:val="bottom"/>
            <w:gridSpan w:val="2"/>
          </w:tcPr>
          <w:p>
            <w:pPr>
              <w:spacing w:after="0"/>
              <w:rPr>
                <w:sz w:val="20"/>
                <w:szCs w:val="20"/>
                <w:color w:val="auto"/>
              </w:rPr>
            </w:pPr>
            <w:r>
              <w:rPr>
                <w:rFonts w:ascii="Arial" w:cs="Arial" w:eastAsia="Arial" w:hAnsi="Arial"/>
                <w:sz w:val="15"/>
                <w:szCs w:val="15"/>
                <w:color w:val="auto"/>
              </w:rPr>
              <w:t>ARTICLE 11 - R</w:t>
            </w:r>
            <w:r>
              <w:rPr>
                <w:rFonts w:ascii="Arial" w:cs="Arial" w:eastAsia="Arial" w:hAnsi="Arial"/>
                <w:sz w:val="10"/>
                <w:szCs w:val="10"/>
                <w:color w:val="auto"/>
              </w:rPr>
              <w:t>IGHTS AND</w:t>
            </w:r>
            <w:r>
              <w:rPr>
                <w:rFonts w:ascii="Arial" w:cs="Arial" w:eastAsia="Arial" w:hAnsi="Arial"/>
                <w:sz w:val="15"/>
                <w:szCs w:val="15"/>
                <w:color w:val="auto"/>
              </w:rPr>
              <w:t xml:space="preserve"> R</w:t>
            </w:r>
            <w:r>
              <w:rPr>
                <w:rFonts w:ascii="Arial" w:cs="Arial" w:eastAsia="Arial" w:hAnsi="Arial"/>
                <w:sz w:val="10"/>
                <w:szCs w:val="10"/>
                <w:color w:val="auto"/>
              </w:rPr>
              <w:t>EMEDIES</w:t>
            </w:r>
            <w:r>
              <w:rPr>
                <w:rFonts w:ascii="Arial" w:cs="Arial" w:eastAsia="Arial" w:hAnsi="Arial"/>
                <w:sz w:val="15"/>
                <w:szCs w:val="15"/>
                <w:color w:val="auto"/>
              </w:rPr>
              <w:t xml:space="preserve"> U</w:t>
            </w:r>
            <w:r>
              <w:rPr>
                <w:rFonts w:ascii="Arial" w:cs="Arial" w:eastAsia="Arial" w:hAnsi="Arial"/>
                <w:sz w:val="10"/>
                <w:szCs w:val="10"/>
                <w:color w:val="auto"/>
              </w:rPr>
              <w:t>PON</w:t>
            </w:r>
            <w:r>
              <w:rPr>
                <w:rFonts w:ascii="Arial" w:cs="Arial" w:eastAsia="Arial" w:hAnsi="Arial"/>
                <w:sz w:val="15"/>
                <w:szCs w:val="15"/>
                <w:color w:val="auto"/>
              </w:rPr>
              <w:t xml:space="preserve"> D</w:t>
            </w:r>
            <w:r>
              <w:rPr>
                <w:rFonts w:ascii="Arial" w:cs="Arial" w:eastAsia="Arial" w:hAnsi="Arial"/>
                <w:sz w:val="10"/>
                <w:szCs w:val="10"/>
                <w:color w:val="auto"/>
              </w:rPr>
              <w:t>EFAULT</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11.1.</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CCELERATION</w:t>
            </w:r>
            <w:r>
              <w:rPr>
                <w:rFonts w:ascii="Arial" w:cs="Arial" w:eastAsia="Arial" w:hAnsi="Arial"/>
                <w:sz w:val="15"/>
                <w:szCs w:val="15"/>
                <w:b w:val="1"/>
                <w:bCs w:val="1"/>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11.2.</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IGHTS OF</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NFORCEMENT</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52</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11.3.</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S</w:t>
            </w:r>
            <w:r>
              <w:rPr>
                <w:rFonts w:ascii="Arial" w:cs="Arial" w:eastAsia="Arial" w:hAnsi="Arial"/>
                <w:sz w:val="10"/>
                <w:szCs w:val="10"/>
                <w:b w:val="1"/>
                <w:bCs w:val="1"/>
                <w:color w:val="auto"/>
              </w:rPr>
              <w:t>ALE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53</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11.4.</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O</w:t>
            </w:r>
            <w:r>
              <w:rPr>
                <w:rFonts w:ascii="Arial" w:cs="Arial" w:eastAsia="Arial" w:hAnsi="Arial"/>
                <w:sz w:val="10"/>
                <w:szCs w:val="10"/>
                <w:b w:val="1"/>
                <w:bCs w:val="1"/>
                <w:color w:val="auto"/>
              </w:rPr>
              <w:t>CCUPATION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USINESS</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OCATION</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53</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11.5.</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G</w:t>
            </w:r>
            <w:r>
              <w:rPr>
                <w:rFonts w:ascii="Arial" w:cs="Arial" w:eastAsia="Arial" w:hAnsi="Arial"/>
                <w:sz w:val="10"/>
                <w:szCs w:val="10"/>
                <w:b w:val="1"/>
                <w:bCs w:val="1"/>
                <w:color w:val="auto"/>
              </w:rPr>
              <w:t>RANT OF</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ONEXCLUSIVE</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ICENSE</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54</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11.6.</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SSEMBLY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54</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11.7.</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IGHTS AND</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EMEDIES</w:t>
            </w:r>
            <w:r>
              <w:rPr>
                <w:rFonts w:ascii="Arial" w:cs="Arial" w:eastAsia="Arial" w:hAnsi="Arial"/>
                <w:sz w:val="15"/>
                <w:szCs w:val="15"/>
                <w:b w:val="1"/>
                <w:bCs w:val="1"/>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52"/>
        </w:trPr>
        <w:tc>
          <w:tcPr>
            <w:tcW w:w="8220" w:type="dxa"/>
            <w:vAlign w:val="bottom"/>
            <w:gridSpan w:val="2"/>
          </w:tcPr>
          <w:p>
            <w:pPr>
              <w:spacing w:after="0"/>
              <w:rPr>
                <w:sz w:val="20"/>
                <w:szCs w:val="20"/>
                <w:color w:val="auto"/>
              </w:rPr>
            </w:pPr>
            <w:r>
              <w:rPr>
                <w:rFonts w:ascii="Arial" w:cs="Arial" w:eastAsia="Arial" w:hAnsi="Arial"/>
                <w:sz w:val="15"/>
                <w:szCs w:val="15"/>
                <w:color w:val="auto"/>
              </w:rPr>
              <w:t>ARTICLE 12 - L</w:t>
            </w:r>
            <w:r>
              <w:rPr>
                <w:rFonts w:ascii="Arial" w:cs="Arial" w:eastAsia="Arial" w:hAnsi="Arial"/>
                <w:sz w:val="10"/>
                <w:szCs w:val="10"/>
                <w:color w:val="auto"/>
              </w:rPr>
              <w:t>OAN</w:t>
            </w:r>
            <w:r>
              <w:rPr>
                <w:rFonts w:ascii="Arial" w:cs="Arial" w:eastAsia="Arial" w:hAnsi="Arial"/>
                <w:sz w:val="15"/>
                <w:szCs w:val="15"/>
                <w:color w:val="auto"/>
              </w:rPr>
              <w:t xml:space="preserve"> F</w:t>
            </w:r>
            <w:r>
              <w:rPr>
                <w:rFonts w:ascii="Arial" w:cs="Arial" w:eastAsia="Arial" w:hAnsi="Arial"/>
                <w:sz w:val="10"/>
                <w:szCs w:val="10"/>
                <w:color w:val="auto"/>
              </w:rPr>
              <w:t>UNDINGS AND</w:t>
            </w:r>
            <w:r>
              <w:rPr>
                <w:rFonts w:ascii="Arial" w:cs="Arial" w:eastAsia="Arial" w:hAnsi="Arial"/>
                <w:sz w:val="15"/>
                <w:szCs w:val="15"/>
                <w:color w:val="auto"/>
              </w:rPr>
              <w:t xml:space="preserve"> D</w:t>
            </w:r>
            <w:r>
              <w:rPr>
                <w:rFonts w:ascii="Arial" w:cs="Arial" w:eastAsia="Arial" w:hAnsi="Arial"/>
                <w:sz w:val="10"/>
                <w:szCs w:val="10"/>
                <w:color w:val="auto"/>
              </w:rPr>
              <w:t>ISTRIBUTIONS</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12.1.</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F</w:t>
            </w:r>
            <w:r>
              <w:rPr>
                <w:rFonts w:ascii="Arial" w:cs="Arial" w:eastAsia="Arial" w:hAnsi="Arial"/>
                <w:sz w:val="10"/>
                <w:szCs w:val="10"/>
                <w:b w:val="1"/>
                <w:bCs w:val="1"/>
                <w:color w:val="auto"/>
              </w:rPr>
              <w:t>UNDING</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ROCEDURES</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12.2.</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54</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12.3.</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ESERVED</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54</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12.4.</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O</w:t>
            </w:r>
            <w:r>
              <w:rPr>
                <w:rFonts w:ascii="Arial" w:cs="Arial" w:eastAsia="Arial" w:hAnsi="Arial"/>
                <w:sz w:val="10"/>
                <w:szCs w:val="10"/>
                <w:b w:val="1"/>
                <w:bCs w:val="1"/>
                <w:color w:val="auto"/>
              </w:rPr>
              <w:t>RDINARY</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OURSE</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ISTRIBUTIONS</w:t>
            </w:r>
            <w:r>
              <w:rPr>
                <w:rFonts w:ascii="Arial" w:cs="Arial" w:eastAsia="Arial" w:hAnsi="Arial"/>
                <w:sz w:val="15"/>
                <w:szCs w:val="15"/>
                <w:b w:val="1"/>
                <w:bCs w:val="1"/>
                <w:color w:val="auto"/>
              </w:rPr>
              <w:t>: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b w:val="1"/>
                <w:bCs w:val="1"/>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52"/>
        </w:trPr>
        <w:tc>
          <w:tcPr>
            <w:tcW w:w="8220" w:type="dxa"/>
            <w:vAlign w:val="bottom"/>
            <w:gridSpan w:val="2"/>
          </w:tcPr>
          <w:p>
            <w:pPr>
              <w:spacing w:after="0"/>
              <w:rPr>
                <w:sz w:val="20"/>
                <w:szCs w:val="20"/>
                <w:color w:val="auto"/>
              </w:rPr>
            </w:pPr>
            <w:r>
              <w:rPr>
                <w:rFonts w:ascii="Arial" w:cs="Arial" w:eastAsia="Arial" w:hAnsi="Arial"/>
                <w:sz w:val="15"/>
                <w:szCs w:val="15"/>
                <w:color w:val="auto"/>
              </w:rPr>
              <w:t>ARTICLE 13 - A</w:t>
            </w:r>
            <w:r>
              <w:rPr>
                <w:rFonts w:ascii="Arial" w:cs="Arial" w:eastAsia="Arial" w:hAnsi="Arial"/>
                <w:sz w:val="10"/>
                <w:szCs w:val="10"/>
                <w:color w:val="auto"/>
              </w:rPr>
              <w:t>CCELERATION AND</w:t>
            </w:r>
            <w:r>
              <w:rPr>
                <w:rFonts w:ascii="Arial" w:cs="Arial" w:eastAsia="Arial" w:hAnsi="Arial"/>
                <w:sz w:val="15"/>
                <w:szCs w:val="15"/>
                <w:color w:val="auto"/>
              </w:rPr>
              <w:t xml:space="preserve"> L</w:t>
            </w:r>
            <w:r>
              <w:rPr>
                <w:rFonts w:ascii="Arial" w:cs="Arial" w:eastAsia="Arial" w:hAnsi="Arial"/>
                <w:sz w:val="10"/>
                <w:szCs w:val="10"/>
                <w:color w:val="auto"/>
              </w:rPr>
              <w:t>IQUIDATION</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13.1.</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CCELERATION</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OTICES</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13.2.</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CCELERATION</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55</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13.3.</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NITIATION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55</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13.4.</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CTIONS</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T AND</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OLLOWING</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NITIATION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55</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13.5.</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ISTRIBUTION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ROCEEDS</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55</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13.6.</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ELATIVE</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RIORITIES</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ROCEEDS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5"/>
                <w:szCs w:val="15"/>
                <w:b w:val="1"/>
                <w:bCs w:val="1"/>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52"/>
        </w:trPr>
        <w:tc>
          <w:tcPr>
            <w:tcW w:w="8220" w:type="dxa"/>
            <w:vAlign w:val="bottom"/>
            <w:gridSpan w:val="2"/>
          </w:tcPr>
          <w:p>
            <w:pPr>
              <w:spacing w:after="0"/>
              <w:rPr>
                <w:sz w:val="20"/>
                <w:szCs w:val="20"/>
                <w:color w:val="auto"/>
              </w:rPr>
            </w:pPr>
            <w:r>
              <w:rPr>
                <w:rFonts w:ascii="Arial" w:cs="Arial" w:eastAsia="Arial" w:hAnsi="Arial"/>
                <w:sz w:val="15"/>
                <w:szCs w:val="15"/>
                <w:color w:val="auto"/>
              </w:rPr>
              <w:t>ARTICLE 14 - T</w:t>
            </w:r>
            <w:r>
              <w:rPr>
                <w:rFonts w:ascii="Arial" w:cs="Arial" w:eastAsia="Arial" w:hAnsi="Arial"/>
                <w:sz w:val="10"/>
                <w:szCs w:val="10"/>
                <w:color w:val="auto"/>
              </w:rPr>
              <w:t>HE</w:t>
            </w:r>
            <w:r>
              <w:rPr>
                <w:rFonts w:ascii="Arial" w:cs="Arial" w:eastAsia="Arial" w:hAnsi="Arial"/>
                <w:sz w:val="15"/>
                <w:szCs w:val="15"/>
                <w:color w:val="auto"/>
              </w:rPr>
              <w:t xml:space="preserve"> A</w:t>
            </w:r>
            <w:r>
              <w:rPr>
                <w:rFonts w:ascii="Arial" w:cs="Arial" w:eastAsia="Arial" w:hAnsi="Arial"/>
                <w:sz w:val="10"/>
                <w:szCs w:val="10"/>
                <w:color w:val="auto"/>
              </w:rPr>
              <w:t>GENTS</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14.1.</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PPOINTMENT OF THE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14.2.</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ESPONSIBILITIES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14.3.</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ONCERNING</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ISTRIBUTIONS</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Y THE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57</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14.4.</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ISPUTE</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ESOLUTION</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57</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14.5.</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ISTRIBUTIONS OF</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OTICES AND OF</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OCUMENTS</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58</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14.6.</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ONFIDENTIAL</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NFORMATION</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58</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14.7.</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ELIANCE</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Y</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58</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14.8.</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N</w:t>
            </w:r>
            <w:r>
              <w:rPr>
                <w:rFonts w:ascii="Arial" w:cs="Arial" w:eastAsia="Arial" w:hAnsi="Arial"/>
                <w:sz w:val="10"/>
                <w:szCs w:val="10"/>
                <w:b w:val="1"/>
                <w:bCs w:val="1"/>
                <w:color w:val="auto"/>
              </w:rPr>
              <w:t>ON</w:t>
            </w:r>
            <w:r>
              <w:rPr>
                <w:rFonts w:ascii="Arial" w:cs="Arial" w:eastAsia="Arial" w:hAnsi="Arial"/>
                <w:sz w:val="15"/>
                <w:szCs w:val="15"/>
                <w:b w:val="1"/>
                <w:bCs w:val="1"/>
                <w:color w:val="auto"/>
              </w:rPr>
              <w:t>-R</w:t>
            </w:r>
            <w:r>
              <w:rPr>
                <w:rFonts w:ascii="Arial" w:cs="Arial" w:eastAsia="Arial" w:hAnsi="Arial"/>
                <w:sz w:val="10"/>
                <w:szCs w:val="10"/>
                <w:b w:val="1"/>
                <w:bCs w:val="1"/>
                <w:color w:val="auto"/>
              </w:rPr>
              <w:t>ELIANCE ON</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 AND</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59</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14.9.</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NDEMNIFICATION</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59</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14.10.</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ESIGNATION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59</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14.11.</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NTERCREDITOR</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GREEMENT</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60</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14.12.</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B</w:t>
            </w:r>
            <w:r>
              <w:rPr>
                <w:rFonts w:ascii="Arial" w:cs="Arial" w:eastAsia="Arial" w:hAnsi="Arial"/>
                <w:sz w:val="10"/>
                <w:szCs w:val="10"/>
                <w:b w:val="1"/>
                <w:bCs w:val="1"/>
                <w:color w:val="auto"/>
              </w:rPr>
              <w:t>ANKING</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ERVICES</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XPOSURE</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52"/>
        </w:trPr>
        <w:tc>
          <w:tcPr>
            <w:tcW w:w="8220" w:type="dxa"/>
            <w:vAlign w:val="bottom"/>
            <w:gridSpan w:val="2"/>
          </w:tcPr>
          <w:p>
            <w:pPr>
              <w:spacing w:after="0"/>
              <w:rPr>
                <w:sz w:val="20"/>
                <w:szCs w:val="20"/>
                <w:color w:val="auto"/>
              </w:rPr>
            </w:pPr>
            <w:r>
              <w:rPr>
                <w:rFonts w:ascii="Arial" w:cs="Arial" w:eastAsia="Arial" w:hAnsi="Arial"/>
                <w:sz w:val="15"/>
                <w:szCs w:val="15"/>
                <w:color w:val="auto"/>
              </w:rPr>
              <w:t>ARTICLE 15 - A</w:t>
            </w:r>
            <w:r>
              <w:rPr>
                <w:rFonts w:ascii="Arial" w:cs="Arial" w:eastAsia="Arial" w:hAnsi="Arial"/>
                <w:sz w:val="10"/>
                <w:szCs w:val="10"/>
                <w:color w:val="auto"/>
              </w:rPr>
              <w:t>CTION</w:t>
            </w:r>
            <w:r>
              <w:rPr>
                <w:rFonts w:ascii="Arial" w:cs="Arial" w:eastAsia="Arial" w:hAnsi="Arial"/>
                <w:sz w:val="15"/>
                <w:szCs w:val="15"/>
                <w:color w:val="auto"/>
              </w:rPr>
              <w:t xml:space="preserve"> B</w:t>
            </w:r>
            <w:r>
              <w:rPr>
                <w:rFonts w:ascii="Arial" w:cs="Arial" w:eastAsia="Arial" w:hAnsi="Arial"/>
                <w:sz w:val="10"/>
                <w:szCs w:val="10"/>
                <w:color w:val="auto"/>
              </w:rPr>
              <w:t>Y</w:t>
            </w:r>
            <w:r>
              <w:rPr>
                <w:rFonts w:ascii="Arial" w:cs="Arial" w:eastAsia="Arial" w:hAnsi="Arial"/>
                <w:sz w:val="15"/>
                <w:szCs w:val="15"/>
                <w:color w:val="auto"/>
              </w:rPr>
              <w:t xml:space="preserve"> A</w:t>
            </w:r>
            <w:r>
              <w:rPr>
                <w:rFonts w:ascii="Arial" w:cs="Arial" w:eastAsia="Arial" w:hAnsi="Arial"/>
                <w:sz w:val="10"/>
                <w:szCs w:val="10"/>
                <w:color w:val="auto"/>
              </w:rPr>
              <w:t>GENTS</w:t>
            </w:r>
            <w:r>
              <w:rPr>
                <w:rFonts w:ascii="Arial" w:cs="Arial" w:eastAsia="Arial" w:hAnsi="Arial"/>
                <w:sz w:val="15"/>
                <w:szCs w:val="15"/>
                <w:color w:val="auto"/>
              </w:rPr>
              <w:t xml:space="preserve"> C</w:t>
            </w:r>
            <w:r>
              <w:rPr>
                <w:rFonts w:ascii="Arial" w:cs="Arial" w:eastAsia="Arial" w:hAnsi="Arial"/>
                <w:sz w:val="10"/>
                <w:szCs w:val="10"/>
                <w:color w:val="auto"/>
              </w:rPr>
              <w:t>ONSENTS</w:t>
            </w:r>
            <w:r>
              <w:rPr>
                <w:rFonts w:ascii="Arial" w:cs="Arial" w:eastAsia="Arial" w:hAnsi="Arial"/>
                <w:sz w:val="15"/>
                <w:szCs w:val="15"/>
                <w:color w:val="auto"/>
              </w:rPr>
              <w:t xml:space="preserve"> A</w:t>
            </w:r>
            <w:r>
              <w:rPr>
                <w:rFonts w:ascii="Arial" w:cs="Arial" w:eastAsia="Arial" w:hAnsi="Arial"/>
                <w:sz w:val="10"/>
                <w:szCs w:val="10"/>
                <w:color w:val="auto"/>
              </w:rPr>
              <w:t>MENDMENTS</w:t>
            </w:r>
            <w:r>
              <w:rPr>
                <w:rFonts w:ascii="Arial" w:cs="Arial" w:eastAsia="Arial" w:hAnsi="Arial"/>
                <w:sz w:val="15"/>
                <w:szCs w:val="15"/>
                <w:color w:val="auto"/>
              </w:rPr>
              <w:t xml:space="preserve"> W</w:t>
            </w:r>
            <w:r>
              <w:rPr>
                <w:rFonts w:ascii="Arial" w:cs="Arial" w:eastAsia="Arial" w:hAnsi="Arial"/>
                <w:sz w:val="10"/>
                <w:szCs w:val="10"/>
                <w:color w:val="auto"/>
              </w:rPr>
              <w:t>AIVERS</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15.1.</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DMINISTRATION OF</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b w:val="1"/>
                <w:bCs w:val="1"/>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15.2.</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CTIONS</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EQUIRING OR</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IRECTION OF</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AJORITY</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b w:val="1"/>
                <w:bCs w:val="1"/>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60</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15.3.</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CTION</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EQUIRING</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ERTAIN</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ONSENT</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60</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15.4.</w:t>
            </w:r>
          </w:p>
        </w:tc>
        <w:tc>
          <w:tcPr>
            <w:tcW w:w="742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M</w:t>
            </w:r>
            <w:r>
              <w:rPr>
                <w:rFonts w:ascii="Arial" w:cs="Arial" w:eastAsia="Arial" w:hAnsi="Arial"/>
                <w:sz w:val="10"/>
                <w:szCs w:val="10"/>
                <w:b w:val="1"/>
                <w:bCs w:val="1"/>
                <w:color w:val="auto"/>
              </w:rPr>
              <w:t>ISCELLANEOUS</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CTIONS</w:t>
            </w:r>
            <w:r>
              <w:rPr>
                <w:rFonts w:ascii="Arial" w:cs="Arial" w:eastAsia="Arial" w:hAnsi="Arial"/>
                <w:sz w:val="15"/>
                <w:szCs w:val="15"/>
                <w:color w:val="auto"/>
              </w:rPr>
              <w:t>.</w:t>
            </w:r>
          </w:p>
        </w:tc>
        <w:tc>
          <w:tcPr>
            <w:tcW w:w="3240" w:type="dxa"/>
            <w:vAlign w:val="bottom"/>
          </w:tcPr>
          <w:p>
            <w:pPr>
              <w:jc w:val="right"/>
              <w:spacing w:after="0" w:line="172" w:lineRule="exact"/>
              <w:rPr>
                <w:sz w:val="20"/>
                <w:szCs w:val="20"/>
                <w:color w:val="auto"/>
              </w:rPr>
            </w:pPr>
            <w:r>
              <w:rPr>
                <w:rFonts w:ascii="Arial" w:cs="Arial" w:eastAsia="Arial" w:hAnsi="Arial"/>
                <w:sz w:val="15"/>
                <w:szCs w:val="15"/>
                <w:color w:val="auto"/>
              </w:rPr>
              <w:t>61</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15.5.</w:t>
            </w:r>
          </w:p>
        </w:tc>
        <w:tc>
          <w:tcPr>
            <w:tcW w:w="7420" w:type="dxa"/>
            <w:vAlign w:val="bottom"/>
          </w:tcPr>
          <w:p>
            <w:pPr>
              <w:ind w:left="36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CTIONS</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EQUIRING</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ORROWERS</w:t>
            </w:r>
            <w:r>
              <w:rPr>
                <w:rFonts w:ascii="Arial" w:cs="Arial" w:eastAsia="Arial" w:hAnsi="Arial"/>
                <w:sz w:val="15"/>
                <w:szCs w:val="15"/>
                <w:b w:val="1"/>
                <w:bCs w:val="1"/>
                <w:color w:val="auto"/>
              </w:rPr>
              <w:t>’ R</w:t>
            </w:r>
            <w:r>
              <w:rPr>
                <w:rFonts w:ascii="Arial" w:cs="Arial" w:eastAsia="Arial" w:hAnsi="Arial"/>
                <w:sz w:val="10"/>
                <w:szCs w:val="10"/>
                <w:b w:val="1"/>
                <w:bCs w:val="1"/>
                <w:color w:val="auto"/>
              </w:rPr>
              <w:t>EPRESENTATIVE</w:t>
            </w:r>
            <w:r>
              <w:rPr>
                <w:rFonts w:ascii="Arial" w:cs="Arial" w:eastAsia="Arial" w:hAnsi="Arial"/>
                <w:sz w:val="15"/>
                <w:szCs w:val="15"/>
                <w:b w:val="1"/>
                <w:bCs w:val="1"/>
                <w:color w:val="auto"/>
              </w:rPr>
              <w:t>’</w:t>
            </w:r>
            <w:r>
              <w:rPr>
                <w:rFonts w:ascii="Arial" w:cs="Arial" w:eastAsia="Arial" w:hAnsi="Arial"/>
                <w:sz w:val="10"/>
                <w:szCs w:val="10"/>
                <w:b w:val="1"/>
                <w:bCs w:val="1"/>
                <w:color w:val="auto"/>
              </w:rPr>
              <w:t>S</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ONSENT</w:t>
            </w:r>
            <w:r>
              <w:rPr>
                <w:rFonts w:ascii="Arial" w:cs="Arial" w:eastAsia="Arial" w:hAnsi="Arial"/>
                <w:sz w:val="15"/>
                <w:szCs w:val="15"/>
                <w:color w:val="auto"/>
              </w:rPr>
              <w:t>.</w:t>
            </w:r>
          </w:p>
        </w:tc>
        <w:tc>
          <w:tcPr>
            <w:tcW w:w="3240" w:type="dxa"/>
            <w:vAlign w:val="bottom"/>
          </w:tcPr>
          <w:p>
            <w:pPr>
              <w:jc w:val="right"/>
              <w:spacing w:after="0"/>
              <w:rPr>
                <w:sz w:val="20"/>
                <w:szCs w:val="20"/>
                <w:color w:val="auto"/>
              </w:rPr>
            </w:pPr>
            <w:r>
              <w:rPr>
                <w:rFonts w:ascii="Arial" w:cs="Arial" w:eastAsia="Arial" w:hAnsi="Arial"/>
                <w:sz w:val="15"/>
                <w:szCs w:val="15"/>
                <w:color w:val="auto"/>
              </w:rPr>
              <w:t>61</w:t>
            </w: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60"/>
          </w:cols>
          <w:pgMar w:left="220" w:top="303"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15.6.</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0"/>
                <w:szCs w:val="10"/>
                <w:b w:val="1"/>
                <w:bCs w:val="1"/>
                <w:color w:val="auto"/>
              </w:rPr>
              <w:t>ONCONSENTING</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52"/>
        </w:trPr>
        <w:tc>
          <w:tcPr>
            <w:tcW w:w="7840" w:type="dxa"/>
            <w:vAlign w:val="bottom"/>
            <w:gridSpan w:val="2"/>
          </w:tcPr>
          <w:p>
            <w:pPr>
              <w:spacing w:after="0"/>
              <w:rPr>
                <w:sz w:val="20"/>
                <w:szCs w:val="20"/>
                <w:color w:val="auto"/>
              </w:rPr>
            </w:pPr>
            <w:r>
              <w:rPr>
                <w:rFonts w:ascii="Arial" w:cs="Arial" w:eastAsia="Arial" w:hAnsi="Arial"/>
                <w:sz w:val="15"/>
                <w:szCs w:val="15"/>
                <w:color w:val="auto"/>
              </w:rPr>
              <w:t>ARTICLE 16 - A</w:t>
            </w:r>
            <w:r>
              <w:rPr>
                <w:rFonts w:ascii="Arial" w:cs="Arial" w:eastAsia="Arial" w:hAnsi="Arial"/>
                <w:sz w:val="10"/>
                <w:szCs w:val="10"/>
                <w:color w:val="auto"/>
              </w:rPr>
              <w:t>SSIGNMENTS</w:t>
            </w:r>
            <w:r>
              <w:rPr>
                <w:rFonts w:ascii="Arial" w:cs="Arial" w:eastAsia="Arial" w:hAnsi="Arial"/>
                <w:sz w:val="15"/>
                <w:szCs w:val="15"/>
                <w:color w:val="auto"/>
              </w:rPr>
              <w:t xml:space="preserve"> B</w:t>
            </w:r>
            <w:r>
              <w:rPr>
                <w:rFonts w:ascii="Arial" w:cs="Arial" w:eastAsia="Arial" w:hAnsi="Arial"/>
                <w:sz w:val="10"/>
                <w:szCs w:val="10"/>
                <w:color w:val="auto"/>
              </w:rPr>
              <w:t>Y</w:t>
            </w:r>
            <w:r>
              <w:rPr>
                <w:rFonts w:ascii="Arial" w:cs="Arial" w:eastAsia="Arial" w:hAnsi="Arial"/>
                <w:sz w:val="15"/>
                <w:szCs w:val="15"/>
                <w:color w:val="auto"/>
              </w:rPr>
              <w:t xml:space="preserve"> T</w:t>
            </w:r>
            <w:r>
              <w:rPr>
                <w:rFonts w:ascii="Arial" w:cs="Arial" w:eastAsia="Arial" w:hAnsi="Arial"/>
                <w:sz w:val="10"/>
                <w:szCs w:val="10"/>
                <w:color w:val="auto"/>
              </w:rPr>
              <w:t>ERM</w:t>
            </w:r>
            <w:r>
              <w:rPr>
                <w:rFonts w:ascii="Arial" w:cs="Arial" w:eastAsia="Arial" w:hAnsi="Arial"/>
                <w:sz w:val="15"/>
                <w:szCs w:val="15"/>
                <w:color w:val="auto"/>
              </w:rPr>
              <w:t xml:space="preserve"> L</w:t>
            </w:r>
            <w:r>
              <w:rPr>
                <w:rFonts w:ascii="Arial" w:cs="Arial" w:eastAsia="Arial" w:hAnsi="Arial"/>
                <w:sz w:val="10"/>
                <w:szCs w:val="10"/>
                <w:color w:val="auto"/>
              </w:rPr>
              <w:t>ENDERS</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16.1.</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SSIGNMENTS AND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SSUMPTIONS</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16.2.</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SSIGNMENT</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ROCEDURES</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63</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16.3.</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0"/>
                <w:szCs w:val="10"/>
                <w:b w:val="1"/>
                <w:bCs w:val="1"/>
                <w:color w:val="auto"/>
              </w:rPr>
              <w:t>FFECT</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SSIGNMENT</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52"/>
        </w:trPr>
        <w:tc>
          <w:tcPr>
            <w:tcW w:w="7840" w:type="dxa"/>
            <w:vAlign w:val="bottom"/>
            <w:gridSpan w:val="2"/>
          </w:tcPr>
          <w:p>
            <w:pPr>
              <w:spacing w:after="0"/>
              <w:rPr>
                <w:sz w:val="20"/>
                <w:szCs w:val="20"/>
                <w:color w:val="auto"/>
              </w:rPr>
            </w:pPr>
            <w:r>
              <w:rPr>
                <w:rFonts w:ascii="Arial" w:cs="Arial" w:eastAsia="Arial" w:hAnsi="Arial"/>
                <w:sz w:val="15"/>
                <w:szCs w:val="15"/>
                <w:color w:val="auto"/>
              </w:rPr>
              <w:t>ARTICLE 17 - N</w:t>
            </w:r>
            <w:r>
              <w:rPr>
                <w:rFonts w:ascii="Arial" w:cs="Arial" w:eastAsia="Arial" w:hAnsi="Arial"/>
                <w:sz w:val="10"/>
                <w:szCs w:val="10"/>
                <w:color w:val="auto"/>
              </w:rPr>
              <w:t>OTICES</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17.1.</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0"/>
                <w:szCs w:val="10"/>
                <w:b w:val="1"/>
                <w:bCs w:val="1"/>
                <w:color w:val="auto"/>
              </w:rPr>
              <w:t>OTICE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DDRESSES</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17.2.</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N</w:t>
            </w:r>
            <w:r>
              <w:rPr>
                <w:rFonts w:ascii="Arial" w:cs="Arial" w:eastAsia="Arial" w:hAnsi="Arial"/>
                <w:sz w:val="10"/>
                <w:szCs w:val="10"/>
                <w:b w:val="1"/>
                <w:bCs w:val="1"/>
                <w:color w:val="auto"/>
              </w:rPr>
              <w:t>OTICE</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IVEN</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64</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17.3.</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W</w:t>
            </w:r>
            <w:r>
              <w:rPr>
                <w:rFonts w:ascii="Arial" w:cs="Arial" w:eastAsia="Arial" w:hAnsi="Arial"/>
                <w:sz w:val="10"/>
                <w:szCs w:val="10"/>
                <w:b w:val="1"/>
                <w:bCs w:val="1"/>
                <w:color w:val="auto"/>
              </w:rPr>
              <w:t>IRE</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NSTRUCTIONS</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52"/>
        </w:trPr>
        <w:tc>
          <w:tcPr>
            <w:tcW w:w="7840" w:type="dxa"/>
            <w:vAlign w:val="bottom"/>
            <w:gridSpan w:val="2"/>
          </w:tcPr>
          <w:p>
            <w:pPr>
              <w:spacing w:after="0"/>
              <w:rPr>
                <w:sz w:val="20"/>
                <w:szCs w:val="20"/>
                <w:color w:val="auto"/>
              </w:rPr>
            </w:pPr>
            <w:r>
              <w:rPr>
                <w:rFonts w:ascii="Arial" w:cs="Arial" w:eastAsia="Arial" w:hAnsi="Arial"/>
                <w:sz w:val="15"/>
                <w:szCs w:val="15"/>
                <w:color w:val="auto"/>
              </w:rPr>
              <w:t>ARTICLE 18 - T</w:t>
            </w:r>
            <w:r>
              <w:rPr>
                <w:rFonts w:ascii="Arial" w:cs="Arial" w:eastAsia="Arial" w:hAnsi="Arial"/>
                <w:sz w:val="10"/>
                <w:szCs w:val="10"/>
                <w:color w:val="auto"/>
              </w:rPr>
              <w:t>ERM</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18.1.</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T</w:t>
            </w:r>
            <w:r>
              <w:rPr>
                <w:rFonts w:ascii="Arial" w:cs="Arial" w:eastAsia="Arial" w:hAnsi="Arial"/>
                <w:sz w:val="10"/>
                <w:szCs w:val="10"/>
                <w:b w:val="1"/>
                <w:bCs w:val="1"/>
                <w:color w:val="auto"/>
              </w:rPr>
              <w:t>ERMINATION OF</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18.2.</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CTIONS ON</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ERMINATION</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52"/>
        </w:trPr>
        <w:tc>
          <w:tcPr>
            <w:tcW w:w="7840" w:type="dxa"/>
            <w:vAlign w:val="bottom"/>
            <w:gridSpan w:val="2"/>
          </w:tcPr>
          <w:p>
            <w:pPr>
              <w:spacing w:after="0"/>
              <w:rPr>
                <w:sz w:val="20"/>
                <w:szCs w:val="20"/>
                <w:color w:val="auto"/>
              </w:rPr>
            </w:pPr>
            <w:r>
              <w:rPr>
                <w:rFonts w:ascii="Arial" w:cs="Arial" w:eastAsia="Arial" w:hAnsi="Arial"/>
                <w:sz w:val="15"/>
                <w:szCs w:val="15"/>
                <w:color w:val="auto"/>
              </w:rPr>
              <w:t>ARTICLE 19 - G</w:t>
            </w:r>
            <w:r>
              <w:rPr>
                <w:rFonts w:ascii="Arial" w:cs="Arial" w:eastAsia="Arial" w:hAnsi="Arial"/>
                <w:sz w:val="10"/>
                <w:szCs w:val="10"/>
                <w:color w:val="auto"/>
              </w:rPr>
              <w:t>ENERAL</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3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19.1.</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ROTECTION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19.2.</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UBLICITY</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19.3.</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S</w:t>
            </w:r>
            <w:r>
              <w:rPr>
                <w:rFonts w:ascii="Arial" w:cs="Arial" w:eastAsia="Arial" w:hAnsi="Arial"/>
                <w:sz w:val="10"/>
                <w:szCs w:val="10"/>
                <w:b w:val="1"/>
                <w:bCs w:val="1"/>
                <w:color w:val="auto"/>
              </w:rPr>
              <w:t>UCCESSORS AND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SSIGNS</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19.4.</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S</w:t>
            </w:r>
            <w:r>
              <w:rPr>
                <w:rFonts w:ascii="Arial" w:cs="Arial" w:eastAsia="Arial" w:hAnsi="Arial"/>
                <w:sz w:val="10"/>
                <w:szCs w:val="10"/>
                <w:b w:val="1"/>
                <w:bCs w:val="1"/>
                <w:color w:val="auto"/>
              </w:rPr>
              <w:t>EVERABILITY</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19.5.</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MENDMENTS</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19.6.</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OWER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TTORNEY</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19.7.</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PPLICATION OF</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ROCEEDS</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66</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19.8.</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NCREASED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OSTS</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67</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19.9.</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OSTS AND</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XPENSES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 AND</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67</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19.10.</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OPIES</w:t>
            </w:r>
            <w:r>
              <w:rPr>
                <w:rFonts w:ascii="Arial" w:cs="Arial" w:eastAsia="Arial" w:hAnsi="Arial"/>
                <w:sz w:val="15"/>
                <w:szCs w:val="15"/>
                <w:b w:val="1"/>
                <w:bCs w:val="1"/>
                <w:color w:val="auto"/>
              </w:rPr>
              <w:t>, F</w:t>
            </w:r>
            <w:r>
              <w:rPr>
                <w:rFonts w:ascii="Arial" w:cs="Arial" w:eastAsia="Arial" w:hAnsi="Arial"/>
                <w:sz w:val="10"/>
                <w:szCs w:val="10"/>
                <w:b w:val="1"/>
                <w:bCs w:val="1"/>
                <w:color w:val="auto"/>
              </w:rPr>
              <w:t>ACSIMILES AND</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LECTRONIC</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OMMUNICATIONS</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67</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19.11.</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MASSACHUSETTS L</w:t>
            </w:r>
            <w:r>
              <w:rPr>
                <w:rFonts w:ascii="Arial" w:cs="Arial" w:eastAsia="Arial" w:hAnsi="Arial"/>
                <w:sz w:val="10"/>
                <w:szCs w:val="10"/>
                <w:b w:val="1"/>
                <w:bCs w:val="1"/>
                <w:color w:val="auto"/>
              </w:rPr>
              <w:t>AW</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68</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19.12.</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NDEMNIFICATION</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68</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19.13.</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ULES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ONSTRUCTION</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68</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19.14.</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NTENT</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69</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19.15.</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ARTICIPATIONS</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69</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19.16.</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IGHT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ET</w:t>
            </w:r>
            <w:r>
              <w:rPr>
                <w:rFonts w:ascii="Arial" w:cs="Arial" w:eastAsia="Arial" w:hAnsi="Arial"/>
                <w:sz w:val="15"/>
                <w:szCs w:val="15"/>
                <w:b w:val="1"/>
                <w:bCs w:val="1"/>
                <w:color w:val="auto"/>
              </w:rPr>
              <w:t>-O</w:t>
            </w:r>
            <w:r>
              <w:rPr>
                <w:rFonts w:ascii="Arial" w:cs="Arial" w:eastAsia="Arial" w:hAnsi="Arial"/>
                <w:sz w:val="10"/>
                <w:szCs w:val="10"/>
                <w:b w:val="1"/>
                <w:bCs w:val="1"/>
                <w:color w:val="auto"/>
              </w:rPr>
              <w:t>FF</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69</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19.17.</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LEDGES</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EDERAL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ESERVE</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ANKS</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70</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19.18.</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M</w:t>
            </w:r>
            <w:r>
              <w:rPr>
                <w:rFonts w:ascii="Arial" w:cs="Arial" w:eastAsia="Arial" w:hAnsi="Arial"/>
                <w:sz w:val="10"/>
                <w:szCs w:val="10"/>
                <w:b w:val="1"/>
                <w:bCs w:val="1"/>
                <w:color w:val="auto"/>
              </w:rPr>
              <w:t>AXIMUM</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NTEREST</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ATE</w:t>
            </w:r>
            <w:r>
              <w:rPr>
                <w:rFonts w:ascii="Arial" w:cs="Arial" w:eastAsia="Arial" w:hAnsi="Arial"/>
                <w:sz w:val="15"/>
                <w:szCs w:val="15"/>
                <w:b w:val="1"/>
                <w:bCs w:val="1"/>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70</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19.19.</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W</w:t>
            </w:r>
            <w:r>
              <w:rPr>
                <w:rFonts w:ascii="Arial" w:cs="Arial" w:eastAsia="Arial" w:hAnsi="Arial"/>
                <w:sz w:val="10"/>
                <w:szCs w:val="10"/>
                <w:b w:val="1"/>
                <w:bCs w:val="1"/>
                <w:color w:val="auto"/>
              </w:rPr>
              <w:t>AIVERS</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70</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19.20.</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A</w:t>
            </w:r>
            <w:r>
              <w:rPr>
                <w:rFonts w:ascii="Arial" w:cs="Arial" w:eastAsia="Arial" w:hAnsi="Arial"/>
                <w:sz w:val="10"/>
                <w:szCs w:val="10"/>
                <w:b w:val="1"/>
                <w:bCs w:val="1"/>
                <w:color w:val="auto"/>
              </w:rPr>
              <w:t>DDITIONAL</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AIVERS</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70</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19.21.</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I</w:t>
            </w:r>
            <w:r>
              <w:rPr>
                <w:rFonts w:ascii="Arial" w:cs="Arial" w:eastAsia="Arial" w:hAnsi="Arial"/>
                <w:sz w:val="10"/>
                <w:szCs w:val="10"/>
                <w:b w:val="1"/>
                <w:bCs w:val="1"/>
                <w:color w:val="auto"/>
              </w:rPr>
              <w:t>NTERCREDITOR</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GREEMENT</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71</w:t>
            </w:r>
          </w:p>
        </w:tc>
      </w:tr>
      <w:tr>
        <w:trPr>
          <w:trHeight w:val="171"/>
        </w:trPr>
        <w:tc>
          <w:tcPr>
            <w:tcW w:w="800" w:type="dxa"/>
            <w:vAlign w:val="bottom"/>
          </w:tcPr>
          <w:p>
            <w:pPr>
              <w:ind w:left="100"/>
              <w:spacing w:after="0" w:line="172" w:lineRule="exact"/>
              <w:rPr>
                <w:sz w:val="20"/>
                <w:szCs w:val="20"/>
                <w:color w:val="auto"/>
              </w:rPr>
            </w:pPr>
            <w:r>
              <w:rPr>
                <w:rFonts w:ascii="Arial" w:cs="Arial" w:eastAsia="Arial" w:hAnsi="Arial"/>
                <w:sz w:val="15"/>
                <w:szCs w:val="15"/>
                <w:b w:val="1"/>
                <w:bCs w:val="1"/>
                <w:color w:val="auto"/>
              </w:rPr>
              <w:t>19.22.</w:t>
            </w:r>
          </w:p>
        </w:tc>
        <w:tc>
          <w:tcPr>
            <w:tcW w:w="7040" w:type="dxa"/>
            <w:vAlign w:val="bottom"/>
          </w:tcPr>
          <w:p>
            <w:pPr>
              <w:ind w:left="360"/>
              <w:spacing w:after="0" w:line="172" w:lineRule="exact"/>
              <w:rPr>
                <w:sz w:val="20"/>
                <w:szCs w:val="20"/>
                <w:color w:val="auto"/>
              </w:rPr>
            </w:pPr>
            <w:r>
              <w:rPr>
                <w:rFonts w:ascii="Arial" w:cs="Arial" w:eastAsia="Arial" w:hAnsi="Arial"/>
                <w:sz w:val="15"/>
                <w:szCs w:val="15"/>
                <w:b w:val="1"/>
                <w:bCs w:val="1"/>
                <w:color w:val="auto"/>
              </w:rPr>
              <w:t>P</w:t>
            </w:r>
            <w:r>
              <w:rPr>
                <w:rFonts w:ascii="Arial" w:cs="Arial" w:eastAsia="Arial" w:hAnsi="Arial"/>
                <w:sz w:val="10"/>
                <w:szCs w:val="10"/>
                <w:b w:val="1"/>
                <w:bCs w:val="1"/>
                <w:color w:val="auto"/>
              </w:rPr>
              <w:t>ATRIOT</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CT</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OTICE</w:t>
            </w:r>
            <w:r>
              <w:rPr>
                <w:rFonts w:ascii="Arial" w:cs="Arial" w:eastAsia="Arial" w:hAnsi="Arial"/>
                <w:sz w:val="15"/>
                <w:szCs w:val="15"/>
                <w:color w:val="auto"/>
              </w:rPr>
              <w:t>.</w:t>
            </w:r>
          </w:p>
        </w:tc>
        <w:tc>
          <w:tcPr>
            <w:tcW w:w="3620" w:type="dxa"/>
            <w:vAlign w:val="bottom"/>
          </w:tcPr>
          <w:p>
            <w:pPr>
              <w:jc w:val="right"/>
              <w:spacing w:after="0" w:line="172" w:lineRule="exact"/>
              <w:rPr>
                <w:sz w:val="20"/>
                <w:szCs w:val="20"/>
                <w:color w:val="auto"/>
              </w:rPr>
            </w:pPr>
            <w:r>
              <w:rPr>
                <w:rFonts w:ascii="Arial" w:cs="Arial" w:eastAsia="Arial" w:hAnsi="Arial"/>
                <w:sz w:val="15"/>
                <w:szCs w:val="15"/>
                <w:color w:val="auto"/>
              </w:rPr>
              <w:t>71</w:t>
            </w:r>
          </w:p>
        </w:tc>
      </w:tr>
      <w:tr>
        <w:trPr>
          <w:trHeight w:val="192"/>
        </w:trPr>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19.23.</w:t>
            </w:r>
          </w:p>
        </w:tc>
        <w:tc>
          <w:tcPr>
            <w:tcW w:w="7040" w:type="dxa"/>
            <w:vAlign w:val="bottom"/>
          </w:tcPr>
          <w:p>
            <w:pPr>
              <w:ind w:left="360"/>
              <w:spacing w:after="0"/>
              <w:rPr>
                <w:sz w:val="20"/>
                <w:szCs w:val="20"/>
                <w:color w:val="auto"/>
              </w:rPr>
            </w:pPr>
            <w:r>
              <w:rPr>
                <w:rFonts w:ascii="Arial" w:cs="Arial" w:eastAsia="Arial" w:hAnsi="Arial"/>
                <w:sz w:val="15"/>
                <w:szCs w:val="15"/>
                <w:b w:val="1"/>
                <w:bCs w:val="1"/>
                <w:color w:val="auto"/>
              </w:rPr>
              <w:t>C</w:t>
            </w:r>
            <w:r>
              <w:rPr>
                <w:rFonts w:ascii="Arial" w:cs="Arial" w:eastAsia="Arial" w:hAnsi="Arial"/>
                <w:sz w:val="10"/>
                <w:szCs w:val="10"/>
                <w:b w:val="1"/>
                <w:bCs w:val="1"/>
                <w:color w:val="auto"/>
              </w:rPr>
              <w:t>OUNTERPARTS</w:t>
            </w:r>
            <w:r>
              <w:rPr>
                <w:rFonts w:ascii="Arial" w:cs="Arial" w:eastAsia="Arial" w:hAnsi="Arial"/>
                <w:sz w:val="15"/>
                <w:szCs w:val="15"/>
                <w:b w:val="1"/>
                <w:bCs w:val="1"/>
                <w:color w:val="auto"/>
              </w:rPr>
              <w:t>; I</w:t>
            </w:r>
            <w:r>
              <w:rPr>
                <w:rFonts w:ascii="Arial" w:cs="Arial" w:eastAsia="Arial" w:hAnsi="Arial"/>
                <w:sz w:val="10"/>
                <w:szCs w:val="10"/>
                <w:b w:val="1"/>
                <w:bCs w:val="1"/>
                <w:color w:val="auto"/>
              </w:rPr>
              <w:t>NTEGRATION</w:t>
            </w:r>
            <w:r>
              <w:rPr>
                <w:rFonts w:ascii="Arial" w:cs="Arial" w:eastAsia="Arial" w:hAnsi="Arial"/>
                <w:sz w:val="15"/>
                <w:szCs w:val="15"/>
                <w:b w:val="1"/>
                <w:bCs w:val="1"/>
                <w:color w:val="auto"/>
              </w:rPr>
              <w:t>; E</w:t>
            </w:r>
            <w:r>
              <w:rPr>
                <w:rFonts w:ascii="Arial" w:cs="Arial" w:eastAsia="Arial" w:hAnsi="Arial"/>
                <w:sz w:val="10"/>
                <w:szCs w:val="10"/>
                <w:b w:val="1"/>
                <w:bCs w:val="1"/>
                <w:color w:val="auto"/>
              </w:rPr>
              <w:t>FFECTIVENESS</w:t>
            </w:r>
            <w:r>
              <w:rPr>
                <w:rFonts w:ascii="Arial" w:cs="Arial" w:eastAsia="Arial" w:hAnsi="Arial"/>
                <w:sz w:val="15"/>
                <w:szCs w:val="15"/>
                <w:color w:val="auto"/>
              </w:rPr>
              <w:t>.</w:t>
            </w:r>
          </w:p>
        </w:tc>
        <w:tc>
          <w:tcPr>
            <w:tcW w:w="3620" w:type="dxa"/>
            <w:vAlign w:val="bottom"/>
          </w:tcPr>
          <w:p>
            <w:pPr>
              <w:jc w:val="right"/>
              <w:spacing w:after="0"/>
              <w:rPr>
                <w:sz w:val="20"/>
                <w:szCs w:val="20"/>
                <w:color w:val="auto"/>
              </w:rPr>
            </w:pPr>
            <w:r>
              <w:rPr>
                <w:rFonts w:ascii="Arial" w:cs="Arial" w:eastAsia="Arial" w:hAnsi="Arial"/>
                <w:sz w:val="15"/>
                <w:szCs w:val="15"/>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(iv)</w:t>
      </w:r>
    </w:p>
    <w:p>
      <w:pPr>
        <w:sectPr>
          <w:pgSz w:w="11900" w:h="16838" w:orient="portrait"/>
          <w:cols w:equalWidth="0" w:num="1">
            <w:col w:w="11460"/>
          </w:cols>
          <w:pgMar w:left="220" w:top="304" w:right="219" w:bottom="1440" w:gutter="0" w:footer="0" w:header="0"/>
        </w:sectPr>
      </w:pPr>
    </w:p>
    <w:bookmarkStart w:id="57" w:name="page58"/>
    <w:bookmarkEnd w:id="57"/>
    <w:p>
      <w:pPr>
        <w:jc w:val="right"/>
        <w:ind w:right="4159"/>
        <w:spacing w:after="0"/>
        <w:rPr>
          <w:sz w:val="20"/>
          <w:szCs w:val="20"/>
          <w:color w:val="auto"/>
        </w:rPr>
      </w:pPr>
      <w:r>
        <w:rPr>
          <w:rFonts w:ascii="Arial" w:cs="Arial" w:eastAsia="Arial" w:hAnsi="Arial"/>
          <w:sz w:val="15"/>
          <w:szCs w:val="15"/>
          <w:b w:val="1"/>
          <w:bCs w:val="1"/>
          <w:i w:val="1"/>
          <w:iCs w:val="1"/>
          <w:color w:val="auto"/>
        </w:rPr>
        <w:t>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color w:val="auto"/>
              </w:rPr>
              <w:t>1.0(a)</w:t>
            </w: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340" w:type="dxa"/>
            <w:vAlign w:val="bottom"/>
          </w:tcPr>
          <w:p>
            <w:pPr>
              <w:ind w:left="260"/>
              <w:spacing w:after="0"/>
              <w:rPr>
                <w:sz w:val="20"/>
                <w:szCs w:val="20"/>
                <w:color w:val="auto"/>
              </w:rPr>
            </w:pPr>
            <w:r>
              <w:rPr>
                <w:rFonts w:ascii="Arial" w:cs="Arial" w:eastAsia="Arial" w:hAnsi="Arial"/>
                <w:sz w:val="15"/>
                <w:szCs w:val="15"/>
                <w:color w:val="auto"/>
              </w:rPr>
              <w:t>Casual Male Companies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1.0(b)</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Guarantors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1.1</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Permitted Encumbrances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1.01</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w w:val="91"/>
              </w:rPr>
              <w:t>DXL Stores and BALC Equipment</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2.10</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Term Note</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2.21</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Term Lenders’ Commitments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4.2</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Loan Parties’ Information</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4.3</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Trade Names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4.4(b)</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Exceptions to Property Rights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4.5</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w w:val="91"/>
              </w:rPr>
              <w:t>Locations, Leases, and Landlords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4.7(b)</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Consigned Inventory</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4.9</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Insurance Policies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4.11</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Capital Leases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4.13(a)</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Labor Relations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4.19</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Litigation</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4.25</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Franchise Location</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4.28(b)</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Contingent Obligations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5.4</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Borrowing Base Certificate</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5.8</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Compliance Certificate</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7.1</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DDAs</w:t>
            </w:r>
          </w:p>
        </w:tc>
      </w:tr>
      <w:tr>
        <w:trPr>
          <w:trHeight w:val="171"/>
        </w:trPr>
        <w:tc>
          <w:tcPr>
            <w:tcW w:w="800" w:type="dxa"/>
            <w:vAlign w:val="bottom"/>
          </w:tcPr>
          <w:p>
            <w:pPr>
              <w:spacing w:after="0" w:line="172" w:lineRule="exact"/>
              <w:rPr>
                <w:sz w:val="20"/>
                <w:szCs w:val="20"/>
                <w:color w:val="auto"/>
              </w:rPr>
            </w:pPr>
            <w:r>
              <w:rPr>
                <w:rFonts w:ascii="Arial" w:cs="Arial" w:eastAsia="Arial" w:hAnsi="Arial"/>
                <w:sz w:val="15"/>
                <w:szCs w:val="15"/>
                <w:color w:val="auto"/>
              </w:rPr>
              <w:t>7.2</w:t>
            </w:r>
          </w:p>
        </w:tc>
        <w:tc>
          <w:tcPr>
            <w:tcW w:w="660" w:type="dxa"/>
            <w:vAlign w:val="bottom"/>
          </w:tcPr>
          <w:p>
            <w:pPr>
              <w:jc w:val="right"/>
              <w:ind w:right="186"/>
              <w:spacing w:after="0" w:line="172" w:lineRule="exact"/>
              <w:rPr>
                <w:sz w:val="20"/>
                <w:szCs w:val="20"/>
                <w:color w:val="auto"/>
              </w:rPr>
            </w:pPr>
            <w:r>
              <w:rPr>
                <w:rFonts w:ascii="Arial" w:cs="Arial" w:eastAsia="Arial" w:hAnsi="Arial"/>
                <w:sz w:val="15"/>
                <w:szCs w:val="15"/>
                <w:color w:val="auto"/>
              </w:rPr>
              <w:t>:</w:t>
            </w:r>
          </w:p>
        </w:tc>
        <w:tc>
          <w:tcPr>
            <w:tcW w:w="2340" w:type="dxa"/>
            <w:vAlign w:val="bottom"/>
          </w:tcPr>
          <w:p>
            <w:pPr>
              <w:ind w:left="260"/>
              <w:spacing w:after="0" w:line="172" w:lineRule="exact"/>
              <w:rPr>
                <w:sz w:val="20"/>
                <w:szCs w:val="20"/>
                <w:color w:val="auto"/>
              </w:rPr>
            </w:pPr>
            <w:r>
              <w:rPr>
                <w:rFonts w:ascii="Arial" w:cs="Arial" w:eastAsia="Arial" w:hAnsi="Arial"/>
                <w:sz w:val="15"/>
                <w:szCs w:val="15"/>
                <w:color w:val="auto"/>
              </w:rPr>
              <w:t>Credit Card Arrangements</w:t>
            </w:r>
          </w:p>
        </w:tc>
      </w:tr>
      <w:tr>
        <w:trPr>
          <w:trHeight w:val="188"/>
        </w:trPr>
        <w:tc>
          <w:tcPr>
            <w:tcW w:w="800" w:type="dxa"/>
            <w:vAlign w:val="bottom"/>
          </w:tcPr>
          <w:p>
            <w:pPr>
              <w:spacing w:after="0"/>
              <w:rPr>
                <w:sz w:val="20"/>
                <w:szCs w:val="20"/>
                <w:color w:val="auto"/>
              </w:rPr>
            </w:pPr>
            <w:r>
              <w:rPr>
                <w:rFonts w:ascii="Arial" w:cs="Arial" w:eastAsia="Arial" w:hAnsi="Arial"/>
                <w:sz w:val="15"/>
                <w:szCs w:val="15"/>
                <w:color w:val="auto"/>
              </w:rPr>
              <w:t>16.1</w:t>
            </w: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340" w:type="dxa"/>
            <w:vAlign w:val="bottom"/>
          </w:tcPr>
          <w:p>
            <w:pPr>
              <w:ind w:left="260"/>
              <w:spacing w:after="0"/>
              <w:rPr>
                <w:sz w:val="20"/>
                <w:szCs w:val="20"/>
                <w:color w:val="auto"/>
              </w:rPr>
            </w:pPr>
            <w:r>
              <w:rPr>
                <w:rFonts w:ascii="Arial" w:cs="Arial" w:eastAsia="Arial" w:hAnsi="Arial"/>
                <w:sz w:val="15"/>
                <w:szCs w:val="15"/>
                <w:color w:val="auto"/>
              </w:rPr>
              <w:t>Assignment / Acceptance</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(v)</w:t>
      </w:r>
    </w:p>
    <w:p>
      <w:pPr>
        <w:sectPr>
          <w:pgSz w:w="11900" w:h="16838" w:orient="portrait"/>
          <w:cols w:equalWidth="0" w:num="1">
            <w:col w:w="10239"/>
          </w:cols>
          <w:pgMar w:left="220" w:top="470"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5"/>
          <w:szCs w:val="15"/>
          <w:b w:val="1"/>
          <w:bCs w:val="1"/>
          <w:color w:val="auto"/>
        </w:rPr>
        <w:t>TERM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8154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240665</wp:posOffset>
            </wp:positionV>
            <wp:extent cx="728154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1545" cy="635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October 29, 2014</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TERM LOAN AND SECURITY AGREEMENT</w:t>
      </w:r>
      <w:r>
        <w:rPr>
          <w:rFonts w:ascii="Arial" w:cs="Arial" w:eastAsia="Arial" w:hAnsi="Arial"/>
          <w:sz w:val="15"/>
          <w:szCs w:val="15"/>
          <w:color w:val="auto"/>
        </w:rPr>
        <w:t xml:space="preserve"> (this </w:t>
      </w:r>
      <w:r>
        <w:rPr>
          <w:rFonts w:ascii="Arial" w:cs="Arial" w:eastAsia="Arial" w:hAnsi="Arial"/>
          <w:sz w:val="15"/>
          <w:szCs w:val="15"/>
          <w:b w:val="1"/>
          <w:bCs w:val="1"/>
          <w:color w:val="auto"/>
        </w:rPr>
        <w:t>“Agreement”</w:t>
      </w:r>
      <w:r>
        <w:rPr>
          <w:rFonts w:ascii="Arial" w:cs="Arial" w:eastAsia="Arial" w:hAnsi="Arial"/>
          <w:sz w:val="15"/>
          <w:szCs w:val="15"/>
          <w:color w:val="auto"/>
        </w:rPr>
        <w:t>) is made among:</w:t>
      </w:r>
    </w:p>
    <w:p>
      <w:pPr>
        <w:spacing w:after="0" w:line="164" w:lineRule="exact"/>
        <w:rPr>
          <w:sz w:val="20"/>
          <w:szCs w:val="20"/>
          <w:color w:val="auto"/>
        </w:rPr>
      </w:pPr>
    </w:p>
    <w:p>
      <w:pPr>
        <w:jc w:val="both"/>
        <w:ind w:left="760" w:firstLine="714"/>
        <w:spacing w:after="0" w:line="275" w:lineRule="auto"/>
        <w:rPr>
          <w:sz w:val="20"/>
          <w:szCs w:val="20"/>
          <w:color w:val="auto"/>
        </w:rPr>
      </w:pPr>
      <w:r>
        <w:rPr>
          <w:rFonts w:ascii="Arial" w:cs="Arial" w:eastAsia="Arial" w:hAnsi="Arial"/>
          <w:sz w:val="14"/>
          <w:szCs w:val="14"/>
          <w:color w:val="auto"/>
        </w:rPr>
        <w:t xml:space="preserve">Wells Fargo Bank, National Association, a national banking association with an office at One Boston Place, Boston, Massachusetts 02108, as administrative agent (in such capacity, the </w:t>
      </w:r>
      <w:r>
        <w:rPr>
          <w:rFonts w:ascii="Arial" w:cs="Arial" w:eastAsia="Arial" w:hAnsi="Arial"/>
          <w:sz w:val="14"/>
          <w:szCs w:val="14"/>
          <w:b w:val="1"/>
          <w:bCs w:val="1"/>
          <w:color w:val="auto"/>
        </w:rPr>
        <w:t>“Administrative Agent”</w:t>
      </w:r>
      <w:r>
        <w:rPr>
          <w:rFonts w:ascii="Arial" w:cs="Arial" w:eastAsia="Arial" w:hAnsi="Arial"/>
          <w:sz w:val="14"/>
          <w:szCs w:val="14"/>
          <w:color w:val="auto"/>
        </w:rPr>
        <w:t xml:space="preserve">) for the benefit of (i) the Collateral Agent and (ii) the </w:t>
      </w:r>
      <w:r>
        <w:rPr>
          <w:rFonts w:ascii="Arial" w:cs="Arial" w:eastAsia="Arial" w:hAnsi="Arial"/>
          <w:sz w:val="14"/>
          <w:szCs w:val="14"/>
          <w:b w:val="1"/>
          <w:bCs w:val="1"/>
          <w:color w:val="auto"/>
        </w:rPr>
        <w:t>“Term Lenders”</w:t>
      </w:r>
      <w:r>
        <w:rPr>
          <w:rFonts w:ascii="Arial" w:cs="Arial" w:eastAsia="Arial" w:hAnsi="Arial"/>
          <w:sz w:val="14"/>
          <w:szCs w:val="14"/>
          <w:color w:val="auto"/>
        </w:rPr>
        <w:t xml:space="preserve"> who are, at present, those financial institutions identified on the signature pages of this Agreement and any Person who becomes a “Term Lender” in accordance with the provisions of this Agreement;</w:t>
      </w:r>
    </w:p>
    <w:p>
      <w:pPr>
        <w:spacing w:after="0" w:line="12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and</w:t>
      </w:r>
    </w:p>
    <w:p>
      <w:pPr>
        <w:spacing w:after="0" w:line="160" w:lineRule="exact"/>
        <w:rPr>
          <w:sz w:val="20"/>
          <w:szCs w:val="20"/>
          <w:color w:val="auto"/>
        </w:rPr>
      </w:pPr>
    </w:p>
    <w:p>
      <w:pPr>
        <w:jc w:val="both"/>
        <w:ind w:left="760" w:firstLine="714"/>
        <w:spacing w:after="0" w:line="259" w:lineRule="auto"/>
        <w:rPr>
          <w:sz w:val="20"/>
          <w:szCs w:val="20"/>
          <w:color w:val="auto"/>
        </w:rPr>
      </w:pPr>
      <w:r>
        <w:rPr>
          <w:rFonts w:ascii="Arial" w:cs="Arial" w:eastAsia="Arial" w:hAnsi="Arial"/>
          <w:sz w:val="15"/>
          <w:szCs w:val="15"/>
          <w:color w:val="auto"/>
        </w:rPr>
        <w:t xml:space="preserve">Wells Fargo Bank, National Association, a national banking association with an office at One Boston Place, Boston, Massachusetts 02108, as collateral agent (in such capacity, the </w:t>
      </w:r>
      <w:r>
        <w:rPr>
          <w:rFonts w:ascii="Arial" w:cs="Arial" w:eastAsia="Arial" w:hAnsi="Arial"/>
          <w:sz w:val="15"/>
          <w:szCs w:val="15"/>
          <w:b w:val="1"/>
          <w:bCs w:val="1"/>
          <w:color w:val="auto"/>
        </w:rPr>
        <w:t>“Collateral Agent”</w:t>
      </w:r>
      <w:r>
        <w:rPr>
          <w:rFonts w:ascii="Arial" w:cs="Arial" w:eastAsia="Arial" w:hAnsi="Arial"/>
          <w:sz w:val="15"/>
          <w:szCs w:val="15"/>
          <w:color w:val="auto"/>
        </w:rPr>
        <w:t>) for the benefit of (i) the Administrative Agent and (ii) the Term Lenders;</w:t>
      </w:r>
    </w:p>
    <w:p>
      <w:pPr>
        <w:spacing w:after="0" w:line="13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and</w:t>
      </w:r>
    </w:p>
    <w:p>
      <w:pPr>
        <w:spacing w:after="0" w:line="1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Term Lenders; and</w:t>
      </w:r>
    </w:p>
    <w:p>
      <w:pPr>
        <w:spacing w:after="0" w:line="160" w:lineRule="exact"/>
        <w:rPr>
          <w:sz w:val="20"/>
          <w:szCs w:val="20"/>
          <w:color w:val="auto"/>
        </w:rPr>
      </w:pPr>
    </w:p>
    <w:p>
      <w:pPr>
        <w:jc w:val="both"/>
        <w:ind w:left="760" w:firstLine="714"/>
        <w:spacing w:after="0" w:line="249" w:lineRule="auto"/>
        <w:rPr>
          <w:sz w:val="20"/>
          <w:szCs w:val="20"/>
          <w:color w:val="auto"/>
        </w:rPr>
      </w:pPr>
      <w:r>
        <w:rPr>
          <w:rFonts w:ascii="Arial" w:cs="Arial" w:eastAsia="Arial" w:hAnsi="Arial"/>
          <w:sz w:val="15"/>
          <w:szCs w:val="15"/>
          <w:color w:val="auto"/>
        </w:rPr>
        <w:t xml:space="preserve">Destination XL Group, Inc., a Delaware corporation with its principal executive offices at 555 Turnpike Street, Canton, Massachusetts 02021, as agent (in such capacity, the </w:t>
      </w:r>
      <w:r>
        <w:rPr>
          <w:rFonts w:ascii="Arial" w:cs="Arial" w:eastAsia="Arial" w:hAnsi="Arial"/>
          <w:sz w:val="15"/>
          <w:szCs w:val="15"/>
          <w:b w:val="1"/>
          <w:bCs w:val="1"/>
          <w:color w:val="auto"/>
        </w:rPr>
        <w:t>“Borrowers’ Representative”</w:t>
      </w:r>
      <w:r>
        <w:rPr>
          <w:rFonts w:ascii="Arial" w:cs="Arial" w:eastAsia="Arial" w:hAnsi="Arial"/>
          <w:sz w:val="15"/>
          <w:szCs w:val="15"/>
          <w:color w:val="auto"/>
        </w:rPr>
        <w:t>) for Casual Male Retail Group, Inc., a Delaware corporation and CMRG Apparel, LLC, a Delaware limited liability company (</w:t>
      </w:r>
      <w:r>
        <w:rPr>
          <w:rFonts w:ascii="Arial" w:cs="Arial" w:eastAsia="Arial" w:hAnsi="Arial"/>
          <w:sz w:val="15"/>
          <w:szCs w:val="15"/>
          <w:b w:val="1"/>
          <w:bCs w:val="1"/>
          <w:color w:val="auto"/>
        </w:rPr>
        <w:t>“CMRG</w:t>
      </w:r>
      <w:r>
        <w:rPr>
          <w:rFonts w:ascii="Arial" w:cs="Arial" w:eastAsia="Arial" w:hAnsi="Arial"/>
          <w:sz w:val="15"/>
          <w:szCs w:val="15"/>
          <w:color w:val="auto"/>
        </w:rPr>
        <w:t xml:space="preserve"> </w:t>
      </w:r>
      <w:r>
        <w:rPr>
          <w:rFonts w:ascii="Arial" w:cs="Arial" w:eastAsia="Arial" w:hAnsi="Arial"/>
          <w:sz w:val="15"/>
          <w:szCs w:val="15"/>
          <w:b w:val="1"/>
          <w:bCs w:val="1"/>
          <w:color w:val="auto"/>
        </w:rPr>
        <w:t>Apparel”</w:t>
      </w:r>
      <w:r>
        <w:rPr>
          <w:rFonts w:ascii="Arial" w:cs="Arial" w:eastAsia="Arial" w:hAnsi="Arial"/>
          <w:sz w:val="15"/>
          <w:szCs w:val="15"/>
          <w:color w:val="auto"/>
        </w:rPr>
        <w:t>) (individually, a</w:t>
      </w:r>
      <w:r>
        <w:rPr>
          <w:rFonts w:ascii="Arial" w:cs="Arial" w:eastAsia="Arial" w:hAnsi="Arial"/>
          <w:sz w:val="15"/>
          <w:szCs w:val="15"/>
          <w:b w:val="1"/>
          <w:bCs w:val="1"/>
          <w:color w:val="auto"/>
        </w:rPr>
        <w:t xml:space="preserve"> “Borrower” </w:t>
      </w:r>
      <w:r>
        <w:rPr>
          <w:rFonts w:ascii="Arial" w:cs="Arial" w:eastAsia="Arial" w:hAnsi="Arial"/>
          <w:sz w:val="15"/>
          <w:szCs w:val="15"/>
          <w:color w:val="auto"/>
        </w:rPr>
        <w:t>and collectively, the</w:t>
      </w:r>
      <w:r>
        <w:rPr>
          <w:rFonts w:ascii="Arial" w:cs="Arial" w:eastAsia="Arial" w:hAnsi="Arial"/>
          <w:sz w:val="15"/>
          <w:szCs w:val="15"/>
          <w:b w:val="1"/>
          <w:bCs w:val="1"/>
          <w:color w:val="auto"/>
        </w:rPr>
        <w:t xml:space="preserve"> “Borrowers”).</w:t>
      </w:r>
    </w:p>
    <w:p>
      <w:pPr>
        <w:spacing w:after="0" w:line="139" w:lineRule="exact"/>
        <w:rPr>
          <w:sz w:val="20"/>
          <w:szCs w:val="20"/>
          <w:color w:val="auto"/>
        </w:rPr>
      </w:pPr>
    </w:p>
    <w:p>
      <w:pPr>
        <w:ind w:firstLine="765"/>
        <w:spacing w:after="0" w:line="259" w:lineRule="auto"/>
        <w:rPr>
          <w:sz w:val="20"/>
          <w:szCs w:val="20"/>
          <w:color w:val="auto"/>
        </w:rPr>
      </w:pPr>
      <w:r>
        <w:rPr>
          <w:rFonts w:ascii="Arial" w:cs="Arial" w:eastAsia="Arial" w:hAnsi="Arial"/>
          <w:sz w:val="15"/>
          <w:szCs w:val="15"/>
          <w:color w:val="auto"/>
        </w:rPr>
        <w:t>NOW THEREFORE, in consideration of the mutual agreements set forth in this Agreement, and for good and valuable consideration, the receipt of which is hereby acknowledged, the Administrative Agent, the Collateral Agent, the Term Lenders and the Borrowers hereby agree as follows: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1 - D</w:t>
      </w:r>
      <w:r>
        <w:rPr>
          <w:rFonts w:ascii="Arial" w:cs="Arial" w:eastAsia="Arial" w:hAnsi="Arial"/>
          <w:sz w:val="10"/>
          <w:szCs w:val="10"/>
          <w:b w:val="1"/>
          <w:bCs w:val="1"/>
          <w:color w:val="auto"/>
        </w:rPr>
        <w:t>EFINITIONS</w:t>
      </w:r>
      <w:r>
        <w:rPr>
          <w:rFonts w:ascii="Arial" w:cs="Arial" w:eastAsia="Arial" w:hAnsi="Arial"/>
          <w:sz w:val="15"/>
          <w:szCs w:val="15"/>
          <w:b w:val="1"/>
          <w:bCs w:val="1"/>
          <w:color w:val="auto"/>
        </w:rPr>
        <w:t>:</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As used herein, the following terms have the following meanings or are defined in the section of this Agreement so indicated:</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“ABL Priority Collateral”</w:t>
      </w:r>
      <w:r>
        <w:rPr>
          <w:rFonts w:ascii="Arial" w:cs="Arial" w:eastAsia="Arial" w:hAnsi="Arial"/>
          <w:sz w:val="15"/>
          <w:szCs w:val="15"/>
          <w:color w:val="auto"/>
        </w:rPr>
        <w:t>: Has the meaning provided to such term in the Intercreditor Agreement.</w:t>
      </w:r>
    </w:p>
    <w:p>
      <w:pPr>
        <w:spacing w:after="0" w:line="160" w:lineRule="exact"/>
        <w:rPr>
          <w:sz w:val="20"/>
          <w:szCs w:val="20"/>
          <w:color w:val="auto"/>
        </w:rPr>
      </w:pPr>
    </w:p>
    <w:p>
      <w:pPr>
        <w:jc w:val="both"/>
        <w:ind w:left="1520" w:hanging="662"/>
        <w:spacing w:after="0" w:line="263" w:lineRule="auto"/>
        <w:rPr>
          <w:sz w:val="20"/>
          <w:szCs w:val="20"/>
          <w:color w:val="auto"/>
        </w:rPr>
      </w:pPr>
      <w:r>
        <w:rPr>
          <w:rFonts w:ascii="Arial" w:cs="Arial" w:eastAsia="Arial" w:hAnsi="Arial"/>
          <w:sz w:val="14"/>
          <w:szCs w:val="14"/>
          <w:b w:val="1"/>
          <w:bCs w:val="1"/>
          <w:color w:val="auto"/>
        </w:rPr>
        <w:t>“Accelerated Borrowing Base Delivery Event”</w:t>
      </w:r>
      <w:r>
        <w:rPr>
          <w:rFonts w:ascii="Arial" w:cs="Arial" w:eastAsia="Arial" w:hAnsi="Arial"/>
          <w:sz w:val="14"/>
          <w:szCs w:val="14"/>
          <w:color w:val="auto"/>
        </w:rPr>
        <w:t>: Either (i) the occurrence and continuance of any Default or Event of Default, or (ii) the failure of the Borrower to maintain</w:t>
      </w:r>
      <w:r>
        <w:rPr>
          <w:rFonts w:ascii="Arial" w:cs="Arial" w:eastAsia="Arial" w:hAnsi="Arial"/>
          <w:sz w:val="14"/>
          <w:szCs w:val="14"/>
          <w:b w:val="1"/>
          <w:bCs w:val="1"/>
          <w:color w:val="auto"/>
        </w:rPr>
        <w:t xml:space="preserve"> </w:t>
      </w:r>
      <w:r>
        <w:rPr>
          <w:rFonts w:ascii="Arial" w:cs="Arial" w:eastAsia="Arial" w:hAnsi="Arial"/>
          <w:sz w:val="14"/>
          <w:szCs w:val="14"/>
          <w:color w:val="auto"/>
        </w:rPr>
        <w:t>Excess Availability at all times equal to or greater than twenty percent (20%) of the Revolving Loan Cap (calculated without giving effect to the Term Loan Push Down Reserve). For the purposes of this Agreement, the occurrence of an Accelerated Borrowing Base Delivery Event shall be deemed continuing (A) so long as such Default or Event of Default is continuing, and/or (B) if the Accelerated Borrowing Base Delivery Event arises as a result of the Borrowers’ failure to maintain Excess Availability as required pursuant to clause (ii) above, until Excess Availability has equaled or exceeded twenty percent (20%) of the Revolving Loan Cap (calculated without giving effect to the Term Loan Push Down Reserve) for sixty (60) consecutive calendar days, in which case an Accelerated Borrowing Base Delivery Event shall no longer be deemed to be continuing for purposes of this Agreement</w:t>
      </w:r>
    </w:p>
    <w:p>
      <w:pPr>
        <w:spacing w:after="0" w:line="127" w:lineRule="exact"/>
        <w:rPr>
          <w:sz w:val="20"/>
          <w:szCs w:val="20"/>
          <w:color w:val="auto"/>
        </w:rPr>
      </w:pPr>
    </w:p>
    <w:p>
      <w:pPr>
        <w:jc w:val="both"/>
        <w:ind w:left="1520" w:hanging="662"/>
        <w:spacing w:after="0" w:line="265" w:lineRule="auto"/>
        <w:rPr>
          <w:sz w:val="20"/>
          <w:szCs w:val="20"/>
          <w:color w:val="auto"/>
        </w:rPr>
      </w:pPr>
      <w:r>
        <w:rPr>
          <w:rFonts w:ascii="Arial" w:cs="Arial" w:eastAsia="Arial" w:hAnsi="Arial"/>
          <w:sz w:val="15"/>
          <w:szCs w:val="15"/>
          <w:b w:val="1"/>
          <w:bCs w:val="1"/>
          <w:color w:val="auto"/>
        </w:rPr>
        <w:t>“Acceleration”</w:t>
      </w:r>
      <w:r>
        <w:rPr>
          <w:rFonts w:ascii="Arial" w:cs="Arial" w:eastAsia="Arial" w:hAnsi="Arial"/>
          <w:sz w:val="15"/>
          <w:szCs w:val="15"/>
          <w:color w:val="auto"/>
        </w:rPr>
        <w:t>: The making of demand or declaration that any indebtedness, not otherwise due and payable, is due and payable. Derivations of the word “Acceleration” (such as</w:t>
      </w:r>
      <w:r>
        <w:rPr>
          <w:rFonts w:ascii="Arial" w:cs="Arial" w:eastAsia="Arial" w:hAnsi="Arial"/>
          <w:sz w:val="15"/>
          <w:szCs w:val="15"/>
          <w:b w:val="1"/>
          <w:bCs w:val="1"/>
          <w:color w:val="auto"/>
        </w:rPr>
        <w:t xml:space="preserve"> </w:t>
      </w:r>
      <w:r>
        <w:rPr>
          <w:rFonts w:ascii="Arial" w:cs="Arial" w:eastAsia="Arial" w:hAnsi="Arial"/>
          <w:sz w:val="15"/>
          <w:szCs w:val="15"/>
          <w:color w:val="auto"/>
        </w:rPr>
        <w:t>“Accelerate”) are used with like meaning in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- 1 -</w:t>
      </w:r>
    </w:p>
    <w:p>
      <w:pPr>
        <w:sectPr>
          <w:pgSz w:w="11900" w:h="16838" w:orient="portrait"/>
          <w:cols w:equalWidth="0" w:num="1">
            <w:col w:w="11460"/>
          </w:cols>
          <w:pgMar w:left="220" w:top="466" w:right="21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“Acceleration Notice”</w:t>
      </w:r>
      <w:r>
        <w:rPr>
          <w:rFonts w:ascii="Arial" w:cs="Arial" w:eastAsia="Arial" w:hAnsi="Arial"/>
          <w:sz w:val="15"/>
          <w:szCs w:val="15"/>
          <w:color w:val="auto"/>
        </w:rPr>
        <w:t>: Written notice as follows:</w:t>
      </w:r>
    </w:p>
    <w:p>
      <w:pPr>
        <w:spacing w:after="0" w:line="84" w:lineRule="exact"/>
        <w:rPr>
          <w:sz w:val="20"/>
          <w:szCs w:val="20"/>
          <w:color w:val="auto"/>
        </w:rPr>
      </w:pPr>
    </w:p>
    <w:p>
      <w:pPr>
        <w:ind w:left="1540" w:hanging="208"/>
        <w:spacing w:after="0"/>
        <w:tabs>
          <w:tab w:leader="none" w:pos="1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From the Administrative Agent to the Collateral Agent and the Term Lenders, as provided in </w:t>
      </w:r>
      <w:r>
        <w:rPr>
          <w:rFonts w:ascii="Arial" w:cs="Arial" w:eastAsia="Arial" w:hAnsi="Arial"/>
          <w:sz w:val="15"/>
          <w:szCs w:val="15"/>
          <w:u w:val="single" w:color="auto"/>
          <w:color w:val="auto"/>
        </w:rPr>
        <w:t>Section 13.1(a)</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1540" w:hanging="208"/>
        <w:spacing w:after="0"/>
        <w:tabs>
          <w:tab w:leader="none" w:pos="1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 xml:space="preserve">From the Majority Term Lenders to the Administrative Agent, as provided in </w:t>
      </w:r>
      <w:r>
        <w:rPr>
          <w:rFonts w:ascii="Arial" w:cs="Arial" w:eastAsia="Arial" w:hAnsi="Arial"/>
          <w:sz w:val="15"/>
          <w:szCs w:val="15"/>
          <w:u w:val="single" w:color="auto"/>
          <w:color w:val="auto"/>
        </w:rPr>
        <w:t>Section 13.1(b)</w:t>
      </w:r>
      <w:r>
        <w:rPr>
          <w:rFonts w:ascii="Arial" w:cs="Arial" w:eastAsia="Arial" w:hAnsi="Arial"/>
          <w:sz w:val="15"/>
          <w:szCs w:val="15"/>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 Debtor”</w:t>
      </w:r>
      <w:r>
        <w:rPr>
          <w:rFonts w:ascii="Arial" w:cs="Arial" w:eastAsia="Arial" w:hAnsi="Arial"/>
          <w:sz w:val="15"/>
          <w:szCs w:val="15"/>
          <w:color w:val="auto"/>
        </w:rPr>
        <w:t>: Has the meaning given that term in the UCC.</w:t>
      </w:r>
    </w:p>
    <w:p>
      <w:pPr>
        <w:spacing w:after="0" w:line="160" w:lineRule="exact"/>
        <w:rPr>
          <w:sz w:val="20"/>
          <w:szCs w:val="20"/>
          <w:color w:val="auto"/>
        </w:rPr>
      </w:pPr>
    </w:p>
    <w:p>
      <w:pPr>
        <w:jc w:val="both"/>
        <w:ind w:left="660" w:hanging="662"/>
        <w:spacing w:after="0" w:line="292" w:lineRule="auto"/>
        <w:rPr>
          <w:sz w:val="20"/>
          <w:szCs w:val="20"/>
          <w:color w:val="auto"/>
        </w:rPr>
      </w:pPr>
      <w:r>
        <w:rPr>
          <w:rFonts w:ascii="Arial" w:cs="Arial" w:eastAsia="Arial" w:hAnsi="Arial"/>
          <w:sz w:val="13"/>
          <w:szCs w:val="13"/>
          <w:b w:val="1"/>
          <w:bCs w:val="1"/>
          <w:color w:val="auto"/>
        </w:rPr>
        <w:t xml:space="preserve">“Accounts” </w:t>
      </w:r>
      <w:r>
        <w:rPr>
          <w:rFonts w:ascii="Arial" w:cs="Arial" w:eastAsia="Arial" w:hAnsi="Arial"/>
          <w:sz w:val="13"/>
          <w:szCs w:val="13"/>
          <w:color w:val="auto"/>
        </w:rPr>
        <w:t>and</w:t>
      </w:r>
      <w:r>
        <w:rPr>
          <w:rFonts w:ascii="Arial" w:cs="Arial" w:eastAsia="Arial" w:hAnsi="Arial"/>
          <w:sz w:val="13"/>
          <w:szCs w:val="13"/>
          <w:b w:val="1"/>
          <w:bCs w:val="1"/>
          <w:color w:val="auto"/>
        </w:rPr>
        <w:t xml:space="preserve"> “Accounts Receivable”</w:t>
      </w:r>
      <w:r>
        <w:rPr>
          <w:rFonts w:ascii="Arial" w:cs="Arial" w:eastAsia="Arial" w:hAnsi="Arial"/>
          <w:sz w:val="13"/>
          <w:szCs w:val="13"/>
          <w:color w:val="auto"/>
        </w:rPr>
        <w:t>: Include, without limitation, “accounts” as defined in the UCC, and also all: accounts, accounts receivable, receivables, and rights to</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(whether or not earned by performance) for: property that has been or is to be sold, leased, licensed, assigned, or otherwise disposed of; services rendered or to be rendered; a policy of insurance issued or to be issued; a secondary obligation incurred or to be incurred; for the use or hire of a vessel; arising out of the use of a credit or charge card or information contained on or used with that card; and also all Inventory which gave rise thereto, and all rights associated with such Inventory, including the right of stoppage in transit; all reclaimed, returned, rejected or repossessed Inventory (if any) the sale of which gave rise to any Account.</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“ACH”</w:t>
      </w:r>
      <w:r>
        <w:rPr>
          <w:rFonts w:ascii="Arial" w:cs="Arial" w:eastAsia="Arial" w:hAnsi="Arial"/>
          <w:sz w:val="15"/>
          <w:szCs w:val="15"/>
          <w:color w:val="auto"/>
        </w:rPr>
        <w:t>: Automated clearing house.</w:t>
      </w:r>
    </w:p>
    <w:p>
      <w:pPr>
        <w:spacing w:after="0" w:line="160" w:lineRule="exact"/>
        <w:rPr>
          <w:sz w:val="20"/>
          <w:szCs w:val="20"/>
          <w:color w:val="auto"/>
        </w:rPr>
      </w:pPr>
    </w:p>
    <w:p>
      <w:pPr>
        <w:jc w:val="both"/>
        <w:ind w:left="660" w:hanging="662"/>
        <w:spacing w:after="0" w:line="292" w:lineRule="auto"/>
        <w:rPr>
          <w:sz w:val="20"/>
          <w:szCs w:val="20"/>
          <w:color w:val="auto"/>
        </w:rPr>
      </w:pPr>
      <w:r>
        <w:rPr>
          <w:rFonts w:ascii="Arial" w:cs="Arial" w:eastAsia="Arial" w:hAnsi="Arial"/>
          <w:sz w:val="13"/>
          <w:szCs w:val="13"/>
          <w:b w:val="1"/>
          <w:bCs w:val="1"/>
          <w:color w:val="auto"/>
        </w:rPr>
        <w:t>“Acquisition”</w:t>
      </w:r>
      <w:r>
        <w:rPr>
          <w:rFonts w:ascii="Arial" w:cs="Arial" w:eastAsia="Arial" w:hAnsi="Arial"/>
          <w:sz w:val="13"/>
          <w:szCs w:val="13"/>
          <w:color w:val="auto"/>
        </w:rPr>
        <w:t>: The purchase or other acquisition, by a Loan Party (no matter how structured in one transaction or in a series of transactions), of: (a) equity interests in any other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Person which would constitute or which results in a Change in Control of such other Person (as if such Person were Casual Male, as used in the definition of “Change of Control”), or (b) such of the assets of any Person as would permit a Loan Party to operate one or more retail locations of such Person or to conduct other business operations with such assets;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none of the following shall constitute an “Acquisition”: purchases of inventory in the ordinary course of a Loan Party’s business; purchases, leases or other acquisitions of Equipment in the ordinary course of a Loan Party’s business; and Capital Expenditures permitted hereunder.</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“Administrative Agent”</w:t>
      </w:r>
      <w:r>
        <w:rPr>
          <w:rFonts w:ascii="Arial" w:cs="Arial" w:eastAsia="Arial" w:hAnsi="Arial"/>
          <w:sz w:val="15"/>
          <w:szCs w:val="15"/>
          <w:color w:val="auto"/>
        </w:rPr>
        <w:t>: Defined in the Preamble.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“Affiliate”</w:t>
      </w:r>
      <w:r>
        <w:rPr>
          <w:rFonts w:ascii="Arial" w:cs="Arial" w:eastAsia="Arial" w:hAnsi="Arial"/>
          <w:sz w:val="15"/>
          <w:szCs w:val="15"/>
          <w:color w:val="auto"/>
        </w:rPr>
        <w:t>: The following:</w:t>
      </w:r>
    </w:p>
    <w:p>
      <w:pPr>
        <w:spacing w:after="0" w:line="84" w:lineRule="exact"/>
        <w:rPr>
          <w:sz w:val="20"/>
          <w:szCs w:val="20"/>
          <w:color w:val="auto"/>
        </w:rPr>
      </w:pPr>
    </w:p>
    <w:p>
      <w:pPr>
        <w:jc w:val="both"/>
        <w:ind w:left="660" w:firstLine="672"/>
        <w:spacing w:after="0" w:line="268" w:lineRule="auto"/>
        <w:tabs>
          <w:tab w:leader="none" w:pos="1527" w:val="left"/>
        </w:tabs>
        <w:numPr>
          <w:ilvl w:val="0"/>
          <w:numId w:val="49"/>
        </w:numPr>
        <w:rPr>
          <w:rFonts w:ascii="Arial" w:cs="Arial" w:eastAsia="Arial" w:hAnsi="Arial"/>
          <w:sz w:val="14"/>
          <w:szCs w:val="14"/>
          <w:color w:val="auto"/>
        </w:rPr>
      </w:pPr>
      <w:r>
        <w:rPr>
          <w:rFonts w:ascii="Arial" w:cs="Arial" w:eastAsia="Arial" w:hAnsi="Arial"/>
          <w:sz w:val="14"/>
          <w:szCs w:val="14"/>
          <w:color w:val="auto"/>
        </w:rPr>
        <w:t>With respect to any two Persons, a relationship in which (i) one holds, directly or indirectly, not less than twenty-five percent (25%) of the capital stock, beneficial interests, partnership interests, or other equity interests of the other; or (ii) one has, directly or indirectly, the right, under ordinary circumstances, to vote for the election of a majority of the directors (or other body or Person who has those powers customarily vested in a board of directors of a corporation); or (iii) not less than twenty-five percent (25%) of their respective ownership is directly or indirectly held by the same third Person.</w:t>
      </w:r>
    </w:p>
    <w:p>
      <w:pPr>
        <w:spacing w:after="0" w:line="47" w:lineRule="exact"/>
        <w:rPr>
          <w:rFonts w:ascii="Arial" w:cs="Arial" w:eastAsia="Arial" w:hAnsi="Arial"/>
          <w:sz w:val="14"/>
          <w:szCs w:val="14"/>
          <w:color w:val="auto"/>
        </w:rPr>
      </w:pPr>
    </w:p>
    <w:p>
      <w:pPr>
        <w:jc w:val="both"/>
        <w:ind w:left="660" w:firstLine="672"/>
        <w:spacing w:after="0" w:line="275" w:lineRule="auto"/>
        <w:tabs>
          <w:tab w:leader="none" w:pos="1533" w:val="left"/>
        </w:tabs>
        <w:numPr>
          <w:ilvl w:val="0"/>
          <w:numId w:val="49"/>
        </w:numPr>
        <w:rPr>
          <w:rFonts w:ascii="Arial" w:cs="Arial" w:eastAsia="Arial" w:hAnsi="Arial"/>
          <w:sz w:val="14"/>
          <w:szCs w:val="14"/>
          <w:color w:val="auto"/>
        </w:rPr>
      </w:pPr>
      <w:r>
        <w:rPr>
          <w:rFonts w:ascii="Arial" w:cs="Arial" w:eastAsia="Arial" w:hAnsi="Arial"/>
          <w:sz w:val="14"/>
          <w:szCs w:val="14"/>
          <w:color w:val="auto"/>
        </w:rPr>
        <w:t>Any Person which: is a parent, brother-sister or Subsidiary of a Loan Party; could have such enterprise’s tax returns or financial statements consolidated with that Loan Party’s; could be a member of the same controlled group of corporations (within the meaning of Section 1563(a)(1), (2) and (3) of the Internal Revenue Code of 1986, as amended from time to time) of which any Loan Party is a member; or controls or is controlled by any Loan Party.</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“Agent”</w:t>
      </w:r>
      <w:r>
        <w:rPr>
          <w:rFonts w:ascii="Arial" w:cs="Arial" w:eastAsia="Arial" w:hAnsi="Arial"/>
          <w:sz w:val="14"/>
          <w:szCs w:val="14"/>
          <w:color w:val="auto"/>
        </w:rPr>
        <w:t>: When not preceded by “Administrative” or “Collateral”, the term “Agent” refers collectively and individually to the Administrative Agent and the Collateral Agent.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“Agents’ Rights </w:t>
      </w:r>
      <w:r>
        <w:rPr>
          <w:rFonts w:ascii="Arial" w:cs="Arial" w:eastAsia="Arial" w:hAnsi="Arial"/>
          <w:sz w:val="15"/>
          <w:szCs w:val="15"/>
          <w:color w:val="auto"/>
        </w:rPr>
        <w:t>and</w:t>
      </w:r>
      <w:r>
        <w:rPr>
          <w:rFonts w:ascii="Arial" w:cs="Arial" w:eastAsia="Arial" w:hAnsi="Arial"/>
          <w:sz w:val="15"/>
          <w:szCs w:val="15"/>
          <w:b w:val="1"/>
          <w:bCs w:val="1"/>
          <w:color w:val="auto"/>
        </w:rPr>
        <w:t xml:space="preserve"> Remedies”</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11.7</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“Alternative Rate”</w:t>
      </w:r>
      <w:r>
        <w:rPr>
          <w:rFonts w:ascii="Arial" w:cs="Arial" w:eastAsia="Arial" w:hAnsi="Arial"/>
          <w:sz w:val="15"/>
          <w:szCs w:val="15"/>
          <w:color w:val="auto"/>
        </w:rPr>
        <w:t>: The greater of (a) 7.50% or (b) the Base Rate</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plus</w:t>
      </w:r>
      <w:r>
        <w:rPr>
          <w:rFonts w:ascii="Arial" w:cs="Arial" w:eastAsia="Arial" w:hAnsi="Arial"/>
          <w:sz w:val="15"/>
          <w:szCs w:val="15"/>
          <w:b w:val="1"/>
          <w:bCs w:val="1"/>
          <w:color w:val="auto"/>
        </w:rPr>
        <w:t xml:space="preserve"> </w:t>
      </w:r>
      <w:r>
        <w:rPr>
          <w:rFonts w:ascii="Arial" w:cs="Arial" w:eastAsia="Arial" w:hAnsi="Arial"/>
          <w:sz w:val="15"/>
          <w:szCs w:val="15"/>
          <w:color w:val="auto"/>
        </w:rPr>
        <w:t>5.50%.</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10600"/>
          </w:cols>
          <w:pgMar w:left="1080" w:top="284" w:right="219" w:bottom="1440" w:gutter="0" w:footer="0" w:header="0"/>
        </w:sectPr>
      </w:pPr>
    </w:p>
    <w:bookmarkStart w:id="60" w:name="page61"/>
    <w:bookmarkEnd w:id="60"/>
    <w:p>
      <w:pPr>
        <w:spacing w:after="0"/>
        <w:rPr>
          <w:sz w:val="20"/>
          <w:szCs w:val="20"/>
          <w:color w:val="auto"/>
        </w:rPr>
      </w:pPr>
      <w:r>
        <w:rPr>
          <w:rFonts w:ascii="Arial" w:cs="Arial" w:eastAsia="Arial" w:hAnsi="Arial"/>
          <w:sz w:val="15"/>
          <w:szCs w:val="15"/>
          <w:b w:val="1"/>
          <w:bCs w:val="1"/>
          <w:color w:val="auto"/>
        </w:rPr>
        <w:t>“Applicable Inventory Advance Rate”</w:t>
      </w:r>
      <w:r>
        <w:rPr>
          <w:rFonts w:ascii="Arial" w:cs="Arial" w:eastAsia="Arial" w:hAnsi="Arial"/>
          <w:sz w:val="15"/>
          <w:szCs w:val="15"/>
          <w:color w:val="auto"/>
        </w:rPr>
        <w:t>: As of any date of determination:</w:t>
      </w:r>
    </w:p>
    <w:p>
      <w:pPr>
        <w:spacing w:after="0" w:line="157" w:lineRule="exact"/>
        <w:rPr>
          <w:sz w:val="20"/>
          <w:szCs w:val="20"/>
          <w:color w:val="auto"/>
        </w:rPr>
      </w:pPr>
    </w:p>
    <w:tbl>
      <w:tblPr>
        <w:tblLayout w:type="fixed"/>
        <w:tblInd w:w="990" w:type="dxa"/>
        <w:tblCellMar>
          <w:top w:w="0" w:type="dxa"/>
          <w:left w:w="0" w:type="dxa"/>
          <w:bottom w:w="0" w:type="dxa"/>
          <w:right w:w="0" w:type="dxa"/>
        </w:tblCellMar>
      </w:tblPr>
      <w:tr>
        <w:trPr>
          <w:trHeight w:val="182"/>
        </w:trPr>
        <w:tc>
          <w:tcPr>
            <w:tcW w:w="6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Date of Determination</w:t>
            </w:r>
          </w:p>
        </w:tc>
        <w:tc>
          <w:tcPr>
            <w:tcW w:w="11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5"/>
                <w:szCs w:val="15"/>
                <w:color w:val="auto"/>
              </w:rPr>
              <w:t>Rate</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before 12/31/14</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12.50%</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1/1/15 and on or before 3/31/15</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12.25%</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4/1/15 and on or before 6/30/15</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12.00%</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7/1/15 and on or before 9/30/15</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11.75%</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10/1/15 and on or before 12/31/15</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11.50%</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1/1/16 and on or before 3/31/16</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11.25%</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4/1/16 and on or before 6/30/16</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11.00%</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7/1/16 and on or before 9/30/16</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10.75%</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10/1/16 and on or before 12/31/16</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10.50%</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1/1/17 and on or before 3/31/17</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10.25%</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4/1/17 and on or before 6/30/17</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10.00%</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7/1/17 and on or before 9/30/17</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9.75%</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10/1/17 and on or before 12/31/17</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9.50%</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On or after 1/1/18 and on or before 3/31/18</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9.25%</w:t>
            </w:r>
          </w:p>
        </w:tc>
      </w:tr>
      <w:tr>
        <w:trPr>
          <w:trHeight w:val="162"/>
        </w:trPr>
        <w:tc>
          <w:tcPr>
            <w:tcW w:w="6640" w:type="dxa"/>
            <w:vAlign w:val="bottom"/>
            <w:tcBorders>
              <w:left w:val="single" w:sz="8" w:color="auto"/>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0"/>
              </w:rPr>
              <w:t>On or after 4/1/18</w:t>
            </w:r>
          </w:p>
        </w:tc>
        <w:tc>
          <w:tcPr>
            <w:tcW w:w="1160" w:type="dxa"/>
            <w:vAlign w:val="bottom"/>
            <w:tcBorders>
              <w:bottom w:val="single" w:sz="8" w:color="auto"/>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89"/>
              </w:rPr>
              <w:t>9.00%</w:t>
            </w:r>
          </w:p>
        </w:tc>
      </w:tr>
    </w:tbl>
    <w:p>
      <w:pPr>
        <w:spacing w:after="0" w:line="145" w:lineRule="exact"/>
        <w:rPr>
          <w:sz w:val="20"/>
          <w:szCs w:val="20"/>
          <w:color w:val="auto"/>
        </w:rPr>
      </w:pPr>
    </w:p>
    <w:p>
      <w:pPr>
        <w:jc w:val="both"/>
        <w:ind w:left="660" w:hanging="662"/>
        <w:spacing w:after="0" w:line="245" w:lineRule="auto"/>
        <w:rPr>
          <w:sz w:val="20"/>
          <w:szCs w:val="20"/>
          <w:color w:val="auto"/>
        </w:rPr>
      </w:pPr>
      <w:r>
        <w:rPr>
          <w:rFonts w:ascii="Arial" w:cs="Arial" w:eastAsia="Arial" w:hAnsi="Arial"/>
          <w:sz w:val="15"/>
          <w:szCs w:val="15"/>
          <w:b w:val="1"/>
          <w:bCs w:val="1"/>
          <w:color w:val="auto"/>
        </w:rPr>
        <w:t>“Applicable Law”</w:t>
      </w:r>
      <w:r>
        <w:rPr>
          <w:rFonts w:ascii="Arial" w:cs="Arial" w:eastAsia="Arial" w:hAnsi="Arial"/>
          <w:sz w:val="15"/>
          <w:szCs w:val="15"/>
          <w:color w:val="auto"/>
        </w:rPr>
        <w:t>: As to any Person:</w:t>
      </w:r>
      <w:r>
        <w:rPr>
          <w:sz w:val="20"/>
          <w:szCs w:val="20"/>
          <w:color w:val="auto"/>
        </w:rPr>
        <w:t xml:space="preserve"> </w:t>
      </w:r>
      <w:r>
        <w:rPr>
          <w:rFonts w:ascii="Arial" w:cs="Arial" w:eastAsia="Arial" w:hAnsi="Arial"/>
          <w:sz w:val="15"/>
          <w:szCs w:val="15"/>
          <w:color w:val="auto"/>
        </w:rPr>
        <w:t>(i) All statutes, rules, regulations, orders, or other requirements having the force of law; and (ii) all court orders and injunctions, arbitrator’s decisions, and/or similar rulings, in each instance ((i) and (ii)) of or by any federal, state, municipal, and other governmental authority, or court, tribunal, panel, or other body which has or claims jurisdiction over such Person, or any property of such Person, or of any other Person for whose conduct such Person would be responsible.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“Appraised Inventory Liquidation Value”</w:t>
      </w:r>
      <w:r>
        <w:rPr>
          <w:rFonts w:ascii="Arial" w:cs="Arial" w:eastAsia="Arial" w:hAnsi="Arial"/>
          <w:sz w:val="13"/>
          <w:szCs w:val="13"/>
          <w:color w:val="auto"/>
        </w:rPr>
        <w:t>: The product of (a) the Cost of Eligible Inventory (net of Inventory Reserves) of the Casual Male Companies and RBT,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multiplied by</w:t>
      </w:r>
    </w:p>
    <w:p>
      <w:pPr>
        <w:spacing w:after="0" w:line="38" w:lineRule="exact"/>
        <w:rPr>
          <w:sz w:val="20"/>
          <w:szCs w:val="20"/>
          <w:color w:val="auto"/>
        </w:rPr>
      </w:pPr>
    </w:p>
    <w:p>
      <w:pPr>
        <w:jc w:val="both"/>
        <w:ind w:left="660" w:firstLine="9"/>
        <w:spacing w:after="0"/>
        <w:tabs>
          <w:tab w:leader="none" w:pos="87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that percentage, determined from the then most recent appraisal of the Loan Parties’ Inventory provided to the Administrative Agent by an appraiser engaged by the Revolving Agent or the Administrative Agent pursuant to the terms hereof, to reflect the appraiser’s estimate of the net recovery on the Loan Parties’ Inventory in the event of an in-store liquidation of that Inventory.</w:t>
      </w:r>
    </w:p>
    <w:p>
      <w:pPr>
        <w:spacing w:after="0" w:line="142" w:lineRule="exact"/>
        <w:rPr>
          <w:sz w:val="20"/>
          <w:szCs w:val="20"/>
          <w:color w:val="auto"/>
        </w:rPr>
      </w:pPr>
    </w:p>
    <w:p>
      <w:pPr>
        <w:jc w:val="both"/>
        <w:ind w:left="660" w:hanging="662"/>
        <w:spacing w:after="0" w:line="343" w:lineRule="auto"/>
        <w:rPr>
          <w:sz w:val="20"/>
          <w:szCs w:val="20"/>
          <w:color w:val="auto"/>
        </w:rPr>
      </w:pPr>
      <w:r>
        <w:rPr>
          <w:rFonts w:ascii="Arial" w:cs="Arial" w:eastAsia="Arial" w:hAnsi="Arial"/>
          <w:sz w:val="13"/>
          <w:szCs w:val="13"/>
          <w:b w:val="1"/>
          <w:bCs w:val="1"/>
          <w:color w:val="auto"/>
        </w:rPr>
        <w:t>“Approved Fund”</w:t>
      </w:r>
      <w:r>
        <w:rPr>
          <w:rFonts w:ascii="Arial" w:cs="Arial" w:eastAsia="Arial" w:hAnsi="Arial"/>
          <w:sz w:val="13"/>
          <w:szCs w:val="13"/>
          <w:color w:val="auto"/>
        </w:rPr>
        <w:t>: Any Fund that is administered or managed by (a) a Term Lender, (b) an Affiliate of a Term Lender (c) an entity or an Affiliate of an entity that administers or</w:t>
      </w:r>
      <w:r>
        <w:rPr>
          <w:rFonts w:ascii="Arial" w:cs="Arial" w:eastAsia="Arial" w:hAnsi="Arial"/>
          <w:sz w:val="13"/>
          <w:szCs w:val="13"/>
          <w:b w:val="1"/>
          <w:bCs w:val="1"/>
          <w:color w:val="auto"/>
        </w:rPr>
        <w:t xml:space="preserve"> </w:t>
      </w:r>
      <w:r>
        <w:rPr>
          <w:rFonts w:ascii="Arial" w:cs="Arial" w:eastAsia="Arial" w:hAnsi="Arial"/>
          <w:sz w:val="13"/>
          <w:szCs w:val="13"/>
          <w:color w:val="auto"/>
        </w:rPr>
        <w:t>manages a Term Lender, or (d) the same investment advisor or an advisor under common control with such Term Lender, Affiliate or advisor, as applicable.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“Assignee Term Lender”</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16.1</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“Assigning Term Lender”</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16.1</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“Assignment </w:t>
      </w:r>
      <w:r>
        <w:rPr>
          <w:rFonts w:ascii="Arial" w:cs="Arial" w:eastAsia="Arial" w:hAnsi="Arial"/>
          <w:sz w:val="15"/>
          <w:szCs w:val="15"/>
          <w:color w:val="auto"/>
        </w:rPr>
        <w:t>and</w:t>
      </w:r>
      <w:r>
        <w:rPr>
          <w:rFonts w:ascii="Arial" w:cs="Arial" w:eastAsia="Arial" w:hAnsi="Arial"/>
          <w:sz w:val="15"/>
          <w:szCs w:val="15"/>
          <w:b w:val="1"/>
          <w:bCs w:val="1"/>
          <w:color w:val="auto"/>
        </w:rPr>
        <w:t xml:space="preserve"> Acceptance”</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16.2</w:t>
      </w:r>
      <w:r>
        <w:rPr>
          <w:rFonts w:ascii="Arial" w:cs="Arial" w:eastAsia="Arial" w:hAnsi="Arial"/>
          <w:sz w:val="15"/>
          <w:szCs w:val="15"/>
          <w:color w:val="auto"/>
        </w:rPr>
        <w:t>.</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“Anti-Corruption Laws”</w:t>
      </w:r>
      <w:r>
        <w:rPr>
          <w:rFonts w:ascii="Arial" w:cs="Arial" w:eastAsia="Arial" w:hAnsi="Arial"/>
          <w:sz w:val="15"/>
          <w:szCs w:val="15"/>
          <w:color w:val="auto"/>
        </w:rPr>
        <w:t>: All laws, rules and regulations of any jurisdiction applicable to any Loan Party or any of its Subsidiaries from time to time concerning or relating to</w:t>
      </w:r>
      <w:r>
        <w:rPr>
          <w:rFonts w:ascii="Arial" w:cs="Arial" w:eastAsia="Arial" w:hAnsi="Arial"/>
          <w:sz w:val="15"/>
          <w:szCs w:val="15"/>
          <w:b w:val="1"/>
          <w:bCs w:val="1"/>
          <w:color w:val="auto"/>
        </w:rPr>
        <w:t xml:space="preserve"> </w:t>
      </w:r>
      <w:r>
        <w:rPr>
          <w:rFonts w:ascii="Arial" w:cs="Arial" w:eastAsia="Arial" w:hAnsi="Arial"/>
          <w:sz w:val="15"/>
          <w:szCs w:val="15"/>
          <w:color w:val="auto"/>
        </w:rPr>
        <w:t>bribery or corruption.</w:t>
      </w:r>
    </w:p>
    <w:p>
      <w:pPr>
        <w:spacing w:after="0" w:line="123"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“Availability Condition”</w:t>
      </w:r>
      <w:r>
        <w:rPr>
          <w:rFonts w:ascii="Arial" w:cs="Arial" w:eastAsia="Arial" w:hAnsi="Arial"/>
          <w:sz w:val="15"/>
          <w:szCs w:val="15"/>
          <w:color w:val="auto"/>
        </w:rPr>
        <w:t>: At the time of determination with respect to any specified transaction or payment that is subject to satisfaction of the Payment Conditions, Excess</w:t>
      </w:r>
      <w:r>
        <w:rPr>
          <w:rFonts w:ascii="Arial" w:cs="Arial" w:eastAsia="Arial" w:hAnsi="Arial"/>
          <w:sz w:val="15"/>
          <w:szCs w:val="15"/>
          <w:b w:val="1"/>
          <w:bCs w:val="1"/>
          <w:color w:val="auto"/>
        </w:rPr>
        <w:t xml:space="preserve"> </w:t>
      </w:r>
      <w:r>
        <w:rPr>
          <w:rFonts w:ascii="Arial" w:cs="Arial" w:eastAsia="Arial" w:hAnsi="Arial"/>
          <w:sz w:val="15"/>
          <w:szCs w:val="15"/>
          <w:color w:val="auto"/>
        </w:rPr>
        <w:t>Availability at the time of such determination and immediately following, and after giving effect to, such transaction or payment was, and is projected by the Loan Parties on a pro forma basis for each of the six (6) Fiscal months immediately following such transaction or payment to be, equal to or greater than twenty percent (20%) of the Revolving Loan Cap.</w:t>
      </w:r>
    </w:p>
    <w:p>
      <w:pPr>
        <w:spacing w:after="0" w:line="137"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“Availability Reserves”</w:t>
      </w:r>
      <w:r>
        <w:rPr>
          <w:rFonts w:ascii="Arial" w:cs="Arial" w:eastAsia="Arial" w:hAnsi="Arial"/>
          <w:sz w:val="15"/>
          <w:szCs w:val="15"/>
          <w:color w:val="auto"/>
        </w:rPr>
        <w:t>: Such reserves as the Administrative Agent from time to time determines in the Administrative Agent’s reasonable discretion as being appropriate to</w:t>
      </w:r>
      <w:r>
        <w:rPr>
          <w:rFonts w:ascii="Arial" w:cs="Arial" w:eastAsia="Arial" w:hAnsi="Arial"/>
          <w:sz w:val="15"/>
          <w:szCs w:val="15"/>
          <w:b w:val="1"/>
          <w:bCs w:val="1"/>
          <w:color w:val="auto"/>
        </w:rPr>
        <w:t xml:space="preserve"> </w:t>
      </w:r>
      <w:r>
        <w:rPr>
          <w:rFonts w:ascii="Arial" w:cs="Arial" w:eastAsia="Arial" w:hAnsi="Arial"/>
          <w:sz w:val="15"/>
          <w:szCs w:val="15"/>
          <w:color w:val="auto"/>
        </w:rPr>
        <w:t>reflect the impediments to the</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- 3 -</w:t>
      </w:r>
    </w:p>
    <w:p>
      <w:pPr>
        <w:sectPr>
          <w:pgSz w:w="11900" w:h="16838" w:orient="portrait"/>
          <w:cols w:equalWidth="0" w:num="1">
            <w:col w:w="10600"/>
          </w:cols>
          <w:pgMar w:left="1080" w:top="284" w:right="219" w:bottom="1440" w:gutter="0" w:footer="0" w:header="0"/>
        </w:sectPr>
      </w:pPr>
    </w:p>
    <w:bookmarkStart w:id="61" w:name="page62"/>
    <w:bookmarkEnd w:id="61"/>
    <w:p>
      <w:pPr>
        <w:jc w:val="both"/>
        <w:ind w:left="660"/>
        <w:spacing w:after="0" w:line="290" w:lineRule="auto"/>
        <w:rPr>
          <w:sz w:val="20"/>
          <w:szCs w:val="20"/>
          <w:color w:val="auto"/>
        </w:rPr>
      </w:pPr>
      <w:r>
        <w:rPr>
          <w:rFonts w:ascii="Arial" w:cs="Arial" w:eastAsia="Arial" w:hAnsi="Arial"/>
          <w:sz w:val="13"/>
          <w:szCs w:val="13"/>
          <w:color w:val="auto"/>
        </w:rPr>
        <w:t xml:space="preserve">Collateral Agent’s ability to realize upon the Collateral, it being agreed that such reserves shall not be in duplication of any reserves imposed and maintained by the Revolving Agent under the Revolving Credit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Availability Reserves must be implemented based upon events such as a change in circumstances, adverse developments, issues identified in a field exam, appraisal, audit or inspection or market change;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if the Revolving Agent did not implement and maintain a reserve for such events or imposed and maintained a reserve in less than the amount the Administrative Agent deems appropriate, in its reasonable discretion, based on the foregoing the Administrative agent may impose an Availability Reserve for the incremental difference.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“BALC”</w:t>
      </w:r>
      <w:r>
        <w:rPr>
          <w:rFonts w:ascii="Arial" w:cs="Arial" w:eastAsia="Arial" w:hAnsi="Arial"/>
          <w:sz w:val="15"/>
          <w:szCs w:val="15"/>
          <w:color w:val="auto"/>
        </w:rPr>
        <w:t>: Bank of America Leasing &amp; Capital, LLC, and its successors and assigns.</w:t>
      </w:r>
    </w:p>
    <w:p>
      <w:pPr>
        <w:spacing w:after="0" w:line="160" w:lineRule="exact"/>
        <w:rPr>
          <w:sz w:val="20"/>
          <w:szCs w:val="20"/>
          <w:color w:val="auto"/>
        </w:rPr>
      </w:pPr>
    </w:p>
    <w:p>
      <w:pPr>
        <w:ind w:left="660" w:hanging="662"/>
        <w:spacing w:after="0" w:line="265" w:lineRule="auto"/>
        <w:rPr>
          <w:sz w:val="20"/>
          <w:szCs w:val="20"/>
          <w:color w:val="auto"/>
        </w:rPr>
      </w:pPr>
      <w:r>
        <w:rPr>
          <w:rFonts w:ascii="Arial" w:cs="Arial" w:eastAsia="Arial" w:hAnsi="Arial"/>
          <w:sz w:val="15"/>
          <w:szCs w:val="15"/>
          <w:b w:val="1"/>
          <w:bCs w:val="1"/>
          <w:color w:val="auto"/>
        </w:rPr>
        <w:t>“BALC Equipment”</w:t>
      </w:r>
      <w:r>
        <w:rPr>
          <w:rFonts w:ascii="Arial" w:cs="Arial" w:eastAsia="Arial" w:hAnsi="Arial"/>
          <w:sz w:val="15"/>
          <w:szCs w:val="15"/>
          <w:color w:val="auto"/>
        </w:rPr>
        <w:t>: The Equipment specifically set forth on</w:t>
      </w:r>
      <w:r>
        <w:rPr>
          <w:rFonts w:ascii="Arial" w:cs="Arial" w:eastAsia="Arial" w:hAnsi="Arial"/>
          <w:sz w:val="15"/>
          <w:szCs w:val="15"/>
          <w:b w:val="1"/>
          <w:bCs w:val="1"/>
          <w:color w:val="auto"/>
        </w:rPr>
        <w:t xml:space="preserve"> EXHIBIT 1.01 </w:t>
      </w:r>
      <w:r>
        <w:rPr>
          <w:rFonts w:ascii="Arial" w:cs="Arial" w:eastAsia="Arial" w:hAnsi="Arial"/>
          <w:sz w:val="15"/>
          <w:szCs w:val="15"/>
          <w:color w:val="auto"/>
        </w:rPr>
        <w:t>hereto, as such exhibit may be amended from time to time by the Borrowers, with the consent of</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Administrative Agent.</w:t>
      </w:r>
    </w:p>
    <w:p>
      <w:pPr>
        <w:spacing w:after="0" w:line="123" w:lineRule="exact"/>
        <w:rPr>
          <w:sz w:val="20"/>
          <w:szCs w:val="20"/>
          <w:color w:val="auto"/>
        </w:rPr>
      </w:pPr>
    </w:p>
    <w:p>
      <w:pPr>
        <w:ind w:left="660" w:hanging="662"/>
        <w:spacing w:after="0" w:line="265" w:lineRule="auto"/>
        <w:rPr>
          <w:sz w:val="20"/>
          <w:szCs w:val="20"/>
          <w:color w:val="auto"/>
        </w:rPr>
      </w:pPr>
      <w:r>
        <w:rPr>
          <w:rFonts w:ascii="Arial" w:cs="Arial" w:eastAsia="Arial" w:hAnsi="Arial"/>
          <w:sz w:val="15"/>
          <w:szCs w:val="15"/>
          <w:b w:val="1"/>
          <w:bCs w:val="1"/>
          <w:color w:val="auto"/>
        </w:rPr>
        <w:t>“BALC Indebtedness”</w:t>
      </w:r>
      <w:r>
        <w:rPr>
          <w:rFonts w:ascii="Arial" w:cs="Arial" w:eastAsia="Arial" w:hAnsi="Arial"/>
          <w:sz w:val="15"/>
          <w:szCs w:val="15"/>
          <w:color w:val="auto"/>
        </w:rPr>
        <w:t>: Indebtedness pursuant to equipment financing arrangements with BALC on terms and conditions reasonably acceptable to the Administrative Agent in</w:t>
      </w:r>
      <w:r>
        <w:rPr>
          <w:rFonts w:ascii="Arial" w:cs="Arial" w:eastAsia="Arial" w:hAnsi="Arial"/>
          <w:sz w:val="15"/>
          <w:szCs w:val="15"/>
          <w:b w:val="1"/>
          <w:bCs w:val="1"/>
          <w:color w:val="auto"/>
        </w:rPr>
        <w:t xml:space="preserve"> </w:t>
      </w:r>
      <w:r>
        <w:rPr>
          <w:rFonts w:ascii="Arial" w:cs="Arial" w:eastAsia="Arial" w:hAnsi="Arial"/>
          <w:sz w:val="15"/>
          <w:szCs w:val="15"/>
          <w:color w:val="auto"/>
        </w:rPr>
        <w:t>an aggregate amount not to exceed $23,000,000 minus all payments of principal thereof since the Closing Date.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“Bankruptcy Code”</w:t>
      </w:r>
      <w:r>
        <w:rPr>
          <w:rFonts w:ascii="Arial" w:cs="Arial" w:eastAsia="Arial" w:hAnsi="Arial"/>
          <w:sz w:val="15"/>
          <w:szCs w:val="15"/>
          <w:color w:val="auto"/>
        </w:rPr>
        <w:t>: Title 11, U.S.C., as amended from time to time.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2.13</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“Base Rate”</w:t>
      </w:r>
      <w:r>
        <w:rPr>
          <w:rFonts w:ascii="Arial" w:cs="Arial" w:eastAsia="Arial" w:hAnsi="Arial"/>
          <w:sz w:val="13"/>
          <w:szCs w:val="13"/>
          <w:color w:val="auto"/>
        </w:rPr>
        <w:t>: For any day, a fluctuating rate per annum equal to the highest of (a) the Federal Funds Rate, as in effect from time to time, plus one-half of one percent (0.50%), or</w:t>
      </w:r>
    </w:p>
    <w:p>
      <w:pPr>
        <w:spacing w:after="0" w:line="38" w:lineRule="exact"/>
        <w:rPr>
          <w:sz w:val="20"/>
          <w:szCs w:val="20"/>
          <w:color w:val="auto"/>
        </w:rPr>
      </w:pPr>
    </w:p>
    <w:p>
      <w:pPr>
        <w:jc w:val="both"/>
        <w:ind w:left="660" w:firstLine="9"/>
        <w:spacing w:after="0"/>
        <w:tabs>
          <w:tab w:leader="none" w:pos="873"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rate of interest in effect for such day as publicly announced from time to time by Wells Fargo as its “prime rate.” The “prime rate” is a rate set by Wells Fargo based upon various factors including Wells Fargo’s costs and desired return, general economic conditions and other factors, and is used as a reference point for pricing some loans, which may be priced at, above, or below such announced rate. Any change in such rate announced by Wells Fargo shall take effect at the opening of business on the day specified in the public announcement of such change.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“Blocked Account”</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7.3(a)(ii)</w:t>
      </w:r>
      <w:r>
        <w:rPr>
          <w:rFonts w:ascii="Arial" w:cs="Arial" w:eastAsia="Arial" w:hAnsi="Arial"/>
          <w:sz w:val="15"/>
          <w:szCs w:val="15"/>
          <w:color w:val="auto"/>
        </w:rPr>
        <w:t>.</w:t>
      </w:r>
    </w:p>
    <w:p>
      <w:pPr>
        <w:spacing w:after="0" w:line="160" w:lineRule="exact"/>
        <w:rPr>
          <w:sz w:val="20"/>
          <w:szCs w:val="20"/>
          <w:color w:val="auto"/>
        </w:rPr>
      </w:pPr>
    </w:p>
    <w:p>
      <w:pPr>
        <w:jc w:val="both"/>
        <w:ind w:left="660" w:hanging="662"/>
        <w:spacing w:after="0" w:line="278" w:lineRule="auto"/>
        <w:rPr>
          <w:sz w:val="20"/>
          <w:szCs w:val="20"/>
          <w:color w:val="auto"/>
        </w:rPr>
      </w:pPr>
      <w:r>
        <w:rPr>
          <w:rFonts w:ascii="Arial" w:cs="Arial" w:eastAsia="Arial" w:hAnsi="Arial"/>
          <w:sz w:val="14"/>
          <w:szCs w:val="14"/>
          <w:b w:val="1"/>
          <w:bCs w:val="1"/>
          <w:color w:val="auto"/>
        </w:rPr>
        <w:t>“Blocked Account Agreement”</w:t>
      </w:r>
      <w:r>
        <w:rPr>
          <w:rFonts w:ascii="Arial" w:cs="Arial" w:eastAsia="Arial" w:hAnsi="Arial"/>
          <w:sz w:val="14"/>
          <w:szCs w:val="14"/>
          <w:color w:val="auto"/>
        </w:rPr>
        <w:t>: An agreement, in form and substance satisfactory to the Collateral Agent, which recognizes the Collateral Agent’s Collateral Interest in the</w:t>
      </w:r>
      <w:r>
        <w:rPr>
          <w:rFonts w:ascii="Arial" w:cs="Arial" w:eastAsia="Arial" w:hAnsi="Arial"/>
          <w:sz w:val="14"/>
          <w:szCs w:val="14"/>
          <w:b w:val="1"/>
          <w:bCs w:val="1"/>
          <w:color w:val="auto"/>
        </w:rPr>
        <w:t xml:space="preserve"> </w:t>
      </w:r>
      <w:r>
        <w:rPr>
          <w:rFonts w:ascii="Arial" w:cs="Arial" w:eastAsia="Arial" w:hAnsi="Arial"/>
          <w:sz w:val="14"/>
          <w:szCs w:val="14"/>
          <w:color w:val="auto"/>
        </w:rPr>
        <w:t>contents of the deposit account which is the subject of such agreement and provides that, after the occurrence and during the continuance of a Cash Dominion Event, such contents shall be transferred only as instructed by the Revolving Agent or the Administrative Agent pursuant to the terms thereof.</w:t>
      </w:r>
    </w:p>
    <w:p>
      <w:pPr>
        <w:spacing w:after="0" w:line="116"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“Blocked Account Bank”</w:t>
      </w:r>
      <w:r>
        <w:rPr>
          <w:rFonts w:ascii="Arial" w:cs="Arial" w:eastAsia="Arial" w:hAnsi="Arial"/>
          <w:sz w:val="15"/>
          <w:szCs w:val="15"/>
          <w:color w:val="auto"/>
        </w:rPr>
        <w:t>: Each bank with whom deposit accounts are maintained in which any funds of any of the Loan Parties from one or more DDAs are concentrated and</w:t>
      </w:r>
      <w:r>
        <w:rPr>
          <w:rFonts w:ascii="Arial" w:cs="Arial" w:eastAsia="Arial" w:hAnsi="Arial"/>
          <w:sz w:val="15"/>
          <w:szCs w:val="15"/>
          <w:b w:val="1"/>
          <w:bCs w:val="1"/>
          <w:color w:val="auto"/>
        </w:rPr>
        <w:t xml:space="preserve"> </w:t>
      </w:r>
      <w:r>
        <w:rPr>
          <w:rFonts w:ascii="Arial" w:cs="Arial" w:eastAsia="Arial" w:hAnsi="Arial"/>
          <w:sz w:val="15"/>
          <w:szCs w:val="15"/>
          <w:color w:val="auto"/>
        </w:rPr>
        <w:t>with whom a Blocked Account Agreement has been, or is required to be, executed in accordance with the terms hereof.</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“Borrower” </w:t>
      </w:r>
      <w:r>
        <w:rPr>
          <w:rFonts w:ascii="Arial" w:cs="Arial" w:eastAsia="Arial" w:hAnsi="Arial"/>
          <w:sz w:val="15"/>
          <w:szCs w:val="15"/>
          <w:color w:val="auto"/>
        </w:rPr>
        <w:t>and</w:t>
      </w:r>
      <w:r>
        <w:rPr>
          <w:rFonts w:ascii="Arial" w:cs="Arial" w:eastAsia="Arial" w:hAnsi="Arial"/>
          <w:sz w:val="15"/>
          <w:szCs w:val="15"/>
          <w:b w:val="1"/>
          <w:bCs w:val="1"/>
          <w:color w:val="auto"/>
        </w:rPr>
        <w:t xml:space="preserve"> “Borrowers”</w:t>
      </w:r>
      <w:r>
        <w:rPr>
          <w:rFonts w:ascii="Arial" w:cs="Arial" w:eastAsia="Arial" w:hAnsi="Arial"/>
          <w:sz w:val="15"/>
          <w:szCs w:val="15"/>
          <w:color w:val="auto"/>
        </w:rPr>
        <w:t>: Defined in the Preamble.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“Borrowers’ Representative”</w:t>
      </w:r>
      <w:r>
        <w:rPr>
          <w:rFonts w:ascii="Arial" w:cs="Arial" w:eastAsia="Arial" w:hAnsi="Arial"/>
          <w:sz w:val="15"/>
          <w:szCs w:val="15"/>
          <w:color w:val="auto"/>
        </w:rPr>
        <w:t>: Defined in the Preamble.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“Borrowing Base”</w:t>
      </w:r>
      <w:r>
        <w:rPr>
          <w:rFonts w:ascii="Arial" w:cs="Arial" w:eastAsia="Arial" w:hAnsi="Arial"/>
          <w:sz w:val="15"/>
          <w:szCs w:val="15"/>
          <w:color w:val="auto"/>
        </w:rPr>
        <w:t>: The aggregate of the following:</w:t>
      </w:r>
    </w:p>
    <w:p>
      <w:pPr>
        <w:spacing w:after="0" w:line="84" w:lineRule="exact"/>
        <w:rPr>
          <w:sz w:val="20"/>
          <w:szCs w:val="20"/>
          <w:color w:val="auto"/>
        </w:rPr>
      </w:pPr>
    </w:p>
    <w:p>
      <w:pPr>
        <w:ind w:left="1340" w:right="3240" w:hanging="8"/>
        <w:spacing w:after="0" w:line="350" w:lineRule="auto"/>
        <w:tabs>
          <w:tab w:leader="none" w:pos="1541"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The Applicable Inventory Advance Rate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the Appraised Inventory Liquidation Value. </w:t>
      </w:r>
      <w:r>
        <w:rPr>
          <w:rFonts w:ascii="Arial" w:cs="Arial" w:eastAsia="Arial" w:hAnsi="Arial"/>
          <w:sz w:val="15"/>
          <w:szCs w:val="15"/>
          <w:i w:val="1"/>
          <w:iCs w:val="1"/>
          <w:color w:val="auto"/>
        </w:rPr>
        <w:t>plus</w:t>
      </w:r>
    </w:p>
    <w:p>
      <w:pPr>
        <w:spacing w:after="0" w:line="1" w:lineRule="exact"/>
        <w:rPr>
          <w:rFonts w:ascii="Arial" w:cs="Arial" w:eastAsia="Arial" w:hAnsi="Arial"/>
          <w:sz w:val="15"/>
          <w:szCs w:val="15"/>
          <w:color w:val="auto"/>
        </w:rPr>
      </w:pPr>
    </w:p>
    <w:p>
      <w:pPr>
        <w:ind w:left="1540" w:hanging="208"/>
        <w:spacing w:after="0"/>
        <w:tabs>
          <w:tab w:leader="none" w:pos="1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The face amount of Eligible Credit Card Receivables </w:t>
      </w:r>
      <w:r>
        <w:rPr>
          <w:rFonts w:ascii="Arial" w:cs="Arial" w:eastAsia="Arial" w:hAnsi="Arial"/>
          <w:sz w:val="15"/>
          <w:szCs w:val="15"/>
          <w:u w:val="single" w:color="auto"/>
          <w:color w:val="auto"/>
        </w:rPr>
        <w:t>multiplied by</w:t>
      </w:r>
      <w:r>
        <w:rPr>
          <w:rFonts w:ascii="Arial" w:cs="Arial" w:eastAsia="Arial" w:hAnsi="Arial"/>
          <w:sz w:val="15"/>
          <w:szCs w:val="15"/>
          <w:color w:val="auto"/>
        </w:rPr>
        <w:t xml:space="preserve"> the Credit Card Advance Rate</w:t>
      </w:r>
    </w:p>
    <w:p>
      <w:pPr>
        <w:spacing w:after="0" w:line="160" w:lineRule="exact"/>
        <w:rPr>
          <w:rFonts w:ascii="Arial" w:cs="Arial" w:eastAsia="Arial" w:hAnsi="Arial"/>
          <w:sz w:val="15"/>
          <w:szCs w:val="15"/>
          <w:color w:val="auto"/>
        </w:rPr>
      </w:pPr>
    </w:p>
    <w:p>
      <w:pPr>
        <w:ind w:left="4840" w:hanging="89"/>
        <w:spacing w:after="0"/>
        <w:tabs>
          <w:tab w:leader="none" w:pos="4840" w:val="left"/>
        </w:tabs>
        <w:numPr>
          <w:ilvl w:val="1"/>
          <w:numId w:val="52"/>
        </w:numPr>
        <w:rPr>
          <w:rFonts w:ascii="Arial" w:cs="Arial" w:eastAsia="Arial" w:hAnsi="Arial"/>
          <w:sz w:val="15"/>
          <w:szCs w:val="15"/>
          <w:color w:val="auto"/>
        </w:rPr>
      </w:pPr>
      <w:r>
        <w:rPr>
          <w:rFonts w:ascii="Arial" w:cs="Arial" w:eastAsia="Arial" w:hAnsi="Arial"/>
          <w:sz w:val="15"/>
          <w:szCs w:val="15"/>
          <w:color w:val="auto"/>
        </w:rPr>
        <w:t>4 -</w:t>
      </w:r>
    </w:p>
    <w:p>
      <w:pPr>
        <w:sectPr>
          <w:pgSz w:w="11900" w:h="16838" w:orient="portrait"/>
          <w:cols w:equalWidth="0" w:num="1">
            <w:col w:w="10600"/>
          </w:cols>
          <w:pgMar w:left="1080" w:top="288" w:right="219" w:bottom="1440" w:gutter="0" w:footer="0" w:header="0"/>
        </w:sectPr>
      </w:pPr>
    </w:p>
    <w:bookmarkStart w:id="62" w:name="page63"/>
    <w:bookmarkEnd w:id="62"/>
    <w:p>
      <w:pPr>
        <w:ind w:left="1340"/>
        <w:spacing w:after="0"/>
        <w:rPr>
          <w:sz w:val="20"/>
          <w:szCs w:val="20"/>
          <w:color w:val="auto"/>
        </w:rPr>
      </w:pPr>
      <w:r>
        <w:rPr>
          <w:rFonts w:ascii="Arial" w:cs="Arial" w:eastAsia="Arial" w:hAnsi="Arial"/>
          <w:sz w:val="15"/>
          <w:szCs w:val="15"/>
          <w:i w:val="1"/>
          <w:iCs w:val="1"/>
          <w:color w:val="auto"/>
        </w:rPr>
        <w:t>minus</w:t>
      </w:r>
    </w:p>
    <w:p>
      <w:pPr>
        <w:spacing w:after="0" w:line="80"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(c) The then amount of all Reserves.</w:t>
      </w:r>
    </w:p>
    <w:p>
      <w:pPr>
        <w:spacing w:after="0" w:line="156"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“Borrowing Base Certificate”</w:t>
      </w:r>
      <w:r>
        <w:rPr>
          <w:rFonts w:ascii="Arial" w:cs="Arial" w:eastAsia="Arial" w:hAnsi="Arial"/>
          <w:sz w:val="15"/>
          <w:szCs w:val="15"/>
          <w:color w:val="auto"/>
        </w:rPr>
        <w:t>: A certificate substantially in the form of</w:t>
      </w:r>
      <w:r>
        <w:rPr>
          <w:rFonts w:ascii="Arial" w:cs="Arial" w:eastAsia="Arial" w:hAnsi="Arial"/>
          <w:sz w:val="15"/>
          <w:szCs w:val="15"/>
          <w:b w:val="1"/>
          <w:bCs w:val="1"/>
          <w:color w:val="auto"/>
        </w:rPr>
        <w:t xml:space="preserve"> EXHIBIT 5.4 </w:t>
      </w:r>
      <w:r>
        <w:rPr>
          <w:rFonts w:ascii="Arial" w:cs="Arial" w:eastAsia="Arial" w:hAnsi="Arial"/>
          <w:sz w:val="15"/>
          <w:szCs w:val="15"/>
          <w:color w:val="auto"/>
        </w:rPr>
        <w:t>annexed hereto (as such form may be revised from time to time by the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Agent), executed and certified as accurate and complete by the Borrowers’ Representative, which shall include appropriate exhibits, schedules, supporting documentation, and additional reports as reasonably requested by the Administrative Agent.</w:t>
      </w:r>
    </w:p>
    <w:p>
      <w:pPr>
        <w:spacing w:after="0" w:line="135"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“Business Day”</w:t>
      </w:r>
      <w:r>
        <w:rPr>
          <w:rFonts w:ascii="Arial" w:cs="Arial" w:eastAsia="Arial" w:hAnsi="Arial"/>
          <w:sz w:val="15"/>
          <w:szCs w:val="15"/>
          <w:color w:val="auto"/>
        </w:rPr>
        <w:t>: Any day other than (a) a Saturday or Sunday; (b) any day on which banks in Boston, Massachusetts generally are not open to the general public for the purpose</w:t>
      </w:r>
      <w:r>
        <w:rPr>
          <w:rFonts w:ascii="Arial" w:cs="Arial" w:eastAsia="Arial" w:hAnsi="Arial"/>
          <w:sz w:val="15"/>
          <w:szCs w:val="15"/>
          <w:b w:val="1"/>
          <w:bCs w:val="1"/>
          <w:color w:val="auto"/>
        </w:rPr>
        <w:t xml:space="preserve"> </w:t>
      </w:r>
      <w:r>
        <w:rPr>
          <w:rFonts w:ascii="Arial" w:cs="Arial" w:eastAsia="Arial" w:hAnsi="Arial"/>
          <w:sz w:val="15"/>
          <w:szCs w:val="15"/>
          <w:color w:val="auto"/>
        </w:rPr>
        <w:t>of conducting commercial banking business; or (c) a day on which the principal office of the Administrative Agent is not open to the general public to conduct business.</w:t>
      </w:r>
    </w:p>
    <w:p>
      <w:pPr>
        <w:spacing w:after="0" w:line="135"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“Business Plan”</w:t>
      </w:r>
      <w:r>
        <w:rPr>
          <w:rFonts w:ascii="Arial" w:cs="Arial" w:eastAsia="Arial" w:hAnsi="Arial"/>
          <w:sz w:val="15"/>
          <w:szCs w:val="15"/>
          <w:color w:val="auto"/>
        </w:rPr>
        <w:t>: The Loan Parties’ most recent projected balance sheet, income statement, statement of cash flows, and availability model, each on a monthly basis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following twelve (12) month period, delivered by the Borrowers’ Representative from time to time pursuant to </w:t>
      </w:r>
      <w:r>
        <w:rPr>
          <w:rFonts w:ascii="Arial" w:cs="Arial" w:eastAsia="Arial" w:hAnsi="Arial"/>
          <w:sz w:val="15"/>
          <w:szCs w:val="15"/>
          <w:u w:val="single" w:color="auto"/>
          <w:color w:val="auto"/>
        </w:rPr>
        <w:t>Section 5.7(c)</w:t>
      </w:r>
      <w:r>
        <w:rPr>
          <w:rFonts w:ascii="Arial" w:cs="Arial" w:eastAsia="Arial" w:hAnsi="Arial"/>
          <w:sz w:val="15"/>
          <w:szCs w:val="15"/>
          <w:color w:val="auto"/>
        </w:rPr>
        <w:t>, as updated from time to time by the Borrowers’ Representative pursuant to this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“Canton Lease”</w:t>
      </w:r>
      <w:r>
        <w:rPr>
          <w:rFonts w:ascii="Arial" w:cs="Arial" w:eastAsia="Arial" w:hAnsi="Arial"/>
          <w:sz w:val="15"/>
          <w:szCs w:val="15"/>
          <w:color w:val="auto"/>
        </w:rPr>
        <w:t>: The lease and related documents entered into by and among Casual Male and Spirit SPE Canton, LLC dated as of February, 2006.</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 Expenditures”</w:t>
      </w:r>
      <w:r>
        <w:rPr>
          <w:rFonts w:ascii="Arial" w:cs="Arial" w:eastAsia="Arial" w:hAnsi="Arial"/>
          <w:sz w:val="15"/>
          <w:szCs w:val="15"/>
          <w:color w:val="auto"/>
        </w:rPr>
        <w:t>: The expenditure of funds or the incurrence of liabilities which may be capitalized in accordance with GAAP.</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 Lease”</w:t>
      </w:r>
      <w:r>
        <w:rPr>
          <w:rFonts w:ascii="Arial" w:cs="Arial" w:eastAsia="Arial" w:hAnsi="Arial"/>
          <w:sz w:val="15"/>
          <w:szCs w:val="15"/>
          <w:color w:val="auto"/>
        </w:rPr>
        <w:t>: Any lease which may be capitalized in accordance with GAAP.</w:t>
      </w:r>
    </w:p>
    <w:p>
      <w:pPr>
        <w:spacing w:after="0" w:line="160" w:lineRule="exact"/>
        <w:rPr>
          <w:sz w:val="20"/>
          <w:szCs w:val="20"/>
          <w:color w:val="auto"/>
        </w:rPr>
      </w:pPr>
    </w:p>
    <w:p>
      <w:pPr>
        <w:jc w:val="both"/>
        <w:ind w:left="660" w:hanging="662"/>
        <w:spacing w:after="0" w:line="309" w:lineRule="auto"/>
        <w:rPr>
          <w:sz w:val="20"/>
          <w:szCs w:val="20"/>
          <w:color w:val="auto"/>
        </w:rPr>
      </w:pPr>
      <w:r>
        <w:rPr>
          <w:rFonts w:ascii="Arial" w:cs="Arial" w:eastAsia="Arial" w:hAnsi="Arial"/>
          <w:sz w:val="13"/>
          <w:szCs w:val="13"/>
          <w:b w:val="1"/>
          <w:bCs w:val="1"/>
          <w:color w:val="auto"/>
        </w:rPr>
        <w:t>“Capital Lease Obligations”</w:t>
      </w:r>
      <w:r>
        <w:rPr>
          <w:rFonts w:ascii="Arial" w:cs="Arial" w:eastAsia="Arial" w:hAnsi="Arial"/>
          <w:sz w:val="13"/>
          <w:szCs w:val="13"/>
          <w:color w:val="auto"/>
        </w:rPr>
        <w:t>: With respect to any Person for any period, the obligations of such Person to pay rent or other amounts under any lease of (or other arrangement</w:t>
      </w:r>
      <w:r>
        <w:rPr>
          <w:rFonts w:ascii="Arial" w:cs="Arial" w:eastAsia="Arial" w:hAnsi="Arial"/>
          <w:sz w:val="13"/>
          <w:szCs w:val="13"/>
          <w:b w:val="1"/>
          <w:bCs w:val="1"/>
          <w:color w:val="auto"/>
        </w:rPr>
        <w:t xml:space="preserve"> </w:t>
      </w:r>
      <w:r>
        <w:rPr>
          <w:rFonts w:ascii="Arial" w:cs="Arial" w:eastAsia="Arial" w:hAnsi="Arial"/>
          <w:sz w:val="13"/>
          <w:szCs w:val="13"/>
          <w:color w:val="auto"/>
        </w:rPr>
        <w:t>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98" w:lineRule="exact"/>
        <w:rPr>
          <w:sz w:val="20"/>
          <w:szCs w:val="20"/>
          <w:color w:val="auto"/>
        </w:rPr>
      </w:pPr>
    </w:p>
    <w:p>
      <w:pPr>
        <w:jc w:val="both"/>
        <w:ind w:left="660" w:hanging="662"/>
        <w:spacing w:after="0" w:line="260" w:lineRule="auto"/>
        <w:rPr>
          <w:sz w:val="20"/>
          <w:szCs w:val="20"/>
          <w:color w:val="auto"/>
        </w:rPr>
      </w:pPr>
      <w:r>
        <w:rPr>
          <w:rFonts w:ascii="Arial" w:cs="Arial" w:eastAsia="Arial" w:hAnsi="Arial"/>
          <w:sz w:val="14"/>
          <w:szCs w:val="14"/>
          <w:b w:val="1"/>
          <w:bCs w:val="1"/>
          <w:color w:val="auto"/>
        </w:rPr>
        <w:t>“Cash Dominion Event”</w:t>
      </w:r>
      <w:r>
        <w:rPr>
          <w:rFonts w:ascii="Arial" w:cs="Arial" w:eastAsia="Arial" w:hAnsi="Arial"/>
          <w:sz w:val="14"/>
          <w:szCs w:val="14"/>
          <w:color w:val="auto"/>
        </w:rPr>
        <w:t>: Either (a) the occurrence and continuance of any Event of Default, or (b) the failure of the Borrowers to maintain Excess Availability at all times equal</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or greater than twelve and one half percent (12.5%) of the Revolving Loan Cap (calculated without giving effect to the Term Loan Push Down Reserve). For purposes of this Agreement, the occurrence of a Cash Dominion Event shall be deemed continuing at the option of the Administrative Agent (i) so long as such Event of Default has not been waived, and/or (ii) if the Cash Dominion Event arises as a result of the Borrowers’ failure to maintain Excess Availability as required hereunder, until Excess Availability has equaled or exceeded twelve and one half percent (12.5%) of the Revolving Loan Cap (calculated without giving effect to the Term Loan Push Down Reserve) for sixty (60) consecutive calendar days, in which case a Cash Dominion Event shall no longer be deemed to be continuing for purposes of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Cash Dominion Event shall be deemed continuing (even if an Event of Default is no longer continuing and/or Excess Availability exceeds the required amount for sixty (60) consecutive calendar days) (A) at the option of the Borrowers’ Representative upon notice to the Administrative Agent or (B) at all times after a Cash Dominion Event has occurred and been discontinued on two (2) occasions after the Closing Date. The termination of a Cash Dominion Event as provided herein shall in no way limit, waive or delay the occurrence of a subsequent Cash Dominion Event in the event that the conditions set forth in this definition again arise.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“Casual Male”</w:t>
      </w:r>
      <w:r>
        <w:rPr>
          <w:rFonts w:ascii="Arial" w:cs="Arial" w:eastAsia="Arial" w:hAnsi="Arial"/>
          <w:sz w:val="15"/>
          <w:szCs w:val="15"/>
          <w:color w:val="auto"/>
        </w:rPr>
        <w:t>: Destination XL Group, Inc., formerly known as Casual Male Retail Group, Inc., a Delaware corporation.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“Casual Male Companies”</w:t>
      </w:r>
      <w:r>
        <w:rPr>
          <w:rFonts w:ascii="Arial" w:cs="Arial" w:eastAsia="Arial" w:hAnsi="Arial"/>
          <w:sz w:val="15"/>
          <w:szCs w:val="15"/>
          <w:color w:val="auto"/>
        </w:rPr>
        <w:t>: The Persons listed on</w:t>
      </w:r>
      <w:r>
        <w:rPr>
          <w:rFonts w:ascii="Arial" w:cs="Arial" w:eastAsia="Arial" w:hAnsi="Arial"/>
          <w:sz w:val="15"/>
          <w:szCs w:val="15"/>
          <w:b w:val="1"/>
          <w:bCs w:val="1"/>
          <w:color w:val="auto"/>
        </w:rPr>
        <w:t xml:space="preserve"> EXHIBIT 1.0(a</w:t>
      </w:r>
      <w:r>
        <w:rPr>
          <w:rFonts w:ascii="Arial" w:cs="Arial" w:eastAsia="Arial" w:hAnsi="Arial"/>
          <w:sz w:val="15"/>
          <w:szCs w:val="15"/>
          <w:color w:val="auto"/>
        </w:rPr>
        <w:t>) annexed hereto.</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- 5 -</w:t>
      </w:r>
    </w:p>
    <w:p>
      <w:pPr>
        <w:sectPr>
          <w:pgSz w:w="11900" w:h="16838" w:orient="portrait"/>
          <w:cols w:equalWidth="0" w:num="1">
            <w:col w:w="10600"/>
          </w:cols>
          <w:pgMar w:left="1080" w:top="208" w:right="21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color w:val="auto"/>
        </w:rPr>
        <w:t>“Change in Control”</w:t>
      </w:r>
      <w:r>
        <w:rPr>
          <w:rFonts w:ascii="Arial" w:cs="Arial" w:eastAsia="Arial" w:hAnsi="Arial"/>
          <w:sz w:val="15"/>
          <w:szCs w:val="15"/>
          <w:color w:val="auto"/>
        </w:rPr>
        <w:t>: The occurrence of any of the following:</w:t>
      </w:r>
    </w:p>
    <w:p>
      <w:pPr>
        <w:spacing w:after="0" w:line="84" w:lineRule="exact"/>
        <w:rPr>
          <w:sz w:val="20"/>
          <w:szCs w:val="20"/>
          <w:color w:val="auto"/>
        </w:rPr>
      </w:pPr>
    </w:p>
    <w:p>
      <w:pPr>
        <w:jc w:val="both"/>
        <w:ind w:left="660" w:firstLine="672"/>
        <w:spacing w:after="0" w:line="249" w:lineRule="auto"/>
        <w:tabs>
          <w:tab w:leader="none" w:pos="1540"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acquisition, by any group of persons (within the meaning of the Securities Exchange Act of 1934, as amended) or by any Person, of beneficial ownership (within the meaning of Rule 13d-3 of the Securities and Exchange Commission) of 35% or more of the issued and outstanding capital stock of Casual Male having the right, under ordinary circumstances, to vote for the election of directors of Casual Male.</w:t>
      </w:r>
    </w:p>
    <w:p>
      <w:pPr>
        <w:spacing w:after="0" w:line="58" w:lineRule="exact"/>
        <w:rPr>
          <w:rFonts w:ascii="Arial" w:cs="Arial" w:eastAsia="Arial" w:hAnsi="Arial"/>
          <w:sz w:val="15"/>
          <w:szCs w:val="15"/>
          <w:color w:val="auto"/>
        </w:rPr>
      </w:pPr>
    </w:p>
    <w:p>
      <w:pPr>
        <w:ind w:left="660" w:firstLine="672"/>
        <w:spacing w:after="0" w:line="259" w:lineRule="auto"/>
        <w:tabs>
          <w:tab w:leader="none" w:pos="1536" w:val="left"/>
        </w:tabs>
        <w:numPr>
          <w:ilvl w:val="1"/>
          <w:numId w:val="53"/>
        </w:numPr>
        <w:rPr>
          <w:rFonts w:ascii="Arial" w:cs="Arial" w:eastAsia="Arial" w:hAnsi="Arial"/>
          <w:sz w:val="15"/>
          <w:szCs w:val="15"/>
          <w:color w:val="auto"/>
        </w:rPr>
      </w:pPr>
      <w:r>
        <w:rPr>
          <w:rFonts w:ascii="Arial" w:cs="Arial" w:eastAsia="Arial" w:hAnsi="Arial"/>
          <w:sz w:val="15"/>
          <w:szCs w:val="15"/>
          <w:color w:val="auto"/>
        </w:rPr>
        <w:t>At any time, (a) occupation of a majority of the seats (other than vacant seats) on the board of directors of Casual Male by Persons who were neither (i) nominated by the board of directors of Casual Male nor (ii) appointed by directors so nominated.</w:t>
      </w:r>
    </w:p>
    <w:p>
      <w:pPr>
        <w:spacing w:after="0" w:line="51" w:lineRule="exact"/>
        <w:rPr>
          <w:rFonts w:ascii="Arial" w:cs="Arial" w:eastAsia="Arial" w:hAnsi="Arial"/>
          <w:sz w:val="15"/>
          <w:szCs w:val="15"/>
          <w:color w:val="auto"/>
        </w:rPr>
      </w:pPr>
    </w:p>
    <w:p>
      <w:pPr>
        <w:ind w:left="660" w:firstLine="672"/>
        <w:spacing w:after="0" w:line="295" w:lineRule="auto"/>
        <w:tabs>
          <w:tab w:leader="none" w:pos="1532" w:val="left"/>
        </w:tabs>
        <w:numPr>
          <w:ilvl w:val="1"/>
          <w:numId w:val="53"/>
        </w:numPr>
        <w:rPr>
          <w:rFonts w:ascii="Arial" w:cs="Arial" w:eastAsia="Arial" w:hAnsi="Arial"/>
          <w:sz w:val="14"/>
          <w:szCs w:val="14"/>
          <w:color w:val="auto"/>
        </w:rPr>
      </w:pPr>
      <w:r>
        <w:rPr>
          <w:rFonts w:ascii="Arial" w:cs="Arial" w:eastAsia="Arial" w:hAnsi="Arial"/>
          <w:sz w:val="14"/>
          <w:szCs w:val="14"/>
          <w:color w:val="auto"/>
        </w:rPr>
        <w:t>The persons who are directors of Casual Male as of the Closing Date cease, for any reason other than death, disability, retirement or resignation in the ordinary course (and not in connection with a proxy contest or similar occurrence), to constitute a majority of the board of directors of Casual Male.</w:t>
      </w:r>
    </w:p>
    <w:p>
      <w:pPr>
        <w:spacing w:after="0" w:line="27" w:lineRule="exact"/>
        <w:rPr>
          <w:rFonts w:ascii="Arial" w:cs="Arial" w:eastAsia="Arial" w:hAnsi="Arial"/>
          <w:sz w:val="14"/>
          <w:szCs w:val="14"/>
          <w:color w:val="auto"/>
        </w:rPr>
      </w:pPr>
    </w:p>
    <w:p>
      <w:pPr>
        <w:ind w:left="1540" w:hanging="208"/>
        <w:spacing w:after="0"/>
        <w:tabs>
          <w:tab w:leader="none" w:pos="1540" w:val="left"/>
        </w:tabs>
        <w:numPr>
          <w:ilvl w:val="1"/>
          <w:numId w:val="53"/>
        </w:numPr>
        <w:rPr>
          <w:rFonts w:ascii="Arial" w:cs="Arial" w:eastAsia="Arial" w:hAnsi="Arial"/>
          <w:sz w:val="13"/>
          <w:szCs w:val="13"/>
          <w:color w:val="auto"/>
        </w:rPr>
      </w:pPr>
      <w:r>
        <w:rPr>
          <w:rFonts w:ascii="Arial" w:cs="Arial" w:eastAsia="Arial" w:hAnsi="Arial"/>
          <w:sz w:val="13"/>
          <w:szCs w:val="13"/>
          <w:color w:val="auto"/>
        </w:rPr>
        <w:t>The failure by Casual Male (i) to own, directly or indirectly, 100% of the issued and outstanding membership interests of CMRG Apparel and RBT, or</w:t>
      </w:r>
    </w:p>
    <w:p>
      <w:pPr>
        <w:spacing w:after="0" w:line="33" w:lineRule="exact"/>
        <w:rPr>
          <w:rFonts w:ascii="Arial" w:cs="Arial" w:eastAsia="Arial" w:hAnsi="Arial"/>
          <w:sz w:val="13"/>
          <w:szCs w:val="13"/>
          <w:color w:val="auto"/>
        </w:rPr>
      </w:pPr>
    </w:p>
    <w:p>
      <w:pPr>
        <w:ind w:left="880" w:hanging="211"/>
        <w:spacing w:after="0"/>
        <w:tabs>
          <w:tab w:leader="none" w:pos="8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 own, directly or indirectly, 100% of the issued and outstanding capital stock or membership interests of all other Loan Parties.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“Chattel Paper”</w:t>
      </w:r>
      <w:r>
        <w:rPr>
          <w:rFonts w:ascii="Arial" w:cs="Arial" w:eastAsia="Arial" w:hAnsi="Arial"/>
          <w:sz w:val="15"/>
          <w:szCs w:val="15"/>
          <w:color w:val="auto"/>
        </w:rPr>
        <w:t>: Has the meaning given that term in the UCC.</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“Closing Date”</w:t>
      </w:r>
      <w:r>
        <w:rPr>
          <w:rFonts w:ascii="Arial" w:cs="Arial" w:eastAsia="Arial" w:hAnsi="Arial"/>
          <w:sz w:val="15"/>
          <w:szCs w:val="15"/>
          <w:color w:val="auto"/>
        </w:rPr>
        <w:t>: October 29, 2014.</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“CMRG Apparel”</w:t>
      </w:r>
      <w:r>
        <w:rPr>
          <w:rFonts w:ascii="Arial" w:cs="Arial" w:eastAsia="Arial" w:hAnsi="Arial"/>
          <w:sz w:val="15"/>
          <w:szCs w:val="15"/>
          <w:color w:val="auto"/>
        </w:rPr>
        <w:t>: Defined in the Preamble.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“Collateral”</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8.1</w:t>
      </w:r>
      <w:r>
        <w:rPr>
          <w:rFonts w:ascii="Arial" w:cs="Arial" w:eastAsia="Arial" w:hAnsi="Arial"/>
          <w:sz w:val="15"/>
          <w:szCs w:val="15"/>
          <w:color w:val="auto"/>
        </w:rPr>
        <w:t>.</w:t>
      </w:r>
    </w:p>
    <w:p>
      <w:pPr>
        <w:spacing w:after="0" w:line="160" w:lineRule="exact"/>
        <w:rPr>
          <w:sz w:val="20"/>
          <w:szCs w:val="20"/>
          <w:color w:val="auto"/>
        </w:rPr>
      </w:pPr>
    </w:p>
    <w:p>
      <w:pPr>
        <w:jc w:val="both"/>
        <w:ind w:left="660" w:hanging="662"/>
        <w:spacing w:after="0" w:line="243" w:lineRule="auto"/>
        <w:rPr>
          <w:sz w:val="20"/>
          <w:szCs w:val="20"/>
          <w:color w:val="auto"/>
        </w:rPr>
      </w:pPr>
      <w:r>
        <w:rPr>
          <w:rFonts w:ascii="Arial" w:cs="Arial" w:eastAsia="Arial" w:hAnsi="Arial"/>
          <w:sz w:val="15"/>
          <w:szCs w:val="15"/>
          <w:b w:val="1"/>
          <w:bCs w:val="1"/>
          <w:color w:val="auto"/>
        </w:rPr>
        <w:t>“Collateral Access Agreement”</w:t>
      </w:r>
      <w:r>
        <w:rPr>
          <w:rFonts w:ascii="Arial" w:cs="Arial" w:eastAsia="Arial" w:hAnsi="Arial"/>
          <w:sz w:val="15"/>
          <w:szCs w:val="15"/>
          <w:color w:val="auto"/>
        </w:rPr>
        <w:t>: An agreement reasonably satisfactory in form and substance to the Administrative Agent executed by (a) a bailee or other Person in possession</w:t>
      </w:r>
      <w:r>
        <w:rPr>
          <w:rFonts w:ascii="Arial" w:cs="Arial" w:eastAsia="Arial" w:hAnsi="Arial"/>
          <w:sz w:val="15"/>
          <w:szCs w:val="15"/>
          <w:b w:val="1"/>
          <w:bCs w:val="1"/>
          <w:color w:val="auto"/>
        </w:rPr>
        <w:t xml:space="preserve"> </w:t>
      </w:r>
      <w:r>
        <w:rPr>
          <w:rFonts w:ascii="Arial" w:cs="Arial" w:eastAsia="Arial" w:hAnsi="Arial"/>
          <w:sz w:val="15"/>
          <w:szCs w:val="15"/>
          <w:color w:val="auto"/>
        </w:rPr>
        <w:t>of Collateral, and (b) any landlord of real estate leased by any Loan Party, pursuant to which such Person (i) acknowledges the Agent’s Collateral Interest in the Collateral, (ii) releases or subordinates such Person’s Encumbrances in the Collateral held by such Person or located on such real estate, (iii) provides the Administrative Agent with access to the Collateral held by such bailee or other Person or located in or on such real estate, (iv) as to any landlord, provides the Administrative Agent with a reasonable time to sell and dispose of the Collateral from such real estate, and (v) makes such other agreements with the Administrative Agent as the Administrative Agent may reasonably require.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“Collateral Agent”</w:t>
      </w:r>
      <w:r>
        <w:rPr>
          <w:rFonts w:ascii="Arial" w:cs="Arial" w:eastAsia="Arial" w:hAnsi="Arial"/>
          <w:sz w:val="15"/>
          <w:szCs w:val="15"/>
          <w:color w:val="auto"/>
        </w:rPr>
        <w:t>: Defined in the Preamble.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“Collateral Interest”</w:t>
      </w:r>
      <w:r>
        <w:rPr>
          <w:rFonts w:ascii="Arial" w:cs="Arial" w:eastAsia="Arial" w:hAnsi="Arial"/>
          <w:sz w:val="15"/>
          <w:szCs w:val="15"/>
          <w:color w:val="auto"/>
        </w:rPr>
        <w:t>: Any interest in property to secure an obligation, including, without limitation, a security interest, mortgage, and deed of trust.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“Compliance Certificate”</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5.8</w:t>
      </w:r>
      <w:r>
        <w:rPr>
          <w:rFonts w:ascii="Arial" w:cs="Arial" w:eastAsia="Arial" w:hAnsi="Arial"/>
          <w:sz w:val="15"/>
          <w:szCs w:val="15"/>
          <w:color w:val="auto"/>
        </w:rPr>
        <w:t>.</w:t>
      </w:r>
    </w:p>
    <w:p>
      <w:pPr>
        <w:spacing w:after="0" w:line="160" w:lineRule="exact"/>
        <w:rPr>
          <w:sz w:val="20"/>
          <w:szCs w:val="20"/>
          <w:color w:val="auto"/>
        </w:rPr>
      </w:pPr>
    </w:p>
    <w:p>
      <w:pPr>
        <w:jc w:val="both"/>
        <w:ind w:left="660" w:hanging="662"/>
        <w:spacing w:after="0" w:line="267" w:lineRule="auto"/>
        <w:rPr>
          <w:sz w:val="20"/>
          <w:szCs w:val="20"/>
          <w:color w:val="auto"/>
        </w:rPr>
      </w:pPr>
      <w:r>
        <w:rPr>
          <w:rFonts w:ascii="Arial" w:cs="Arial" w:eastAsia="Arial" w:hAnsi="Arial"/>
          <w:sz w:val="14"/>
          <w:szCs w:val="14"/>
          <w:b w:val="1"/>
          <w:bCs w:val="1"/>
          <w:color w:val="auto"/>
        </w:rPr>
        <w:t>“Consent”</w:t>
      </w:r>
      <w:r>
        <w:rPr>
          <w:rFonts w:ascii="Arial" w:cs="Arial" w:eastAsia="Arial" w:hAnsi="Arial"/>
          <w:sz w:val="14"/>
          <w:szCs w:val="14"/>
          <w:color w:val="auto"/>
        </w:rPr>
        <w:t>: (a) Actual consent given by the Term Lender from whom such consent is sought; or (b) except with respect to matters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15.3</w:t>
      </w:r>
      <w:r>
        <w:rPr>
          <w:rFonts w:ascii="Arial" w:cs="Arial" w:eastAsia="Arial" w:hAnsi="Arial"/>
          <w:sz w:val="14"/>
          <w:szCs w:val="14"/>
          <w:b w:val="1"/>
          <w:bCs w:val="1"/>
          <w:color w:val="auto"/>
        </w:rPr>
        <w:t xml:space="preserve"> </w:t>
      </w:r>
      <w:r>
        <w:rPr>
          <w:rFonts w:ascii="Arial" w:cs="Arial" w:eastAsia="Arial" w:hAnsi="Arial"/>
          <w:sz w:val="14"/>
          <w:szCs w:val="14"/>
          <w:color w:val="auto"/>
        </w:rPr>
        <w:t>(as to which matters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actual written consent given by the Term Lender from whom such consent is sought shall be required), the passage of seven (7) Business Days from receipt of written notice to a Term Lender from an Agent of a proposed course of action to be followed by an Agent without such Term Lender’s giving that Agent written notice of that Term Lender’s objection to such course of 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all Agents may rely on such passage of time as consent by a Term Lender only if such written notice states that consent will be deemed effective if no objection is received within such time period.</w:t>
      </w:r>
    </w:p>
    <w:p>
      <w:pPr>
        <w:spacing w:after="0" w:line="123"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“Consolidated”</w:t>
      </w:r>
      <w:r>
        <w:rPr>
          <w:rFonts w:ascii="Arial" w:cs="Arial" w:eastAsia="Arial" w:hAnsi="Arial"/>
          <w:sz w:val="15"/>
          <w:szCs w:val="15"/>
          <w:color w:val="auto"/>
        </w:rPr>
        <w:t>: When used to modify a financial term, test, statement, or report, refers to the application or preparation of such term, test, statement or report (as applicable)</w:t>
      </w:r>
      <w:r>
        <w:rPr>
          <w:rFonts w:ascii="Arial" w:cs="Arial" w:eastAsia="Arial" w:hAnsi="Arial"/>
          <w:sz w:val="15"/>
          <w:szCs w:val="15"/>
          <w:b w:val="1"/>
          <w:bCs w:val="1"/>
          <w:color w:val="auto"/>
        </w:rPr>
        <w:t xml:space="preserve"> </w:t>
      </w:r>
      <w:r>
        <w:rPr>
          <w:rFonts w:ascii="Arial" w:cs="Arial" w:eastAsia="Arial" w:hAnsi="Arial"/>
          <w:sz w:val="15"/>
          <w:szCs w:val="15"/>
          <w:color w:val="auto"/>
        </w:rPr>
        <w:t>based upon the consolidation, in accordance with GAAP, of the financial condition or operating results of the Loan Parties.</w:t>
      </w:r>
    </w:p>
    <w:p>
      <w:pPr>
        <w:spacing w:after="0" w:line="127"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- 6 -</w:t>
      </w:r>
    </w:p>
    <w:p>
      <w:pPr>
        <w:sectPr>
          <w:pgSz w:w="11900" w:h="16838" w:orient="portrait"/>
          <w:cols w:equalWidth="0" w:num="1">
            <w:col w:w="10600"/>
          </w:cols>
          <w:pgMar w:left="1080" w:top="284" w:right="219" w:bottom="1440" w:gutter="0" w:footer="0" w:header="0"/>
        </w:sectPr>
      </w:pPr>
    </w:p>
    <w:bookmarkStart w:id="64" w:name="page65"/>
    <w:bookmarkEnd w:id="64"/>
    <w:p>
      <w:pPr>
        <w:jc w:val="both"/>
        <w:ind w:left="660" w:hanging="662"/>
        <w:spacing w:after="0" w:line="288" w:lineRule="auto"/>
        <w:rPr>
          <w:sz w:val="20"/>
          <w:szCs w:val="20"/>
          <w:color w:val="auto"/>
        </w:rPr>
      </w:pPr>
      <w:r>
        <w:rPr>
          <w:rFonts w:ascii="Arial" w:cs="Arial" w:eastAsia="Arial" w:hAnsi="Arial"/>
          <w:sz w:val="13"/>
          <w:szCs w:val="13"/>
          <w:b w:val="1"/>
          <w:bCs w:val="1"/>
          <w:color w:val="auto"/>
        </w:rPr>
        <w:t>“Consolidated EBITDA”</w:t>
      </w:r>
      <w:r>
        <w:rPr>
          <w:rFonts w:ascii="Arial" w:cs="Arial" w:eastAsia="Arial" w:hAnsi="Arial"/>
          <w:sz w:val="13"/>
          <w:szCs w:val="13"/>
          <w:color w:val="auto"/>
        </w:rPr>
        <w:t>: For any period, an amount equal to the Consolidated Net Income of the Borrowers’ Representative and its Subsidiaries for such period,</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plus</w:t>
      </w:r>
      <w:r>
        <w:rPr>
          <w:rFonts w:ascii="Arial" w:cs="Arial" w:eastAsia="Arial" w:hAnsi="Arial"/>
          <w:sz w:val="13"/>
          <w:szCs w:val="13"/>
          <w:b w:val="1"/>
          <w:bCs w:val="1"/>
          <w:color w:val="auto"/>
        </w:rPr>
        <w:t xml:space="preserve"> </w:t>
      </w:r>
      <w:r>
        <w:rPr>
          <w:rFonts w:ascii="Arial" w:cs="Arial" w:eastAsia="Arial" w:hAnsi="Arial"/>
          <w:sz w:val="13"/>
          <w:szCs w:val="13"/>
          <w:color w:val="auto"/>
        </w:rPr>
        <w:t>(a)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following to the extent deducted in calculating Consolidated Net Income: (i) Consolidated Interest Charges, (ii) the provision for federal, state, local and foreign income taxes, (iii) depreciation and amortization expense and (iv) other non-recurring expenses reducing Consolidated Net Income which do not represent a cash item in such period or any future period (in each case of or by the Borrowers’ Representative and its Subsidiaries for such period),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following to the extent included in calculating Consolidated Net Income: (i) federal, state, local and foreign income tax credits and (ii) all non-cash items increasing Consolidated Net Income (in each case of or by the Borrowers’ Representative and its Subsidiaries for such period), all as determined on a Consolidated basis in accordance with GAAP.</w:t>
      </w:r>
    </w:p>
    <w:p>
      <w:pPr>
        <w:spacing w:after="0" w:line="114" w:lineRule="exact"/>
        <w:rPr>
          <w:sz w:val="20"/>
          <w:szCs w:val="20"/>
          <w:color w:val="auto"/>
        </w:rPr>
      </w:pPr>
    </w:p>
    <w:p>
      <w:pPr>
        <w:jc w:val="both"/>
        <w:ind w:left="660" w:hanging="662"/>
        <w:spacing w:after="0" w:line="309" w:lineRule="auto"/>
        <w:rPr>
          <w:sz w:val="20"/>
          <w:szCs w:val="20"/>
          <w:color w:val="auto"/>
        </w:rPr>
      </w:pPr>
      <w:r>
        <w:rPr>
          <w:rFonts w:ascii="Arial" w:cs="Arial" w:eastAsia="Arial" w:hAnsi="Arial"/>
          <w:sz w:val="13"/>
          <w:szCs w:val="13"/>
          <w:b w:val="1"/>
          <w:bCs w:val="1"/>
          <w:color w:val="auto"/>
        </w:rPr>
        <w:t>“Consolidated Fixed Charge Coverage Ratio”</w:t>
      </w:r>
      <w:r>
        <w:rPr>
          <w:rFonts w:ascii="Arial" w:cs="Arial" w:eastAsia="Arial" w:hAnsi="Arial"/>
          <w:sz w:val="13"/>
          <w:szCs w:val="13"/>
          <w:color w:val="auto"/>
        </w:rPr>
        <w:t>: For any period, the ratio of (a) (i) Consolidated EBITDA for such period</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minus</w:t>
      </w:r>
      <w:r>
        <w:rPr>
          <w:rFonts w:ascii="Arial" w:cs="Arial" w:eastAsia="Arial" w:hAnsi="Arial"/>
          <w:sz w:val="13"/>
          <w:szCs w:val="13"/>
          <w:b w:val="1"/>
          <w:bCs w:val="1"/>
          <w:color w:val="auto"/>
        </w:rPr>
        <w:t xml:space="preserve"> </w:t>
      </w:r>
      <w:r>
        <w:rPr>
          <w:rFonts w:ascii="Arial" w:cs="Arial" w:eastAsia="Arial" w:hAnsi="Arial"/>
          <w:sz w:val="13"/>
          <w:szCs w:val="13"/>
          <w:color w:val="auto"/>
        </w:rPr>
        <w:t>(ii) Capital Expenditures made during such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period,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(iii) the aggregate amount of federal, state, local and foreign income taxes paid in cash during such period to (b) Debt Service Charges during such period, in each case, of or by the Borrowers’ Representative and its Subsidiaries for such period, all as determined on a Consolidated basis in accordance with GAAP.</w:t>
      </w:r>
    </w:p>
    <w:p>
      <w:pPr>
        <w:spacing w:after="0" w:line="98" w:lineRule="exact"/>
        <w:rPr>
          <w:sz w:val="20"/>
          <w:szCs w:val="20"/>
          <w:color w:val="auto"/>
        </w:rPr>
      </w:pPr>
    </w:p>
    <w:p>
      <w:pPr>
        <w:jc w:val="both"/>
        <w:ind w:left="660" w:hanging="662"/>
        <w:spacing w:after="0" w:line="264" w:lineRule="auto"/>
        <w:rPr>
          <w:sz w:val="20"/>
          <w:szCs w:val="20"/>
          <w:color w:val="auto"/>
        </w:rPr>
      </w:pPr>
      <w:r>
        <w:rPr>
          <w:rFonts w:ascii="Arial" w:cs="Arial" w:eastAsia="Arial" w:hAnsi="Arial"/>
          <w:sz w:val="14"/>
          <w:szCs w:val="14"/>
          <w:b w:val="1"/>
          <w:bCs w:val="1"/>
          <w:color w:val="auto"/>
        </w:rPr>
        <w:t>“Consolidated Interest Charges”</w:t>
      </w:r>
      <w:r>
        <w:rPr>
          <w:rFonts w:ascii="Arial" w:cs="Arial" w:eastAsia="Arial" w:hAnsi="Arial"/>
          <w:sz w:val="14"/>
          <w:szCs w:val="14"/>
          <w:color w:val="auto"/>
        </w:rPr>
        <w:t>: For any period, the sum of (a) all interest, premium payments, debt discount, fees, charges and related expenses in connection with borrowed</w:t>
      </w:r>
      <w:r>
        <w:rPr>
          <w:rFonts w:ascii="Arial" w:cs="Arial" w:eastAsia="Arial" w:hAnsi="Arial"/>
          <w:sz w:val="14"/>
          <w:szCs w:val="14"/>
          <w:b w:val="1"/>
          <w:bCs w:val="1"/>
          <w:color w:val="auto"/>
        </w:rPr>
        <w:t xml:space="preserve"> </w:t>
      </w:r>
      <w:r>
        <w:rPr>
          <w:rFonts w:ascii="Arial" w:cs="Arial" w:eastAsia="Arial" w:hAnsi="Arial"/>
          <w:sz w:val="14"/>
          <w:szCs w:val="14"/>
          <w:color w:val="auto"/>
        </w:rPr>
        <w:t>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Hedge Agreements, but excluding any non-cash or deferred interest financing costs, and (b) the portion of rent expense with respect to such period under Capital Lease Obligations that is treated as interest in accordance with GAAP, in each case of or by the Borrowers’ Representative and its Subsidiaries for such period, all as determined on a Consolidated basis in accordance with GAAP.</w:t>
      </w:r>
    </w:p>
    <w:p>
      <w:pPr>
        <w:spacing w:after="0" w:line="127" w:lineRule="exact"/>
        <w:rPr>
          <w:sz w:val="20"/>
          <w:szCs w:val="20"/>
          <w:color w:val="auto"/>
        </w:rPr>
      </w:pPr>
    </w:p>
    <w:p>
      <w:pPr>
        <w:jc w:val="both"/>
        <w:ind w:left="660" w:hanging="662"/>
        <w:spacing w:after="0" w:line="261" w:lineRule="auto"/>
        <w:rPr>
          <w:sz w:val="20"/>
          <w:szCs w:val="20"/>
          <w:color w:val="auto"/>
        </w:rPr>
      </w:pPr>
      <w:r>
        <w:rPr>
          <w:rFonts w:ascii="Arial" w:cs="Arial" w:eastAsia="Arial" w:hAnsi="Arial"/>
          <w:sz w:val="14"/>
          <w:szCs w:val="14"/>
          <w:b w:val="1"/>
          <w:bCs w:val="1"/>
          <w:color w:val="auto"/>
        </w:rPr>
        <w:t>“Consolidated Net Income”</w:t>
      </w:r>
      <w:r>
        <w:rPr>
          <w:rFonts w:ascii="Arial" w:cs="Arial" w:eastAsia="Arial" w:hAnsi="Arial"/>
          <w:sz w:val="14"/>
          <w:szCs w:val="14"/>
          <w:color w:val="auto"/>
        </w:rPr>
        <w:t>: For any period, the net income of the Borrowers’ Representative and its Subsidiaries for such period, all as determined on a Consolidated basis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accordance with GAAP;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there shall be excluded (a) the income (or loss) of such Person during such period in which any other Person has a joint interest, except to the extent of the amount of cash dividends or other distributions actually paid in cash to such Person during such period, (b) the income (or loss) of such Person during such period and accrued prior to the date it becomes a Subsidiary of a Person or any of such Person’s Subsidiaries or is merged into or consolidated with a Person or any of its Subsidiaries or that Person’s assets are acquired by such Person or any of its Subsidiaries, and (c) the income of any direct or indirect Subsidiary of a Person to the extent that the declaration or payment of dividends or similar distributions by that Subsidiary of that income is not at the time permitted by operation of the terms of its organizational documents or any agreement, instrument, judgment, decree, order, statute, rule or governmental regulation applicable to that Subsidiary, except that the Borrowers’ Representative’s equity in any net loss of any such Subsidiary for such period shall be included in determining Consolidated Net Income.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w:t>
      </w:r>
      <w:r>
        <w:rPr>
          <w:rFonts w:ascii="Arial" w:cs="Arial" w:eastAsia="Arial" w:hAnsi="Arial"/>
          <w:sz w:val="15"/>
          <w:szCs w:val="15"/>
          <w:color w:val="auto"/>
        </w:rPr>
        <w:t>: The lower of:</w:t>
      </w:r>
    </w:p>
    <w:p>
      <w:pPr>
        <w:spacing w:after="0" w:line="84" w:lineRule="exact"/>
        <w:rPr>
          <w:sz w:val="20"/>
          <w:szCs w:val="20"/>
          <w:color w:val="auto"/>
        </w:rPr>
      </w:pPr>
    </w:p>
    <w:p>
      <w:pPr>
        <w:ind w:left="660" w:firstLine="672"/>
        <w:spacing w:after="0" w:line="259" w:lineRule="auto"/>
        <w:tabs>
          <w:tab w:leader="none" w:pos="1525"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calculated cost of purchases, as determined from invoices received by CMRG Apparel its purchase journal or stock ledger, based upon its accounting practices, known to the Administrative Agent, which practices are in effect on the date on which this Agreement was executed; or</w:t>
      </w:r>
    </w:p>
    <w:p>
      <w:pPr>
        <w:spacing w:after="0" w:line="51" w:lineRule="exact"/>
        <w:rPr>
          <w:rFonts w:ascii="Arial" w:cs="Arial" w:eastAsia="Arial" w:hAnsi="Arial"/>
          <w:sz w:val="15"/>
          <w:szCs w:val="15"/>
          <w:color w:val="auto"/>
        </w:rPr>
      </w:pPr>
    </w:p>
    <w:p>
      <w:pPr>
        <w:ind w:left="660" w:firstLine="672"/>
        <w:spacing w:after="0" w:line="259" w:lineRule="auto"/>
        <w:tabs>
          <w:tab w:leader="none" w:pos="1544"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lowest ticketed or promoted price at which the subject inventory is offered to the public by any Loan Party, after all mark-downs (whether or not such price is then reflected on a Loan Party’s accounting system).</w:t>
      </w:r>
    </w:p>
    <w:p>
      <w:pPr>
        <w:spacing w:after="0" w:line="132" w:lineRule="exact"/>
        <w:rPr>
          <w:sz w:val="20"/>
          <w:szCs w:val="20"/>
          <w:color w:val="auto"/>
        </w:rPr>
      </w:pPr>
    </w:p>
    <w:p>
      <w:pPr>
        <w:ind w:left="660"/>
        <w:spacing w:after="0" w:line="259" w:lineRule="auto"/>
        <w:rPr>
          <w:sz w:val="20"/>
          <w:szCs w:val="20"/>
          <w:color w:val="auto"/>
        </w:rPr>
      </w:pPr>
      <w:r>
        <w:rPr>
          <w:rFonts w:ascii="Arial" w:cs="Arial" w:eastAsia="Arial" w:hAnsi="Arial"/>
          <w:sz w:val="15"/>
          <w:szCs w:val="15"/>
          <w:color w:val="auto"/>
        </w:rPr>
        <w:t>“Cost” does not include inventory capitalization costs or other non-purchase price charges used in a Loan Party’s calculation of cost of goods sold (other than freight, which may be capitalized consistent with GAAP and such Loan Party’s prior practices).</w:t>
      </w:r>
    </w:p>
    <w:p>
      <w:pPr>
        <w:spacing w:after="0" w:line="132"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- 7 -</w:t>
      </w:r>
    </w:p>
    <w:p>
      <w:pPr>
        <w:sectPr>
          <w:pgSz w:w="11900" w:h="16838" w:orient="portrait"/>
          <w:cols w:equalWidth="0" w:num="1">
            <w:col w:w="10600"/>
          </w:cols>
          <w:pgMar w:left="1080" w:top="284" w:right="219" w:bottom="1440" w:gutter="0" w:footer="0" w:header="0"/>
        </w:sectPr>
      </w:pPr>
    </w:p>
    <w:bookmarkStart w:id="65" w:name="page66"/>
    <w:bookmarkEnd w:id="65"/>
    <w:p>
      <w:pPr>
        <w:jc w:val="both"/>
        <w:ind w:left="660" w:hanging="662"/>
        <w:spacing w:after="0" w:line="242" w:lineRule="auto"/>
        <w:rPr>
          <w:sz w:val="20"/>
          <w:szCs w:val="20"/>
          <w:color w:val="auto"/>
        </w:rPr>
      </w:pPr>
      <w:r>
        <w:rPr>
          <w:rFonts w:ascii="Arial" w:cs="Arial" w:eastAsia="Arial" w:hAnsi="Arial"/>
          <w:sz w:val="15"/>
          <w:szCs w:val="15"/>
          <w:b w:val="1"/>
          <w:bCs w:val="1"/>
          <w:color w:val="auto"/>
        </w:rPr>
        <w:t>“Costs of Collection”</w:t>
      </w:r>
      <w:r>
        <w:rPr>
          <w:rFonts w:ascii="Arial" w:cs="Arial" w:eastAsia="Arial" w:hAnsi="Arial"/>
          <w:sz w:val="15"/>
          <w:szCs w:val="15"/>
          <w:color w:val="auto"/>
        </w:rPr>
        <w:t>: Includes, without limitation, all reasonable attorneys’ fees and reasonable out-of-pocket expenses incurred by any Agent’s attorneys, and all reasonable</w:t>
      </w:r>
      <w:r>
        <w:rPr>
          <w:rFonts w:ascii="Arial" w:cs="Arial" w:eastAsia="Arial" w:hAnsi="Arial"/>
          <w:sz w:val="15"/>
          <w:szCs w:val="15"/>
          <w:b w:val="1"/>
          <w:bCs w:val="1"/>
          <w:color w:val="auto"/>
        </w:rPr>
        <w:t xml:space="preserve"> </w:t>
      </w:r>
      <w:r>
        <w:rPr>
          <w:rFonts w:ascii="Arial" w:cs="Arial" w:eastAsia="Arial" w:hAnsi="Arial"/>
          <w:sz w:val="15"/>
          <w:szCs w:val="15"/>
          <w:color w:val="auto"/>
        </w:rPr>
        <w:t>out-of-pocket costs incurred by any Agent in the administration of the Liabilities and/or the Loan Documents, including, without limitation, reasonable costs and expenses associated with travel on behalf of any Agent, where such costs and expenses are directly or indirectly related to or in respect of any Agent’s: administration and management of the Liabilities; negotiation, documentation, and amendment of any Loan Document; or efforts to preserve, protect, collect, or enforce the Collateral, the Liabilities, and/or the Agents’ Rights and Remedies and/or any of the rights and remedies of any Agent against or in respect of any guarantor or other person liable in respect of the Liabilities (whether or not suit is instituted in connection with such efforts). “Costs of Collection” also includes the reasonable fees and expenses of Lenders’ Special Counsel. The Costs of Collection are Liabilities, and at the Administrative Agent’s option may bear interest at the then effective Libor Margin Rate.</w:t>
      </w:r>
    </w:p>
    <w:p>
      <w:pPr>
        <w:spacing w:after="0" w:line="142" w:lineRule="exact"/>
        <w:rPr>
          <w:sz w:val="20"/>
          <w:szCs w:val="20"/>
          <w:color w:val="auto"/>
        </w:rPr>
      </w:pPr>
    </w:p>
    <w:p>
      <w:pPr>
        <w:jc w:val="both"/>
        <w:ind w:left="660" w:hanging="662"/>
        <w:spacing w:after="0" w:line="243" w:lineRule="auto"/>
        <w:rPr>
          <w:sz w:val="20"/>
          <w:szCs w:val="20"/>
          <w:color w:val="auto"/>
        </w:rPr>
      </w:pPr>
      <w:r>
        <w:rPr>
          <w:rFonts w:ascii="Arial" w:cs="Arial" w:eastAsia="Arial" w:hAnsi="Arial"/>
          <w:sz w:val="15"/>
          <w:szCs w:val="15"/>
          <w:b w:val="1"/>
          <w:bCs w:val="1"/>
          <w:color w:val="auto"/>
        </w:rPr>
        <w:t>“Covenant Compliance Event”</w:t>
      </w:r>
      <w:r>
        <w:rPr>
          <w:rFonts w:ascii="Arial" w:cs="Arial" w:eastAsia="Arial" w:hAnsi="Arial"/>
          <w:sz w:val="15"/>
          <w:szCs w:val="15"/>
          <w:color w:val="auto"/>
        </w:rPr>
        <w:t>: Excess Availability at any time is less than or equal to the greater of (a) ten percent (10%) of the Revolving Loan Cap (calculated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giving effect to the Term Loan Push Down Reserve) and (b) $7,500,000. The occurrence of a Covenant Compliance Event shall be deemed continuing until the first date thereafter when Excess Availability has equaled or exceeded the greater of (x) ten percent (10%) of the Revolving Loan Cap (calculated without giving effect to the Term Loan Push Down Reserve) and (y) $7,500,000, for thirty (30) consecutive calendar days. The termination of a Covenant Compliance Event, as provided herein, shall in no way limit, waive or delay the occurrence of a subsequent Covenant Compliance Event in the event that the conditions set forth in this definition again arise.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Card Advance Rate”</w:t>
      </w:r>
      <w:r>
        <w:rPr>
          <w:rFonts w:ascii="Arial" w:cs="Arial" w:eastAsia="Arial" w:hAnsi="Arial"/>
          <w:sz w:val="15"/>
          <w:szCs w:val="15"/>
          <w:color w:val="auto"/>
        </w:rPr>
        <w:t>: 10%.</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Card Notifications”</w:t>
      </w:r>
      <w:r>
        <w:rPr>
          <w:rFonts w:ascii="Arial" w:cs="Arial" w:eastAsia="Arial" w:hAnsi="Arial"/>
          <w:sz w:val="15"/>
          <w:szCs w:val="15"/>
          <w:color w:val="auto"/>
        </w:rPr>
        <w:t>: Has the meaning given such term in Section 7.2(b).</w:t>
      </w:r>
    </w:p>
    <w:p>
      <w:pPr>
        <w:spacing w:after="0" w:line="160" w:lineRule="exact"/>
        <w:rPr>
          <w:sz w:val="20"/>
          <w:szCs w:val="20"/>
          <w:color w:val="auto"/>
        </w:rPr>
      </w:pPr>
    </w:p>
    <w:p>
      <w:pPr>
        <w:jc w:val="both"/>
        <w:ind w:left="660" w:hanging="662"/>
        <w:spacing w:after="0" w:line="292" w:lineRule="auto"/>
        <w:rPr>
          <w:sz w:val="20"/>
          <w:szCs w:val="20"/>
          <w:color w:val="auto"/>
        </w:rPr>
      </w:pPr>
      <w:r>
        <w:rPr>
          <w:rFonts w:ascii="Arial" w:cs="Arial" w:eastAsia="Arial" w:hAnsi="Arial"/>
          <w:sz w:val="13"/>
          <w:szCs w:val="13"/>
          <w:b w:val="1"/>
          <w:bCs w:val="1"/>
          <w:color w:val="auto"/>
        </w:rPr>
        <w:t>“Credit Card Receivables”</w:t>
      </w:r>
      <w:r>
        <w:rPr>
          <w:rFonts w:ascii="Arial" w:cs="Arial" w:eastAsia="Arial" w:hAnsi="Arial"/>
          <w:sz w:val="13"/>
          <w:szCs w:val="13"/>
          <w:color w:val="auto"/>
        </w:rPr>
        <w:t>: Each “payment intangible” (as defined in the UCC), together with all income, payments and proceeds thereof, owed by (a) a major credit or debit</w:t>
      </w:r>
      <w:r>
        <w:rPr>
          <w:rFonts w:ascii="Arial" w:cs="Arial" w:eastAsia="Arial" w:hAnsi="Arial"/>
          <w:sz w:val="13"/>
          <w:szCs w:val="13"/>
          <w:b w:val="1"/>
          <w:bCs w:val="1"/>
          <w:color w:val="auto"/>
        </w:rPr>
        <w:t xml:space="preserve"> </w:t>
      </w:r>
      <w:r>
        <w:rPr>
          <w:rFonts w:ascii="Arial" w:cs="Arial" w:eastAsia="Arial" w:hAnsi="Arial"/>
          <w:sz w:val="13"/>
          <w:szCs w:val="13"/>
          <w:color w:val="auto"/>
        </w:rPr>
        <w:t>card issuer (including, but not limited to, Visa, MasterCard and American Express and such other issuers approved by the Administrative Agent) and (b) any Person on account of any private label credit card receivables under programs between a Loan Party and a third party acceptable to the Administrative Agent) where the third party retains the consumer credit exposure to a Loan Party resulting from charges by a customer of a Loan Party on credit or debit cards issued by such issuer in connection with the sale of goods by a Loan Party, or services performed by a Loan Party, in each case in the ordinary course of its business.</w:t>
      </w:r>
    </w:p>
    <w:p>
      <w:pPr>
        <w:spacing w:after="0" w:line="109" w:lineRule="exact"/>
        <w:rPr>
          <w:sz w:val="20"/>
          <w:szCs w:val="20"/>
          <w:color w:val="auto"/>
        </w:rPr>
      </w:pPr>
    </w:p>
    <w:p>
      <w:pPr>
        <w:jc w:val="both"/>
        <w:ind w:left="660" w:hanging="662"/>
        <w:spacing w:after="0" w:line="259" w:lineRule="auto"/>
        <w:rPr>
          <w:sz w:val="20"/>
          <w:szCs w:val="20"/>
          <w:color w:val="auto"/>
        </w:rPr>
      </w:pPr>
      <w:r>
        <w:rPr>
          <w:rFonts w:ascii="Arial" w:cs="Arial" w:eastAsia="Arial" w:hAnsi="Arial"/>
          <w:sz w:val="15"/>
          <w:szCs w:val="15"/>
          <w:b w:val="1"/>
          <w:bCs w:val="1"/>
          <w:color w:val="auto"/>
        </w:rPr>
        <w:t>“Customer Credit Liabilities”</w:t>
      </w:r>
      <w:r>
        <w:rPr>
          <w:rFonts w:ascii="Arial" w:cs="Arial" w:eastAsia="Arial" w:hAnsi="Arial"/>
          <w:sz w:val="15"/>
          <w:szCs w:val="15"/>
          <w:color w:val="auto"/>
        </w:rPr>
        <w:t>:</w:t>
      </w:r>
      <w:r>
        <w:rPr>
          <w:sz w:val="20"/>
          <w:szCs w:val="20"/>
          <w:color w:val="auto"/>
        </w:rPr>
        <w:t xml:space="preserve"> </w:t>
      </w:r>
      <w:r>
        <w:rPr>
          <w:rFonts w:ascii="Arial" w:cs="Arial" w:eastAsia="Arial" w:hAnsi="Arial"/>
          <w:sz w:val="15"/>
          <w:szCs w:val="15"/>
          <w:color w:val="auto"/>
        </w:rPr>
        <w:t>Gift certificates, gift cards, customer deposits, merchandise credits, layaway obligations, discounts, credits and similar items earned by customers in respect of frequent shopping programs, and similar liabilities of any Loan Party to its retail customers and prospective customers.</w:t>
      </w:r>
    </w:p>
    <w:p>
      <w:pPr>
        <w:spacing w:after="0" w:line="132"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“Customs Broker/Carrier Agreement”</w:t>
      </w:r>
      <w:r>
        <w:rPr>
          <w:rFonts w:ascii="Arial" w:cs="Arial" w:eastAsia="Arial" w:hAnsi="Arial"/>
          <w:sz w:val="15"/>
          <w:szCs w:val="15"/>
          <w:color w:val="auto"/>
        </w:rPr>
        <w:t>: An agreement in form and substance satisfactory to the Administrative Agent among a Borrower, a customs broker, freight forwarder,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consolidator or carrier, and the Administrative Agent, in which the customs broker, freight forwarder, consolidator or carrier acknowledges that it has control over and holds the documents evidencing ownership of the subject Inventory for the benefit of the Agent and agrees, upon notice from the Administrative Agent, to hold and dispose of the subject Inventory solely as directed by the Administrative Agent.</w:t>
      </w:r>
    </w:p>
    <w:p>
      <w:pPr>
        <w:spacing w:after="0" w:line="137"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“DDA”</w:t>
      </w:r>
      <w:r>
        <w:rPr>
          <w:rFonts w:ascii="Arial" w:cs="Arial" w:eastAsia="Arial" w:hAnsi="Arial"/>
          <w:sz w:val="15"/>
          <w:szCs w:val="15"/>
          <w:color w:val="auto"/>
        </w:rPr>
        <w:t>: Any store level checking, demand daily depository account or other bank or like account maintained by any Loan Party for the purpose of depositing store receipts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paying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store level expenses, including, on the date of this Agreement, the accounts listed on </w:t>
      </w:r>
      <w:r>
        <w:rPr>
          <w:rFonts w:ascii="Arial" w:cs="Arial" w:eastAsia="Arial" w:hAnsi="Arial"/>
          <w:sz w:val="15"/>
          <w:szCs w:val="15"/>
          <w:b w:val="1"/>
          <w:bCs w:val="1"/>
          <w:color w:val="auto"/>
        </w:rPr>
        <w:t>EXHIBIT 7.1</w:t>
      </w:r>
      <w:r>
        <w:rPr>
          <w:rFonts w:ascii="Arial" w:cs="Arial" w:eastAsia="Arial" w:hAnsi="Arial"/>
          <w:sz w:val="15"/>
          <w:szCs w:val="15"/>
          <w:color w:val="auto"/>
        </w:rPr>
        <w:t xml:space="preserve"> hereto, but excluding, however, any Exempt DDA.</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“DDA Notifications”</w:t>
      </w:r>
      <w:r>
        <w:rPr>
          <w:rFonts w:ascii="Arial" w:cs="Arial" w:eastAsia="Arial" w:hAnsi="Arial"/>
          <w:sz w:val="15"/>
          <w:szCs w:val="15"/>
          <w:color w:val="auto"/>
        </w:rPr>
        <w:t>: Has the meaning given such term in Section 7.1(d).</w:t>
      </w:r>
    </w:p>
    <w:p>
      <w:pPr>
        <w:spacing w:after="0" w:line="164"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- 8 -</w:t>
      </w:r>
    </w:p>
    <w:p>
      <w:pPr>
        <w:sectPr>
          <w:pgSz w:w="11900" w:h="16838" w:orient="portrait"/>
          <w:cols w:equalWidth="0" w:num="1">
            <w:col w:w="10600"/>
          </w:cols>
          <w:pgMar w:left="1080" w:top="284" w:right="219" w:bottom="1440" w:gutter="0" w:footer="0" w:header="0"/>
        </w:sectPr>
      </w:pPr>
    </w:p>
    <w:bookmarkStart w:id="66" w:name="page67"/>
    <w:bookmarkEnd w:id="66"/>
    <w:p>
      <w:pPr>
        <w:jc w:val="both"/>
        <w:ind w:left="660" w:hanging="662"/>
        <w:spacing w:after="0" w:line="247" w:lineRule="auto"/>
        <w:rPr>
          <w:sz w:val="20"/>
          <w:szCs w:val="20"/>
          <w:color w:val="auto"/>
        </w:rPr>
      </w:pPr>
      <w:r>
        <w:rPr>
          <w:rFonts w:ascii="Arial" w:cs="Arial" w:eastAsia="Arial" w:hAnsi="Arial"/>
          <w:sz w:val="15"/>
          <w:szCs w:val="15"/>
          <w:b w:val="1"/>
          <w:bCs w:val="1"/>
          <w:color w:val="auto"/>
        </w:rPr>
        <w:t>“Debt Service Charges”</w:t>
      </w:r>
      <w:r>
        <w:rPr>
          <w:rFonts w:ascii="Arial" w:cs="Arial" w:eastAsia="Arial" w:hAnsi="Arial"/>
          <w:sz w:val="15"/>
          <w:szCs w:val="15"/>
          <w:color w:val="auto"/>
        </w:rPr>
        <w:t>: For any period, the sum of (a) Consolidated Interest Charges paid or required to be paid for such period,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plus</w:t>
      </w:r>
      <w:r>
        <w:rPr>
          <w:rFonts w:ascii="Arial" w:cs="Arial" w:eastAsia="Arial" w:hAnsi="Arial"/>
          <w:sz w:val="15"/>
          <w:szCs w:val="15"/>
          <w:b w:val="1"/>
          <w:bCs w:val="1"/>
          <w:color w:val="auto"/>
        </w:rPr>
        <w:t xml:space="preserve"> </w:t>
      </w:r>
      <w:r>
        <w:rPr>
          <w:rFonts w:ascii="Arial" w:cs="Arial" w:eastAsia="Arial" w:hAnsi="Arial"/>
          <w:sz w:val="15"/>
          <w:szCs w:val="15"/>
          <w:color w:val="auto"/>
        </w:rPr>
        <w:t>(b) scheduled principal payments made or</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to be made on account of Indebtedness (excluding the Liabilities, but including, without limitation, Capital Lease Obligations and including, without limitation, regularly scheduled payments of principal pursuant to Section 2.9 of this Agreement) for such period, in each case determined on a Consolidated basis in accordance with GAAP.</w:t>
      </w:r>
    </w:p>
    <w:p>
      <w:pPr>
        <w:spacing w:after="0" w:line="137"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“Default”</w:t>
      </w:r>
      <w:r>
        <w:rPr>
          <w:rFonts w:ascii="Arial" w:cs="Arial" w:eastAsia="Arial" w:hAnsi="Arial"/>
          <w:sz w:val="15"/>
          <w:szCs w:val="15"/>
          <w:color w:val="auto"/>
        </w:rPr>
        <w:t>: Any occurrence, circumstance, or state of facts with respect to a Loan Party which (a) is an Event of Default; or (b) would become an Event of Default if any requisite</w:t>
      </w:r>
      <w:r>
        <w:rPr>
          <w:rFonts w:ascii="Arial" w:cs="Arial" w:eastAsia="Arial" w:hAnsi="Arial"/>
          <w:sz w:val="15"/>
          <w:szCs w:val="15"/>
          <w:b w:val="1"/>
          <w:bCs w:val="1"/>
          <w:color w:val="auto"/>
        </w:rPr>
        <w:t xml:space="preserve"> </w:t>
      </w:r>
      <w:r>
        <w:rPr>
          <w:rFonts w:ascii="Arial" w:cs="Arial" w:eastAsia="Arial" w:hAnsi="Arial"/>
          <w:sz w:val="15"/>
          <w:szCs w:val="15"/>
          <w:color w:val="auto"/>
        </w:rPr>
        <w:t>notice were given and/or any requisite period of time were to run and such occurrence, circumstance, or state of facts were not cured within any applicable grace period.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“Deposit Account”</w:t>
      </w:r>
      <w:r>
        <w:rPr>
          <w:rFonts w:ascii="Arial" w:cs="Arial" w:eastAsia="Arial" w:hAnsi="Arial"/>
          <w:sz w:val="15"/>
          <w:szCs w:val="15"/>
          <w:color w:val="auto"/>
        </w:rPr>
        <w:t>: Has the meaning given that term in the UCC.</w:t>
      </w:r>
    </w:p>
    <w:p>
      <w:pPr>
        <w:spacing w:after="0" w:line="160"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“Disposition”</w:t>
      </w:r>
      <w:r>
        <w:rPr>
          <w:rFonts w:ascii="Arial" w:cs="Arial" w:eastAsia="Arial" w:hAnsi="Arial"/>
          <w:sz w:val="15"/>
          <w:szCs w:val="15"/>
          <w:color w:val="auto"/>
        </w:rPr>
        <w:t>: The sale, transfer, license, lease or other disposition (including any sale and leaseback transaction and any sale or issuance of equity interests in a Subsidiary) of</w:t>
      </w:r>
      <w:r>
        <w:rPr>
          <w:rFonts w:ascii="Arial" w:cs="Arial" w:eastAsia="Arial" w:hAnsi="Arial"/>
          <w:sz w:val="15"/>
          <w:szCs w:val="15"/>
          <w:b w:val="1"/>
          <w:bCs w:val="1"/>
          <w:color w:val="auto"/>
        </w:rPr>
        <w:t xml:space="preserve"> </w:t>
      </w:r>
      <w:r>
        <w:rPr>
          <w:rFonts w:ascii="Arial" w:cs="Arial" w:eastAsia="Arial" w:hAnsi="Arial"/>
          <w:sz w:val="15"/>
          <w:szCs w:val="15"/>
          <w:color w:val="auto"/>
        </w:rPr>
        <w:t>any property by any Person, including any sale, assignment, transfer or other disposal, with or without recourse, of any notes or accounts receivable or any rights and claims associated therewith.</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“Documents”</w:t>
      </w:r>
      <w:r>
        <w:rPr>
          <w:rFonts w:ascii="Arial" w:cs="Arial" w:eastAsia="Arial" w:hAnsi="Arial"/>
          <w:sz w:val="15"/>
          <w:szCs w:val="15"/>
          <w:color w:val="auto"/>
        </w:rPr>
        <w:t>: Has the meaning given that term in the UCC.</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“Documents of Title”</w:t>
      </w:r>
      <w:r>
        <w:rPr>
          <w:rFonts w:ascii="Arial" w:cs="Arial" w:eastAsia="Arial" w:hAnsi="Arial"/>
          <w:sz w:val="15"/>
          <w:szCs w:val="15"/>
          <w:color w:val="auto"/>
        </w:rPr>
        <w:t>: Has the meaning given that term in the UCC.</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“DXL Stores”</w:t>
      </w:r>
      <w:r>
        <w:rPr>
          <w:rFonts w:ascii="Arial" w:cs="Arial" w:eastAsia="Arial" w:hAnsi="Arial"/>
          <w:sz w:val="15"/>
          <w:szCs w:val="15"/>
          <w:color w:val="auto"/>
        </w:rPr>
        <w:t>: Stores which are not identified as “Casual Male” or “Rochester” stores on</w:t>
      </w:r>
      <w:r>
        <w:rPr>
          <w:rFonts w:ascii="Arial" w:cs="Arial" w:eastAsia="Arial" w:hAnsi="Arial"/>
          <w:sz w:val="15"/>
          <w:szCs w:val="15"/>
          <w:b w:val="1"/>
          <w:bCs w:val="1"/>
          <w:color w:val="auto"/>
        </w:rPr>
        <w:t xml:space="preserve"> EXHIBIT 1.01 </w:t>
      </w:r>
      <w:r>
        <w:rPr>
          <w:rFonts w:ascii="Arial" w:cs="Arial" w:eastAsia="Arial" w:hAnsi="Arial"/>
          <w:sz w:val="15"/>
          <w:szCs w:val="15"/>
          <w:color w:val="auto"/>
        </w:rPr>
        <w:t>attached hereto.</w:t>
      </w:r>
    </w:p>
    <w:p>
      <w:pPr>
        <w:spacing w:after="0" w:line="160"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“Eligible Assignee”</w:t>
      </w:r>
      <w:r>
        <w:rPr>
          <w:rFonts w:ascii="Arial" w:cs="Arial" w:eastAsia="Arial" w:hAnsi="Arial"/>
          <w:sz w:val="15"/>
          <w:szCs w:val="15"/>
          <w:color w:val="auto"/>
        </w:rPr>
        <w:t>: With respect to an assignee of a Term Lender: (a) a bank, insurance company, or company engaged in the business of making commercial loans having a</w:t>
      </w:r>
      <w:r>
        <w:rPr>
          <w:rFonts w:ascii="Arial" w:cs="Arial" w:eastAsia="Arial" w:hAnsi="Arial"/>
          <w:sz w:val="15"/>
          <w:szCs w:val="15"/>
          <w:b w:val="1"/>
          <w:bCs w:val="1"/>
          <w:color w:val="auto"/>
        </w:rPr>
        <w:t xml:space="preserve"> </w:t>
      </w:r>
      <w:r>
        <w:rPr>
          <w:rFonts w:ascii="Arial" w:cs="Arial" w:eastAsia="Arial" w:hAnsi="Arial"/>
          <w:sz w:val="15"/>
          <w:szCs w:val="15"/>
          <w:color w:val="auto"/>
        </w:rPr>
        <w:t>combined capital and surplus in excess of $300 Million; or (b) a Term Lender or any Affiliate of any Term Lender; or (c) any Person to whom a Term Lender assigns its rights and obligations under this Agreement as part of a programmed assignment and transfer of such Term Lender’s rights in and to a material portion of such Term Lender’s portfolio of asset based credit facilities; or (d) an Approved Fund.</w:t>
      </w:r>
    </w:p>
    <w:p>
      <w:pPr>
        <w:spacing w:after="0" w:line="137" w:lineRule="exact"/>
        <w:rPr>
          <w:sz w:val="20"/>
          <w:szCs w:val="20"/>
          <w:color w:val="auto"/>
        </w:rPr>
      </w:pPr>
    </w:p>
    <w:p>
      <w:pPr>
        <w:jc w:val="both"/>
        <w:ind w:left="660" w:hanging="662"/>
        <w:spacing w:after="0" w:line="259" w:lineRule="auto"/>
        <w:rPr>
          <w:sz w:val="20"/>
          <w:szCs w:val="20"/>
          <w:color w:val="auto"/>
        </w:rPr>
      </w:pPr>
      <w:r>
        <w:rPr>
          <w:rFonts w:ascii="Arial" w:cs="Arial" w:eastAsia="Arial" w:hAnsi="Arial"/>
          <w:sz w:val="14"/>
          <w:szCs w:val="14"/>
          <w:b w:val="1"/>
          <w:bCs w:val="1"/>
          <w:color w:val="auto"/>
        </w:rPr>
        <w:t>“Eligible Credit Card Receivables”</w:t>
      </w:r>
      <w:r>
        <w:rPr>
          <w:rFonts w:ascii="Arial" w:cs="Arial" w:eastAsia="Arial" w:hAnsi="Arial"/>
          <w:sz w:val="14"/>
          <w:szCs w:val="14"/>
          <w:color w:val="auto"/>
        </w:rPr>
        <w:t>: At the time of any determination thereof, each Credit Card Receivable that satisfies the following criteria at the time of creation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continues to meet the same at the time of such determination: such Credit Card Receivable (i) has been earned by performance and represents the bona fide amounts due to a Loan Party from a credit card payment processor and/or credit card issuer, and in each case originated in the ordinary course of business of such Loan Party, and (ii) in each case is acceptable to the Administrative Agent in its reasonable discretion, and is not ineligible for inclusion in the calculation of the Borrowing Base pursuant to any of clauses (a) through (j) below. Without limiting the foregoing, to qualify as an Eligible Credit Card Receivable, a Credit Card Receivable shall indicate no Person other than a Loan Party as payee or remittance party. In determining the amount to be so included, the face amount of a Credit Card Receivable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a credit card payment processor, or credit card issuer pursuant to the terms of any agreement or understanding (written or oral)) and (ii) the aggregate amount of all cash received in respect of such Credit Card Receivable but not yet applied by the Loan Parties to reduce the amount of such Credit Card Receivable. Except as otherwise agreed by the Administrative Agent, any Credit Card Receivable included within any of the following categories shall not constitute an Eligible Credit Card Receivable:</w:t>
      </w:r>
    </w:p>
    <w:p>
      <w:pPr>
        <w:spacing w:after="0" w:line="57" w:lineRule="exact"/>
        <w:rPr>
          <w:sz w:val="20"/>
          <w:szCs w:val="20"/>
          <w:color w:val="auto"/>
        </w:rPr>
      </w:pPr>
    </w:p>
    <w:p>
      <w:pPr>
        <w:ind w:left="1540" w:hanging="208"/>
        <w:spacing w:after="0"/>
        <w:tabs>
          <w:tab w:leader="none" w:pos="1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Credit Card Receivables which do not constitute a “payment intangible” (as defined in the UCC);</w:t>
      </w:r>
    </w:p>
    <w:p>
      <w:pPr>
        <w:spacing w:after="0" w:line="79" w:lineRule="exact"/>
        <w:rPr>
          <w:rFonts w:ascii="Arial" w:cs="Arial" w:eastAsia="Arial" w:hAnsi="Arial"/>
          <w:sz w:val="15"/>
          <w:szCs w:val="15"/>
          <w:color w:val="auto"/>
        </w:rPr>
      </w:pPr>
    </w:p>
    <w:p>
      <w:pPr>
        <w:ind w:left="1540" w:hanging="208"/>
        <w:spacing w:after="0"/>
        <w:tabs>
          <w:tab w:leader="none" w:pos="1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Credit Card Receivables that have been outstanding for more than five (5) Business Days from the date of sale;</w:t>
      </w:r>
    </w:p>
    <w:p>
      <w:pPr>
        <w:spacing w:after="0" w:line="160" w:lineRule="exact"/>
        <w:rPr>
          <w:rFonts w:ascii="Arial" w:cs="Arial" w:eastAsia="Arial" w:hAnsi="Arial"/>
          <w:sz w:val="15"/>
          <w:szCs w:val="15"/>
          <w:color w:val="auto"/>
        </w:rPr>
      </w:pPr>
    </w:p>
    <w:p>
      <w:pPr>
        <w:ind w:left="4840" w:hanging="89"/>
        <w:spacing w:after="0"/>
        <w:tabs>
          <w:tab w:leader="none" w:pos="4840" w:val="left"/>
        </w:tabs>
        <w:numPr>
          <w:ilvl w:val="1"/>
          <w:numId w:val="56"/>
        </w:numPr>
        <w:rPr>
          <w:rFonts w:ascii="Arial" w:cs="Arial" w:eastAsia="Arial" w:hAnsi="Arial"/>
          <w:sz w:val="15"/>
          <w:szCs w:val="15"/>
          <w:color w:val="auto"/>
        </w:rPr>
      </w:pPr>
      <w:r>
        <w:rPr>
          <w:rFonts w:ascii="Arial" w:cs="Arial" w:eastAsia="Arial" w:hAnsi="Arial"/>
          <w:sz w:val="15"/>
          <w:szCs w:val="15"/>
          <w:color w:val="auto"/>
        </w:rPr>
        <w:t>9 -</w:t>
      </w:r>
    </w:p>
    <w:p>
      <w:pPr>
        <w:sectPr>
          <w:pgSz w:w="11900" w:h="16838" w:orient="portrait"/>
          <w:cols w:equalWidth="0" w:num="1">
            <w:col w:w="10600"/>
          </w:cols>
          <w:pgMar w:left="1080" w:top="284" w:right="219" w:bottom="1440" w:gutter="0" w:footer="0" w:header="0"/>
        </w:sectPr>
      </w:pPr>
    </w:p>
    <w:bookmarkStart w:id="67" w:name="page68"/>
    <w:bookmarkEnd w:id="67"/>
    <w:p>
      <w:pPr>
        <w:jc w:val="both"/>
        <w:ind w:left="660" w:firstLine="672"/>
        <w:spacing w:after="0" w:line="249" w:lineRule="auto"/>
        <w:tabs>
          <w:tab w:leader="none" w:pos="1526" w:val="left"/>
        </w:tabs>
        <w:numPr>
          <w:ilvl w:val="0"/>
          <w:numId w:val="57"/>
        </w:numPr>
        <w:rPr>
          <w:rFonts w:ascii="Arial" w:cs="Arial" w:eastAsia="Arial" w:hAnsi="Arial"/>
          <w:sz w:val="15"/>
          <w:szCs w:val="15"/>
          <w:color w:val="auto"/>
        </w:rPr>
      </w:pPr>
      <w:r>
        <w:rPr>
          <w:rFonts w:ascii="Arial" w:cs="Arial" w:eastAsia="Arial" w:hAnsi="Arial"/>
          <w:sz w:val="15"/>
          <w:szCs w:val="15"/>
          <w:color w:val="auto"/>
        </w:rPr>
        <w:t>Credit Card Receivables (i) that are not subject to a perfected security interest in favor of the Collateral Agent, or (ii) with respect to which a Loan Party does not have good, valid and marketable title thereto, free and clear of any Encumbrance (other than Encumbrances granted to the Collateral Agent pursuant to the Loan Documents) and Encumbrances granted to the Revolving Agent under the Revolving Credit Agreement;</w:t>
      </w:r>
    </w:p>
    <w:p>
      <w:pPr>
        <w:spacing w:after="0" w:line="58" w:lineRule="exact"/>
        <w:rPr>
          <w:rFonts w:ascii="Arial" w:cs="Arial" w:eastAsia="Arial" w:hAnsi="Arial"/>
          <w:sz w:val="15"/>
          <w:szCs w:val="15"/>
          <w:color w:val="auto"/>
        </w:rPr>
      </w:pPr>
    </w:p>
    <w:p>
      <w:pPr>
        <w:ind w:left="660" w:firstLine="672"/>
        <w:spacing w:after="0" w:line="259" w:lineRule="auto"/>
        <w:tabs>
          <w:tab w:leader="none" w:pos="1533" w:val="left"/>
        </w:tabs>
        <w:numPr>
          <w:ilvl w:val="0"/>
          <w:numId w:val="57"/>
        </w:numPr>
        <w:rPr>
          <w:rFonts w:ascii="Arial" w:cs="Arial" w:eastAsia="Arial" w:hAnsi="Arial"/>
          <w:sz w:val="15"/>
          <w:szCs w:val="15"/>
          <w:color w:val="auto"/>
        </w:rPr>
      </w:pPr>
      <w:r>
        <w:rPr>
          <w:rFonts w:ascii="Arial" w:cs="Arial" w:eastAsia="Arial" w:hAnsi="Arial"/>
          <w:sz w:val="15"/>
          <w:szCs w:val="15"/>
          <w:color w:val="auto"/>
        </w:rPr>
        <w:t>Credit Card Receivables which are disputed, are with recourse, or with respect to which a claim, counterclaim, offset or chargeback has been asserted (to the extent of such claim, counterclaim, offset or chargeback);</w:t>
      </w:r>
    </w:p>
    <w:p>
      <w:pPr>
        <w:spacing w:after="0" w:line="51" w:lineRule="exact"/>
        <w:rPr>
          <w:rFonts w:ascii="Arial" w:cs="Arial" w:eastAsia="Arial" w:hAnsi="Arial"/>
          <w:sz w:val="15"/>
          <w:szCs w:val="15"/>
          <w:color w:val="auto"/>
        </w:rPr>
      </w:pPr>
    </w:p>
    <w:p>
      <w:pPr>
        <w:ind w:left="660" w:firstLine="672"/>
        <w:spacing w:after="0" w:line="259" w:lineRule="auto"/>
        <w:tabs>
          <w:tab w:leader="none" w:pos="1543" w:val="left"/>
        </w:tabs>
        <w:numPr>
          <w:ilvl w:val="0"/>
          <w:numId w:val="57"/>
        </w:numPr>
        <w:rPr>
          <w:rFonts w:ascii="Arial" w:cs="Arial" w:eastAsia="Arial" w:hAnsi="Arial"/>
          <w:sz w:val="15"/>
          <w:szCs w:val="15"/>
          <w:color w:val="auto"/>
        </w:rPr>
      </w:pPr>
      <w:r>
        <w:rPr>
          <w:rFonts w:ascii="Arial" w:cs="Arial" w:eastAsia="Arial" w:hAnsi="Arial"/>
          <w:sz w:val="15"/>
          <w:szCs w:val="15"/>
          <w:color w:val="auto"/>
        </w:rPr>
        <w:t>Credit Card Receivables as to which the processor has the right under certain circumstances to require a Loan Party to repurchase the Credit Card Receivables from such credit card processor;</w:t>
      </w:r>
    </w:p>
    <w:p>
      <w:pPr>
        <w:spacing w:after="0" w:line="51" w:lineRule="exact"/>
        <w:rPr>
          <w:rFonts w:ascii="Arial" w:cs="Arial" w:eastAsia="Arial" w:hAnsi="Arial"/>
          <w:sz w:val="15"/>
          <w:szCs w:val="15"/>
          <w:color w:val="auto"/>
        </w:rPr>
      </w:pPr>
    </w:p>
    <w:p>
      <w:pPr>
        <w:ind w:left="1540" w:hanging="208"/>
        <w:spacing w:after="0"/>
        <w:tabs>
          <w:tab w:leader="none" w:pos="15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Credit Card Receivables due from an issuer or payment processor of the applicable credit card which is the subject of any bankruptcy or insolvency</w:t>
      </w:r>
    </w:p>
    <w:p>
      <w:pPr>
        <w:spacing w:after="0" w:line="33"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5"/>
          <w:szCs w:val="15"/>
          <w:color w:val="auto"/>
        </w:rPr>
        <w:t>proceedings;</w:t>
      </w:r>
    </w:p>
    <w:p>
      <w:pPr>
        <w:spacing w:after="0" w:line="67" w:lineRule="exact"/>
        <w:rPr>
          <w:rFonts w:ascii="Arial" w:cs="Arial" w:eastAsia="Arial" w:hAnsi="Arial"/>
          <w:sz w:val="13"/>
          <w:szCs w:val="13"/>
          <w:color w:val="auto"/>
        </w:rPr>
      </w:pPr>
    </w:p>
    <w:p>
      <w:pPr>
        <w:ind w:left="1540" w:hanging="208"/>
        <w:spacing w:after="0"/>
        <w:tabs>
          <w:tab w:leader="none" w:pos="1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Credit Card Receivables which are not a valid, legally enforceable obligation of the applicable issuer with respect thereto;</w:t>
      </w:r>
    </w:p>
    <w:p>
      <w:pPr>
        <w:spacing w:after="0" w:line="79" w:lineRule="exact"/>
        <w:rPr>
          <w:rFonts w:ascii="Arial" w:cs="Arial" w:eastAsia="Arial" w:hAnsi="Arial"/>
          <w:sz w:val="15"/>
          <w:szCs w:val="15"/>
          <w:color w:val="auto"/>
        </w:rPr>
      </w:pPr>
    </w:p>
    <w:p>
      <w:pPr>
        <w:ind w:left="1560" w:hanging="228"/>
        <w:spacing w:after="0"/>
        <w:tabs>
          <w:tab w:leader="none" w:pos="15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Credit Card Receivables which do not conform to all representations, warranties or other provisions in the Loan Documents relating to Credit Card</w:t>
      </w:r>
    </w:p>
    <w:p>
      <w:pPr>
        <w:spacing w:after="0" w:line="22"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5"/>
          <w:szCs w:val="15"/>
          <w:color w:val="auto"/>
        </w:rPr>
        <w:t>Receivables;</w:t>
      </w:r>
    </w:p>
    <w:p>
      <w:pPr>
        <w:spacing w:after="0" w:line="67" w:lineRule="exact"/>
        <w:rPr>
          <w:rFonts w:ascii="Arial" w:cs="Arial" w:eastAsia="Arial" w:hAnsi="Arial"/>
          <w:sz w:val="14"/>
          <w:szCs w:val="14"/>
          <w:color w:val="auto"/>
        </w:rPr>
      </w:pPr>
    </w:p>
    <w:p>
      <w:pPr>
        <w:ind w:left="660" w:firstLine="672"/>
        <w:spacing w:after="0" w:line="259" w:lineRule="auto"/>
        <w:tabs>
          <w:tab w:leader="none" w:pos="1513" w:val="left"/>
        </w:tabs>
        <w:numPr>
          <w:ilvl w:val="0"/>
          <w:numId w:val="57"/>
        </w:numPr>
        <w:rPr>
          <w:rFonts w:ascii="Arial" w:cs="Arial" w:eastAsia="Arial" w:hAnsi="Arial"/>
          <w:sz w:val="15"/>
          <w:szCs w:val="15"/>
          <w:color w:val="auto"/>
        </w:rPr>
      </w:pPr>
      <w:r>
        <w:rPr>
          <w:rFonts w:ascii="Arial" w:cs="Arial" w:eastAsia="Arial" w:hAnsi="Arial"/>
          <w:sz w:val="15"/>
          <w:szCs w:val="15"/>
          <w:color w:val="auto"/>
        </w:rPr>
        <w:t>Credit Card Receivables which are evidenced by “chattel paper” or an “instrument” of any kind unless such “chattel paper” or “instrument” is in the possession of the Collateral Agent, and to the extent necessary or appropriate, endorsed to the Collateral Agent; or</w:t>
      </w:r>
    </w:p>
    <w:p>
      <w:pPr>
        <w:spacing w:after="0" w:line="51" w:lineRule="exact"/>
        <w:rPr>
          <w:rFonts w:ascii="Arial" w:cs="Arial" w:eastAsia="Arial" w:hAnsi="Arial"/>
          <w:sz w:val="15"/>
          <w:szCs w:val="15"/>
          <w:color w:val="auto"/>
        </w:rPr>
      </w:pPr>
    </w:p>
    <w:p>
      <w:pPr>
        <w:ind w:left="660" w:firstLine="672"/>
        <w:spacing w:after="0" w:line="259" w:lineRule="auto"/>
        <w:tabs>
          <w:tab w:leader="none" w:pos="1504" w:val="left"/>
        </w:tabs>
        <w:numPr>
          <w:ilvl w:val="0"/>
          <w:numId w:val="57"/>
        </w:numPr>
        <w:rPr>
          <w:rFonts w:ascii="Arial" w:cs="Arial" w:eastAsia="Arial" w:hAnsi="Arial"/>
          <w:sz w:val="15"/>
          <w:szCs w:val="15"/>
          <w:color w:val="auto"/>
        </w:rPr>
      </w:pPr>
      <w:r>
        <w:rPr>
          <w:rFonts w:ascii="Arial" w:cs="Arial" w:eastAsia="Arial" w:hAnsi="Arial"/>
          <w:sz w:val="15"/>
          <w:szCs w:val="15"/>
          <w:color w:val="auto"/>
        </w:rPr>
        <w:t>Credit Card Receivables which the Administrative Agent determines in its reasonable discretion to be uncertain of collection or which do not meet such other reasonable eligibility criteria for Credit Card Receivables as the Administrative Agent may determine.</w:t>
      </w:r>
    </w:p>
    <w:p>
      <w:pPr>
        <w:spacing w:after="0" w:line="128" w:lineRule="exact"/>
        <w:rPr>
          <w:sz w:val="20"/>
          <w:szCs w:val="20"/>
          <w:color w:val="auto"/>
        </w:rPr>
      </w:pPr>
    </w:p>
    <w:p>
      <w:pPr>
        <w:jc w:val="both"/>
        <w:ind w:left="660" w:hanging="662"/>
        <w:spacing w:after="0" w:line="278" w:lineRule="auto"/>
        <w:rPr>
          <w:sz w:val="20"/>
          <w:szCs w:val="20"/>
          <w:color w:val="auto"/>
        </w:rPr>
      </w:pPr>
      <w:r>
        <w:rPr>
          <w:rFonts w:ascii="Arial" w:cs="Arial" w:eastAsia="Arial" w:hAnsi="Arial"/>
          <w:sz w:val="14"/>
          <w:szCs w:val="14"/>
          <w:b w:val="1"/>
          <w:bCs w:val="1"/>
          <w:color w:val="auto"/>
        </w:rPr>
        <w:t>“Eligible In-Transit Inventory”</w:t>
      </w:r>
      <w:r>
        <w:rPr>
          <w:rFonts w:ascii="Arial" w:cs="Arial" w:eastAsia="Arial" w:hAnsi="Arial"/>
          <w:sz w:val="14"/>
          <w:szCs w:val="14"/>
          <w:color w:val="auto"/>
        </w:rPr>
        <w:t>: “Eligible In-Transit Inventory” will be calculated at 80% of the Cost value of such of the Inventory of the Casual Male Companies and RBT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each case, without duplication as to Eligible Inventory and Eligible L/C Inventory), in each case in which title has passed to a Loan Party and which is then being shipped from a foreign location for receipt, within 45 days, at a warehouse of one of the Loan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pacing w:after="0" w:line="40" w:lineRule="exact"/>
        <w:rPr>
          <w:sz w:val="20"/>
          <w:szCs w:val="20"/>
          <w:color w:val="auto"/>
        </w:rPr>
      </w:pPr>
    </w:p>
    <w:p>
      <w:pPr>
        <w:ind w:left="660" w:firstLine="672"/>
        <w:spacing w:after="0" w:line="259" w:lineRule="auto"/>
        <w:tabs>
          <w:tab w:leader="none" w:pos="1533" w:val="left"/>
        </w:tabs>
        <w:numPr>
          <w:ilvl w:val="0"/>
          <w:numId w:val="58"/>
        </w:numPr>
        <w:rPr>
          <w:rFonts w:ascii="Arial" w:cs="Arial" w:eastAsia="Arial" w:hAnsi="Arial"/>
          <w:sz w:val="15"/>
          <w:szCs w:val="15"/>
          <w:color w:val="auto"/>
        </w:rPr>
      </w:pPr>
      <w:r>
        <w:rPr>
          <w:rFonts w:ascii="Arial" w:cs="Arial" w:eastAsia="Arial" w:hAnsi="Arial"/>
          <w:sz w:val="15"/>
          <w:szCs w:val="15"/>
          <w:color w:val="auto"/>
        </w:rPr>
        <w:t>Such Inventory is of such types, character, qualities and quantities (net of Inventory Reserves) as the Administrative Agent in its reasonable discretion from time to time determines to be eligible for borrowing;</w:t>
      </w:r>
    </w:p>
    <w:p>
      <w:pPr>
        <w:spacing w:after="0" w:line="51" w:lineRule="exact"/>
        <w:rPr>
          <w:rFonts w:ascii="Arial" w:cs="Arial" w:eastAsia="Arial" w:hAnsi="Arial"/>
          <w:sz w:val="15"/>
          <w:szCs w:val="15"/>
          <w:color w:val="auto"/>
        </w:rPr>
      </w:pPr>
    </w:p>
    <w:p>
      <w:pPr>
        <w:jc w:val="both"/>
        <w:ind w:left="660" w:firstLine="672"/>
        <w:spacing w:after="0" w:line="249" w:lineRule="auto"/>
        <w:tabs>
          <w:tab w:leader="none" w:pos="1541" w:val="left"/>
        </w:tabs>
        <w:numPr>
          <w:ilvl w:val="0"/>
          <w:numId w:val="58"/>
        </w:numPr>
        <w:rPr>
          <w:rFonts w:ascii="Arial" w:cs="Arial" w:eastAsia="Arial" w:hAnsi="Arial"/>
          <w:sz w:val="15"/>
          <w:szCs w:val="15"/>
          <w:color w:val="auto"/>
        </w:rPr>
      </w:pPr>
      <w:r>
        <w:rPr>
          <w:rFonts w:ascii="Arial" w:cs="Arial" w:eastAsia="Arial" w:hAnsi="Arial"/>
          <w:sz w:val="15"/>
          <w:szCs w:val="15"/>
          <w:color w:val="auto"/>
        </w:rPr>
        <w:t>If applicable, the documents which relate to such shipment names the Collateral Agent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 and</w:t>
      </w:r>
    </w:p>
    <w:p>
      <w:pPr>
        <w:spacing w:after="0" w:line="58" w:lineRule="exact"/>
        <w:rPr>
          <w:rFonts w:ascii="Arial" w:cs="Arial" w:eastAsia="Arial" w:hAnsi="Arial"/>
          <w:sz w:val="15"/>
          <w:szCs w:val="15"/>
          <w:color w:val="auto"/>
        </w:rPr>
      </w:pPr>
    </w:p>
    <w:p>
      <w:pPr>
        <w:ind w:left="1540" w:hanging="208"/>
        <w:spacing w:after="0"/>
        <w:tabs>
          <w:tab w:leader="none" w:pos="1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Collateral Agent has a perfected security interest in such Inventory;</w:t>
      </w:r>
    </w:p>
    <w:p>
      <w:pPr>
        <w:spacing w:after="0" w:line="160" w:lineRule="exact"/>
        <w:rPr>
          <w:sz w:val="20"/>
          <w:szCs w:val="20"/>
          <w:color w:val="auto"/>
        </w:rPr>
      </w:pPr>
    </w:p>
    <w:p>
      <w:pPr>
        <w:jc w:val="both"/>
        <w:ind w:left="660"/>
        <w:spacing w:after="0" w:line="245" w:lineRule="auto"/>
        <w:rPr>
          <w:sz w:val="20"/>
          <w:szCs w:val="20"/>
          <w:color w:val="auto"/>
        </w:rPr>
      </w:pP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the Administrative Agent may, in its reasonable discretion, exclude any particular Inventory from the definition of “Eligible In-Transit Inventory” in the event that the Administrative Agent determines that such Inventory is subject to any Person’s right or claim which is (or is capable of being) senior to, or pari passu with, the Encumbrance of the Collateral Agent (such as, without limitation, a right of stoppage in transit) or may otherwise adversely impact the ability of the Collateral Agent to realize upon such Inventory.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“Eligible Inventory”</w:t>
      </w:r>
      <w:r>
        <w:rPr>
          <w:rFonts w:ascii="Arial" w:cs="Arial" w:eastAsia="Arial" w:hAnsi="Arial"/>
          <w:sz w:val="15"/>
          <w:szCs w:val="15"/>
          <w:color w:val="auto"/>
        </w:rPr>
        <w:t>: The following (without duplication):</w:t>
      </w:r>
    </w:p>
    <w:p>
      <w:pPr>
        <w:spacing w:after="0" w:line="84" w:lineRule="exact"/>
        <w:rPr>
          <w:sz w:val="20"/>
          <w:szCs w:val="20"/>
          <w:color w:val="auto"/>
        </w:rPr>
      </w:pPr>
    </w:p>
    <w:p>
      <w:pPr>
        <w:ind w:left="660" w:firstLine="672"/>
        <w:spacing w:after="0" w:line="295" w:lineRule="auto"/>
        <w:tabs>
          <w:tab w:leader="none" w:pos="1552" w:val="left"/>
        </w:tabs>
        <w:numPr>
          <w:ilvl w:val="0"/>
          <w:numId w:val="59"/>
        </w:numPr>
        <w:rPr>
          <w:rFonts w:ascii="Arial" w:cs="Arial" w:eastAsia="Arial" w:hAnsi="Arial"/>
          <w:sz w:val="14"/>
          <w:szCs w:val="14"/>
          <w:color w:val="auto"/>
        </w:rPr>
      </w:pPr>
      <w:r>
        <w:rPr>
          <w:rFonts w:ascii="Arial" w:cs="Arial" w:eastAsia="Arial" w:hAnsi="Arial"/>
          <w:sz w:val="14"/>
          <w:szCs w:val="14"/>
          <w:color w:val="auto"/>
        </w:rPr>
        <w:t>Such of the Loan Parties’ Inventory, at such locations, and of such types, character, qualities and quantities, as the Administrative Agent, in its reasonable discretion from time to time determines to be acceptable for borrowing, as to which Inventory, the Collateral Agent has a perfected security interest</w:t>
      </w:r>
    </w:p>
    <w:p>
      <w:pPr>
        <w:spacing w:after="0" w:line="108" w:lineRule="exact"/>
        <w:rPr>
          <w:rFonts w:ascii="Arial" w:cs="Arial" w:eastAsia="Arial" w:hAnsi="Arial"/>
          <w:sz w:val="14"/>
          <w:szCs w:val="14"/>
          <w:color w:val="auto"/>
        </w:rPr>
      </w:pPr>
    </w:p>
    <w:p>
      <w:pPr>
        <w:ind w:left="4800" w:hanging="86"/>
        <w:spacing w:after="0"/>
        <w:tabs>
          <w:tab w:leader="none" w:pos="4800" w:val="left"/>
        </w:tabs>
        <w:numPr>
          <w:ilvl w:val="1"/>
          <w:numId w:val="59"/>
        </w:numPr>
        <w:rPr>
          <w:rFonts w:ascii="Arial" w:cs="Arial" w:eastAsia="Arial" w:hAnsi="Arial"/>
          <w:sz w:val="15"/>
          <w:szCs w:val="15"/>
          <w:color w:val="auto"/>
        </w:rPr>
      </w:pPr>
      <w:r>
        <w:rPr>
          <w:rFonts w:ascii="Arial" w:cs="Arial" w:eastAsia="Arial" w:hAnsi="Arial"/>
          <w:sz w:val="15"/>
          <w:szCs w:val="15"/>
          <w:color w:val="auto"/>
        </w:rPr>
        <w:t>10 -</w:t>
      </w:r>
    </w:p>
    <w:p>
      <w:pPr>
        <w:sectPr>
          <w:pgSz w:w="11900" w:h="16838" w:orient="portrait"/>
          <w:cols w:equalWidth="0" w:num="1">
            <w:col w:w="10600"/>
          </w:cols>
          <w:pgMar w:left="1080" w:top="208" w:right="219" w:bottom="1440" w:gutter="0" w:footer="0" w:header="0"/>
        </w:sectPr>
      </w:pPr>
    </w:p>
    <w:bookmarkStart w:id="68" w:name="page69"/>
    <w:bookmarkEnd w:id="68"/>
    <w:p>
      <w:pPr>
        <w:ind w:left="660"/>
        <w:spacing w:after="0"/>
        <w:rPr>
          <w:sz w:val="20"/>
          <w:szCs w:val="20"/>
          <w:color w:val="auto"/>
        </w:rPr>
      </w:pPr>
      <w:r>
        <w:rPr>
          <w:rFonts w:ascii="Arial" w:cs="Arial" w:eastAsia="Arial" w:hAnsi="Arial"/>
          <w:sz w:val="13"/>
          <w:szCs w:val="13"/>
          <w:color w:val="auto"/>
        </w:rPr>
        <w:t>which is prior and superior to all security interests, claims, and encumbrances, except security interests, claims and encumbrances in favor of the Revolving Agent.</w:t>
      </w:r>
    </w:p>
    <w:p>
      <w:pPr>
        <w:spacing w:after="0" w:line="103" w:lineRule="exact"/>
        <w:rPr>
          <w:sz w:val="20"/>
          <w:szCs w:val="20"/>
          <w:color w:val="auto"/>
        </w:rPr>
      </w:pPr>
    </w:p>
    <w:p>
      <w:pPr>
        <w:ind w:left="1540" w:hanging="208"/>
        <w:spacing w:after="0"/>
        <w:tabs>
          <w:tab w:leader="none" w:pos="1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Eligible L/C Inventory.</w:t>
      </w:r>
    </w:p>
    <w:p>
      <w:pPr>
        <w:spacing w:after="0" w:line="79" w:lineRule="exact"/>
        <w:rPr>
          <w:rFonts w:ascii="Arial" w:cs="Arial" w:eastAsia="Arial" w:hAnsi="Arial"/>
          <w:sz w:val="15"/>
          <w:szCs w:val="15"/>
          <w:color w:val="auto"/>
        </w:rPr>
      </w:pPr>
    </w:p>
    <w:p>
      <w:pPr>
        <w:ind w:left="1540" w:hanging="208"/>
        <w:spacing w:after="0"/>
        <w:tabs>
          <w:tab w:leader="none" w:pos="15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Eligible In-Transit Inventory.</w:t>
      </w:r>
    </w:p>
    <w:p>
      <w:pPr>
        <w:spacing w:after="0" w:line="160" w:lineRule="exact"/>
        <w:rPr>
          <w:sz w:val="20"/>
          <w:szCs w:val="20"/>
          <w:color w:val="auto"/>
        </w:rPr>
      </w:pPr>
    </w:p>
    <w:p>
      <w:pPr>
        <w:jc w:val="both"/>
        <w:ind w:left="660"/>
        <w:spacing w:after="0" w:line="282" w:lineRule="auto"/>
        <w:rPr>
          <w:sz w:val="20"/>
          <w:szCs w:val="20"/>
          <w:color w:val="auto"/>
        </w:rPr>
      </w:pPr>
      <w:r>
        <w:rPr>
          <w:rFonts w:ascii="Arial" w:cs="Arial" w:eastAsia="Arial" w:hAnsi="Arial"/>
          <w:sz w:val="13"/>
          <w:szCs w:val="13"/>
          <w:color w:val="auto"/>
        </w:rPr>
        <w:t xml:space="preserve">Without limiting the foregoing, “Eligible Inventory” shall not include: (i) direct shipment Inventory; (ii) Inventory which cannot be sold including, without limitation, any non-merchandise inventory (such as labels, bags, and packaging materials, etc.); (iii) “dummy warehouse inventory”; (iv) damaged goods, return to vendor merchandise, packaways, samples and other similar categories; (v) Inventory that is leased by or is on consignment to a Loan Party or which is consigned by a Loan Party to a Person which is not a Loan Party; (vi) inventory which is the subject of a store closing, liquidation, going-out-of-business or similar sale, as to which in each case, any Loan Party has received an initial payment of the guaranteed price from the Person conducting the sale; and (vii) inventory in locations outside the United States or Canada (except for Eligible L/C Inventory) and in locations in the United States or Canada not under any Loan Party’s control (unless waivers acceptable to the Agents are obtained);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no event shall Inventory in locations outside of the United States be Eligible Inventory unless the Agent (A) has a perfected security interest in such Inventory, (B) has completed or received an appraisal of such Inventory from appraisers satisfactory to the Agent and such other due diligence as the Agent may require, all of the results of the foregoing to be reasonably satisfactory to the Agent, (C) has established applicable advance rates and Reserves in connection therewith, and (D) has otherwise determined in its reasonable discretion that such Inventory is eligible to be included in the Borrowing Base.</w:t>
      </w:r>
    </w:p>
    <w:p>
      <w:pPr>
        <w:spacing w:after="0" w:line="115"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“Eligible L/C Inventory”</w:t>
      </w:r>
      <w:r>
        <w:rPr>
          <w:rFonts w:ascii="Arial" w:cs="Arial" w:eastAsia="Arial" w:hAnsi="Arial"/>
          <w:sz w:val="15"/>
          <w:szCs w:val="15"/>
          <w:color w:val="auto"/>
        </w:rPr>
        <w:t>: “Eligible L/C Inventory” will be calculated at 85% of the Cost value of such of the Inventory of the Casual Male Companies and RBT (in each case,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without duplication as to Eligible Inventory and Eligible In-Transit Inventory), in each case the purchase of which is supported by a documentary letter-of-credit then having an initial expiry of forty-five (45) or less days;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58" w:lineRule="exact"/>
        <w:rPr>
          <w:sz w:val="20"/>
          <w:szCs w:val="20"/>
          <w:color w:val="auto"/>
        </w:rPr>
      </w:pPr>
    </w:p>
    <w:p>
      <w:pPr>
        <w:ind w:left="660" w:firstLine="672"/>
        <w:spacing w:after="0" w:line="259" w:lineRule="auto"/>
        <w:tabs>
          <w:tab w:leader="none" w:pos="1533" w:val="left"/>
        </w:tabs>
        <w:numPr>
          <w:ilvl w:val="0"/>
          <w:numId w:val="61"/>
        </w:numPr>
        <w:rPr>
          <w:rFonts w:ascii="Arial" w:cs="Arial" w:eastAsia="Arial" w:hAnsi="Arial"/>
          <w:sz w:val="15"/>
          <w:szCs w:val="15"/>
          <w:color w:val="auto"/>
        </w:rPr>
      </w:pPr>
      <w:r>
        <w:rPr>
          <w:rFonts w:ascii="Arial" w:cs="Arial" w:eastAsia="Arial" w:hAnsi="Arial"/>
          <w:sz w:val="15"/>
          <w:szCs w:val="15"/>
          <w:color w:val="auto"/>
        </w:rPr>
        <w:t>Such Inventory is of such types, character, qualities and quantities (net of Inventory Reserves) as the Administrative Agent in its reasonable discretion from time to time determines to be eligible for borrowing; and</w:t>
      </w:r>
    </w:p>
    <w:p>
      <w:pPr>
        <w:spacing w:after="0" w:line="51" w:lineRule="exact"/>
        <w:rPr>
          <w:rFonts w:ascii="Arial" w:cs="Arial" w:eastAsia="Arial" w:hAnsi="Arial"/>
          <w:sz w:val="15"/>
          <w:szCs w:val="15"/>
          <w:color w:val="auto"/>
        </w:rPr>
      </w:pPr>
    </w:p>
    <w:p>
      <w:pPr>
        <w:jc w:val="both"/>
        <w:ind w:left="660" w:firstLine="672"/>
        <w:spacing w:after="0" w:line="275" w:lineRule="auto"/>
        <w:tabs>
          <w:tab w:leader="none" w:pos="1545"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documentary letter-of-credit supporting such purchase names the Revolving Agent or the Collateral Agent (as applicable, in accordance with the Intercreditor Agreement)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Benefit Plan”</w:t>
      </w:r>
      <w:r>
        <w:rPr>
          <w:rFonts w:ascii="Arial" w:cs="Arial" w:eastAsia="Arial" w:hAnsi="Arial"/>
          <w:sz w:val="15"/>
          <w:szCs w:val="15"/>
          <w:color w:val="auto"/>
        </w:rPr>
        <w:t>: As defined in ERISA.</w:t>
      </w:r>
    </w:p>
    <w:p>
      <w:pPr>
        <w:spacing w:after="0" w:line="160"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“Encumbrance”</w:t>
      </w:r>
      <w:r>
        <w:rPr>
          <w:rFonts w:ascii="Arial" w:cs="Arial" w:eastAsia="Arial" w:hAnsi="Arial"/>
          <w:sz w:val="15"/>
          <w:szCs w:val="15"/>
          <w:color w:val="auto"/>
        </w:rPr>
        <w:t>: A Collateral Interest or agreement to create or grant a Collateral Interest; the interest of a lessor under a Capital Lease, conditional sale or other title retention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sale of accounts receivable or chattel paper; or other arrangement pursuant to which any Person is entitled to any preference or priority with respect to the property or assets of another Person or the income or profits of such other Person; and each of the foregoing whether consensual or non-consensual and whether arising by way of agreement, operation of law, legal process or otherwise.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“End Date”</w:t>
      </w:r>
      <w:r>
        <w:rPr>
          <w:rFonts w:ascii="Arial" w:cs="Arial" w:eastAsia="Arial" w:hAnsi="Arial"/>
          <w:sz w:val="15"/>
          <w:szCs w:val="15"/>
          <w:color w:val="auto"/>
        </w:rPr>
        <w:t>: The date upon which all Liabilities (other than continuing representations, warranties and indemnity obligations) have been paid in full.</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Laws”</w:t>
      </w:r>
      <w:r>
        <w:rPr>
          <w:rFonts w:ascii="Arial" w:cs="Arial" w:eastAsia="Arial" w:hAnsi="Arial"/>
          <w:sz w:val="15"/>
          <w:szCs w:val="15"/>
          <w:color w:val="auto"/>
        </w:rPr>
        <w:t>: All of the following:</w:t>
      </w:r>
    </w:p>
    <w:p>
      <w:pPr>
        <w:spacing w:after="0" w:line="84" w:lineRule="exact"/>
        <w:rPr>
          <w:sz w:val="20"/>
          <w:szCs w:val="20"/>
          <w:color w:val="auto"/>
        </w:rPr>
      </w:pPr>
    </w:p>
    <w:p>
      <w:pPr>
        <w:ind w:left="660" w:firstLine="672"/>
        <w:spacing w:after="0" w:line="259" w:lineRule="auto"/>
        <w:tabs>
          <w:tab w:leader="none" w:pos="1536" w:val="left"/>
        </w:tabs>
        <w:numPr>
          <w:ilvl w:val="0"/>
          <w:numId w:val="62"/>
        </w:numPr>
        <w:rPr>
          <w:rFonts w:ascii="Arial" w:cs="Arial" w:eastAsia="Arial" w:hAnsi="Arial"/>
          <w:sz w:val="15"/>
          <w:szCs w:val="15"/>
          <w:color w:val="auto"/>
        </w:rPr>
      </w:pPr>
      <w:r>
        <w:rPr>
          <w:rFonts w:ascii="Arial" w:cs="Arial" w:eastAsia="Arial" w:hAnsi="Arial"/>
          <w:sz w:val="15"/>
          <w:szCs w:val="15"/>
          <w:color w:val="auto"/>
        </w:rPr>
        <w:t>Applicable Law which regulates or relates to, or imposes any standard of conduct or liability on account of or in respect to environmental protection matters, including, without limitation, Hazardous Materials, as are now or hereafter in effect.</w:t>
      </w:r>
    </w:p>
    <w:p>
      <w:pPr>
        <w:spacing w:after="0" w:line="131" w:lineRule="exact"/>
        <w:rPr>
          <w:rFonts w:ascii="Arial" w:cs="Arial" w:eastAsia="Arial" w:hAnsi="Arial"/>
          <w:sz w:val="15"/>
          <w:szCs w:val="15"/>
          <w:color w:val="auto"/>
        </w:rPr>
      </w:pPr>
    </w:p>
    <w:p>
      <w:pPr>
        <w:ind w:left="4800" w:hanging="83"/>
        <w:spacing w:after="0"/>
        <w:tabs>
          <w:tab w:leader="none" w:pos="4800" w:val="left"/>
        </w:tabs>
        <w:numPr>
          <w:ilvl w:val="1"/>
          <w:numId w:val="62"/>
        </w:numPr>
        <w:rPr>
          <w:rFonts w:ascii="Arial" w:cs="Arial" w:eastAsia="Arial" w:hAnsi="Arial"/>
          <w:sz w:val="15"/>
          <w:szCs w:val="15"/>
          <w:color w:val="auto"/>
        </w:rPr>
      </w:pPr>
      <w:r>
        <w:rPr>
          <w:rFonts w:ascii="Arial" w:cs="Arial" w:eastAsia="Arial" w:hAnsi="Arial"/>
          <w:sz w:val="15"/>
          <w:szCs w:val="15"/>
          <w:color w:val="auto"/>
        </w:rPr>
        <w:t>11 -</w:t>
      </w:r>
    </w:p>
    <w:p>
      <w:pPr>
        <w:sectPr>
          <w:pgSz w:w="11900" w:h="16838" w:orient="portrait"/>
          <w:cols w:equalWidth="0" w:num="1">
            <w:col w:w="10600"/>
          </w:cols>
          <w:pgMar w:left="1080" w:top="208" w:right="219" w:bottom="1440" w:gutter="0" w:footer="0" w:header="0"/>
        </w:sectPr>
      </w:pPr>
    </w:p>
    <w:bookmarkStart w:id="69" w:name="page70"/>
    <w:bookmarkEnd w:id="69"/>
    <w:p>
      <w:pPr>
        <w:ind w:left="1340"/>
        <w:spacing w:after="0"/>
        <w:rPr>
          <w:sz w:val="20"/>
          <w:szCs w:val="20"/>
          <w:color w:val="auto"/>
        </w:rPr>
      </w:pPr>
      <w:r>
        <w:rPr>
          <w:rFonts w:ascii="Arial" w:cs="Arial" w:eastAsia="Arial" w:hAnsi="Arial"/>
          <w:sz w:val="15"/>
          <w:szCs w:val="15"/>
          <w:color w:val="auto"/>
        </w:rPr>
        <w:t>(b) The common law relating to damage to Persons or property from Hazardous Materials.</w:t>
      </w:r>
    </w:p>
    <w:p>
      <w:pPr>
        <w:spacing w:after="0" w:line="156"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“Equipment”</w:t>
      </w:r>
      <w:r>
        <w:rPr>
          <w:rFonts w:ascii="Arial" w:cs="Arial" w:eastAsia="Arial" w:hAnsi="Arial"/>
          <w:sz w:val="15"/>
          <w:szCs w:val="15"/>
          <w:color w:val="auto"/>
        </w:rPr>
        <w:t>: Includes, without limitation, “equipment” as defined in the UCC, and also all furniture, store fixtures, motor vehicles, rolling stock, machinery, office equipment,</w:t>
      </w:r>
      <w:r>
        <w:rPr>
          <w:rFonts w:ascii="Arial" w:cs="Arial" w:eastAsia="Arial" w:hAnsi="Arial"/>
          <w:sz w:val="15"/>
          <w:szCs w:val="15"/>
          <w:b w:val="1"/>
          <w:bCs w:val="1"/>
          <w:color w:val="auto"/>
        </w:rPr>
        <w:t xml:space="preserve"> </w:t>
      </w:r>
      <w:r>
        <w:rPr>
          <w:rFonts w:ascii="Arial" w:cs="Arial" w:eastAsia="Arial" w:hAnsi="Arial"/>
          <w:sz w:val="15"/>
          <w:szCs w:val="15"/>
          <w:color w:val="auto"/>
        </w:rPr>
        <w:t>plant equipment, tools, dies, molds, and other goods, property, and assets which are used and/or were purchased for use in the operation or furtherance of a Person’s business, and any and all accessions or additions thereto, and substitutions therefor.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“ERISA”</w:t>
      </w:r>
      <w:r>
        <w:rPr>
          <w:rFonts w:ascii="Arial" w:cs="Arial" w:eastAsia="Arial" w:hAnsi="Arial"/>
          <w:sz w:val="15"/>
          <w:szCs w:val="15"/>
          <w:color w:val="auto"/>
        </w:rPr>
        <w:t>: The Employee Retirement Income Security Act of 1974, as amended.</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“ERISA Affiliate”</w:t>
      </w:r>
      <w:r>
        <w:rPr>
          <w:rFonts w:ascii="Arial" w:cs="Arial" w:eastAsia="Arial" w:hAnsi="Arial"/>
          <w:sz w:val="15"/>
          <w:szCs w:val="15"/>
          <w:color w:val="auto"/>
        </w:rPr>
        <w:t>: Any Person which is under common control with a Loan Party within the meaning of Section 4001 of ERISA or is part of a group which includes any Loan</w:t>
      </w:r>
      <w:r>
        <w:rPr>
          <w:rFonts w:ascii="Arial" w:cs="Arial" w:eastAsia="Arial" w:hAnsi="Arial"/>
          <w:sz w:val="15"/>
          <w:szCs w:val="15"/>
          <w:b w:val="1"/>
          <w:bCs w:val="1"/>
          <w:color w:val="auto"/>
        </w:rPr>
        <w:t xml:space="preserve"> </w:t>
      </w:r>
      <w:r>
        <w:rPr>
          <w:rFonts w:ascii="Arial" w:cs="Arial" w:eastAsia="Arial" w:hAnsi="Arial"/>
          <w:sz w:val="15"/>
          <w:szCs w:val="15"/>
          <w:color w:val="auto"/>
        </w:rPr>
        <w:t>Party and which would be treated as a single employer under Section 414 of the Internal Revenue Code of 1986, as amended.</w:t>
      </w:r>
    </w:p>
    <w:p>
      <w:pPr>
        <w:spacing w:after="0" w:line="123"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“Events of Default”</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10</w:t>
      </w:r>
      <w:r>
        <w:rPr>
          <w:rFonts w:ascii="Arial" w:cs="Arial" w:eastAsia="Arial" w:hAnsi="Arial"/>
          <w:sz w:val="15"/>
          <w:szCs w:val="15"/>
          <w:color w:val="auto"/>
        </w:rPr>
        <w:t>. An “Event of Default” shall be deemed to have occurred and to be continuing unless and until that Event of Default has been duly</w:t>
      </w:r>
      <w:r>
        <w:rPr>
          <w:rFonts w:ascii="Arial" w:cs="Arial" w:eastAsia="Arial" w:hAnsi="Arial"/>
          <w:sz w:val="15"/>
          <w:szCs w:val="15"/>
          <w:b w:val="1"/>
          <w:bCs w:val="1"/>
          <w:color w:val="auto"/>
        </w:rPr>
        <w:t xml:space="preserve"> </w:t>
      </w:r>
      <w:r>
        <w:rPr>
          <w:rFonts w:ascii="Arial" w:cs="Arial" w:eastAsia="Arial" w:hAnsi="Arial"/>
          <w:sz w:val="15"/>
          <w:szCs w:val="15"/>
          <w:color w:val="auto"/>
        </w:rPr>
        <w:t>waived by the requisite Term Lenders or by the Administrative Agent, as applicable.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“Excess Availability”</w:t>
      </w:r>
      <w:r>
        <w:rPr>
          <w:rFonts w:ascii="Arial" w:cs="Arial" w:eastAsia="Arial" w:hAnsi="Arial"/>
          <w:sz w:val="15"/>
          <w:szCs w:val="15"/>
          <w:color w:val="auto"/>
        </w:rPr>
        <w:t>: Has the meaning given to the term under the Revolving Credit Agreement in effect on the Closing Date.</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“Exempt DDA”</w:t>
      </w:r>
      <w:r>
        <w:rPr>
          <w:rFonts w:ascii="Arial" w:cs="Arial" w:eastAsia="Arial" w:hAnsi="Arial"/>
          <w:sz w:val="15"/>
          <w:szCs w:val="15"/>
          <w:color w:val="auto"/>
        </w:rPr>
        <w:t>: A depository account maintained by any Loan Party, the only contents of which may be transfers</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from</w:t>
      </w:r>
      <w:r>
        <w:rPr>
          <w:rFonts w:ascii="Arial" w:cs="Arial" w:eastAsia="Arial" w:hAnsi="Arial"/>
          <w:sz w:val="15"/>
          <w:szCs w:val="15"/>
          <w:b w:val="1"/>
          <w:bCs w:val="1"/>
          <w:color w:val="auto"/>
        </w:rPr>
        <w:t xml:space="preserve"> </w:t>
      </w:r>
      <w:r>
        <w:rPr>
          <w:rFonts w:ascii="Arial" w:cs="Arial" w:eastAsia="Arial" w:hAnsi="Arial"/>
          <w:sz w:val="15"/>
          <w:szCs w:val="15"/>
          <w:color w:val="auto"/>
        </w:rPr>
        <w:t>the Operating Account and actually used solely (i) for</w:t>
      </w:r>
      <w:r>
        <w:rPr>
          <w:rFonts w:ascii="Arial" w:cs="Arial" w:eastAsia="Arial" w:hAnsi="Arial"/>
          <w:sz w:val="15"/>
          <w:szCs w:val="15"/>
          <w:b w:val="1"/>
          <w:bCs w:val="1"/>
          <w:color w:val="auto"/>
        </w:rPr>
        <w:t xml:space="preserve"> </w:t>
      </w:r>
      <w:r>
        <w:rPr>
          <w:rFonts w:ascii="Arial" w:cs="Arial" w:eastAsia="Arial" w:hAnsi="Arial"/>
          <w:sz w:val="15"/>
          <w:szCs w:val="15"/>
          <w:color w:val="auto"/>
        </w:rPr>
        <w:t>petty cash purposes or (ii) for payroll.</w:t>
      </w:r>
    </w:p>
    <w:p>
      <w:pPr>
        <w:spacing w:after="0" w:line="123" w:lineRule="exact"/>
        <w:rPr>
          <w:sz w:val="20"/>
          <w:szCs w:val="20"/>
          <w:color w:val="auto"/>
        </w:rPr>
      </w:pPr>
    </w:p>
    <w:p>
      <w:pPr>
        <w:jc w:val="both"/>
        <w:ind w:left="660" w:hanging="662"/>
        <w:spacing w:after="0" w:line="243" w:lineRule="auto"/>
        <w:rPr>
          <w:sz w:val="20"/>
          <w:szCs w:val="20"/>
          <w:color w:val="auto"/>
        </w:rPr>
      </w:pPr>
      <w:r>
        <w:rPr>
          <w:rFonts w:ascii="Arial" w:cs="Arial" w:eastAsia="Arial" w:hAnsi="Arial"/>
          <w:sz w:val="15"/>
          <w:szCs w:val="15"/>
          <w:b w:val="1"/>
          <w:bCs w:val="1"/>
          <w:color w:val="auto"/>
        </w:rPr>
        <w:t>“Federal Funds Rate”</w:t>
      </w:r>
      <w:r>
        <w:rPr>
          <w:rFonts w:ascii="Arial" w:cs="Arial" w:eastAsia="Arial" w:hAnsi="Arial"/>
          <w:sz w:val="15"/>
          <w:szCs w:val="15"/>
          <w:color w:val="auto"/>
        </w:rPr>
        <w:t>: For any day, the rate per annum equal to the weighted average of the rates on overnight Federal funds transactions with members of the Federal Reserve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System arranged by Federal funds brokers on such day, as published by the Federal Reserve Bank of New York on the Business Day next succeeding such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Wells Fargo on such day on such transactions as determined by the Administrative Agent.</w:t>
      </w:r>
    </w:p>
    <w:p>
      <w:pPr>
        <w:spacing w:after="0" w:line="142"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“Fiscal”</w:t>
      </w:r>
      <w:r>
        <w:rPr>
          <w:rFonts w:ascii="Arial" w:cs="Arial" w:eastAsia="Arial" w:hAnsi="Arial"/>
          <w:sz w:val="15"/>
          <w:szCs w:val="15"/>
          <w:color w:val="auto"/>
        </w:rPr>
        <w:t>: When followed by “month” or “quarter”, it refers to the relevant fiscal period based on the Loan Parties’ fiscal year and accounting conventions (e.g. reference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Loan Parties’ “Fiscal June 2014” is to the Loan Parties’ fiscal month of June in the calendar year 2014). When followed by reference to a specific year, it refers to the fiscal year which ends in a month of the year to which reference is being made (e.g. if the Loan Parties’ fiscal year ends in January 2015 reference to that year would be to the Loan Parties’ “Fiscal 2014”).</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“Fixtures”</w:t>
      </w:r>
      <w:r>
        <w:rPr>
          <w:rFonts w:ascii="Arial" w:cs="Arial" w:eastAsia="Arial" w:hAnsi="Arial"/>
          <w:sz w:val="15"/>
          <w:szCs w:val="15"/>
          <w:color w:val="auto"/>
        </w:rPr>
        <w:t>: Has the meaning given that term in the UCC.</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“Fund”</w:t>
      </w:r>
      <w:r>
        <w:rPr>
          <w:rFonts w:ascii="Arial" w:cs="Arial" w:eastAsia="Arial" w:hAnsi="Arial"/>
          <w:sz w:val="15"/>
          <w:szCs w:val="15"/>
          <w:color w:val="auto"/>
        </w:rPr>
        <w:t>: Any Person (other than a natural person) that is (or will be) engaged in making, purchasing, holding or otherwise investing in commercial loans and similar extensions</w:t>
      </w:r>
      <w:r>
        <w:rPr>
          <w:rFonts w:ascii="Arial" w:cs="Arial" w:eastAsia="Arial" w:hAnsi="Arial"/>
          <w:sz w:val="15"/>
          <w:szCs w:val="15"/>
          <w:b w:val="1"/>
          <w:bCs w:val="1"/>
          <w:color w:val="auto"/>
        </w:rPr>
        <w:t xml:space="preserve"> </w:t>
      </w:r>
      <w:r>
        <w:rPr>
          <w:rFonts w:ascii="Arial" w:cs="Arial" w:eastAsia="Arial" w:hAnsi="Arial"/>
          <w:sz w:val="15"/>
          <w:szCs w:val="15"/>
          <w:color w:val="auto"/>
        </w:rPr>
        <w:t>of credit in the ordinary course of its business.</w:t>
      </w:r>
    </w:p>
    <w:p>
      <w:pPr>
        <w:spacing w:after="0" w:line="123" w:lineRule="exact"/>
        <w:rPr>
          <w:sz w:val="20"/>
          <w:szCs w:val="20"/>
          <w:color w:val="auto"/>
        </w:rPr>
      </w:pPr>
    </w:p>
    <w:p>
      <w:pPr>
        <w:jc w:val="both"/>
        <w:ind w:left="660" w:hanging="662"/>
        <w:spacing w:after="0" w:line="245" w:lineRule="auto"/>
        <w:rPr>
          <w:sz w:val="20"/>
          <w:szCs w:val="20"/>
          <w:color w:val="auto"/>
        </w:rPr>
      </w:pPr>
      <w:r>
        <w:rPr>
          <w:rFonts w:ascii="Arial" w:cs="Arial" w:eastAsia="Arial" w:hAnsi="Arial"/>
          <w:sz w:val="15"/>
          <w:szCs w:val="15"/>
          <w:b w:val="1"/>
          <w:bCs w:val="1"/>
          <w:color w:val="auto"/>
        </w:rPr>
        <w:t>“GAAP”</w:t>
      </w:r>
      <w:r>
        <w:rPr>
          <w:rFonts w:ascii="Arial" w:cs="Arial" w:eastAsia="Arial" w:hAnsi="Arial"/>
          <w:sz w:val="15"/>
          <w:szCs w:val="15"/>
          <w:color w:val="auto"/>
        </w:rPr>
        <w:t>: Principles which are consistent with those promulgated or adopted by the Financial Accounting Standards Board and its predecessors (or successors) in effect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applicable to that accounting period in respect of which reference to GAAP is being made;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in the event of a Material Accounting Change, then unless otherwise specifically agreed to by the Administrative Agent, the Borrowers’ Representative shall include, with its monthly, quarterly, and annual financial statements a schedule, certified by the Borrowers’ Representative’s chief financial officer, on which the effect of such Material Accounting Change on that statement shall be described.</w:t>
      </w:r>
    </w:p>
    <w:p>
      <w:pPr>
        <w:spacing w:after="0" w:line="142"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- 12 -</w:t>
      </w:r>
    </w:p>
    <w:p>
      <w:pPr>
        <w:sectPr>
          <w:pgSz w:w="11900" w:h="16838" w:orient="portrait"/>
          <w:cols w:equalWidth="0" w:num="1">
            <w:col w:w="10600"/>
          </w:cols>
          <w:pgMar w:left="1080" w:top="208" w:right="219" w:bottom="1440" w:gutter="0" w:footer="0" w:header="0"/>
        </w:sectPr>
      </w:pPr>
    </w:p>
    <w:bookmarkStart w:id="70" w:name="page71"/>
    <w:bookmarkEnd w:id="70"/>
    <w:p>
      <w:pPr>
        <w:jc w:val="both"/>
        <w:ind w:left="660" w:hanging="662"/>
        <w:spacing w:after="0" w:line="280" w:lineRule="auto"/>
        <w:rPr>
          <w:sz w:val="20"/>
          <w:szCs w:val="20"/>
          <w:color w:val="auto"/>
        </w:rPr>
      </w:pPr>
      <w:r>
        <w:rPr>
          <w:rFonts w:ascii="Arial" w:cs="Arial" w:eastAsia="Arial" w:hAnsi="Arial"/>
          <w:sz w:val="13"/>
          <w:szCs w:val="13"/>
          <w:b w:val="1"/>
          <w:bCs w:val="1"/>
          <w:color w:val="auto"/>
        </w:rPr>
        <w:t>“General Intangibles”</w:t>
      </w:r>
      <w:r>
        <w:rPr>
          <w:rFonts w:ascii="Arial" w:cs="Arial" w:eastAsia="Arial" w:hAnsi="Arial"/>
          <w:sz w:val="13"/>
          <w:szCs w:val="13"/>
          <w:color w:val="auto"/>
        </w:rPr>
        <w:t>: Includes, without limitation, “general intangibles” as defined in the UCC; and also all: rights to payment for credit extended; deposits; amounts due to</w:t>
      </w:r>
      <w:r>
        <w:rPr>
          <w:rFonts w:ascii="Arial" w:cs="Arial" w:eastAsia="Arial" w:hAnsi="Arial"/>
          <w:sz w:val="13"/>
          <w:szCs w:val="13"/>
          <w:b w:val="1"/>
          <w:bCs w:val="1"/>
          <w:color w:val="auto"/>
        </w:rPr>
        <w:t xml:space="preserve"> </w:t>
      </w:r>
      <w:r>
        <w:rPr>
          <w:rFonts w:ascii="Arial" w:cs="Arial" w:eastAsia="Arial" w:hAnsi="Arial"/>
          <w:sz w:val="13"/>
          <w:szCs w:val="13"/>
          <w:color w:val="auto"/>
        </w:rPr>
        <w:t>any Person; credit memoranda in favor of any Person; warranty claims; tax refunds and abatements; insurance refunds and premium rebates; all means and vehicles of investment or hedging, including, without limitation, options, warrants, and futures contracts; records; customer lists; telephone numbers; goodwill; causes of action; judgments; payments under any settlement or other agreement; literary rights; rights to performance; royalties; license and/or franchise fees; rights of admission; licenses; franchises; license agreements, including all rights of any Person to enforce same; permits, certificates of convenience and necessity, and similar rights granted by any governmental authority; patents, patent applications, patents pending, and other intellectual property; internet addresses and domain names; developmental ideas and concepts; proprietary processes; blueprints, drawings, designs, diagrams, plans, reports, and charts; catalogs; manuals; technical data; computer software programs (including the source and object codes therefor), computer records, computer software, rights of access to computer record service bureaus, service bureau computer contracts, and computer data; tapes, disks, semi-conductors chips and printouts; trade secrets rights, copyrights, mask work rights and interests, and derivative works and interests; user, technical reference, and other manuals and materials; trade names, trademarks, service marks, and all goodwill relating thereto; applications for registration of the foregoing; and all other general intangible property of any Person in the nature of intellectual property; proposals; cost estimates, and reproductions on paper, or otherwise, of any and all concepts or ideas, and any matter related to, or connected with, the design, development, manufacture, sale, marketing, leasing, or use of any or all property produced, sold, or leased, by any or credit extended or services performed, by any Person, whether intended for an individual customer or the general business of any Person, or used or useful in connection with research by any Person.</w:t>
      </w:r>
    </w:p>
    <w:p>
      <w:pPr>
        <w:spacing w:after="0" w:line="120"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“Goods”</w:t>
      </w:r>
      <w:r>
        <w:rPr>
          <w:rFonts w:ascii="Arial" w:cs="Arial" w:eastAsia="Arial" w:hAnsi="Arial"/>
          <w:sz w:val="15"/>
          <w:szCs w:val="15"/>
          <w:color w:val="auto"/>
        </w:rPr>
        <w:t>: Has the meaning given that term in the UCC, and also includes all things movable when a Collateral Interest therein attaches and also all computer programs embedded</w:t>
      </w:r>
      <w:r>
        <w:rPr>
          <w:rFonts w:ascii="Arial" w:cs="Arial" w:eastAsia="Arial" w:hAnsi="Arial"/>
          <w:sz w:val="15"/>
          <w:szCs w:val="15"/>
          <w:b w:val="1"/>
          <w:bCs w:val="1"/>
          <w:color w:val="auto"/>
        </w:rPr>
        <w:t xml:space="preserve"> </w:t>
      </w:r>
      <w:r>
        <w:rPr>
          <w:rFonts w:ascii="Arial" w:cs="Arial" w:eastAsia="Arial" w:hAnsi="Arial"/>
          <w:sz w:val="15"/>
          <w:szCs w:val="15"/>
          <w:color w:val="auto"/>
        </w:rPr>
        <w:t>in goods and any supporting information provided in connection with a transaction relating to the program if (i) the program is associated with the goods in such manner that it customarily is considered part of the goods or (ii) by becoming the owner of the goods, a Person acquires a right to use the program in connection with the goods.</w:t>
      </w:r>
    </w:p>
    <w:p>
      <w:pPr>
        <w:spacing w:after="0" w:line="137" w:lineRule="exact"/>
        <w:rPr>
          <w:sz w:val="20"/>
          <w:szCs w:val="20"/>
          <w:color w:val="auto"/>
        </w:rPr>
      </w:pPr>
    </w:p>
    <w:p>
      <w:pPr>
        <w:jc w:val="both"/>
        <w:ind w:left="660" w:hanging="662"/>
        <w:spacing w:after="0" w:line="252" w:lineRule="auto"/>
        <w:rPr>
          <w:sz w:val="20"/>
          <w:szCs w:val="20"/>
          <w:color w:val="auto"/>
        </w:rPr>
      </w:pPr>
      <w:r>
        <w:rPr>
          <w:rFonts w:ascii="Arial" w:cs="Arial" w:eastAsia="Arial" w:hAnsi="Arial"/>
          <w:sz w:val="15"/>
          <w:szCs w:val="15"/>
          <w:b w:val="1"/>
          <w:bCs w:val="1"/>
          <w:color w:val="auto"/>
        </w:rPr>
        <w:t xml:space="preserve">“Guarantor” </w:t>
      </w:r>
      <w:r>
        <w:rPr>
          <w:rFonts w:ascii="Arial" w:cs="Arial" w:eastAsia="Arial" w:hAnsi="Arial"/>
          <w:sz w:val="15"/>
          <w:szCs w:val="15"/>
          <w:color w:val="auto"/>
        </w:rPr>
        <w:t>and</w:t>
      </w:r>
      <w:r>
        <w:rPr>
          <w:rFonts w:ascii="Arial" w:cs="Arial" w:eastAsia="Arial" w:hAnsi="Arial"/>
          <w:sz w:val="15"/>
          <w:szCs w:val="15"/>
          <w:b w:val="1"/>
          <w:bCs w:val="1"/>
          <w:color w:val="auto"/>
        </w:rPr>
        <w:t xml:space="preserve"> “Guarantors”</w:t>
      </w:r>
      <w:r>
        <w:rPr>
          <w:rFonts w:ascii="Arial" w:cs="Arial" w:eastAsia="Arial" w:hAnsi="Arial"/>
          <w:sz w:val="15"/>
          <w:szCs w:val="15"/>
          <w:color w:val="auto"/>
        </w:rPr>
        <w:t>:</w:t>
      </w:r>
      <w:r>
        <w:rPr>
          <w:sz w:val="20"/>
          <w:szCs w:val="20"/>
          <w:color w:val="auto"/>
        </w:rPr>
        <w:t xml:space="preserve"> </w:t>
      </w:r>
      <w:r>
        <w:rPr>
          <w:rFonts w:ascii="Arial" w:cs="Arial" w:eastAsia="Arial" w:hAnsi="Arial"/>
          <w:sz w:val="15"/>
          <w:szCs w:val="15"/>
          <w:color w:val="auto"/>
        </w:rPr>
        <w:t xml:space="preserve">Each Person named on </w:t>
      </w:r>
      <w:r>
        <w:rPr>
          <w:rFonts w:ascii="Arial" w:cs="Arial" w:eastAsia="Arial" w:hAnsi="Arial"/>
          <w:sz w:val="15"/>
          <w:szCs w:val="15"/>
          <w:b w:val="1"/>
          <w:bCs w:val="1"/>
          <w:color w:val="auto"/>
        </w:rPr>
        <w:t>EXHIBIT 1.0(b)</w:t>
      </w:r>
      <w:r>
        <w:rPr>
          <w:rFonts w:ascii="Arial" w:cs="Arial" w:eastAsia="Arial" w:hAnsi="Arial"/>
          <w:sz w:val="15"/>
          <w:szCs w:val="15"/>
          <w:color w:val="auto"/>
        </w:rPr>
        <w:t xml:space="preserve"> annexed hereto individually, and the Persons named on </w:t>
      </w:r>
      <w:r>
        <w:rPr>
          <w:rFonts w:ascii="Arial" w:cs="Arial" w:eastAsia="Arial" w:hAnsi="Arial"/>
          <w:sz w:val="15"/>
          <w:szCs w:val="15"/>
          <w:b w:val="1"/>
          <w:bCs w:val="1"/>
          <w:color w:val="auto"/>
        </w:rPr>
        <w:t>EXHIBIT 1.0(b)</w:t>
      </w:r>
      <w:r>
        <w:rPr>
          <w:rFonts w:ascii="Arial" w:cs="Arial" w:eastAsia="Arial" w:hAnsi="Arial"/>
          <w:sz w:val="15"/>
          <w:szCs w:val="15"/>
          <w:color w:val="auto"/>
        </w:rPr>
        <w:t xml:space="preserve"> annexed hereto, collectively.</w:t>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“Guarantor Agreement”</w:t>
      </w:r>
      <w:r>
        <w:rPr>
          <w:rFonts w:ascii="Arial" w:cs="Arial" w:eastAsia="Arial" w:hAnsi="Arial"/>
          <w:sz w:val="15"/>
          <w:szCs w:val="15"/>
          <w:color w:val="auto"/>
        </w:rPr>
        <w:t>: Each instrument and document executed by a Guarantor of the Liabilities to evidence or secure the Guarantor’s guaranty thereof.</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“Guarantor Default”</w:t>
      </w:r>
      <w:r>
        <w:rPr>
          <w:rFonts w:ascii="Arial" w:cs="Arial" w:eastAsia="Arial" w:hAnsi="Arial"/>
          <w:sz w:val="15"/>
          <w:szCs w:val="15"/>
          <w:color w:val="auto"/>
        </w:rPr>
        <w:t>: Default or breach or the occurrence of any event of default under any Guarantor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“Hazardous Materials”</w:t>
      </w:r>
      <w:r>
        <w:rPr>
          <w:rFonts w:ascii="Arial" w:cs="Arial" w:eastAsia="Arial" w:hAnsi="Arial"/>
          <w:sz w:val="14"/>
          <w:szCs w:val="14"/>
          <w:color w:val="auto"/>
        </w:rPr>
        <w:t>: Any (a) substance which is defined or regulated as a hazardous material in or under any Environmental Law and (b) oil in any physical state.</w:t>
      </w:r>
    </w:p>
    <w:p>
      <w:pPr>
        <w:spacing w:after="0" w:line="172"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“Hedge Agreement”</w:t>
      </w:r>
      <w:r>
        <w:rPr>
          <w:rFonts w:ascii="Arial" w:cs="Arial" w:eastAsia="Arial" w:hAnsi="Arial"/>
          <w:sz w:val="15"/>
          <w:szCs w:val="15"/>
          <w:color w:val="auto"/>
        </w:rPr>
        <w:t>: Any and all transactions, agreements or documents now existing or hereafter entered into, which provides for an interest rate, credit, commodity or equity</w:t>
      </w:r>
      <w:r>
        <w:rPr>
          <w:rFonts w:ascii="Arial" w:cs="Arial" w:eastAsia="Arial" w:hAnsi="Arial"/>
          <w:sz w:val="15"/>
          <w:szCs w:val="15"/>
          <w:b w:val="1"/>
          <w:bCs w:val="1"/>
          <w:color w:val="auto"/>
        </w:rPr>
        <w:t xml:space="preserve"> </w:t>
      </w:r>
      <w:r>
        <w:rPr>
          <w:rFonts w:ascii="Arial" w:cs="Arial" w:eastAsia="Arial" w:hAnsi="Arial"/>
          <w:sz w:val="15"/>
          <w:szCs w:val="15"/>
          <w:color w:val="auto"/>
        </w:rPr>
        <w:t>swap, cap, floor, collar, forward foreign exchange transaction, currency swap, cross currency rate swap, currency option, or any combination of, or option with respect to, these or similar transactions, for the purpose of hedging the Borrowers’ exposure to fluctuations in interest or exchange rates, loan, credit exchange, security or currency valuations or commodity prices and not for speculative purposes.</w:t>
      </w:r>
    </w:p>
    <w:p>
      <w:pPr>
        <w:spacing w:after="0" w:line="141"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- 13 -</w:t>
      </w:r>
    </w:p>
    <w:p>
      <w:pPr>
        <w:sectPr>
          <w:pgSz w:w="11900" w:h="16838" w:orient="portrait"/>
          <w:cols w:equalWidth="0" w:num="1">
            <w:col w:w="10600"/>
          </w:cols>
          <w:pgMar w:left="1080" w:top="284" w:right="219" w:bottom="1440" w:gutter="0" w:footer="0" w:header="0"/>
        </w:sectPr>
      </w:pPr>
    </w:p>
    <w:bookmarkStart w:id="71" w:name="page72"/>
    <w:bookmarkEnd w:id="71"/>
    <w:p>
      <w:pPr>
        <w:spacing w:after="0"/>
        <w:rPr>
          <w:sz w:val="20"/>
          <w:szCs w:val="20"/>
          <w:color w:val="auto"/>
        </w:rPr>
      </w:pPr>
      <w:r>
        <w:rPr>
          <w:rFonts w:ascii="Arial" w:cs="Arial" w:eastAsia="Arial" w:hAnsi="Arial"/>
          <w:sz w:val="15"/>
          <w:szCs w:val="15"/>
          <w:b w:val="1"/>
          <w:bCs w:val="1"/>
          <w:color w:val="auto"/>
        </w:rPr>
        <w:t>“Indebtedness”</w:t>
      </w:r>
      <w:r>
        <w:rPr>
          <w:rFonts w:ascii="Arial" w:cs="Arial" w:eastAsia="Arial" w:hAnsi="Arial"/>
          <w:sz w:val="15"/>
          <w:szCs w:val="15"/>
          <w:color w:val="auto"/>
        </w:rPr>
        <w:t>: All indebtedness and obligations of or assumed by any Person on account of or with respect to any of the following:</w:t>
      </w:r>
    </w:p>
    <w:p>
      <w:pPr>
        <w:spacing w:after="0" w:line="84" w:lineRule="exact"/>
        <w:rPr>
          <w:sz w:val="20"/>
          <w:szCs w:val="20"/>
          <w:color w:val="auto"/>
        </w:rPr>
      </w:pPr>
    </w:p>
    <w:p>
      <w:pPr>
        <w:ind w:left="660" w:firstLine="672"/>
        <w:spacing w:after="0" w:line="295" w:lineRule="auto"/>
        <w:tabs>
          <w:tab w:leader="none" w:pos="153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respect of money borrowed (including any indebtedness which is non-recourse to the credit of such Person but which is secured by an Encumbrance on any asset of such Person) whether or not evidenced by a promissory note, bond, debenture or other written obligation to pay money.</w:t>
      </w:r>
    </w:p>
    <w:p>
      <w:pPr>
        <w:spacing w:after="0" w:line="27" w:lineRule="exact"/>
        <w:rPr>
          <w:rFonts w:ascii="Arial" w:cs="Arial" w:eastAsia="Arial" w:hAnsi="Arial"/>
          <w:sz w:val="14"/>
          <w:szCs w:val="14"/>
          <w:color w:val="auto"/>
        </w:rPr>
      </w:pPr>
    </w:p>
    <w:p>
      <w:pPr>
        <w:ind w:left="660" w:firstLine="672"/>
        <w:spacing w:after="0" w:line="259" w:lineRule="auto"/>
        <w:tabs>
          <w:tab w:leader="none" w:pos="1542"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connection with any letter of credit or acceptance transaction (including, without limitation, the face amount of all letters of credit and acceptances issued for the account of such Person or reimbursement on account of which such Person would be obligated).</w:t>
      </w:r>
    </w:p>
    <w:p>
      <w:pPr>
        <w:spacing w:after="0" w:line="51" w:lineRule="exact"/>
        <w:rPr>
          <w:rFonts w:ascii="Arial" w:cs="Arial" w:eastAsia="Arial" w:hAnsi="Arial"/>
          <w:sz w:val="15"/>
          <w:szCs w:val="15"/>
          <w:color w:val="auto"/>
        </w:rPr>
      </w:pPr>
    </w:p>
    <w:p>
      <w:pPr>
        <w:ind w:left="1540" w:hanging="208"/>
        <w:spacing w:after="0"/>
        <w:tabs>
          <w:tab w:leader="none" w:pos="1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connection with the sale or discount of accounts receivable or chattel paper of such Person.</w:t>
      </w:r>
    </w:p>
    <w:p>
      <w:pPr>
        <w:spacing w:after="0" w:line="79" w:lineRule="exact"/>
        <w:rPr>
          <w:rFonts w:ascii="Arial" w:cs="Arial" w:eastAsia="Arial" w:hAnsi="Arial"/>
          <w:sz w:val="15"/>
          <w:szCs w:val="15"/>
          <w:color w:val="auto"/>
        </w:rPr>
      </w:pPr>
    </w:p>
    <w:p>
      <w:pPr>
        <w:ind w:left="660" w:firstLine="672"/>
        <w:spacing w:after="0" w:line="259" w:lineRule="auto"/>
        <w:tabs>
          <w:tab w:leader="none" w:pos="1545" w:val="left"/>
        </w:tabs>
        <w:numPr>
          <w:ilvl w:val="0"/>
          <w:numId w:val="63"/>
        </w:numPr>
        <w:rPr>
          <w:rFonts w:ascii="Arial" w:cs="Arial" w:eastAsia="Arial" w:hAnsi="Arial"/>
          <w:sz w:val="15"/>
          <w:szCs w:val="15"/>
          <w:color w:val="auto"/>
        </w:rPr>
      </w:pPr>
      <w:r>
        <w:rPr>
          <w:rFonts w:ascii="Arial" w:cs="Arial" w:eastAsia="Arial" w:hAnsi="Arial"/>
          <w:sz w:val="15"/>
          <w:szCs w:val="15"/>
          <w:color w:val="auto"/>
        </w:rPr>
        <w:t>On account of deposits or advances (but not including any liabilities with respect to Customer Credit Liabilities including gift cards, gift certificates, merchandise credits and/or frequent shopper or other consumer loyalty programs).</w:t>
      </w:r>
    </w:p>
    <w:p>
      <w:pPr>
        <w:spacing w:after="0" w:line="51" w:lineRule="exact"/>
        <w:rPr>
          <w:rFonts w:ascii="Arial" w:cs="Arial" w:eastAsia="Arial" w:hAnsi="Arial"/>
          <w:sz w:val="15"/>
          <w:szCs w:val="15"/>
          <w:color w:val="auto"/>
        </w:rPr>
      </w:pPr>
    </w:p>
    <w:p>
      <w:pPr>
        <w:ind w:left="1540" w:hanging="208"/>
        <w:spacing w:after="0"/>
        <w:tabs>
          <w:tab w:leader="none" w:pos="1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As lessee under Capital Leases.</w:t>
      </w:r>
    </w:p>
    <w:p>
      <w:pPr>
        <w:spacing w:after="0" w:line="79" w:lineRule="exact"/>
        <w:rPr>
          <w:rFonts w:ascii="Arial" w:cs="Arial" w:eastAsia="Arial" w:hAnsi="Arial"/>
          <w:sz w:val="15"/>
          <w:szCs w:val="15"/>
          <w:color w:val="auto"/>
        </w:rPr>
      </w:pPr>
    </w:p>
    <w:p>
      <w:pPr>
        <w:ind w:left="1520" w:hanging="188"/>
        <w:spacing w:after="0"/>
        <w:tabs>
          <w:tab w:leader="none" w:pos="15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connection with any sale and leaseback transaction.</w:t>
      </w:r>
    </w:p>
    <w:p>
      <w:pPr>
        <w:spacing w:after="0" w:line="160"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“Indebtedness” of any Person also includes:</w:t>
      </w:r>
    </w:p>
    <w:p>
      <w:pPr>
        <w:spacing w:after="0" w:line="80"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(x) Indebtedness of others secured by an Encumbrance on any asset of such Person, whether or not such Indebtedness is assumed by such</w:t>
      </w:r>
    </w:p>
    <w:p>
      <w:pPr>
        <w:spacing w:after="0" w:line="3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Person.</w:t>
      </w:r>
    </w:p>
    <w:p>
      <w:pPr>
        <w:spacing w:after="0" w:line="68" w:lineRule="exact"/>
        <w:rPr>
          <w:sz w:val="20"/>
          <w:szCs w:val="20"/>
          <w:color w:val="auto"/>
        </w:rPr>
      </w:pPr>
    </w:p>
    <w:p>
      <w:pPr>
        <w:ind w:left="1440" w:firstLine="606"/>
        <w:spacing w:after="0" w:line="259" w:lineRule="auto"/>
        <w:tabs>
          <w:tab w:leader="none" w:pos="2262"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Any guaranty, endorsement, suretyship or other undertaking pursuant to which that Person may be liable on account of any obligation of any third party other than on account of the endorsement of checks and other items in the ordinary course.</w:t>
      </w:r>
    </w:p>
    <w:p>
      <w:pPr>
        <w:spacing w:after="0" w:line="51" w:lineRule="exact"/>
        <w:rPr>
          <w:rFonts w:ascii="Arial" w:cs="Arial" w:eastAsia="Arial" w:hAnsi="Arial"/>
          <w:sz w:val="15"/>
          <w:szCs w:val="15"/>
          <w:color w:val="auto"/>
        </w:rPr>
      </w:pPr>
    </w:p>
    <w:p>
      <w:pPr>
        <w:ind w:left="2240" w:hanging="194"/>
        <w:spacing w:after="0"/>
        <w:tabs>
          <w:tab w:leader="none" w:pos="224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Indebtedness of a partnership or joint venture for which such Person is liable as a general partner or joint venturer.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“Indemnified Person”</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19.12</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“Instruments”</w:t>
      </w:r>
      <w:r>
        <w:rPr>
          <w:rFonts w:ascii="Arial" w:cs="Arial" w:eastAsia="Arial" w:hAnsi="Arial"/>
          <w:sz w:val="15"/>
          <w:szCs w:val="15"/>
          <w:color w:val="auto"/>
        </w:rPr>
        <w:t>: Has the meaning given that term in the UCC.</w:t>
      </w:r>
    </w:p>
    <w:p>
      <w:pPr>
        <w:spacing w:after="0" w:line="160"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“Intercreditor Agreement”</w:t>
      </w:r>
      <w:r>
        <w:rPr>
          <w:rFonts w:ascii="Arial" w:cs="Arial" w:eastAsia="Arial" w:hAnsi="Arial"/>
          <w:sz w:val="15"/>
          <w:szCs w:val="15"/>
          <w:color w:val="auto"/>
        </w:rPr>
        <w:t>: That certain Intercreditor Agreement dated as of the date hereof between the Revolving Agent and the Administrative Agent and acknowledged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Loan Parties, as in effect on the Closing Date and as may be amended, restated, amended and restated, supplemented, replaced or otherwise modified from time to time hereafter in accordance with the terms thereof.</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Payment Date”</w:t>
      </w:r>
      <w:r>
        <w:rPr>
          <w:rFonts w:ascii="Arial" w:cs="Arial" w:eastAsia="Arial" w:hAnsi="Arial"/>
          <w:sz w:val="15"/>
          <w:szCs w:val="15"/>
          <w:color w:val="auto"/>
        </w:rPr>
        <w:t>: The first day of each month; the Termination Date; and the End Date.</w:t>
      </w:r>
    </w:p>
    <w:p>
      <w:pPr>
        <w:spacing w:after="0" w:line="160" w:lineRule="exact"/>
        <w:rPr>
          <w:sz w:val="20"/>
          <w:szCs w:val="20"/>
          <w:color w:val="auto"/>
        </w:rPr>
      </w:pPr>
    </w:p>
    <w:p>
      <w:pPr>
        <w:jc w:val="both"/>
        <w:ind w:left="660" w:hanging="662"/>
        <w:spacing w:after="0" w:line="245" w:lineRule="auto"/>
        <w:rPr>
          <w:sz w:val="20"/>
          <w:szCs w:val="20"/>
          <w:color w:val="auto"/>
        </w:rPr>
      </w:pPr>
      <w:r>
        <w:rPr>
          <w:rFonts w:ascii="Arial" w:cs="Arial" w:eastAsia="Arial" w:hAnsi="Arial"/>
          <w:sz w:val="15"/>
          <w:szCs w:val="15"/>
          <w:b w:val="1"/>
          <w:bCs w:val="1"/>
          <w:color w:val="auto"/>
        </w:rPr>
        <w:t>“Inventory”</w:t>
      </w:r>
      <w:r>
        <w:rPr>
          <w:rFonts w:ascii="Arial" w:cs="Arial" w:eastAsia="Arial" w:hAnsi="Arial"/>
          <w:sz w:val="15"/>
          <w:szCs w:val="15"/>
          <w:color w:val="auto"/>
        </w:rPr>
        <w:t>: Includes, without limitation, “inventory” as defined in the UCC and also all: (a) Goods which are leased by a Person as lessor; are held by a Person for sale or lease</w:t>
      </w:r>
      <w:r>
        <w:rPr>
          <w:rFonts w:ascii="Arial" w:cs="Arial" w:eastAsia="Arial" w:hAnsi="Arial"/>
          <w:sz w:val="15"/>
          <w:szCs w:val="15"/>
          <w:b w:val="1"/>
          <w:bCs w:val="1"/>
          <w:color w:val="auto"/>
        </w:rPr>
        <w:t xml:space="preserve"> </w:t>
      </w:r>
      <w:r>
        <w:rPr>
          <w:rFonts w:ascii="Arial" w:cs="Arial" w:eastAsia="Arial" w:hAnsi="Arial"/>
          <w:sz w:val="15"/>
          <w:szCs w:val="15"/>
          <w:color w:val="auto"/>
        </w:rPr>
        <w:t>or to be furnished under a contract of service; are furnished by a Person under a contract of service; or consist of raw materials, work in process, or materials used or consumed in a business; (b) Goods of said description in transit; (c) Goods of said description which are returned, repossessed and rejected; (d) packaging, advertising, and shipping materials related to any of the foregoing; (e) all names, marks, and General Intangibles affixed or to be affixed or associated thereto; and (f) Documents and Documents of Title which represent any of the foregoing.</w:t>
      </w:r>
    </w:p>
    <w:p>
      <w:pPr>
        <w:spacing w:after="0" w:line="138" w:lineRule="exact"/>
        <w:rPr>
          <w:sz w:val="20"/>
          <w:szCs w:val="20"/>
          <w:color w:val="auto"/>
        </w:rPr>
      </w:pPr>
    </w:p>
    <w:p>
      <w:pPr>
        <w:jc w:val="both"/>
        <w:ind w:left="660" w:hanging="662"/>
        <w:spacing w:after="0" w:line="270" w:lineRule="auto"/>
        <w:rPr>
          <w:sz w:val="20"/>
          <w:szCs w:val="20"/>
          <w:color w:val="auto"/>
        </w:rPr>
      </w:pPr>
      <w:r>
        <w:rPr>
          <w:rFonts w:ascii="Arial" w:cs="Arial" w:eastAsia="Arial" w:hAnsi="Arial"/>
          <w:sz w:val="14"/>
          <w:szCs w:val="14"/>
          <w:b w:val="1"/>
          <w:bCs w:val="1"/>
          <w:color w:val="auto"/>
        </w:rPr>
        <w:t>“Inventory Reserves”</w:t>
      </w:r>
      <w:r>
        <w:rPr>
          <w:rFonts w:ascii="Arial" w:cs="Arial" w:eastAsia="Arial" w:hAnsi="Arial"/>
          <w:sz w:val="14"/>
          <w:szCs w:val="14"/>
          <w:color w:val="auto"/>
        </w:rPr>
        <w:t>: Such Reserves as may be established from time to time by the Administrative Agent in the Administrative Agent’s reasonable discretion with respect to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determination of the saleability, at retail, of Eligible Inventory or which reflect such other factors affecting the market value of Eligible Inventory and without duplication of any reserves imposed and maintained by the Revolving Agent under the Revolving Credit Agreement; </w:t>
      </w:r>
      <w:r>
        <w:rPr>
          <w:rFonts w:ascii="Arial" w:cs="Arial" w:eastAsia="Arial" w:hAnsi="Arial"/>
          <w:sz w:val="14"/>
          <w:szCs w:val="14"/>
          <w:u w:val="single" w:color="auto"/>
          <w:color w:val="auto"/>
        </w:rPr>
        <w:t>provided</w:t>
      </w:r>
      <w:r>
        <w:rPr>
          <w:rFonts w:ascii="Arial" w:cs="Arial" w:eastAsia="Arial" w:hAnsi="Arial"/>
          <w:sz w:val="14"/>
          <w:szCs w:val="14"/>
          <w:color w:val="auto"/>
        </w:rPr>
        <w:t>, that any Inventory Reserves must be implemented based upon events such as a change in circumstances, adverse developments, issues identified in a field exam,</w:t>
      </w:r>
    </w:p>
    <w:p>
      <w:pPr>
        <w:spacing w:after="0" w:line="127"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- 14 -</w:t>
      </w:r>
    </w:p>
    <w:p>
      <w:pPr>
        <w:sectPr>
          <w:pgSz w:w="11900" w:h="16838" w:orient="portrait"/>
          <w:cols w:equalWidth="0" w:num="1">
            <w:col w:w="10600"/>
          </w:cols>
          <w:pgMar w:left="1080" w:top="284" w:right="219" w:bottom="1440" w:gutter="0" w:footer="0" w:header="0"/>
        </w:sectPr>
      </w:pPr>
    </w:p>
    <w:bookmarkStart w:id="72" w:name="page73"/>
    <w:bookmarkEnd w:id="72"/>
    <w:p>
      <w:pPr>
        <w:jc w:val="both"/>
        <w:ind w:left="660"/>
        <w:spacing w:after="0" w:line="249" w:lineRule="auto"/>
        <w:rPr>
          <w:sz w:val="20"/>
          <w:szCs w:val="20"/>
          <w:color w:val="auto"/>
        </w:rPr>
      </w:pPr>
      <w:r>
        <w:rPr>
          <w:rFonts w:ascii="Arial" w:cs="Arial" w:eastAsia="Arial" w:hAnsi="Arial"/>
          <w:sz w:val="15"/>
          <w:szCs w:val="15"/>
          <w:color w:val="auto"/>
        </w:rPr>
        <w:t xml:space="preserve">appraisal, audit or inspection or market change;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the Revolving Agent did not implement and maintain a reserve for such events or imposed and maintained a reserve in an amount less than the Administrative Agent deems appropriate, in its reasonable discretion, based on the foregoing the Administrative agent may impose an Inventory Reserve for the incremental difference.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Property”</w:t>
      </w:r>
      <w:r>
        <w:rPr>
          <w:rFonts w:ascii="Arial" w:cs="Arial" w:eastAsia="Arial" w:hAnsi="Arial"/>
          <w:sz w:val="15"/>
          <w:szCs w:val="15"/>
          <w:color w:val="auto"/>
        </w:rPr>
        <w:t>: Has the meaning given that term in the UCC.</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w:t>
      </w:r>
      <w:r>
        <w:rPr>
          <w:rFonts w:ascii="Arial" w:cs="Arial" w:eastAsia="Arial" w:hAnsi="Arial"/>
          <w:sz w:val="15"/>
          <w:szCs w:val="15"/>
          <w:color w:val="auto"/>
        </w:rPr>
        <w:t>: Any lease or other agreement, no matter how styled or structured, pursuant to which a Loan Party is entitled to the use or occupancy of any space.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“Leasehold Interest”</w:t>
      </w:r>
      <w:r>
        <w:rPr>
          <w:rFonts w:ascii="Arial" w:cs="Arial" w:eastAsia="Arial" w:hAnsi="Arial"/>
          <w:sz w:val="15"/>
          <w:szCs w:val="15"/>
          <w:color w:val="auto"/>
        </w:rPr>
        <w:t>: Any interest of a Loan Party as lessee under any Lease.</w:t>
      </w:r>
    </w:p>
    <w:p>
      <w:pPr>
        <w:spacing w:after="0" w:line="160"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“Lenders’ Special Counsel”</w:t>
      </w:r>
      <w:r>
        <w:rPr>
          <w:rFonts w:ascii="Arial" w:cs="Arial" w:eastAsia="Arial" w:hAnsi="Arial"/>
          <w:sz w:val="15"/>
          <w:szCs w:val="15"/>
          <w:color w:val="auto"/>
        </w:rPr>
        <w:t>: A single counsel selected by Term Lenders holding more than 51% of the then outstanding amount of the Term Loans following the occurrence of</w:t>
      </w:r>
      <w:r>
        <w:rPr>
          <w:rFonts w:ascii="Arial" w:cs="Arial" w:eastAsia="Arial" w:hAnsi="Arial"/>
          <w:sz w:val="15"/>
          <w:szCs w:val="15"/>
          <w:b w:val="1"/>
          <w:bCs w:val="1"/>
          <w:color w:val="auto"/>
        </w:rPr>
        <w:t xml:space="preserve"> </w:t>
      </w:r>
      <w:r>
        <w:rPr>
          <w:rFonts w:ascii="Arial" w:cs="Arial" w:eastAsia="Arial" w:hAnsi="Arial"/>
          <w:sz w:val="15"/>
          <w:szCs w:val="15"/>
          <w:color w:val="auto"/>
        </w:rPr>
        <w:t>an Event of Default to represent their interests in connection with the enforcement, attempted enforcement, or preservation of any rights and remedies under this, or any other Loan Document.</w:t>
      </w:r>
    </w:p>
    <w:p>
      <w:pPr>
        <w:spacing w:after="0" w:line="135"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“Letter-of-Credit Right”</w:t>
      </w:r>
      <w:r>
        <w:rPr>
          <w:rFonts w:ascii="Arial" w:cs="Arial" w:eastAsia="Arial" w:hAnsi="Arial"/>
          <w:sz w:val="15"/>
          <w:szCs w:val="15"/>
          <w:color w:val="auto"/>
        </w:rPr>
        <w:t>: Has the meaning given that term in the UCC and also refers to any right to payment or performance under any letter of credit, whether or not the</w:t>
      </w:r>
      <w:r>
        <w:rPr>
          <w:rFonts w:ascii="Arial" w:cs="Arial" w:eastAsia="Arial" w:hAnsi="Arial"/>
          <w:sz w:val="15"/>
          <w:szCs w:val="15"/>
          <w:b w:val="1"/>
          <w:bCs w:val="1"/>
          <w:color w:val="auto"/>
        </w:rPr>
        <w:t xml:space="preserve"> </w:t>
      </w:r>
      <w:r>
        <w:rPr>
          <w:rFonts w:ascii="Arial" w:cs="Arial" w:eastAsia="Arial" w:hAnsi="Arial"/>
          <w:sz w:val="15"/>
          <w:szCs w:val="15"/>
          <w:color w:val="auto"/>
        </w:rPr>
        <w:t>beneficiary has demanded or is at the time entitled to demand payment or performance.</w:t>
      </w:r>
    </w:p>
    <w:p>
      <w:pPr>
        <w:spacing w:after="0" w:line="123" w:lineRule="exact"/>
        <w:rPr>
          <w:sz w:val="20"/>
          <w:szCs w:val="20"/>
          <w:color w:val="auto"/>
        </w:rPr>
      </w:pPr>
    </w:p>
    <w:p>
      <w:pPr>
        <w:jc w:val="both"/>
        <w:ind w:left="660" w:hanging="662"/>
        <w:spacing w:after="0" w:line="249" w:lineRule="auto"/>
        <w:rPr>
          <w:sz w:val="20"/>
          <w:szCs w:val="20"/>
          <w:color w:val="auto"/>
        </w:rPr>
      </w:pPr>
      <w:r>
        <w:rPr>
          <w:rFonts w:ascii="Arial" w:cs="Arial" w:eastAsia="Arial" w:hAnsi="Arial"/>
          <w:sz w:val="15"/>
          <w:szCs w:val="15"/>
          <w:b w:val="1"/>
          <w:bCs w:val="1"/>
          <w:color w:val="auto"/>
        </w:rPr>
        <w:t>“Liabilities”</w:t>
      </w:r>
      <w:r>
        <w:rPr>
          <w:rFonts w:ascii="Arial" w:cs="Arial" w:eastAsia="Arial" w:hAnsi="Arial"/>
          <w:sz w:val="15"/>
          <w:szCs w:val="15"/>
          <w:color w:val="auto"/>
        </w:rPr>
        <w:t>:</w:t>
      </w:r>
      <w:r>
        <w:rPr>
          <w:sz w:val="20"/>
          <w:szCs w:val="20"/>
          <w:color w:val="auto"/>
        </w:rPr>
        <w:t xml:space="preserve"> </w:t>
      </w:r>
      <w:r>
        <w:rPr>
          <w:rFonts w:ascii="Arial" w:cs="Arial" w:eastAsia="Arial" w:hAnsi="Arial"/>
          <w:sz w:val="15"/>
          <w:szCs w:val="15"/>
          <w:color w:val="auto"/>
        </w:rPr>
        <w:t>Any and all direct and indirect liabilities, debts, and obligations of each Borrower to any Agent or any Term Lender, each of every kind, nature, and description owing on account of this Agreement or any other Loan Document, whether now existing or hereafter arising under this Agreement or under any of the other Loan Documents, including, without limitation, the following:</w:t>
      </w:r>
    </w:p>
    <w:p>
      <w:pPr>
        <w:spacing w:after="0" w:line="62" w:lineRule="exact"/>
        <w:rPr>
          <w:sz w:val="20"/>
          <w:szCs w:val="20"/>
          <w:color w:val="auto"/>
        </w:rPr>
      </w:pPr>
    </w:p>
    <w:p>
      <w:pPr>
        <w:jc w:val="both"/>
        <w:ind w:left="1440" w:firstLine="606"/>
        <w:spacing w:after="0" w:line="268" w:lineRule="auto"/>
        <w:tabs>
          <w:tab w:leader="none" w:pos="2232" w:val="left"/>
        </w:tabs>
        <w:numPr>
          <w:ilvl w:val="0"/>
          <w:numId w:val="65"/>
        </w:numPr>
        <w:rPr>
          <w:rFonts w:ascii="Arial" w:cs="Arial" w:eastAsia="Arial" w:hAnsi="Arial"/>
          <w:sz w:val="14"/>
          <w:szCs w:val="14"/>
          <w:color w:val="auto"/>
        </w:rPr>
      </w:pPr>
      <w:r>
        <w:rPr>
          <w:rFonts w:ascii="Arial" w:cs="Arial" w:eastAsia="Arial" w:hAnsi="Arial"/>
          <w:sz w:val="14"/>
          <w:szCs w:val="14"/>
          <w:color w:val="auto"/>
        </w:rPr>
        <w:t>Each obligation to repay any loan, advance, indebtedness, note, obligation, overdraft, or amount now or hereafter owing by any Borrower to any Agent or any Term Lender (including all future advances whether or not made pursuant to a commitment by any Agent or any Term Lender), whether or not any of such are liquidated, unliquidated, primary, secondary, secured,unsecured, direct, indirect, absolute, contingent, or of any other type, nature, or description, or by reason of any cause of action which any Agent or any Term Lender may hold against any Borrower.</w:t>
      </w:r>
    </w:p>
    <w:p>
      <w:pPr>
        <w:spacing w:after="0" w:line="47" w:lineRule="exact"/>
        <w:rPr>
          <w:rFonts w:ascii="Arial" w:cs="Arial" w:eastAsia="Arial" w:hAnsi="Arial"/>
          <w:sz w:val="14"/>
          <w:szCs w:val="14"/>
          <w:color w:val="auto"/>
        </w:rPr>
      </w:pPr>
    </w:p>
    <w:p>
      <w:pPr>
        <w:ind w:left="1440" w:firstLine="606"/>
        <w:spacing w:after="0" w:line="259" w:lineRule="auto"/>
        <w:tabs>
          <w:tab w:leader="none" w:pos="2271" w:val="left"/>
        </w:tabs>
        <w:numPr>
          <w:ilvl w:val="0"/>
          <w:numId w:val="65"/>
        </w:numPr>
        <w:rPr>
          <w:rFonts w:ascii="Arial" w:cs="Arial" w:eastAsia="Arial" w:hAnsi="Arial"/>
          <w:sz w:val="15"/>
          <w:szCs w:val="15"/>
          <w:color w:val="auto"/>
        </w:rPr>
      </w:pPr>
      <w:r>
        <w:rPr>
          <w:rFonts w:ascii="Arial" w:cs="Arial" w:eastAsia="Arial" w:hAnsi="Arial"/>
          <w:sz w:val="15"/>
          <w:szCs w:val="15"/>
          <w:color w:val="auto"/>
        </w:rPr>
        <w:t>All notes and other obligations of each Borrower now or hereafter assigned to or held by any Agent or any Term Lender, each of every kind, nature, and description</w:t>
      </w:r>
    </w:p>
    <w:p>
      <w:pPr>
        <w:spacing w:after="0" w:line="51" w:lineRule="exact"/>
        <w:rPr>
          <w:rFonts w:ascii="Arial" w:cs="Arial" w:eastAsia="Arial" w:hAnsi="Arial"/>
          <w:sz w:val="15"/>
          <w:szCs w:val="15"/>
          <w:color w:val="auto"/>
        </w:rPr>
      </w:pPr>
    </w:p>
    <w:p>
      <w:pPr>
        <w:ind w:left="1440" w:firstLine="606"/>
        <w:spacing w:after="0" w:line="259" w:lineRule="auto"/>
        <w:tabs>
          <w:tab w:leader="none" w:pos="2318" w:val="left"/>
        </w:tabs>
        <w:numPr>
          <w:ilvl w:val="0"/>
          <w:numId w:val="65"/>
        </w:numPr>
        <w:rPr>
          <w:rFonts w:ascii="Arial" w:cs="Arial" w:eastAsia="Arial" w:hAnsi="Arial"/>
          <w:sz w:val="15"/>
          <w:szCs w:val="15"/>
          <w:color w:val="auto"/>
        </w:rPr>
      </w:pPr>
      <w:r>
        <w:rPr>
          <w:rFonts w:ascii="Arial" w:cs="Arial" w:eastAsia="Arial" w:hAnsi="Arial"/>
          <w:sz w:val="15"/>
          <w:szCs w:val="15"/>
          <w:color w:val="auto"/>
        </w:rPr>
        <w:t>All interest, fees, and charges and other amounts which may be charged by any Agent or any Term Lender to any Borrower and/or which may be due from any Borrower to any Agent or any Term Lender from time to time.</w:t>
      </w:r>
    </w:p>
    <w:p>
      <w:pPr>
        <w:spacing w:after="0" w:line="51" w:lineRule="exact"/>
        <w:rPr>
          <w:rFonts w:ascii="Arial" w:cs="Arial" w:eastAsia="Arial" w:hAnsi="Arial"/>
          <w:sz w:val="15"/>
          <w:szCs w:val="15"/>
          <w:color w:val="auto"/>
        </w:rPr>
      </w:pPr>
    </w:p>
    <w:p>
      <w:pPr>
        <w:ind w:left="1440" w:firstLine="606"/>
        <w:spacing w:after="0" w:line="259" w:lineRule="auto"/>
        <w:tabs>
          <w:tab w:leader="none" w:pos="2326" w:val="left"/>
        </w:tabs>
        <w:numPr>
          <w:ilvl w:val="0"/>
          <w:numId w:val="65"/>
        </w:numPr>
        <w:rPr>
          <w:rFonts w:ascii="Arial" w:cs="Arial" w:eastAsia="Arial" w:hAnsi="Arial"/>
          <w:sz w:val="15"/>
          <w:szCs w:val="15"/>
          <w:color w:val="auto"/>
        </w:rPr>
      </w:pPr>
      <w:r>
        <w:rPr>
          <w:rFonts w:ascii="Arial" w:cs="Arial" w:eastAsia="Arial" w:hAnsi="Arial"/>
          <w:sz w:val="15"/>
          <w:szCs w:val="15"/>
          <w:color w:val="auto"/>
        </w:rPr>
        <w:t>All costs and expenses incurred or paid by any Agent in respect of this Agreement or any other Loan Document (including, without limitation, Costs of Collection, reasonable attorneys’ fees, and all court and reasonable litigation costs and expenses).</w:t>
      </w:r>
    </w:p>
    <w:p>
      <w:pPr>
        <w:spacing w:after="0" w:line="51" w:lineRule="exact"/>
        <w:rPr>
          <w:rFonts w:ascii="Arial" w:cs="Arial" w:eastAsia="Arial" w:hAnsi="Arial"/>
          <w:sz w:val="15"/>
          <w:szCs w:val="15"/>
          <w:color w:val="auto"/>
        </w:rPr>
      </w:pPr>
    </w:p>
    <w:p>
      <w:pPr>
        <w:jc w:val="both"/>
        <w:ind w:left="1440" w:firstLine="606"/>
        <w:spacing w:after="0" w:line="275" w:lineRule="auto"/>
        <w:tabs>
          <w:tab w:leader="none" w:pos="2268"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Any and all covenants of each Borrower to or with any Agent or any Term Lender under this Agreement or any other Loan Document and any and all obligations of each Borrower to act or to refrain from acting in accordance with this Agreement or any other Loan Document or any instrument furnished by that Borrower to any Agent or any Term Lender pursuant to this Agreement or any other Loan Document.</w:t>
      </w:r>
    </w:p>
    <w:p>
      <w:pPr>
        <w:spacing w:after="0" w:line="41" w:lineRule="exact"/>
        <w:rPr>
          <w:rFonts w:ascii="Arial" w:cs="Arial" w:eastAsia="Arial" w:hAnsi="Arial"/>
          <w:sz w:val="14"/>
          <w:szCs w:val="14"/>
          <w:color w:val="auto"/>
        </w:rPr>
      </w:pPr>
    </w:p>
    <w:p>
      <w:pPr>
        <w:ind w:left="2300" w:hanging="254"/>
        <w:spacing w:after="0"/>
        <w:tabs>
          <w:tab w:leader="none" w:pos="23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Protective Advances.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“Libor Margin”</w:t>
      </w:r>
      <w:r>
        <w:rPr>
          <w:rFonts w:ascii="Arial" w:cs="Arial" w:eastAsia="Arial" w:hAnsi="Arial"/>
          <w:sz w:val="15"/>
          <w:szCs w:val="15"/>
          <w:color w:val="auto"/>
        </w:rPr>
        <w:t>: 6.50%.</w:t>
      </w:r>
    </w:p>
    <w:p>
      <w:pPr>
        <w:spacing w:after="0" w:line="160" w:lineRule="exact"/>
        <w:rPr>
          <w:sz w:val="20"/>
          <w:szCs w:val="20"/>
          <w:color w:val="auto"/>
        </w:rPr>
      </w:pPr>
    </w:p>
    <w:p>
      <w:pPr>
        <w:ind w:left="660" w:hanging="662"/>
        <w:spacing w:after="0" w:line="265" w:lineRule="auto"/>
        <w:rPr>
          <w:sz w:val="20"/>
          <w:szCs w:val="20"/>
          <w:color w:val="auto"/>
        </w:rPr>
      </w:pPr>
      <w:r>
        <w:rPr>
          <w:rFonts w:ascii="Arial" w:cs="Arial" w:eastAsia="Arial" w:hAnsi="Arial"/>
          <w:sz w:val="15"/>
          <w:szCs w:val="15"/>
          <w:b w:val="1"/>
          <w:bCs w:val="1"/>
          <w:color w:val="auto"/>
        </w:rPr>
        <w:t>“Libor Rate”</w:t>
      </w:r>
      <w:r>
        <w:rPr>
          <w:rFonts w:ascii="Arial" w:cs="Arial" w:eastAsia="Arial" w:hAnsi="Arial"/>
          <w:sz w:val="15"/>
          <w:szCs w:val="15"/>
          <w:color w:val="auto"/>
        </w:rPr>
        <w:t>: The greater of: (i) 1.00%; and (ii) (A) the rate per annum for an interest period of thirty (30) days appearing on the Reuters Screen LIBOR01 page two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days prior to the commencement of each</w:t>
      </w:r>
    </w:p>
    <w:p>
      <w:pPr>
        <w:spacing w:after="0" w:line="127"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- 15 -</w:t>
      </w:r>
    </w:p>
    <w:p>
      <w:pPr>
        <w:sectPr>
          <w:pgSz w:w="11900" w:h="16838" w:orient="portrait"/>
          <w:cols w:equalWidth="0" w:num="1">
            <w:col w:w="10600"/>
          </w:cols>
          <w:pgMar w:left="1080" w:top="288" w:right="219" w:bottom="1440" w:gutter="0" w:footer="0" w:header="0"/>
        </w:sectPr>
      </w:pPr>
    </w:p>
    <w:bookmarkStart w:id="73" w:name="page74"/>
    <w:bookmarkEnd w:id="73"/>
    <w:p>
      <w:pPr>
        <w:ind w:left="660"/>
        <w:spacing w:after="0" w:line="259" w:lineRule="auto"/>
        <w:rPr>
          <w:sz w:val="20"/>
          <w:szCs w:val="20"/>
          <w:color w:val="auto"/>
        </w:rPr>
      </w:pPr>
      <w:r>
        <w:rPr>
          <w:rFonts w:ascii="Arial" w:cs="Arial" w:eastAsia="Arial" w:hAnsi="Arial"/>
          <w:sz w:val="15"/>
          <w:szCs w:val="15"/>
          <w:color w:val="auto"/>
        </w:rPr>
        <w:t>calendar month, or (B) if such rate does not appear on the Reuters Screen LIBOR01 Page, then the rate as determined by the Administrative Agent from another recognized source or interbank quotation.</w:t>
      </w:r>
    </w:p>
    <w:p>
      <w:pPr>
        <w:spacing w:after="0" w:line="128"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“Liquidation”</w:t>
      </w:r>
      <w:r>
        <w:rPr>
          <w:rFonts w:ascii="Arial" w:cs="Arial" w:eastAsia="Arial" w:hAnsi="Arial"/>
          <w:sz w:val="15"/>
          <w:szCs w:val="15"/>
          <w:color w:val="auto"/>
        </w:rPr>
        <w:t>: The exercise by the Collateral Agent of those rights accorded to the Collateral Agent under the Loan Documents as a creditor of the Loan Parties following and</w:t>
      </w:r>
      <w:r>
        <w:rPr>
          <w:rFonts w:ascii="Arial" w:cs="Arial" w:eastAsia="Arial" w:hAnsi="Arial"/>
          <w:sz w:val="15"/>
          <w:szCs w:val="15"/>
          <w:b w:val="1"/>
          <w:bCs w:val="1"/>
          <w:color w:val="auto"/>
        </w:rPr>
        <w:t xml:space="preserve"> </w:t>
      </w:r>
      <w:r>
        <w:rPr>
          <w:rFonts w:ascii="Arial" w:cs="Arial" w:eastAsia="Arial" w:hAnsi="Arial"/>
          <w:sz w:val="15"/>
          <w:szCs w:val="15"/>
          <w:color w:val="auto"/>
        </w:rPr>
        <w:t>on account of the occurrence of an Event of Default looking towards the realization on the Collateral. Derivations of the word “Liquidation” (such as “Liquidate”) are used with like meaning in this Agreement.</w:t>
      </w:r>
    </w:p>
    <w:p>
      <w:pPr>
        <w:spacing w:after="0" w:line="135" w:lineRule="exact"/>
        <w:rPr>
          <w:sz w:val="20"/>
          <w:szCs w:val="20"/>
          <w:color w:val="auto"/>
        </w:rPr>
      </w:pPr>
    </w:p>
    <w:p>
      <w:pPr>
        <w:jc w:val="both"/>
        <w:ind w:left="660" w:hanging="662"/>
        <w:spacing w:after="0" w:line="309" w:lineRule="auto"/>
        <w:rPr>
          <w:sz w:val="20"/>
          <w:szCs w:val="20"/>
          <w:color w:val="auto"/>
        </w:rPr>
      </w:pPr>
      <w:r>
        <w:rPr>
          <w:rFonts w:ascii="Arial" w:cs="Arial" w:eastAsia="Arial" w:hAnsi="Arial"/>
          <w:sz w:val="13"/>
          <w:szCs w:val="13"/>
          <w:b w:val="1"/>
          <w:bCs w:val="1"/>
          <w:color w:val="auto"/>
        </w:rPr>
        <w:t>“Loan Documents”</w:t>
      </w:r>
      <w:r>
        <w:rPr>
          <w:rFonts w:ascii="Arial" w:cs="Arial" w:eastAsia="Arial" w:hAnsi="Arial"/>
          <w:sz w:val="13"/>
          <w:szCs w:val="13"/>
          <w:color w:val="auto"/>
        </w:rPr>
        <w:t>: This Agreement, the Intercreditor Agreement, and each instrument and document executed as contemplated by this Agreement and by</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4,</w:t>
      </w:r>
      <w:r>
        <w:rPr>
          <w:rFonts w:ascii="Arial" w:cs="Arial" w:eastAsia="Arial" w:hAnsi="Arial"/>
          <w:sz w:val="13"/>
          <w:szCs w:val="13"/>
          <w:b w:val="1"/>
          <w:bCs w:val="1"/>
          <w:color w:val="auto"/>
        </w:rPr>
        <w:t xml:space="preserve"> </w:t>
      </w:r>
      <w:r>
        <w:rPr>
          <w:rFonts w:ascii="Arial" w:cs="Arial" w:eastAsia="Arial" w:hAnsi="Arial"/>
          <w:sz w:val="13"/>
          <w:szCs w:val="13"/>
          <w:color w:val="auto"/>
        </w:rPr>
        <w:t>below, and</w:t>
      </w:r>
      <w:r>
        <w:rPr>
          <w:rFonts w:ascii="Arial" w:cs="Arial" w:eastAsia="Arial" w:hAnsi="Arial"/>
          <w:sz w:val="13"/>
          <w:szCs w:val="13"/>
          <w:b w:val="1"/>
          <w:bCs w:val="1"/>
          <w:color w:val="auto"/>
        </w:rPr>
        <w:t xml:space="preserve"> </w:t>
      </w:r>
      <w:r>
        <w:rPr>
          <w:rFonts w:ascii="Arial" w:cs="Arial" w:eastAsia="Arial" w:hAnsi="Arial"/>
          <w:sz w:val="13"/>
          <w:szCs w:val="13"/>
          <w:color w:val="auto"/>
        </w:rPr>
        <w:t>each other instrument or document from time to time executed and/or delivered in connection with the arrangements contemplated hereby or in connection with any transaction with any Agent or any Term Lender, or any Affiliate of any Agent or any Term Lender, as each may be amended from time to time.</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“Loan Party </w:t>
      </w:r>
      <w:r>
        <w:rPr>
          <w:rFonts w:ascii="Arial" w:cs="Arial" w:eastAsia="Arial" w:hAnsi="Arial"/>
          <w:sz w:val="15"/>
          <w:szCs w:val="15"/>
          <w:color w:val="auto"/>
        </w:rPr>
        <w:t>and</w:t>
      </w:r>
      <w:r>
        <w:rPr>
          <w:rFonts w:ascii="Arial" w:cs="Arial" w:eastAsia="Arial" w:hAnsi="Arial"/>
          <w:sz w:val="15"/>
          <w:szCs w:val="15"/>
          <w:b w:val="1"/>
          <w:bCs w:val="1"/>
          <w:color w:val="auto"/>
        </w:rPr>
        <w:t xml:space="preserve"> Loan Parties”</w:t>
      </w:r>
      <w:r>
        <w:rPr>
          <w:rFonts w:ascii="Arial" w:cs="Arial" w:eastAsia="Arial" w:hAnsi="Arial"/>
          <w:sz w:val="15"/>
          <w:szCs w:val="15"/>
          <w:color w:val="auto"/>
        </w:rPr>
        <w:t>: Each Borrower and each Guarantor.</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“Majority Term Lenders”</w:t>
      </w:r>
      <w:r>
        <w:rPr>
          <w:rFonts w:ascii="Arial" w:cs="Arial" w:eastAsia="Arial" w:hAnsi="Arial"/>
          <w:sz w:val="15"/>
          <w:szCs w:val="15"/>
          <w:color w:val="auto"/>
        </w:rPr>
        <w:t>: Term Lenders holding 51% or more of the then outstanding amount of the Term Loans;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that if there are only two Term Lenders (a Term</w:t>
      </w:r>
      <w:r>
        <w:rPr>
          <w:rFonts w:ascii="Arial" w:cs="Arial" w:eastAsia="Arial" w:hAnsi="Arial"/>
          <w:sz w:val="15"/>
          <w:szCs w:val="15"/>
          <w:b w:val="1"/>
          <w:bCs w:val="1"/>
          <w:color w:val="auto"/>
        </w:rPr>
        <w:t xml:space="preserve"> </w:t>
      </w:r>
      <w:r>
        <w:rPr>
          <w:rFonts w:ascii="Arial" w:cs="Arial" w:eastAsia="Arial" w:hAnsi="Arial"/>
          <w:sz w:val="15"/>
          <w:szCs w:val="15"/>
          <w:color w:val="auto"/>
        </w:rPr>
        <w:t>Lender and its Affiliates being deemed one Term Lender), then both Term Lenders.</w:t>
      </w:r>
    </w:p>
    <w:p>
      <w:pPr>
        <w:spacing w:after="0" w:line="123"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“Material Accounting Change”</w:t>
      </w:r>
      <w:r>
        <w:rPr>
          <w:rFonts w:ascii="Arial" w:cs="Arial" w:eastAsia="Arial" w:hAnsi="Arial"/>
          <w:sz w:val="15"/>
          <w:szCs w:val="15"/>
          <w:color w:val="auto"/>
        </w:rPr>
        <w:t>: Any change in GAAP applicable to accounting periods subsequent to the Loan Parties’ Fiscal year most recently completed prior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execution of this Agreement, which change has a material effect on the Loan Parties’ Consolidated financial condition or operating results, as reflected on financial statements and reports prepared by or for the Loan Parties, when compared with such condition or results as if such change had not taken place or where preparation of the Loan Parties’ statements and reports in compliance with such change.</w:t>
      </w:r>
    </w:p>
    <w:p>
      <w:pPr>
        <w:spacing w:after="0" w:line="141" w:lineRule="exact"/>
        <w:rPr>
          <w:sz w:val="20"/>
          <w:szCs w:val="20"/>
          <w:color w:val="auto"/>
        </w:rPr>
      </w:pPr>
    </w:p>
    <w:p>
      <w:pPr>
        <w:jc w:val="both"/>
        <w:ind w:left="660"/>
        <w:spacing w:after="0" w:line="268" w:lineRule="auto"/>
        <w:rPr>
          <w:sz w:val="20"/>
          <w:szCs w:val="20"/>
          <w:color w:val="auto"/>
        </w:rPr>
      </w:pPr>
      <w:r>
        <w:rPr>
          <w:rFonts w:ascii="Arial" w:cs="Arial" w:eastAsia="Arial" w:hAnsi="Arial"/>
          <w:sz w:val="14"/>
          <w:szCs w:val="14"/>
          <w:color w:val="auto"/>
        </w:rPr>
        <w:t>Notwithstanding anything to the contrary above or in the definition of Capital Lease Obligations or Capital Expenditures, in the event of a change under GAAP (or the application thereof) requiring all leases to be capitalized, only those leases that would result or would have resulted in Capital Lease Obligations or Capital Expenditures on the Closing Date (assuming for purposes hereof that they were in existence on the date hereof) hereunder shall be considered capital leases hereunder and all calculations and deliverables under this Agreement or any other Loan Document shall be made in accordance therewith.</w:t>
      </w:r>
    </w:p>
    <w:p>
      <w:pPr>
        <w:spacing w:after="0" w:line="124" w:lineRule="exact"/>
        <w:rPr>
          <w:sz w:val="20"/>
          <w:szCs w:val="20"/>
          <w:color w:val="auto"/>
        </w:rPr>
      </w:pPr>
    </w:p>
    <w:p>
      <w:pPr>
        <w:jc w:val="both"/>
        <w:ind w:left="660" w:hanging="662"/>
        <w:spacing w:after="0" w:line="247" w:lineRule="auto"/>
        <w:rPr>
          <w:sz w:val="20"/>
          <w:szCs w:val="20"/>
          <w:color w:val="auto"/>
        </w:rPr>
      </w:pPr>
      <w:r>
        <w:rPr>
          <w:rFonts w:ascii="Arial" w:cs="Arial" w:eastAsia="Arial" w:hAnsi="Arial"/>
          <w:sz w:val="15"/>
          <w:szCs w:val="15"/>
          <w:b w:val="1"/>
          <w:bCs w:val="1"/>
          <w:color w:val="auto"/>
        </w:rPr>
        <w:t>“Material Adverse Effect”</w:t>
      </w:r>
      <w:r>
        <w:rPr>
          <w:rFonts w:ascii="Arial" w:cs="Arial" w:eastAsia="Arial" w:hAnsi="Arial"/>
          <w:sz w:val="15"/>
          <w:szCs w:val="15"/>
          <w:color w:val="auto"/>
        </w:rPr>
        <w:t>: means any event, circumstance or condition that has had a materially adverse effect on (a) the business, operations, assets, liabilities (actual or</w:t>
      </w:r>
      <w:r>
        <w:rPr>
          <w:rFonts w:ascii="Arial" w:cs="Arial" w:eastAsia="Arial" w:hAnsi="Arial"/>
          <w:sz w:val="15"/>
          <w:szCs w:val="15"/>
          <w:b w:val="1"/>
          <w:bCs w:val="1"/>
          <w:color w:val="auto"/>
        </w:rPr>
        <w:t xml:space="preserve"> </w:t>
      </w:r>
      <w:r>
        <w:rPr>
          <w:rFonts w:ascii="Arial" w:cs="Arial" w:eastAsia="Arial" w:hAnsi="Arial"/>
          <w:sz w:val="15"/>
          <w:szCs w:val="15"/>
          <w:color w:val="auto"/>
        </w:rPr>
        <w:t>contingent) or financial condition of the Loan Parties and their Subsidiaries, taken as a whole, (b) the ability of the Loan Parties (taken as a whole) to perform their respective payment obligations under any Loan Document to which any of the Loan Parties is a party or (c) the rights and remedies of the Term Lenders, the Collateral Agent or the Administrative Agent under any Loan Document..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“Maturity Date”</w:t>
      </w:r>
      <w:r>
        <w:rPr>
          <w:rFonts w:ascii="Arial" w:cs="Arial" w:eastAsia="Arial" w:hAnsi="Arial"/>
          <w:sz w:val="15"/>
          <w:szCs w:val="15"/>
          <w:color w:val="auto"/>
        </w:rPr>
        <w:t>: October 29, 2019.</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“Moody’s”</w:t>
      </w:r>
      <w:r>
        <w:rPr>
          <w:rFonts w:ascii="Arial" w:cs="Arial" w:eastAsia="Arial" w:hAnsi="Arial"/>
          <w:sz w:val="15"/>
          <w:szCs w:val="15"/>
          <w:color w:val="auto"/>
        </w:rPr>
        <w:t>: Moody’s Investors Service, Inc. and any successor thereto.</w:t>
      </w:r>
    </w:p>
    <w:p>
      <w:pPr>
        <w:spacing w:after="0" w:line="160" w:lineRule="exact"/>
        <w:rPr>
          <w:sz w:val="20"/>
          <w:szCs w:val="20"/>
          <w:color w:val="auto"/>
        </w:rPr>
      </w:pPr>
    </w:p>
    <w:p>
      <w:pPr>
        <w:jc w:val="both"/>
        <w:ind w:left="660" w:hanging="662"/>
        <w:spacing w:after="0" w:line="264" w:lineRule="auto"/>
        <w:rPr>
          <w:sz w:val="20"/>
          <w:szCs w:val="20"/>
          <w:color w:val="auto"/>
        </w:rPr>
      </w:pPr>
      <w:r>
        <w:rPr>
          <w:rFonts w:ascii="Arial" w:cs="Arial" w:eastAsia="Arial" w:hAnsi="Arial"/>
          <w:sz w:val="14"/>
          <w:szCs w:val="14"/>
          <w:b w:val="1"/>
          <w:bCs w:val="1"/>
          <w:color w:val="auto"/>
        </w:rPr>
        <w:t>“Net Proceeds”</w:t>
      </w:r>
      <w:r>
        <w:rPr>
          <w:rFonts w:ascii="Arial" w:cs="Arial" w:eastAsia="Arial" w:hAnsi="Arial"/>
          <w:sz w:val="14"/>
          <w:szCs w:val="14"/>
          <w:color w:val="auto"/>
        </w:rPr>
        <w:t>: With respect to any Disposition by any Loan Party or any of its Subsidiaries, the excess, if any, of (i) the sum of cash and cash equivalents received in connection</w:t>
      </w:r>
      <w:r>
        <w:rPr>
          <w:rFonts w:ascii="Arial" w:cs="Arial" w:eastAsia="Arial" w:hAnsi="Arial"/>
          <w:sz w:val="14"/>
          <w:szCs w:val="14"/>
          <w:b w:val="1"/>
          <w:bCs w:val="1"/>
          <w:color w:val="auto"/>
        </w:rPr>
        <w:t xml:space="preserve"> </w:t>
      </w:r>
      <w:r>
        <w:rPr>
          <w:rFonts w:ascii="Arial" w:cs="Arial" w:eastAsia="Arial" w:hAnsi="Arial"/>
          <w:sz w:val="14"/>
          <w:szCs w:val="14"/>
          <w:color w:val="auto"/>
        </w:rPr>
        <w:t>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by an Encumbrance permitted hereunder which is senior to the Administrative Agent’s Collateral Interest on such asset and that is required to be repaid (or to establish an escrow for the future repayment thereof) in connection with such transaction (other than Indebtedness under the Loan Documents), and (B) the reasonable and customary out-of-pocket expenses incurred by such Loan Party or such Subsidiary in connection with such transaction (including,</w:t>
      </w:r>
    </w:p>
    <w:p>
      <w:pPr>
        <w:spacing w:after="0" w:line="131"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- 16 -</w:t>
      </w:r>
    </w:p>
    <w:p>
      <w:pPr>
        <w:sectPr>
          <w:pgSz w:w="11900" w:h="16838" w:orient="portrait"/>
          <w:cols w:equalWidth="0" w:num="1">
            <w:col w:w="10600"/>
          </w:cols>
          <w:pgMar w:left="1080" w:top="288" w:right="219" w:bottom="1440" w:gutter="0" w:footer="0" w:header="0"/>
        </w:sectPr>
      </w:pPr>
    </w:p>
    <w:bookmarkStart w:id="74" w:name="page75"/>
    <w:bookmarkEnd w:id="74"/>
    <w:p>
      <w:pPr>
        <w:ind w:left="660"/>
        <w:spacing w:after="0" w:line="259" w:lineRule="auto"/>
        <w:rPr>
          <w:sz w:val="20"/>
          <w:szCs w:val="20"/>
          <w:color w:val="auto"/>
        </w:rPr>
      </w:pPr>
      <w:r>
        <w:rPr>
          <w:rFonts w:ascii="Arial" w:cs="Arial" w:eastAsia="Arial" w:hAnsi="Arial"/>
          <w:sz w:val="15"/>
          <w:szCs w:val="15"/>
          <w:color w:val="auto"/>
        </w:rPr>
        <w:t>without limitation, appraisals, and brokerage, legal, title and recording or transfer tax expenses, commissions and expenses incurred in connection with obtaining such proceeds following the casualty event) paid by any Loan Party to third parties (other than Affiliates)).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“Nominee”</w:t>
      </w:r>
      <w:r>
        <w:rPr>
          <w:rFonts w:ascii="Arial" w:cs="Arial" w:eastAsia="Arial" w:hAnsi="Arial"/>
          <w:sz w:val="15"/>
          <w:szCs w:val="15"/>
          <w:color w:val="auto"/>
        </w:rPr>
        <w:t>: A business entity (such as a corporation or limited partnership) formed by the Collateral Agent to own or manage any Post Foreclosure Asset.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“NonConsenting Term Lender”</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15.6</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Account”</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7.3</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19.15</w:t>
      </w:r>
      <w:r>
        <w:rPr>
          <w:rFonts w:ascii="Arial" w:cs="Arial" w:eastAsia="Arial" w:hAnsi="Arial"/>
          <w:sz w:val="15"/>
          <w:szCs w:val="15"/>
          <w:b w:val="1"/>
          <w:bCs w:val="1"/>
          <w:color w:val="auto"/>
        </w:rPr>
        <w:t xml:space="preserve"> </w:t>
      </w:r>
      <w:r>
        <w:rPr>
          <w:rFonts w:ascii="Arial" w:cs="Arial" w:eastAsia="Arial" w:hAnsi="Arial"/>
          <w:sz w:val="15"/>
          <w:szCs w:val="15"/>
          <w:color w:val="auto"/>
        </w:rPr>
        <w:t>hereof.</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“Patriot Act”</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3.11</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Conditions”</w:t>
      </w:r>
      <w:r>
        <w:rPr>
          <w:rFonts w:ascii="Arial" w:cs="Arial" w:eastAsia="Arial" w:hAnsi="Arial"/>
          <w:sz w:val="14"/>
          <w:szCs w:val="14"/>
          <w:color w:val="auto"/>
        </w:rPr>
        <w:t>: At the time of determination with respect to any specified transaction or payment that is subject to satisfaction of the Payment Conditions:</w:t>
      </w:r>
    </w:p>
    <w:p>
      <w:pPr>
        <w:spacing w:after="0" w:line="95" w:lineRule="exact"/>
        <w:rPr>
          <w:sz w:val="20"/>
          <w:szCs w:val="20"/>
          <w:color w:val="auto"/>
        </w:rPr>
      </w:pPr>
    </w:p>
    <w:p>
      <w:pPr>
        <w:ind w:left="1540" w:hanging="208"/>
        <w:spacing w:after="0"/>
        <w:tabs>
          <w:tab w:leader="none" w:pos="1540" w:val="left"/>
        </w:tabs>
        <w:numPr>
          <w:ilvl w:val="1"/>
          <w:numId w:val="66"/>
        </w:numPr>
        <w:rPr>
          <w:rFonts w:ascii="Arial" w:cs="Arial" w:eastAsia="Arial" w:hAnsi="Arial"/>
          <w:sz w:val="15"/>
          <w:szCs w:val="15"/>
          <w:color w:val="auto"/>
        </w:rPr>
      </w:pPr>
      <w:r>
        <w:rPr>
          <w:rFonts w:ascii="Arial" w:cs="Arial" w:eastAsia="Arial" w:hAnsi="Arial"/>
          <w:sz w:val="15"/>
          <w:szCs w:val="15"/>
          <w:color w:val="auto"/>
        </w:rPr>
        <w:t>no Default or Event of Default then exists or would arise as a result of entering into such transaction or making such payment;</w:t>
      </w:r>
    </w:p>
    <w:p>
      <w:pPr>
        <w:spacing w:after="0" w:line="79" w:lineRule="exact"/>
        <w:rPr>
          <w:rFonts w:ascii="Arial" w:cs="Arial" w:eastAsia="Arial" w:hAnsi="Arial"/>
          <w:sz w:val="15"/>
          <w:szCs w:val="15"/>
          <w:color w:val="auto"/>
        </w:rPr>
      </w:pPr>
    </w:p>
    <w:p>
      <w:pPr>
        <w:ind w:left="1540" w:hanging="208"/>
        <w:spacing w:after="0"/>
        <w:tabs>
          <w:tab w:leader="none" w:pos="1540" w:val="left"/>
        </w:tabs>
        <w:numPr>
          <w:ilvl w:val="1"/>
          <w:numId w:val="66"/>
        </w:numPr>
        <w:rPr>
          <w:rFonts w:ascii="Arial" w:cs="Arial" w:eastAsia="Arial" w:hAnsi="Arial"/>
          <w:sz w:val="15"/>
          <w:szCs w:val="15"/>
          <w:color w:val="auto"/>
        </w:rPr>
      </w:pPr>
      <w:r>
        <w:rPr>
          <w:rFonts w:ascii="Arial" w:cs="Arial" w:eastAsia="Arial" w:hAnsi="Arial"/>
          <w:sz w:val="15"/>
          <w:szCs w:val="15"/>
          <w:color w:val="auto"/>
        </w:rPr>
        <w:t>the Borrowers are in compliance with the Availability Condition; and</w:t>
      </w:r>
    </w:p>
    <w:p>
      <w:pPr>
        <w:spacing w:after="0" w:line="79" w:lineRule="exact"/>
        <w:rPr>
          <w:rFonts w:ascii="Arial" w:cs="Arial" w:eastAsia="Arial" w:hAnsi="Arial"/>
          <w:sz w:val="15"/>
          <w:szCs w:val="15"/>
          <w:color w:val="auto"/>
        </w:rPr>
      </w:pPr>
    </w:p>
    <w:p>
      <w:pPr>
        <w:jc w:val="both"/>
        <w:ind w:left="660" w:firstLine="672"/>
        <w:spacing w:after="0" w:line="284" w:lineRule="auto"/>
        <w:tabs>
          <w:tab w:leader="none" w:pos="1536" w:val="left"/>
        </w:tabs>
        <w:numPr>
          <w:ilvl w:val="1"/>
          <w:numId w:val="66"/>
        </w:numPr>
        <w:rPr>
          <w:rFonts w:ascii="Arial" w:cs="Arial" w:eastAsia="Arial" w:hAnsi="Arial"/>
          <w:sz w:val="13"/>
          <w:szCs w:val="13"/>
          <w:color w:val="auto"/>
        </w:rPr>
      </w:pPr>
      <w:r>
        <w:rPr>
          <w:rFonts w:ascii="Arial" w:cs="Arial" w:eastAsia="Arial" w:hAnsi="Arial"/>
          <w:sz w:val="13"/>
          <w:szCs w:val="13"/>
          <w:color w:val="auto"/>
        </w:rPr>
        <w:t xml:space="preserve">after giving pro forma effect to such transaction or payment, the Consolidated Fixed Charge Coverage Ratio, tested on a trailing twelve month basis, shall be equal to or greater than 1.0 to 1.0;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this clause (c) shall not apply if Excess Availability at the time of such determination and projected for the six</w:t>
      </w:r>
    </w:p>
    <w:p>
      <w:pPr>
        <w:spacing w:after="0" w:line="1" w:lineRule="exact"/>
        <w:rPr>
          <w:rFonts w:ascii="Arial" w:cs="Arial" w:eastAsia="Arial" w:hAnsi="Arial"/>
          <w:sz w:val="13"/>
          <w:szCs w:val="13"/>
          <w:color w:val="auto"/>
        </w:rPr>
      </w:pPr>
    </w:p>
    <w:p>
      <w:pPr>
        <w:ind w:left="660" w:firstLine="9"/>
        <w:spacing w:after="0" w:line="243" w:lineRule="auto"/>
        <w:tabs>
          <w:tab w:leader="none" w:pos="870" w:val="left"/>
        </w:tabs>
        <w:numPr>
          <w:ilvl w:val="0"/>
          <w:numId w:val="67"/>
        </w:numPr>
        <w:rPr>
          <w:rFonts w:ascii="Arial" w:cs="Arial" w:eastAsia="Arial" w:hAnsi="Arial"/>
          <w:sz w:val="15"/>
          <w:szCs w:val="15"/>
          <w:color w:val="auto"/>
        </w:rPr>
      </w:pPr>
      <w:r>
        <w:rPr>
          <w:rFonts w:ascii="Arial" w:cs="Arial" w:eastAsia="Arial" w:hAnsi="Arial"/>
          <w:sz w:val="15"/>
          <w:szCs w:val="15"/>
          <w:color w:val="auto"/>
        </w:rPr>
        <w:t>Fiscal months immediately following and after giving effect to such transaction or payment was equal to or greater than the greater of (x) twenty five percent (25%) of the Revolving Loan Cap (calculated without giving effect to the Term Loan Push Down Reserve) and (y) $20,000,000.</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3"/>
          <w:szCs w:val="13"/>
          <w:color w:val="auto"/>
        </w:rPr>
        <w:t>Prior to undertaking any transaction or payment which is subject to the Payment Conditions, the Borrowers’ Representative shall deliver to the Administrative Agent</w:t>
      </w:r>
    </w:p>
    <w:p>
      <w:pPr>
        <w:spacing w:after="0" w:line="34" w:lineRule="exact"/>
        <w:rPr>
          <w:sz w:val="20"/>
          <w:szCs w:val="20"/>
          <w:color w:val="auto"/>
        </w:rPr>
      </w:pPr>
    </w:p>
    <w:p>
      <w:pPr>
        <w:jc w:val="both"/>
        <w:ind w:left="660" w:firstLine="9"/>
        <w:spacing w:after="0"/>
        <w:tabs>
          <w:tab w:leader="none" w:pos="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 certificate signed by the Chief Executive Officer, President or Chief Financial Officer of the Borrowers’ Representative certifying that the conditions contained in clauses (a), (b) and (c) of the preceding sentence have been satisfied, and (ii) evidence of satisfaction of the conditions contained in clauses (b) and (c) above on a basis (including, without limitation, giving due consideration to results for prior Fiscal periods and giving effect to the proposed transaction or payment) reasonably satisfactory to the Administrative Agent.</w:t>
      </w:r>
    </w:p>
    <w:p>
      <w:pPr>
        <w:spacing w:after="0" w:line="141" w:lineRule="exact"/>
        <w:rPr>
          <w:sz w:val="20"/>
          <w:szCs w:val="20"/>
          <w:color w:val="auto"/>
        </w:rPr>
      </w:pPr>
    </w:p>
    <w:p>
      <w:pPr>
        <w:ind w:left="660" w:hanging="662"/>
        <w:spacing w:after="0" w:line="265" w:lineRule="auto"/>
        <w:rPr>
          <w:sz w:val="20"/>
          <w:szCs w:val="20"/>
          <w:color w:val="auto"/>
        </w:rPr>
      </w:pPr>
      <w:r>
        <w:rPr>
          <w:rFonts w:ascii="Arial" w:cs="Arial" w:eastAsia="Arial" w:hAnsi="Arial"/>
          <w:sz w:val="15"/>
          <w:szCs w:val="15"/>
          <w:b w:val="1"/>
          <w:bCs w:val="1"/>
          <w:color w:val="auto"/>
        </w:rPr>
        <w:t>“Payment Intangible”</w:t>
      </w:r>
      <w:r>
        <w:rPr>
          <w:rFonts w:ascii="Arial" w:cs="Arial" w:eastAsia="Arial" w:hAnsi="Arial"/>
          <w:sz w:val="15"/>
          <w:szCs w:val="15"/>
          <w:color w:val="auto"/>
        </w:rPr>
        <w:t>: Has the meaning given that term in the UCC and also refers to any general intangible under which the Account Debtor’s primary obligation is a monetary</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“Permitted Acquisition”</w:t>
      </w:r>
      <w:r>
        <w:rPr>
          <w:rFonts w:ascii="Arial" w:cs="Arial" w:eastAsia="Arial" w:hAnsi="Arial"/>
          <w:sz w:val="15"/>
          <w:szCs w:val="15"/>
          <w:color w:val="auto"/>
        </w:rPr>
        <w:t>: An Acquisition complying with the following:</w:t>
      </w:r>
    </w:p>
    <w:p>
      <w:pPr>
        <w:spacing w:after="0" w:line="84" w:lineRule="exact"/>
        <w:rPr>
          <w:sz w:val="20"/>
          <w:szCs w:val="20"/>
          <w:color w:val="auto"/>
        </w:rPr>
      </w:pPr>
    </w:p>
    <w:p>
      <w:pPr>
        <w:jc w:val="both"/>
        <w:ind w:left="660" w:firstLine="672"/>
        <w:spacing w:after="0" w:line="305" w:lineRule="auto"/>
        <w:tabs>
          <w:tab w:leader="none" w:pos="15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Such Acquisition shall be of assets ancillary, incidental or necessary to the retail sale of apparel and related activities, or of 100% of the stock of a corporation whose assets consist substantially of such assets, or through the merger of such a corporation with a Loan Party (with a Loan Party as the surviving corporation), or with a Subsidiary of a Loan Party where, after giving effect to such merger, such corporation becomes a wholly-owned Subsidiary of a Loan Party;</w:t>
      </w:r>
    </w:p>
    <w:p>
      <w:pPr>
        <w:spacing w:after="0" w:line="25" w:lineRule="exact"/>
        <w:rPr>
          <w:rFonts w:ascii="Arial" w:cs="Arial" w:eastAsia="Arial" w:hAnsi="Arial"/>
          <w:sz w:val="13"/>
          <w:szCs w:val="13"/>
          <w:color w:val="auto"/>
        </w:rPr>
      </w:pPr>
    </w:p>
    <w:p>
      <w:pPr>
        <w:jc w:val="both"/>
        <w:ind w:left="660" w:firstLine="672"/>
        <w:spacing w:after="0" w:line="305" w:lineRule="auto"/>
        <w:tabs>
          <w:tab w:leader="none" w:pos="1536" w:val="left"/>
        </w:tabs>
        <w:numPr>
          <w:ilvl w:val="0"/>
          <w:numId w:val="69"/>
        </w:numPr>
        <w:rPr>
          <w:rFonts w:ascii="Arial" w:cs="Arial" w:eastAsia="Arial" w:hAnsi="Arial"/>
          <w:sz w:val="13"/>
          <w:szCs w:val="13"/>
          <w:color w:val="auto"/>
        </w:rPr>
      </w:pPr>
      <w:r>
        <w:rPr>
          <w:rFonts w:ascii="Arial" w:cs="Arial" w:eastAsia="Arial" w:hAnsi="Arial"/>
          <w:sz w:val="13"/>
          <w:szCs w:val="13"/>
          <w:color w:val="auto"/>
        </w:rPr>
        <w:t>If such Acquisition includes the acquisition of assets by, or the merger of, a Loan Party, there shall have been no change in the identity of the president, chief financial officer or any executive vice president of such Loan Party as a consequence of such acquisition, or if there has been such a change, the Administrative Agent shall have consented in writing to such change in identity within thirty (30) days thereafter (which consent shall not be unreasonably withheld or delayed); and</w:t>
      </w:r>
    </w:p>
    <w:p>
      <w:pPr>
        <w:spacing w:after="0" w:line="25" w:lineRule="exact"/>
        <w:rPr>
          <w:rFonts w:ascii="Arial" w:cs="Arial" w:eastAsia="Arial" w:hAnsi="Arial"/>
          <w:sz w:val="13"/>
          <w:szCs w:val="13"/>
          <w:color w:val="auto"/>
        </w:rPr>
      </w:pPr>
    </w:p>
    <w:p>
      <w:pPr>
        <w:ind w:left="660" w:firstLine="672"/>
        <w:spacing w:after="0" w:line="259" w:lineRule="auto"/>
        <w:tabs>
          <w:tab w:leader="none" w:pos="153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If a new Subsidiary is formed or acquired as a result of such Acquisition, such Subsidiary shall execute documentation, reasonably satisfactory in form and substance to the Administrative Agent,</w:t>
      </w:r>
    </w:p>
    <w:p>
      <w:pPr>
        <w:spacing w:after="0" w:line="131" w:lineRule="exact"/>
        <w:rPr>
          <w:rFonts w:ascii="Arial" w:cs="Arial" w:eastAsia="Arial" w:hAnsi="Arial"/>
          <w:sz w:val="15"/>
          <w:szCs w:val="15"/>
          <w:color w:val="auto"/>
        </w:rPr>
      </w:pPr>
    </w:p>
    <w:p>
      <w:pPr>
        <w:ind w:left="4800" w:hanging="86"/>
        <w:spacing w:after="0"/>
        <w:tabs>
          <w:tab w:leader="none" w:pos="4800" w:val="left"/>
        </w:tabs>
        <w:numPr>
          <w:ilvl w:val="1"/>
          <w:numId w:val="69"/>
        </w:numPr>
        <w:rPr>
          <w:rFonts w:ascii="Arial" w:cs="Arial" w:eastAsia="Arial" w:hAnsi="Arial"/>
          <w:sz w:val="15"/>
          <w:szCs w:val="15"/>
          <w:color w:val="auto"/>
        </w:rPr>
      </w:pPr>
      <w:r>
        <w:rPr>
          <w:rFonts w:ascii="Arial" w:cs="Arial" w:eastAsia="Arial" w:hAnsi="Arial"/>
          <w:sz w:val="15"/>
          <w:szCs w:val="15"/>
          <w:color w:val="auto"/>
        </w:rPr>
        <w:t>17 -</w:t>
      </w:r>
    </w:p>
    <w:p>
      <w:pPr>
        <w:sectPr>
          <w:pgSz w:w="11900" w:h="16838" w:orient="portrait"/>
          <w:cols w:equalWidth="0" w:num="1">
            <w:col w:w="10600"/>
          </w:cols>
          <w:pgMar w:left="1080" w:top="288" w:right="219" w:bottom="1440" w:gutter="0" w:footer="0" w:header="0"/>
        </w:sectPr>
      </w:pPr>
    </w:p>
    <w:bookmarkStart w:id="75" w:name="page76"/>
    <w:bookmarkEnd w:id="75"/>
    <w:p>
      <w:pPr>
        <w:ind w:left="660"/>
        <w:spacing w:after="0" w:line="259" w:lineRule="auto"/>
        <w:rPr>
          <w:sz w:val="20"/>
          <w:szCs w:val="20"/>
          <w:color w:val="auto"/>
        </w:rPr>
      </w:pPr>
      <w:r>
        <w:rPr>
          <w:rFonts w:ascii="Arial" w:cs="Arial" w:eastAsia="Arial" w:hAnsi="Arial"/>
          <w:sz w:val="15"/>
          <w:szCs w:val="15"/>
          <w:color w:val="auto"/>
        </w:rPr>
        <w:t>guarantying payment and performance of the Liabilities and granting a first lien, subject only to Permitted Encumbrances, in its assets in favor of the Collateral Agent, for the ratable benefit of the Term Lenders.</w:t>
      </w:r>
    </w:p>
    <w:p>
      <w:pPr>
        <w:spacing w:after="0" w:line="128" w:lineRule="exact"/>
        <w:rPr>
          <w:sz w:val="20"/>
          <w:szCs w:val="20"/>
          <w:color w:val="auto"/>
        </w:rPr>
      </w:pPr>
    </w:p>
    <w:p>
      <w:pPr>
        <w:ind w:left="660" w:hanging="662"/>
        <w:spacing w:after="0" w:line="265" w:lineRule="auto"/>
        <w:rPr>
          <w:sz w:val="20"/>
          <w:szCs w:val="20"/>
          <w:color w:val="auto"/>
        </w:rPr>
      </w:pPr>
      <w:r>
        <w:rPr>
          <w:rFonts w:ascii="Arial" w:cs="Arial" w:eastAsia="Arial" w:hAnsi="Arial"/>
          <w:sz w:val="15"/>
          <w:szCs w:val="15"/>
          <w:b w:val="1"/>
          <w:bCs w:val="1"/>
          <w:color w:val="auto"/>
        </w:rPr>
        <w:t>“Permitted Asset Disposition”</w:t>
      </w:r>
      <w:r>
        <w:rPr>
          <w:rFonts w:ascii="Arial" w:cs="Arial" w:eastAsia="Arial" w:hAnsi="Arial"/>
          <w:sz w:val="15"/>
          <w:szCs w:val="15"/>
          <w:color w:val="auto"/>
        </w:rPr>
        <w:t>: A sale or other disposition of (i) Stores which are not DXL Stores and (ii) any other sale or disposition of the assets of any Loan Party in the</w:t>
      </w:r>
      <w:r>
        <w:rPr>
          <w:rFonts w:ascii="Arial" w:cs="Arial" w:eastAsia="Arial" w:hAnsi="Arial"/>
          <w:sz w:val="15"/>
          <w:szCs w:val="15"/>
          <w:b w:val="1"/>
          <w:bCs w:val="1"/>
          <w:color w:val="auto"/>
        </w:rPr>
        <w:t xml:space="preserve"> </w:t>
      </w:r>
      <w:r>
        <w:rPr>
          <w:rFonts w:ascii="Arial" w:cs="Arial" w:eastAsia="Arial" w:hAnsi="Arial"/>
          <w:sz w:val="15"/>
          <w:szCs w:val="15"/>
          <w:color w:val="auto"/>
        </w:rPr>
        <w:t>ordinary course, so long as the following conditions are satisfied:</w:t>
      </w:r>
    </w:p>
    <w:p>
      <w:pPr>
        <w:spacing w:after="0" w:line="47" w:lineRule="exact"/>
        <w:rPr>
          <w:sz w:val="20"/>
          <w:szCs w:val="20"/>
          <w:color w:val="auto"/>
        </w:rPr>
      </w:pPr>
    </w:p>
    <w:p>
      <w:pPr>
        <w:jc w:val="both"/>
        <w:ind w:left="660" w:firstLine="672"/>
        <w:spacing w:after="0" w:line="275" w:lineRule="auto"/>
        <w:tabs>
          <w:tab w:leader="none" w:pos="1528"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sale, liquidation or other disposition of Inventory at any locations from which a Loan Party determines to cease the conduct of its business, (i) shall be on terms satisfactory to the Administrative Agent and (ii) notwithstanding the Administrative Agent’s furnishing of any such consent, the Administrative Agent may, in the exercise of its reasonable discretion, impose Inventory Reserves as a result of the occurrence of any such sale, liquidation, or disposition;</w:t>
      </w:r>
    </w:p>
    <w:p>
      <w:pPr>
        <w:spacing w:after="0" w:line="41" w:lineRule="exact"/>
        <w:rPr>
          <w:rFonts w:ascii="Arial" w:cs="Arial" w:eastAsia="Arial" w:hAnsi="Arial"/>
          <w:sz w:val="14"/>
          <w:szCs w:val="14"/>
          <w:color w:val="auto"/>
        </w:rPr>
      </w:pPr>
    </w:p>
    <w:p>
      <w:pPr>
        <w:jc w:val="both"/>
        <w:ind w:left="660" w:firstLine="672"/>
        <w:spacing w:after="0" w:line="284" w:lineRule="auto"/>
        <w:tabs>
          <w:tab w:leader="none" w:pos="1534"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The aggregate of all such sales or other dispositions of the assets of any Loan Party in connection with DXL Store closings, at arms-length (i) may be up to an aggregate of ten percent (10%) of the DXL Stores open as of the beginning of any Fiscal year of the Loan Parties,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if such sales or other dispositions, whether at one time or multiple closures which constitute a series, of closures (x) exceed the aggregate of five percent (5%) of DXL Stores open as of the beginning of such Fiscal year or (y) are part of any program, the Borrowers’ business plan or are intended to comprise multiple DXL Store closures which will exceed the aggregate of five percent (5%) of the DXL Stores open as of the beginning of such Fiscal year when such program, business plan or multiple closures are completed, then the closures referenced in (x) and (y) immediately preceding shall be in accordance with liquidation agreements and with professional liquidators, in each case, reasonably acceptable to the Administrative Agent (and the Borrower’s Representative shall have provided the Administrative Agent and the Revolving Agent with an updated Borrowing Base Certificate reflecting such DXL Store closures and the effect of such liquidation agreements);</w:t>
      </w:r>
    </w:p>
    <w:p>
      <w:pPr>
        <w:spacing w:after="0" w:line="37" w:lineRule="exact"/>
        <w:rPr>
          <w:rFonts w:ascii="Arial" w:cs="Arial" w:eastAsia="Arial" w:hAnsi="Arial"/>
          <w:sz w:val="13"/>
          <w:szCs w:val="13"/>
          <w:color w:val="auto"/>
        </w:rPr>
      </w:pPr>
    </w:p>
    <w:p>
      <w:pPr>
        <w:ind w:left="1540" w:hanging="208"/>
        <w:spacing w:after="0"/>
        <w:tabs>
          <w:tab w:leader="none" w:pos="15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Each such sale or other disposition shall be for fair consideration in an arm’s length transaction; and</w:t>
      </w:r>
    </w:p>
    <w:p>
      <w:pPr>
        <w:spacing w:after="0" w:line="79" w:lineRule="exact"/>
        <w:rPr>
          <w:rFonts w:ascii="Arial" w:cs="Arial" w:eastAsia="Arial" w:hAnsi="Arial"/>
          <w:sz w:val="15"/>
          <w:szCs w:val="15"/>
          <w:color w:val="auto"/>
        </w:rPr>
      </w:pPr>
    </w:p>
    <w:p>
      <w:pPr>
        <w:ind w:left="660" w:firstLine="672"/>
        <w:spacing w:after="0" w:line="259" w:lineRule="auto"/>
        <w:tabs>
          <w:tab w:leader="none" w:pos="1538" w:val="left"/>
        </w:tabs>
        <w:numPr>
          <w:ilvl w:val="0"/>
          <w:numId w:val="70"/>
        </w:numPr>
        <w:rPr>
          <w:rFonts w:ascii="Arial" w:cs="Arial" w:eastAsia="Arial" w:hAnsi="Arial"/>
          <w:sz w:val="15"/>
          <w:szCs w:val="15"/>
          <w:color w:val="auto"/>
        </w:rPr>
      </w:pPr>
      <w:r>
        <w:rPr>
          <w:rFonts w:ascii="Arial" w:cs="Arial" w:eastAsia="Arial" w:hAnsi="Arial"/>
          <w:sz w:val="15"/>
          <w:szCs w:val="15"/>
          <w:color w:val="auto"/>
        </w:rPr>
        <w:t>On the date on which any sale or other disposition of assets is consummated, no Default shall have occurred and be continuing or will occur as a result of such consummation.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“Permitted Encumbrances”</w:t>
      </w:r>
      <w:r>
        <w:rPr>
          <w:rFonts w:ascii="Arial" w:cs="Arial" w:eastAsia="Arial" w:hAnsi="Arial"/>
          <w:sz w:val="15"/>
          <w:szCs w:val="15"/>
          <w:color w:val="auto"/>
        </w:rPr>
        <w:t>: The following:</w:t>
      </w:r>
    </w:p>
    <w:p>
      <w:pPr>
        <w:spacing w:after="0" w:line="80" w:lineRule="exact"/>
        <w:rPr>
          <w:sz w:val="20"/>
          <w:szCs w:val="20"/>
          <w:color w:val="auto"/>
        </w:rPr>
      </w:pPr>
    </w:p>
    <w:p>
      <w:pPr>
        <w:ind w:left="1540" w:hanging="208"/>
        <w:spacing w:after="0"/>
        <w:tabs>
          <w:tab w:leader="none" w:pos="15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Encumbrances described on </w:t>
      </w:r>
      <w:r>
        <w:rPr>
          <w:rFonts w:ascii="Arial" w:cs="Arial" w:eastAsia="Arial" w:hAnsi="Arial"/>
          <w:sz w:val="15"/>
          <w:szCs w:val="15"/>
          <w:b w:val="1"/>
          <w:bCs w:val="1"/>
          <w:color w:val="auto"/>
        </w:rPr>
        <w:t>EXHIBIT 1.1</w:t>
      </w:r>
      <w:r>
        <w:rPr>
          <w:rFonts w:ascii="Arial" w:cs="Arial" w:eastAsia="Arial" w:hAnsi="Arial"/>
          <w:sz w:val="15"/>
          <w:szCs w:val="15"/>
          <w:color w:val="auto"/>
        </w:rPr>
        <w:t xml:space="preserve"> hereto.</w:t>
      </w:r>
    </w:p>
    <w:p>
      <w:pPr>
        <w:spacing w:after="0" w:line="83" w:lineRule="exact"/>
        <w:rPr>
          <w:rFonts w:ascii="Arial" w:cs="Arial" w:eastAsia="Arial" w:hAnsi="Arial"/>
          <w:sz w:val="15"/>
          <w:szCs w:val="15"/>
          <w:color w:val="auto"/>
        </w:rPr>
      </w:pPr>
    </w:p>
    <w:p>
      <w:pPr>
        <w:jc w:val="both"/>
        <w:ind w:left="660" w:firstLine="672"/>
        <w:spacing w:after="0" w:line="259" w:lineRule="auto"/>
        <w:tabs>
          <w:tab w:leader="none" w:pos="1534"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Encumbrances on properties to secure taxes, assessments and other government charges or claims for labor, material or supplies in respect of obligations not then overdue; deposits or pledges made in connection with, or to secure payment of, workmen’s compensation, unemployment insurance, old age pensions or other social security obligations; Encumbrances on property hereafter acquired (either in connection with purchase money encumbrances, rental purchase agreements, including Capital Leases, or conditional sale or other title retention agreements), which are restricted to the property so acquired and do not secure Indebtedness exceeding the fair value (at the time of acquisition) thereof; Encumbrances of carriers, warehousemen, mechanics and materialmen, and other like Encumbrances in existence less than 90 days from the date of creation thereof in respect of obligations not overdue; and Encumbrances on properties consisting of easements, rights of way, zoning restrictions, restrictions on the use of real property and defects and irregularities in the title thereto, landlord’s or lessor’s Encumbrances under leases to which any Loan Party is a party, and other minor Encumbrances or encumbrances none of which interferes materially with the use of the property affected in the ordinary conduct of the business of the Loan Parties, which defects do not individually or in the aggregate have a materially adverse effect on the business of any Loan Party individually or of the Loan Parties as a whole or which are being actively contested in good faith by appropriate proceedings as to which the Loan Parties have established reasonable reserves, </w:t>
      </w:r>
      <w:r>
        <w:rPr>
          <w:rFonts w:ascii="Arial" w:cs="Arial" w:eastAsia="Arial" w:hAnsi="Arial"/>
          <w:sz w:val="14"/>
          <w:szCs w:val="14"/>
          <w:i w:val="1"/>
          <w:iCs w:val="1"/>
          <w:color w:val="auto"/>
        </w:rPr>
        <w:t>it being understood, however, that</w:t>
      </w:r>
      <w:r>
        <w:rPr>
          <w:rFonts w:ascii="Arial" w:cs="Arial" w:eastAsia="Arial" w:hAnsi="Arial"/>
          <w:sz w:val="14"/>
          <w:szCs w:val="14"/>
          <w:color w:val="auto"/>
        </w:rPr>
        <w:t xml:space="preserve"> the filing of a tax lien which includes any Inventory or Accounts does not constitute a “Permitted Encumbrance”, even if being so contested.</w:t>
      </w:r>
    </w:p>
    <w:p>
      <w:pPr>
        <w:spacing w:after="0" w:line="53" w:lineRule="exact"/>
        <w:rPr>
          <w:rFonts w:ascii="Arial" w:cs="Arial" w:eastAsia="Arial" w:hAnsi="Arial"/>
          <w:sz w:val="14"/>
          <w:szCs w:val="14"/>
          <w:color w:val="auto"/>
        </w:rPr>
      </w:pPr>
    </w:p>
    <w:p>
      <w:pPr>
        <w:ind w:left="1540" w:hanging="208"/>
        <w:spacing w:after="0"/>
        <w:tabs>
          <w:tab w:leader="none" w:pos="15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Encumbrances in favor of the Revolving Agent pursuant to the Revolving Credit Agreement.</w:t>
      </w:r>
    </w:p>
    <w:p>
      <w:pPr>
        <w:spacing w:after="0" w:line="79" w:lineRule="exact"/>
        <w:rPr>
          <w:rFonts w:ascii="Arial" w:cs="Arial" w:eastAsia="Arial" w:hAnsi="Arial"/>
          <w:sz w:val="15"/>
          <w:szCs w:val="15"/>
          <w:color w:val="auto"/>
        </w:rPr>
      </w:pPr>
    </w:p>
    <w:p>
      <w:pPr>
        <w:ind w:left="1540" w:hanging="208"/>
        <w:spacing w:after="0"/>
        <w:tabs>
          <w:tab w:leader="none" w:pos="15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Encumbrances on the BALC Equipment solely to the extent securing the BALC Indebtedness.</w:t>
      </w:r>
    </w:p>
    <w:p>
      <w:pPr>
        <w:spacing w:after="0" w:line="160" w:lineRule="exact"/>
        <w:rPr>
          <w:rFonts w:ascii="Arial" w:cs="Arial" w:eastAsia="Arial" w:hAnsi="Arial"/>
          <w:sz w:val="15"/>
          <w:szCs w:val="15"/>
          <w:color w:val="auto"/>
        </w:rPr>
      </w:pPr>
    </w:p>
    <w:p>
      <w:pPr>
        <w:ind w:left="4800" w:hanging="86"/>
        <w:spacing w:after="0"/>
        <w:tabs>
          <w:tab w:leader="none" w:pos="4800" w:val="left"/>
        </w:tabs>
        <w:numPr>
          <w:ilvl w:val="1"/>
          <w:numId w:val="71"/>
        </w:numPr>
        <w:rPr>
          <w:rFonts w:ascii="Arial" w:cs="Arial" w:eastAsia="Arial" w:hAnsi="Arial"/>
          <w:sz w:val="15"/>
          <w:szCs w:val="15"/>
          <w:color w:val="auto"/>
        </w:rPr>
      </w:pPr>
      <w:r>
        <w:rPr>
          <w:rFonts w:ascii="Arial" w:cs="Arial" w:eastAsia="Arial" w:hAnsi="Arial"/>
          <w:sz w:val="15"/>
          <w:szCs w:val="15"/>
          <w:color w:val="auto"/>
        </w:rPr>
        <w:t>18 -</w:t>
      </w:r>
    </w:p>
    <w:p>
      <w:pPr>
        <w:sectPr>
          <w:pgSz w:w="11900" w:h="16838" w:orient="portrait"/>
          <w:cols w:equalWidth="0" w:num="1">
            <w:col w:w="10600"/>
          </w:cols>
          <w:pgMar w:left="1080" w:top="208" w:right="219" w:bottom="1440" w:gutter="0" w:footer="0" w:header="0"/>
        </w:sectPr>
      </w:pPr>
    </w:p>
    <w:bookmarkStart w:id="76" w:name="page77"/>
    <w:bookmarkEnd w:id="76"/>
    <w:p>
      <w:pPr>
        <w:spacing w:after="0"/>
        <w:rPr>
          <w:sz w:val="20"/>
          <w:szCs w:val="20"/>
          <w:color w:val="auto"/>
        </w:rPr>
      </w:pPr>
      <w:r>
        <w:rPr>
          <w:rFonts w:ascii="Arial" w:cs="Arial" w:eastAsia="Arial" w:hAnsi="Arial"/>
          <w:sz w:val="15"/>
          <w:szCs w:val="15"/>
          <w:b w:val="1"/>
          <w:bCs w:val="1"/>
          <w:color w:val="auto"/>
        </w:rPr>
        <w:t>“Permitted Indebtedness”</w:t>
      </w:r>
      <w:r>
        <w:rPr>
          <w:rFonts w:ascii="Arial" w:cs="Arial" w:eastAsia="Arial" w:hAnsi="Arial"/>
          <w:sz w:val="15"/>
          <w:szCs w:val="15"/>
          <w:color w:val="auto"/>
        </w:rPr>
        <w:t>: The following Indebtedness:</w:t>
      </w:r>
    </w:p>
    <w:p>
      <w:pPr>
        <w:spacing w:after="0" w:line="84" w:lineRule="exact"/>
        <w:rPr>
          <w:sz w:val="20"/>
          <w:szCs w:val="20"/>
          <w:color w:val="auto"/>
        </w:rPr>
      </w:pPr>
    </w:p>
    <w:p>
      <w:pPr>
        <w:ind w:left="1540" w:hanging="208"/>
        <w:spacing w:after="0"/>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Liabilities.</w:t>
      </w:r>
    </w:p>
    <w:p>
      <w:pPr>
        <w:spacing w:after="0" w:line="79" w:lineRule="exact"/>
        <w:rPr>
          <w:rFonts w:ascii="Arial" w:cs="Arial" w:eastAsia="Arial" w:hAnsi="Arial"/>
          <w:sz w:val="15"/>
          <w:szCs w:val="15"/>
          <w:color w:val="auto"/>
        </w:rPr>
      </w:pPr>
    </w:p>
    <w:p>
      <w:pPr>
        <w:ind w:left="1540" w:hanging="208"/>
        <w:spacing w:after="0"/>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Capital Leases and purchase money Indebtedness secured by Permitted Encumbrances.</w:t>
      </w:r>
    </w:p>
    <w:p>
      <w:pPr>
        <w:spacing w:after="0" w:line="79" w:lineRule="exact"/>
        <w:rPr>
          <w:rFonts w:ascii="Arial" w:cs="Arial" w:eastAsia="Arial" w:hAnsi="Arial"/>
          <w:sz w:val="15"/>
          <w:szCs w:val="15"/>
          <w:color w:val="auto"/>
        </w:rPr>
      </w:pPr>
    </w:p>
    <w:p>
      <w:pPr>
        <w:jc w:val="both"/>
        <w:ind w:left="660" w:firstLine="672"/>
        <w:spacing w:after="0" w:line="245" w:lineRule="auto"/>
        <w:tabs>
          <w:tab w:leader="none" w:pos="1532"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Unsecured Indebtedness assumed in connection with Permitted Acquisitions pursuant to </w:t>
      </w:r>
      <w:r>
        <w:rPr>
          <w:rFonts w:ascii="Arial" w:cs="Arial" w:eastAsia="Arial" w:hAnsi="Arial"/>
          <w:sz w:val="15"/>
          <w:szCs w:val="15"/>
          <w:u w:val="single" w:color="auto"/>
          <w:color w:val="auto"/>
        </w:rPr>
        <w:t>Section 4.21</w:t>
      </w:r>
      <w:r>
        <w:rPr>
          <w:rFonts w:ascii="Arial" w:cs="Arial" w:eastAsia="Arial" w:hAnsi="Arial"/>
          <w:sz w:val="15"/>
          <w:szCs w:val="15"/>
          <w:color w:val="auto"/>
        </w:rPr>
        <w:t xml:space="preserve"> (it being understood that the principal amount so assumed shall be deemed part of the purchase price of any such Permitted Acquisition) and any refinancing or replacement thereof on terms and conditions (including, without limitation, interest rate and providing that, in any event, the principal amount thereof shall not exceed that outstanding on the date of refinance or replacement) at least as favorable as those being refinanced or replaced.</w:t>
      </w:r>
    </w:p>
    <w:p>
      <w:pPr>
        <w:spacing w:after="0" w:line="62" w:lineRule="exact"/>
        <w:rPr>
          <w:rFonts w:ascii="Arial" w:cs="Arial" w:eastAsia="Arial" w:hAnsi="Arial"/>
          <w:sz w:val="15"/>
          <w:szCs w:val="15"/>
          <w:color w:val="auto"/>
        </w:rPr>
      </w:pPr>
    </w:p>
    <w:p>
      <w:pPr>
        <w:ind w:left="1540" w:hanging="208"/>
        <w:spacing w:after="0"/>
        <w:tabs>
          <w:tab w:leader="none" w:pos="15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Intercompany Indebtedness permitted under </w:t>
      </w:r>
      <w:r>
        <w:rPr>
          <w:rFonts w:ascii="Arial" w:cs="Arial" w:eastAsia="Arial" w:hAnsi="Arial"/>
          <w:sz w:val="15"/>
          <w:szCs w:val="15"/>
          <w:u w:val="single" w:color="auto"/>
          <w:color w:val="auto"/>
        </w:rPr>
        <w:t>Section 4.22</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1540" w:hanging="208"/>
        <w:spacing w:after="0"/>
        <w:tabs>
          <w:tab w:leader="none" w:pos="15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Indebtedness arising from a guaranty by a Loan Party of the Indebtedness of a Borrower with respect to a Borrower’s ordinary course trade payables.</w:t>
      </w:r>
    </w:p>
    <w:p>
      <w:pPr>
        <w:spacing w:after="0" w:line="102" w:lineRule="exact"/>
        <w:rPr>
          <w:rFonts w:ascii="Arial" w:cs="Arial" w:eastAsia="Arial" w:hAnsi="Arial"/>
          <w:sz w:val="13"/>
          <w:szCs w:val="13"/>
          <w:color w:val="auto"/>
        </w:rPr>
      </w:pPr>
    </w:p>
    <w:p>
      <w:pPr>
        <w:ind w:left="1520" w:hanging="188"/>
        <w:spacing w:after="0"/>
        <w:tabs>
          <w:tab w:leader="none" w:pos="15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Indebtedness on account of the Canton Lease.</w:t>
      </w:r>
    </w:p>
    <w:p>
      <w:pPr>
        <w:spacing w:after="0" w:line="79" w:lineRule="exact"/>
        <w:rPr>
          <w:rFonts w:ascii="Arial" w:cs="Arial" w:eastAsia="Arial" w:hAnsi="Arial"/>
          <w:sz w:val="15"/>
          <w:szCs w:val="15"/>
          <w:color w:val="auto"/>
        </w:rPr>
      </w:pPr>
    </w:p>
    <w:p>
      <w:pPr>
        <w:ind w:left="1540" w:hanging="208"/>
        <w:spacing w:after="0"/>
        <w:tabs>
          <w:tab w:leader="none" w:pos="1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The BALC Indebtedness in an aggregate amount not to exceed $23,000,000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all payments of principal thereof since the Closing Date.</w:t>
      </w:r>
    </w:p>
    <w:p>
      <w:pPr>
        <w:spacing w:after="0" w:line="91" w:lineRule="exact"/>
        <w:rPr>
          <w:rFonts w:ascii="Arial" w:cs="Arial" w:eastAsia="Arial" w:hAnsi="Arial"/>
          <w:sz w:val="14"/>
          <w:szCs w:val="14"/>
          <w:color w:val="auto"/>
        </w:rPr>
      </w:pPr>
    </w:p>
    <w:p>
      <w:pPr>
        <w:jc w:val="both"/>
        <w:ind w:left="660" w:firstLine="672"/>
        <w:spacing w:after="0" w:line="245" w:lineRule="auto"/>
        <w:tabs>
          <w:tab w:leader="none" w:pos="1534"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Indebtedness under the Revolving Credit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aggregate principal amount of revolving loans and reimbursement obligations under all letters of credit issued thereunder shall in no event exceed the lesser of (x) $175,000,000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permanent reduction or terminations of revolving commitments occurring after the Closing Date and (y) the Borrowing Base (as such term is defined under the Revolving Credit Agreement) and (ii) such Indebtedness shall at all times be subject to the Intercreditor Agreement.</w:t>
      </w:r>
    </w:p>
    <w:p>
      <w:pPr>
        <w:spacing w:after="0" w:line="62" w:lineRule="exact"/>
        <w:rPr>
          <w:rFonts w:ascii="Arial" w:cs="Arial" w:eastAsia="Arial" w:hAnsi="Arial"/>
          <w:sz w:val="15"/>
          <w:szCs w:val="15"/>
          <w:color w:val="auto"/>
        </w:rPr>
      </w:pPr>
    </w:p>
    <w:p>
      <w:pPr>
        <w:ind w:left="1500" w:hanging="168"/>
        <w:spacing w:after="0"/>
        <w:tabs>
          <w:tab w:leader="none" w:pos="15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Reserved.</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“Permitted Investments”</w:t>
      </w:r>
      <w:r>
        <w:rPr>
          <w:rFonts w:ascii="Arial" w:cs="Arial" w:eastAsia="Arial" w:hAnsi="Arial"/>
          <w:sz w:val="15"/>
          <w:szCs w:val="15"/>
          <w:color w:val="auto"/>
        </w:rPr>
        <w:t>: Any or all of the following:</w:t>
      </w:r>
    </w:p>
    <w:p>
      <w:pPr>
        <w:spacing w:after="0" w:line="84" w:lineRule="exact"/>
        <w:rPr>
          <w:sz w:val="20"/>
          <w:szCs w:val="20"/>
          <w:color w:val="auto"/>
        </w:rPr>
      </w:pPr>
    </w:p>
    <w:p>
      <w:pPr>
        <w:ind w:left="660" w:firstLine="672"/>
        <w:spacing w:after="0" w:line="259" w:lineRule="auto"/>
        <w:tabs>
          <w:tab w:leader="none" w:pos="1552" w:val="left"/>
        </w:tabs>
        <w:numPr>
          <w:ilvl w:val="1"/>
          <w:numId w:val="73"/>
        </w:numPr>
        <w:rPr>
          <w:rFonts w:ascii="Arial" w:cs="Arial" w:eastAsia="Arial" w:hAnsi="Arial"/>
          <w:sz w:val="15"/>
          <w:szCs w:val="15"/>
          <w:color w:val="auto"/>
        </w:rPr>
      </w:pPr>
      <w:r>
        <w:rPr>
          <w:rFonts w:ascii="Arial" w:cs="Arial" w:eastAsia="Arial" w:hAnsi="Arial"/>
          <w:sz w:val="15"/>
          <w:szCs w:val="15"/>
          <w:color w:val="auto"/>
        </w:rPr>
        <w:t xml:space="preserve">marketable direct full faith and credit obligations of, or marketable obligations guaranteed by, the United States of America;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securities, as a group, may not, on the date of determination, have a remaining weighted average maturity of more than five years;</w:t>
      </w:r>
    </w:p>
    <w:p>
      <w:pPr>
        <w:spacing w:after="0" w:line="51" w:lineRule="exact"/>
        <w:rPr>
          <w:rFonts w:ascii="Arial" w:cs="Arial" w:eastAsia="Arial" w:hAnsi="Arial"/>
          <w:sz w:val="15"/>
          <w:szCs w:val="15"/>
          <w:color w:val="auto"/>
        </w:rPr>
      </w:pPr>
    </w:p>
    <w:p>
      <w:pPr>
        <w:jc w:val="both"/>
        <w:ind w:left="660" w:firstLine="672"/>
        <w:spacing w:after="0" w:line="249" w:lineRule="auto"/>
        <w:tabs>
          <w:tab w:leader="none" w:pos="1533" w:val="left"/>
        </w:tabs>
        <w:numPr>
          <w:ilvl w:val="1"/>
          <w:numId w:val="73"/>
        </w:numPr>
        <w:rPr>
          <w:rFonts w:ascii="Arial" w:cs="Arial" w:eastAsia="Arial" w:hAnsi="Arial"/>
          <w:sz w:val="15"/>
          <w:szCs w:val="15"/>
          <w:color w:val="auto"/>
        </w:rPr>
      </w:pPr>
      <w:r>
        <w:rPr>
          <w:rFonts w:ascii="Arial" w:cs="Arial" w:eastAsia="Arial" w:hAnsi="Arial"/>
          <w:sz w:val="15"/>
          <w:szCs w:val="15"/>
          <w:color w:val="auto"/>
        </w:rPr>
        <w:t xml:space="preserve">marketable direct full faith and credit obligations of States of the United States or of political subdivisions or agencies;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securities, as a group, may not, on the date of determination, have a remaining weighted average maturity of more than five years;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such obligations carry a rating of “A” or better by a Rating Service;</w:t>
      </w:r>
    </w:p>
    <w:p>
      <w:pPr>
        <w:spacing w:after="0" w:line="58" w:lineRule="exact"/>
        <w:rPr>
          <w:rFonts w:ascii="Arial" w:cs="Arial" w:eastAsia="Arial" w:hAnsi="Arial"/>
          <w:sz w:val="15"/>
          <w:szCs w:val="15"/>
          <w:color w:val="auto"/>
        </w:rPr>
      </w:pPr>
    </w:p>
    <w:p>
      <w:pPr>
        <w:ind w:left="1540" w:hanging="208"/>
        <w:spacing w:after="0"/>
        <w:tabs>
          <w:tab w:leader="none" w:pos="15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certificates of deposit and bankers acceptances maturing within one year after the acquisition thereof issued by: (i) Bank of America or Wells Fargo; or</w:t>
      </w:r>
    </w:p>
    <w:p>
      <w:pPr>
        <w:spacing w:after="0" w:line="33" w:lineRule="exact"/>
        <w:rPr>
          <w:rFonts w:ascii="Arial" w:cs="Arial" w:eastAsia="Arial" w:hAnsi="Arial"/>
          <w:sz w:val="13"/>
          <w:szCs w:val="13"/>
          <w:color w:val="auto"/>
        </w:rPr>
      </w:pPr>
    </w:p>
    <w:p>
      <w:pPr>
        <w:ind w:left="660" w:firstLine="9"/>
        <w:spacing w:after="0" w:line="243" w:lineRule="auto"/>
        <w:tabs>
          <w:tab w:leader="none" w:pos="882"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any commercial bank organized under the laws of the United States of America or of any political subdivision thereof the long term obligations of which are rated “A” or better by a Rating Service;</w:t>
      </w:r>
    </w:p>
    <w:p>
      <w:pPr>
        <w:spacing w:after="0" w:line="62" w:lineRule="exact"/>
        <w:rPr>
          <w:rFonts w:ascii="Arial" w:cs="Arial" w:eastAsia="Arial" w:hAnsi="Arial"/>
          <w:sz w:val="15"/>
          <w:szCs w:val="15"/>
          <w:color w:val="auto"/>
        </w:rPr>
      </w:pPr>
    </w:p>
    <w:p>
      <w:pPr>
        <w:ind w:left="660" w:firstLine="672"/>
        <w:spacing w:after="0" w:line="259" w:lineRule="auto"/>
        <w:tabs>
          <w:tab w:leader="none" w:pos="1534" w:val="left"/>
        </w:tabs>
        <w:numPr>
          <w:ilvl w:val="1"/>
          <w:numId w:val="74"/>
        </w:numPr>
        <w:rPr>
          <w:rFonts w:ascii="Arial" w:cs="Arial" w:eastAsia="Arial" w:hAnsi="Arial"/>
          <w:sz w:val="15"/>
          <w:szCs w:val="15"/>
          <w:color w:val="auto"/>
        </w:rPr>
      </w:pPr>
      <w:r>
        <w:rPr>
          <w:rFonts w:ascii="Arial" w:cs="Arial" w:eastAsia="Arial" w:hAnsi="Arial"/>
          <w:sz w:val="15"/>
          <w:szCs w:val="15"/>
          <w:color w:val="auto"/>
        </w:rPr>
        <w:t>Eurodollar certificates of deposit maturing within one year after the acquisition thereof issued by any commercial bank having combined capital, surplus and undivided profits of at least $1 billion;</w:t>
      </w:r>
    </w:p>
    <w:p>
      <w:pPr>
        <w:spacing w:after="0" w:line="51" w:lineRule="exact"/>
        <w:rPr>
          <w:rFonts w:ascii="Arial" w:cs="Arial" w:eastAsia="Arial" w:hAnsi="Arial"/>
          <w:sz w:val="15"/>
          <w:szCs w:val="15"/>
          <w:color w:val="auto"/>
        </w:rPr>
      </w:pPr>
    </w:p>
    <w:p>
      <w:pPr>
        <w:ind w:left="660" w:firstLine="672"/>
        <w:spacing w:after="0" w:line="295" w:lineRule="auto"/>
        <w:tabs>
          <w:tab w:leader="none" w:pos="1524" w:val="left"/>
        </w:tabs>
        <w:numPr>
          <w:ilvl w:val="1"/>
          <w:numId w:val="74"/>
        </w:numPr>
        <w:rPr>
          <w:rFonts w:ascii="Arial" w:cs="Arial" w:eastAsia="Arial" w:hAnsi="Arial"/>
          <w:sz w:val="14"/>
          <w:szCs w:val="14"/>
          <w:color w:val="auto"/>
        </w:rPr>
      </w:pPr>
      <w:r>
        <w:rPr>
          <w:rFonts w:ascii="Arial" w:cs="Arial" w:eastAsia="Arial" w:hAnsi="Arial"/>
          <w:sz w:val="14"/>
          <w:szCs w:val="14"/>
          <w:color w:val="auto"/>
        </w:rPr>
        <w:t xml:space="preserve">tax-exempt bonds or notes which have a remaining maturity at the time of purchase of no more than five years issued by any State of the United States or the District of Columbia, or any political subdivision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obligations carry a rating of “A” or better by a Rating Service;</w:t>
      </w:r>
    </w:p>
    <w:p>
      <w:pPr>
        <w:spacing w:after="0" w:line="27" w:lineRule="exact"/>
        <w:rPr>
          <w:rFonts w:ascii="Arial" w:cs="Arial" w:eastAsia="Arial" w:hAnsi="Arial"/>
          <w:sz w:val="14"/>
          <w:szCs w:val="14"/>
          <w:color w:val="auto"/>
        </w:rPr>
      </w:pPr>
    </w:p>
    <w:p>
      <w:pPr>
        <w:ind w:left="1520" w:hanging="188"/>
        <w:spacing w:after="0"/>
        <w:tabs>
          <w:tab w:leader="none" w:pos="1520" w:val="left"/>
        </w:tabs>
        <w:numPr>
          <w:ilvl w:val="1"/>
          <w:numId w:val="74"/>
        </w:numPr>
        <w:rPr>
          <w:rFonts w:ascii="Arial" w:cs="Arial" w:eastAsia="Arial" w:hAnsi="Arial"/>
          <w:sz w:val="15"/>
          <w:szCs w:val="15"/>
          <w:color w:val="auto"/>
        </w:rPr>
      </w:pPr>
      <w:r>
        <w:rPr>
          <w:rFonts w:ascii="Arial" w:cs="Arial" w:eastAsia="Arial" w:hAnsi="Arial"/>
          <w:sz w:val="15"/>
          <w:szCs w:val="15"/>
          <w:color w:val="auto"/>
        </w:rPr>
        <w:t>reserved;</w:t>
      </w:r>
    </w:p>
    <w:p>
      <w:pPr>
        <w:spacing w:after="0" w:line="79" w:lineRule="exact"/>
        <w:rPr>
          <w:rFonts w:ascii="Arial" w:cs="Arial" w:eastAsia="Arial" w:hAnsi="Arial"/>
          <w:sz w:val="15"/>
          <w:szCs w:val="15"/>
          <w:color w:val="auto"/>
        </w:rPr>
      </w:pPr>
    </w:p>
    <w:p>
      <w:pPr>
        <w:jc w:val="both"/>
        <w:ind w:left="660" w:firstLine="672"/>
        <w:spacing w:after="0" w:line="249" w:lineRule="auto"/>
        <w:tabs>
          <w:tab w:leader="none" w:pos="1538" w:val="left"/>
        </w:tabs>
        <w:numPr>
          <w:ilvl w:val="1"/>
          <w:numId w:val="74"/>
        </w:numPr>
        <w:rPr>
          <w:rFonts w:ascii="Arial" w:cs="Arial" w:eastAsia="Arial" w:hAnsi="Arial"/>
          <w:sz w:val="15"/>
          <w:szCs w:val="15"/>
          <w:color w:val="auto"/>
        </w:rPr>
      </w:pPr>
      <w:r>
        <w:rPr>
          <w:rFonts w:ascii="Arial" w:cs="Arial" w:eastAsia="Arial" w:hAnsi="Arial"/>
          <w:sz w:val="15"/>
          <w:szCs w:val="15"/>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138" w:lineRule="exact"/>
        <w:rPr>
          <w:rFonts w:ascii="Arial" w:cs="Arial" w:eastAsia="Arial" w:hAnsi="Arial"/>
          <w:sz w:val="15"/>
          <w:szCs w:val="15"/>
          <w:color w:val="auto"/>
        </w:rPr>
      </w:pPr>
    </w:p>
    <w:p>
      <w:pPr>
        <w:ind w:left="4800" w:hanging="86"/>
        <w:spacing w:after="0"/>
        <w:tabs>
          <w:tab w:leader="none" w:pos="4800" w:val="left"/>
        </w:tabs>
        <w:numPr>
          <w:ilvl w:val="2"/>
          <w:numId w:val="74"/>
        </w:numPr>
        <w:rPr>
          <w:rFonts w:ascii="Arial" w:cs="Arial" w:eastAsia="Arial" w:hAnsi="Arial"/>
          <w:sz w:val="15"/>
          <w:szCs w:val="15"/>
          <w:color w:val="auto"/>
        </w:rPr>
      </w:pPr>
      <w:r>
        <w:rPr>
          <w:rFonts w:ascii="Arial" w:cs="Arial" w:eastAsia="Arial" w:hAnsi="Arial"/>
          <w:sz w:val="15"/>
          <w:szCs w:val="15"/>
          <w:color w:val="auto"/>
        </w:rPr>
        <w:t>19 -</w:t>
      </w:r>
    </w:p>
    <w:p>
      <w:pPr>
        <w:sectPr>
          <w:pgSz w:w="11900" w:h="16838" w:orient="portrait"/>
          <w:cols w:equalWidth="0" w:num="1">
            <w:col w:w="10600"/>
          </w:cols>
          <w:pgMar w:left="1080" w:top="284" w:right="219" w:bottom="1440" w:gutter="0" w:footer="0" w:header="0"/>
        </w:sectPr>
      </w:pPr>
    </w:p>
    <w:bookmarkStart w:id="77" w:name="page78"/>
    <w:bookmarkEnd w:id="77"/>
    <w:p>
      <w:pPr>
        <w:jc w:val="both"/>
        <w:ind w:left="660" w:firstLine="672"/>
        <w:spacing w:after="0" w:line="245" w:lineRule="auto"/>
        <w:tabs>
          <w:tab w:leader="none" w:pos="1533" w:val="left"/>
        </w:tabs>
        <w:numPr>
          <w:ilvl w:val="0"/>
          <w:numId w:val="75"/>
        </w:numPr>
        <w:rPr>
          <w:rFonts w:ascii="Arial" w:cs="Arial" w:eastAsia="Arial" w:hAnsi="Arial"/>
          <w:sz w:val="15"/>
          <w:szCs w:val="15"/>
          <w:color w:val="auto"/>
        </w:rPr>
      </w:pPr>
      <w:r>
        <w:rPr>
          <w:rFonts w:ascii="Arial" w:cs="Arial" w:eastAsia="Arial" w:hAnsi="Arial"/>
          <w:sz w:val="15"/>
          <w:szCs w:val="15"/>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62" w:lineRule="exact"/>
        <w:rPr>
          <w:rFonts w:ascii="Arial" w:cs="Arial" w:eastAsia="Arial" w:hAnsi="Arial"/>
          <w:sz w:val="15"/>
          <w:szCs w:val="15"/>
          <w:color w:val="auto"/>
        </w:rPr>
      </w:pPr>
    </w:p>
    <w:p>
      <w:pPr>
        <w:jc w:val="both"/>
        <w:ind w:left="660" w:firstLine="672"/>
        <w:spacing w:after="0" w:line="305" w:lineRule="auto"/>
        <w:tabs>
          <w:tab w:leader="none" w:pos="1515"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Investments, classified in accordance with GAAP as current assets of the Loan Parties, in any money market fund, mutual fund, or other investment companies that are registered under the Investment Company Act of 1940, as amended, which are administered by financial institutions that have the highest rating obtainable from either Moody’s or S&amp;P, and which invest substantially in one or more of the types of securities described in clauses (a), (b), (c) or (g) above; and</w:t>
      </w:r>
    </w:p>
    <w:p>
      <w:pPr>
        <w:spacing w:after="0" w:line="25" w:lineRule="exact"/>
        <w:rPr>
          <w:rFonts w:ascii="Arial" w:cs="Arial" w:eastAsia="Arial" w:hAnsi="Arial"/>
          <w:sz w:val="13"/>
          <w:szCs w:val="13"/>
          <w:color w:val="auto"/>
        </w:rPr>
      </w:pPr>
    </w:p>
    <w:p>
      <w:pPr>
        <w:ind w:left="1520" w:hanging="188"/>
        <w:spacing w:after="0"/>
        <w:tabs>
          <w:tab w:leader="none" w:pos="15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Investments in money market mutual funds consistent with SEC rule 2a-7 that are rated AAA by Moody’s or S&amp;P and have minimum assets of at least</w:t>
      </w:r>
    </w:p>
    <w:p>
      <w:pPr>
        <w:spacing w:after="0" w:line="33" w:lineRule="exact"/>
        <w:rPr>
          <w:rFonts w:ascii="Arial" w:cs="Arial" w:eastAsia="Arial" w:hAnsi="Arial"/>
          <w:sz w:val="13"/>
          <w:szCs w:val="13"/>
          <w:color w:val="auto"/>
        </w:rPr>
      </w:pPr>
    </w:p>
    <w:p>
      <w:pPr>
        <w:ind w:left="660"/>
        <w:spacing w:after="0"/>
        <w:rPr>
          <w:rFonts w:ascii="Arial" w:cs="Arial" w:eastAsia="Arial" w:hAnsi="Arial"/>
          <w:sz w:val="13"/>
          <w:szCs w:val="13"/>
          <w:color w:val="auto"/>
        </w:rPr>
      </w:pPr>
      <w:r>
        <w:rPr>
          <w:rFonts w:ascii="Arial" w:cs="Arial" w:eastAsia="Arial" w:hAnsi="Arial"/>
          <w:sz w:val="15"/>
          <w:szCs w:val="15"/>
          <w:color w:val="auto"/>
        </w:rPr>
        <w:t>$5 billion;</w:t>
      </w:r>
    </w:p>
    <w:p>
      <w:pPr>
        <w:spacing w:after="0" w:line="148" w:lineRule="exact"/>
        <w:rPr>
          <w:sz w:val="20"/>
          <w:szCs w:val="20"/>
          <w:color w:val="auto"/>
        </w:rPr>
      </w:pPr>
    </w:p>
    <w:p>
      <w:pPr>
        <w:ind w:left="660"/>
        <w:spacing w:after="0" w:line="284"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notwithstanding the foregoing, after the occurrence and during the continuance of a Cash Dominion Event, no such investments specified in clauses (a) through (e) and (g) through (i) shall be permitted unless (A) either no loans or advances under the Revolving Credit Agreement are then outstanding, and</w:t>
      </w:r>
    </w:p>
    <w:p>
      <w:pPr>
        <w:spacing w:after="0" w:line="1" w:lineRule="exact"/>
        <w:rPr>
          <w:sz w:val="20"/>
          <w:szCs w:val="20"/>
          <w:color w:val="auto"/>
        </w:rPr>
      </w:pPr>
    </w:p>
    <w:p>
      <w:pPr>
        <w:ind w:left="660" w:firstLine="9"/>
        <w:spacing w:after="0" w:line="243" w:lineRule="auto"/>
        <w:tabs>
          <w:tab w:leader="none" w:pos="901" w:val="left"/>
        </w:tabs>
        <w:numPr>
          <w:ilvl w:val="0"/>
          <w:numId w:val="76"/>
        </w:numPr>
        <w:rPr>
          <w:rFonts w:ascii="Arial" w:cs="Arial" w:eastAsia="Arial" w:hAnsi="Arial"/>
          <w:sz w:val="15"/>
          <w:szCs w:val="15"/>
          <w:color w:val="auto"/>
        </w:rPr>
      </w:pPr>
      <w:r>
        <w:rPr>
          <w:rFonts w:ascii="Arial" w:cs="Arial" w:eastAsia="Arial" w:hAnsi="Arial"/>
          <w:sz w:val="15"/>
          <w:szCs w:val="15"/>
          <w:color w:val="auto"/>
        </w:rPr>
        <w:t>such investments are pledged to the Collateral Agent as additional collateral for the Liabilities pursuant to such agreements as may be reasonably required by the Collateral Agent.</w:t>
      </w:r>
    </w:p>
    <w:p>
      <w:pPr>
        <w:spacing w:after="0" w:line="139" w:lineRule="exact"/>
        <w:rPr>
          <w:sz w:val="20"/>
          <w:szCs w:val="20"/>
          <w:color w:val="auto"/>
        </w:rPr>
      </w:pPr>
    </w:p>
    <w:p>
      <w:pPr>
        <w:ind w:left="660" w:hanging="662"/>
        <w:spacing w:after="0" w:line="265" w:lineRule="auto"/>
        <w:rPr>
          <w:sz w:val="20"/>
          <w:szCs w:val="20"/>
          <w:color w:val="auto"/>
        </w:rPr>
      </w:pPr>
      <w:r>
        <w:rPr>
          <w:rFonts w:ascii="Arial" w:cs="Arial" w:eastAsia="Arial" w:hAnsi="Arial"/>
          <w:sz w:val="15"/>
          <w:szCs w:val="15"/>
          <w:b w:val="1"/>
          <w:bCs w:val="1"/>
          <w:color w:val="auto"/>
        </w:rPr>
        <w:t>“Permitted Minority Investment”</w:t>
      </w:r>
      <w:r>
        <w:rPr>
          <w:rFonts w:ascii="Arial" w:cs="Arial" w:eastAsia="Arial" w:hAnsi="Arial"/>
          <w:sz w:val="15"/>
          <w:szCs w:val="15"/>
          <w:color w:val="auto"/>
        </w:rPr>
        <w:t>: The Investment by a Loan Party in a joint venture or an Acquisition by a Loan Party of less than 100% of the equity interests of a Person, in</w:t>
      </w:r>
      <w:r>
        <w:rPr>
          <w:rFonts w:ascii="Arial" w:cs="Arial" w:eastAsia="Arial" w:hAnsi="Arial"/>
          <w:sz w:val="15"/>
          <w:szCs w:val="15"/>
          <w:b w:val="1"/>
          <w:bCs w:val="1"/>
          <w:color w:val="auto"/>
        </w:rPr>
        <w:t xml:space="preserve"> </w:t>
      </w:r>
      <w:r>
        <w:rPr>
          <w:rFonts w:ascii="Arial" w:cs="Arial" w:eastAsia="Arial" w:hAnsi="Arial"/>
          <w:sz w:val="15"/>
          <w:szCs w:val="15"/>
          <w:color w:val="auto"/>
        </w:rPr>
        <w:t>each case whose assets are ancillary, incidental or necessary to the retail sale of apparel and related activities.</w:t>
      </w:r>
    </w:p>
    <w:p>
      <w:pPr>
        <w:spacing w:after="0" w:line="123" w:lineRule="exact"/>
        <w:rPr>
          <w:sz w:val="20"/>
          <w:szCs w:val="20"/>
          <w:color w:val="auto"/>
        </w:rPr>
      </w:pPr>
    </w:p>
    <w:p>
      <w:pPr>
        <w:ind w:left="660" w:hanging="662"/>
        <w:spacing w:after="0" w:line="259" w:lineRule="auto"/>
        <w:rPr>
          <w:sz w:val="20"/>
          <w:szCs w:val="20"/>
          <w:color w:val="auto"/>
        </w:rPr>
      </w:pPr>
      <w:r>
        <w:rPr>
          <w:rFonts w:ascii="Arial" w:cs="Arial" w:eastAsia="Arial" w:hAnsi="Arial"/>
          <w:sz w:val="15"/>
          <w:szCs w:val="15"/>
          <w:b w:val="1"/>
          <w:bCs w:val="1"/>
          <w:color w:val="auto"/>
        </w:rPr>
        <w:t>“Permitted Repurchase”</w:t>
      </w:r>
      <w:r>
        <w:rPr>
          <w:rFonts w:ascii="Arial" w:cs="Arial" w:eastAsia="Arial" w:hAnsi="Arial"/>
          <w:sz w:val="15"/>
          <w:szCs w:val="15"/>
          <w:color w:val="auto"/>
        </w:rPr>
        <w:t>:</w:t>
      </w:r>
      <w:r>
        <w:rPr>
          <w:sz w:val="20"/>
          <w:szCs w:val="20"/>
          <w:color w:val="auto"/>
        </w:rPr>
        <w:t xml:space="preserve"> </w:t>
      </w:r>
      <w:r>
        <w:rPr>
          <w:rFonts w:ascii="Arial" w:cs="Arial" w:eastAsia="Arial" w:hAnsi="Arial"/>
          <w:sz w:val="15"/>
          <w:szCs w:val="15"/>
          <w:color w:val="auto"/>
        </w:rPr>
        <w:t xml:space="preserve">The repurchase, repayment, redemption, or acquisition by the Borrowers of Casual Male’s capital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Borrowers are in compliance with the Payment Conditions.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“Person”</w:t>
      </w:r>
      <w:r>
        <w:rPr>
          <w:rFonts w:ascii="Arial" w:cs="Arial" w:eastAsia="Arial" w:hAnsi="Arial"/>
          <w:sz w:val="15"/>
          <w:szCs w:val="15"/>
          <w:color w:val="auto"/>
        </w:rPr>
        <w:t>: Any natural person, and any corporation, limited liability company, trust, partnership, joint venture, or other enterprise or entity.</w:t>
      </w:r>
    </w:p>
    <w:p>
      <w:pPr>
        <w:spacing w:after="0" w:line="160" w:lineRule="exact"/>
        <w:rPr>
          <w:sz w:val="20"/>
          <w:szCs w:val="20"/>
          <w:color w:val="auto"/>
        </w:rPr>
      </w:pPr>
    </w:p>
    <w:p>
      <w:pPr>
        <w:ind w:left="660" w:hanging="662"/>
        <w:spacing w:after="0" w:line="265" w:lineRule="auto"/>
        <w:rPr>
          <w:sz w:val="20"/>
          <w:szCs w:val="20"/>
          <w:color w:val="auto"/>
        </w:rPr>
      </w:pPr>
      <w:r>
        <w:rPr>
          <w:rFonts w:ascii="Arial" w:cs="Arial" w:eastAsia="Arial" w:hAnsi="Arial"/>
          <w:sz w:val="15"/>
          <w:szCs w:val="15"/>
          <w:b w:val="1"/>
          <w:bCs w:val="1"/>
          <w:color w:val="auto"/>
        </w:rPr>
        <w:t>“Post Foreclosure Asset”</w:t>
      </w:r>
      <w:r>
        <w:rPr>
          <w:rFonts w:ascii="Arial" w:cs="Arial" w:eastAsia="Arial" w:hAnsi="Arial"/>
          <w:sz w:val="15"/>
          <w:szCs w:val="15"/>
          <w:color w:val="auto"/>
        </w:rPr>
        <w:t>: All or any part of the Collateral, ownership of which is acquired by the Collateral Agent or a Nominee on account of the “bidding in” at a disposition</w:t>
      </w:r>
      <w:r>
        <w:rPr>
          <w:rFonts w:ascii="Arial" w:cs="Arial" w:eastAsia="Arial" w:hAnsi="Arial"/>
          <w:sz w:val="15"/>
          <w:szCs w:val="15"/>
          <w:b w:val="1"/>
          <w:bCs w:val="1"/>
          <w:color w:val="auto"/>
        </w:rPr>
        <w:t xml:space="preserve"> </w:t>
      </w:r>
      <w:r>
        <w:rPr>
          <w:rFonts w:ascii="Arial" w:cs="Arial" w:eastAsia="Arial" w:hAnsi="Arial"/>
          <w:sz w:val="15"/>
          <w:szCs w:val="15"/>
          <w:color w:val="auto"/>
        </w:rPr>
        <w:t>as part of a Liquidation or by reason of a “deed in lieu” type of transaction.</w:t>
      </w:r>
    </w:p>
    <w:p>
      <w:pPr>
        <w:spacing w:after="0" w:line="123" w:lineRule="exact"/>
        <w:rPr>
          <w:sz w:val="20"/>
          <w:szCs w:val="20"/>
          <w:color w:val="auto"/>
        </w:rPr>
      </w:pPr>
    </w:p>
    <w:p>
      <w:pPr>
        <w:ind w:left="660" w:hanging="662"/>
        <w:spacing w:after="0" w:line="265" w:lineRule="auto"/>
        <w:rPr>
          <w:sz w:val="20"/>
          <w:szCs w:val="20"/>
          <w:color w:val="auto"/>
        </w:rPr>
      </w:pPr>
      <w:r>
        <w:rPr>
          <w:rFonts w:ascii="Arial" w:cs="Arial" w:eastAsia="Arial" w:hAnsi="Arial"/>
          <w:sz w:val="15"/>
          <w:szCs w:val="15"/>
          <w:b w:val="1"/>
          <w:bCs w:val="1"/>
          <w:color w:val="auto"/>
        </w:rPr>
        <w:t>“Prepayment Event”</w:t>
      </w:r>
      <w:r>
        <w:rPr>
          <w:rFonts w:ascii="Arial" w:cs="Arial" w:eastAsia="Arial" w:hAnsi="Arial"/>
          <w:sz w:val="15"/>
          <w:szCs w:val="15"/>
          <w:color w:val="auto"/>
        </w:rPr>
        <w:t>: (a) any Disposition in respect of any Term Loan Priority Collateral or (b) any casualty or other insured damage to, or any taking under the power of</w:t>
      </w:r>
      <w:r>
        <w:rPr>
          <w:rFonts w:ascii="Arial" w:cs="Arial" w:eastAsia="Arial" w:hAnsi="Arial"/>
          <w:sz w:val="15"/>
          <w:szCs w:val="15"/>
          <w:b w:val="1"/>
          <w:bCs w:val="1"/>
          <w:color w:val="auto"/>
        </w:rPr>
        <w:t xml:space="preserve"> </w:t>
      </w:r>
      <w:r>
        <w:rPr>
          <w:rFonts w:ascii="Arial" w:cs="Arial" w:eastAsia="Arial" w:hAnsi="Arial"/>
          <w:sz w:val="15"/>
          <w:szCs w:val="15"/>
          <w:color w:val="auto"/>
        </w:rPr>
        <w:t>eminent domain or by condemnation or similar proceeding of (and payments in lieu thereof) any Term Loan Priority Collateral.</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“Proceeds”</w:t>
      </w:r>
      <w:r>
        <w:rPr>
          <w:rFonts w:ascii="Arial" w:cs="Arial" w:eastAsia="Arial" w:hAnsi="Arial"/>
          <w:sz w:val="15"/>
          <w:szCs w:val="15"/>
          <w:color w:val="auto"/>
        </w:rPr>
        <w:t>: Includes, without limitation, “Proceeds” as defined in the UCC and each type of property described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8.1</w:t>
      </w:r>
      <w:r>
        <w:rPr>
          <w:rFonts w:ascii="Arial" w:cs="Arial" w:eastAsia="Arial" w:hAnsi="Arial"/>
          <w:sz w:val="15"/>
          <w:szCs w:val="15"/>
          <w:b w:val="1"/>
          <w:bCs w:val="1"/>
          <w:color w:val="auto"/>
        </w:rPr>
        <w:t xml:space="preserve"> </w:t>
      </w:r>
      <w:r>
        <w:rPr>
          <w:rFonts w:ascii="Arial" w:cs="Arial" w:eastAsia="Arial" w:hAnsi="Arial"/>
          <w:sz w:val="15"/>
          <w:szCs w:val="15"/>
          <w:color w:val="auto"/>
        </w:rPr>
        <w:t>hereof.</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“Pro-Rata”</w:t>
      </w:r>
      <w:r>
        <w:rPr>
          <w:rFonts w:ascii="Arial" w:cs="Arial" w:eastAsia="Arial" w:hAnsi="Arial"/>
          <w:sz w:val="15"/>
          <w:szCs w:val="15"/>
          <w:color w:val="auto"/>
        </w:rPr>
        <w:t>: A proportional distribution based upon a Term Lender’s percentage claim to the overall aggregate amount being distributed</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Protective Advances</w:t>
      </w:r>
      <w:r>
        <w:rPr>
          <w:rFonts w:ascii="Arial" w:cs="Arial" w:eastAsia="Arial" w:hAnsi="Arial"/>
          <w:sz w:val="15"/>
          <w:szCs w:val="15"/>
          <w:color w:val="auto"/>
        </w:rPr>
        <w:t xml:space="preserve">”. Defined in </w:t>
      </w:r>
      <w:r>
        <w:rPr>
          <w:rFonts w:ascii="Arial" w:cs="Arial" w:eastAsia="Arial" w:hAnsi="Arial"/>
          <w:sz w:val="15"/>
          <w:szCs w:val="15"/>
          <w:u w:val="single" w:color="auto"/>
          <w:color w:val="auto"/>
        </w:rPr>
        <w:t>Section 2.2</w:t>
      </w:r>
      <w:r>
        <w:rPr>
          <w:rFonts w:ascii="Arial" w:cs="Arial" w:eastAsia="Arial" w:hAnsi="Arial"/>
          <w:sz w:val="15"/>
          <w:szCs w:val="15"/>
          <w:color w:val="auto"/>
        </w:rPr>
        <w:t>. hereof.</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“RBT”</w:t>
      </w:r>
      <w:r>
        <w:rPr>
          <w:rFonts w:ascii="Arial" w:cs="Arial" w:eastAsia="Arial" w:hAnsi="Arial"/>
          <w:sz w:val="15"/>
          <w:szCs w:val="15"/>
          <w:color w:val="auto"/>
        </w:rPr>
        <w:t>: Collectively, Casual Male RBT, LLC and Casual Male RBT (U.K.), LLC.</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“Receipts”</w:t>
      </w:r>
      <w:r>
        <w:rPr>
          <w:rFonts w:ascii="Arial" w:cs="Arial" w:eastAsia="Arial" w:hAnsi="Arial"/>
          <w:sz w:val="15"/>
          <w:szCs w:val="15"/>
          <w:color w:val="auto"/>
        </w:rPr>
        <w:t>: All cash, cash equivalents, money, checks, credit card slips, receipts and other Proceeds from any sale of the ABL Priority Collateral.</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“Register”</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16.2(c)</w:t>
      </w:r>
      <w:r>
        <w:rPr>
          <w:rFonts w:ascii="Arial" w:cs="Arial" w:eastAsia="Arial" w:hAnsi="Arial"/>
          <w:sz w:val="15"/>
          <w:szCs w:val="15"/>
          <w:color w:val="auto"/>
        </w:rPr>
        <w:t>.</w:t>
      </w:r>
    </w:p>
    <w:p>
      <w:pPr>
        <w:spacing w:after="0" w:line="164"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- 20 -</w:t>
      </w:r>
    </w:p>
    <w:p>
      <w:pPr>
        <w:sectPr>
          <w:pgSz w:w="11900" w:h="16838" w:orient="portrait"/>
          <w:cols w:equalWidth="0" w:num="1">
            <w:col w:w="10600"/>
          </w:cols>
          <w:pgMar w:left="1080" w:top="208" w:right="219" w:bottom="1440" w:gutter="0" w:footer="0" w:header="0"/>
        </w:sectPr>
      </w:pPr>
    </w:p>
    <w:bookmarkStart w:id="78" w:name="page79"/>
    <w:bookmarkEnd w:id="78"/>
    <w:p>
      <w:pPr>
        <w:jc w:val="both"/>
        <w:ind w:left="660" w:hanging="662"/>
        <w:spacing w:after="0" w:line="265" w:lineRule="auto"/>
        <w:rPr>
          <w:sz w:val="20"/>
          <w:szCs w:val="20"/>
          <w:color w:val="auto"/>
        </w:rPr>
      </w:pPr>
      <w:r>
        <w:rPr>
          <w:rFonts w:ascii="Arial" w:cs="Arial" w:eastAsia="Arial" w:hAnsi="Arial"/>
          <w:sz w:val="15"/>
          <w:szCs w:val="15"/>
          <w:b w:val="1"/>
          <w:bCs w:val="1"/>
          <w:color w:val="auto"/>
        </w:rPr>
        <w:t>“Requirements of Law”</w:t>
      </w:r>
      <w:r>
        <w:rPr>
          <w:rFonts w:ascii="Arial" w:cs="Arial" w:eastAsia="Arial" w:hAnsi="Arial"/>
          <w:sz w:val="15"/>
          <w:szCs w:val="15"/>
          <w:color w:val="auto"/>
        </w:rPr>
        <w:t>: As to any Person: (a) Applicable Law; (b) that Person’s organizational documents; and (c) that Person’s by-laws and/or other instruments which deal</w:t>
      </w:r>
      <w:r>
        <w:rPr>
          <w:rFonts w:ascii="Arial" w:cs="Arial" w:eastAsia="Arial" w:hAnsi="Arial"/>
          <w:sz w:val="15"/>
          <w:szCs w:val="15"/>
          <w:b w:val="1"/>
          <w:bCs w:val="1"/>
          <w:color w:val="auto"/>
        </w:rPr>
        <w:t xml:space="preserve"> </w:t>
      </w:r>
      <w:r>
        <w:rPr>
          <w:rFonts w:ascii="Arial" w:cs="Arial" w:eastAsia="Arial" w:hAnsi="Arial"/>
          <w:sz w:val="15"/>
          <w:szCs w:val="15"/>
          <w:color w:val="auto"/>
        </w:rPr>
        <w:t>with corporate or similar governance, as applicable.</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“Reserves”</w:t>
      </w:r>
      <w:r>
        <w:rPr>
          <w:rFonts w:ascii="Arial" w:cs="Arial" w:eastAsia="Arial" w:hAnsi="Arial"/>
          <w:sz w:val="13"/>
          <w:szCs w:val="13"/>
          <w:color w:val="auto"/>
        </w:rPr>
        <w:t>: Availability Reserves and Inventory Reserves and reserves due to the failure to deliver the agreements specified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4.27(g)</w:t>
      </w:r>
      <w:r>
        <w:rPr>
          <w:rFonts w:ascii="Arial" w:cs="Arial" w:eastAsia="Arial" w:hAnsi="Arial"/>
          <w:sz w:val="13"/>
          <w:szCs w:val="13"/>
          <w:b w:val="1"/>
          <w:bCs w:val="1"/>
          <w:color w:val="auto"/>
        </w:rPr>
        <w:t xml:space="preserve"> </w:t>
      </w:r>
      <w:r>
        <w:rPr>
          <w:rFonts w:ascii="Arial" w:cs="Arial" w:eastAsia="Arial" w:hAnsi="Arial"/>
          <w:sz w:val="13"/>
          <w:szCs w:val="13"/>
          <w:color w:val="auto"/>
        </w:rPr>
        <w:t>hereof or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4.27(h)</w:t>
      </w:r>
      <w:r>
        <w:rPr>
          <w:rFonts w:ascii="Arial" w:cs="Arial" w:eastAsia="Arial" w:hAnsi="Arial"/>
          <w:sz w:val="13"/>
          <w:szCs w:val="13"/>
          <w:b w:val="1"/>
          <w:bCs w:val="1"/>
          <w:color w:val="auto"/>
        </w:rPr>
        <w:t xml:space="preserve"> </w:t>
      </w:r>
      <w:r>
        <w:rPr>
          <w:rFonts w:ascii="Arial" w:cs="Arial" w:eastAsia="Arial" w:hAnsi="Arial"/>
          <w:sz w:val="13"/>
          <w:szCs w:val="13"/>
          <w:color w:val="auto"/>
        </w:rPr>
        <w:t>hereof.</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“Revolver Amendment”</w:t>
      </w:r>
      <w:r>
        <w:rPr>
          <w:rFonts w:ascii="Arial" w:cs="Arial" w:eastAsia="Arial" w:hAnsi="Arial"/>
          <w:sz w:val="15"/>
          <w:szCs w:val="15"/>
          <w:color w:val="auto"/>
        </w:rPr>
        <w:t>: Defined in “Revolving Credit Agreement.”</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“Revolving Agent”</w:t>
      </w:r>
      <w:r>
        <w:rPr>
          <w:rFonts w:ascii="Arial" w:cs="Arial" w:eastAsia="Arial" w:hAnsi="Arial"/>
          <w:sz w:val="15"/>
          <w:szCs w:val="15"/>
          <w:color w:val="auto"/>
        </w:rPr>
        <w:t>: Bank of America, N.A., in its capacity as administrative agent and collateral agent under the Revolving Credit Agreement, or any successor administrative</w:t>
      </w:r>
      <w:r>
        <w:rPr>
          <w:rFonts w:ascii="Arial" w:cs="Arial" w:eastAsia="Arial" w:hAnsi="Arial"/>
          <w:sz w:val="15"/>
          <w:szCs w:val="15"/>
          <w:b w:val="1"/>
          <w:bCs w:val="1"/>
          <w:color w:val="auto"/>
        </w:rPr>
        <w:t xml:space="preserve"> </w:t>
      </w:r>
      <w:r>
        <w:rPr>
          <w:rFonts w:ascii="Arial" w:cs="Arial" w:eastAsia="Arial" w:hAnsi="Arial"/>
          <w:sz w:val="15"/>
          <w:szCs w:val="15"/>
          <w:color w:val="auto"/>
        </w:rPr>
        <w:t>agent and collateral agent under the Revolving Credit Agreement.</w:t>
      </w:r>
    </w:p>
    <w:p>
      <w:pPr>
        <w:spacing w:after="0" w:line="123" w:lineRule="exact"/>
        <w:rPr>
          <w:sz w:val="20"/>
          <w:szCs w:val="20"/>
          <w:color w:val="auto"/>
        </w:rPr>
      </w:pPr>
    </w:p>
    <w:p>
      <w:pPr>
        <w:jc w:val="both"/>
        <w:ind w:left="660" w:hanging="662"/>
        <w:spacing w:after="0" w:line="243" w:lineRule="auto"/>
        <w:rPr>
          <w:sz w:val="20"/>
          <w:szCs w:val="20"/>
          <w:color w:val="auto"/>
        </w:rPr>
      </w:pPr>
      <w:r>
        <w:rPr>
          <w:rFonts w:ascii="Arial" w:cs="Arial" w:eastAsia="Arial" w:hAnsi="Arial"/>
          <w:sz w:val="15"/>
          <w:szCs w:val="15"/>
          <w:b w:val="1"/>
          <w:bCs w:val="1"/>
          <w:color w:val="auto"/>
        </w:rPr>
        <w:t>“Revolving Credit Agreement”</w:t>
      </w:r>
      <w:r>
        <w:rPr>
          <w:rFonts w:ascii="Arial" w:cs="Arial" w:eastAsia="Arial" w:hAnsi="Arial"/>
          <w:sz w:val="15"/>
          <w:szCs w:val="15"/>
          <w:color w:val="auto"/>
        </w:rPr>
        <w:t>: The Sixth Amended and Restated Loan and Security Agreement dated as of November 20, 2012, as amended by that certain First Amendment</w:t>
      </w:r>
      <w:r>
        <w:rPr>
          <w:rFonts w:ascii="Arial" w:cs="Arial" w:eastAsia="Arial" w:hAnsi="Arial"/>
          <w:sz w:val="15"/>
          <w:szCs w:val="15"/>
          <w:b w:val="1"/>
          <w:bCs w:val="1"/>
          <w:color w:val="auto"/>
        </w:rPr>
        <w:t xml:space="preserve"> </w:t>
      </w:r>
      <w:r>
        <w:rPr>
          <w:rFonts w:ascii="Arial" w:cs="Arial" w:eastAsia="Arial" w:hAnsi="Arial"/>
          <w:sz w:val="15"/>
          <w:szCs w:val="15"/>
          <w:color w:val="auto"/>
        </w:rPr>
        <w:t>to Sixth Amended and Restated Loan and Security Agreement, First Amendment to Amended and Restated Guaranty Agreement, First Amendment to Amended and Restated Security Agreement, and Termination Agreement, dated as of June 26, 2013, as amended by that certain Second Amendment to Sixth Amended and Restated Loan and Security Agreement, dated as of October 24, 2014 (the “</w:t>
      </w:r>
      <w:r>
        <w:rPr>
          <w:rFonts w:ascii="Arial" w:cs="Arial" w:eastAsia="Arial" w:hAnsi="Arial"/>
          <w:sz w:val="15"/>
          <w:szCs w:val="15"/>
          <w:b w:val="1"/>
          <w:bCs w:val="1"/>
          <w:color w:val="auto"/>
        </w:rPr>
        <w:t>Revolver Amendment</w:t>
      </w:r>
      <w:r>
        <w:rPr>
          <w:rFonts w:ascii="Arial" w:cs="Arial" w:eastAsia="Arial" w:hAnsi="Arial"/>
          <w:sz w:val="15"/>
          <w:szCs w:val="15"/>
          <w:color w:val="auto"/>
        </w:rPr>
        <w:t>”), in effect on the Closing Date and as may be further amended, restated, amended and restated, supplemented, replaced or otherwise modified from time to time hereafter in accordance with the terms of this Agreement and the Intercreditor Agreement.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“Revolving Loan Cap”</w:t>
      </w:r>
      <w:r>
        <w:rPr>
          <w:rFonts w:ascii="Arial" w:cs="Arial" w:eastAsia="Arial" w:hAnsi="Arial"/>
          <w:sz w:val="15"/>
          <w:szCs w:val="15"/>
          <w:color w:val="auto"/>
        </w:rPr>
        <w:t>: Has the meaning provided to the term “Loan Cap” under the Revolving Credit Agreement as in effect on the Closing Date.</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“Sanctioned Country”</w:t>
      </w:r>
      <w:r>
        <w:rPr>
          <w:rFonts w:ascii="Arial" w:cs="Arial" w:eastAsia="Arial" w:hAnsi="Arial"/>
          <w:sz w:val="15"/>
          <w:szCs w:val="15"/>
          <w:color w:val="auto"/>
        </w:rPr>
        <w:t>: At any time, a country or territory which is itself the subject or target of any Sanctions (at the time of this Agreement, Cuba, Iran, North Korea, Sudan</w:t>
      </w:r>
      <w:r>
        <w:rPr>
          <w:rFonts w:ascii="Arial" w:cs="Arial" w:eastAsia="Arial" w:hAnsi="Arial"/>
          <w:sz w:val="15"/>
          <w:szCs w:val="15"/>
          <w:b w:val="1"/>
          <w:bCs w:val="1"/>
          <w:color w:val="auto"/>
        </w:rPr>
        <w:t xml:space="preserve"> </w:t>
      </w:r>
      <w:r>
        <w:rPr>
          <w:rFonts w:ascii="Arial" w:cs="Arial" w:eastAsia="Arial" w:hAnsi="Arial"/>
          <w:sz w:val="15"/>
          <w:szCs w:val="15"/>
          <w:color w:val="auto"/>
        </w:rPr>
        <w:t>and Syria).</w:t>
      </w:r>
    </w:p>
    <w:p>
      <w:pPr>
        <w:spacing w:after="0" w:line="123"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“Sanctioned Person”</w:t>
      </w:r>
      <w:r>
        <w:rPr>
          <w:rFonts w:ascii="Arial" w:cs="Arial" w:eastAsia="Arial" w:hAnsi="Arial"/>
          <w:sz w:val="15"/>
          <w:szCs w:val="15"/>
          <w:color w:val="auto"/>
        </w:rPr>
        <w:t>: At any time, (a) any Person listed in any Sanctions-related list of designated Persons maintained by the Office of Foreign Assets Control of the U.S.</w:t>
      </w:r>
      <w:r>
        <w:rPr>
          <w:rFonts w:ascii="Arial" w:cs="Arial" w:eastAsia="Arial" w:hAnsi="Arial"/>
          <w:sz w:val="15"/>
          <w:szCs w:val="15"/>
          <w:b w:val="1"/>
          <w:bCs w:val="1"/>
          <w:color w:val="auto"/>
        </w:rPr>
        <w:t xml:space="preserve"> </w:t>
      </w:r>
      <w:r>
        <w:rPr>
          <w:rFonts w:ascii="Arial" w:cs="Arial" w:eastAsia="Arial" w:hAnsi="Arial"/>
          <w:sz w:val="15"/>
          <w:szCs w:val="15"/>
          <w:color w:val="auto"/>
        </w:rPr>
        <w:t>Department of the Treasury or the U.S. Department of State, (b) any Person operating, organized or resident in a Sanctioned Country or (c) any Person owned or controlled by any such Person or Persons described in the foregoing clauses (a) or (b).</w:t>
      </w:r>
    </w:p>
    <w:p>
      <w:pPr>
        <w:spacing w:after="0" w:line="135"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“Sanctions”</w:t>
      </w:r>
      <w:r>
        <w:rPr>
          <w:rFonts w:ascii="Arial" w:cs="Arial" w:eastAsia="Arial" w:hAnsi="Arial"/>
          <w:sz w:val="15"/>
          <w:szCs w:val="15"/>
          <w:color w:val="auto"/>
        </w:rPr>
        <w:t>: Economic or financial sanctions or trade embargoes imposed, administered or enforced from time to time by the U.S. government, including those administered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Office of Foreign Assets Control of the U.S. Department of the Treasury or the U.S. Department of State.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w:t>
      </w:r>
      <w:r>
        <w:rPr>
          <w:rFonts w:ascii="Arial" w:cs="Arial" w:eastAsia="Arial" w:hAnsi="Arial"/>
          <w:sz w:val="15"/>
          <w:szCs w:val="15"/>
          <w:color w:val="auto"/>
        </w:rPr>
        <w:t>: The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“S&amp;P”</w:t>
      </w:r>
      <w:r>
        <w:rPr>
          <w:rFonts w:ascii="Arial" w:cs="Arial" w:eastAsia="Arial" w:hAnsi="Arial"/>
          <w:sz w:val="15"/>
          <w:szCs w:val="15"/>
          <w:color w:val="auto"/>
        </w:rPr>
        <w:t>: Standard &amp; Poor’s Ratings Services, a division of The McGraw-Hill Companies, Inc. and any successor thereto.</w:t>
      </w:r>
    </w:p>
    <w:p>
      <w:pPr>
        <w:spacing w:after="0" w:line="160" w:lineRule="exact"/>
        <w:rPr>
          <w:sz w:val="20"/>
          <w:szCs w:val="20"/>
          <w:color w:val="auto"/>
        </w:rPr>
      </w:pPr>
    </w:p>
    <w:p>
      <w:pPr>
        <w:jc w:val="both"/>
        <w:ind w:left="660" w:hanging="662"/>
        <w:spacing w:after="0" w:line="292" w:lineRule="auto"/>
        <w:rPr>
          <w:sz w:val="20"/>
          <w:szCs w:val="20"/>
          <w:color w:val="auto"/>
        </w:rPr>
      </w:pPr>
      <w:r>
        <w:rPr>
          <w:rFonts w:ascii="Arial" w:cs="Arial" w:eastAsia="Arial" w:hAnsi="Arial"/>
          <w:sz w:val="13"/>
          <w:szCs w:val="13"/>
          <w:b w:val="1"/>
          <w:bCs w:val="1"/>
          <w:color w:val="auto"/>
        </w:rPr>
        <w:t xml:space="preserve">“Solvent” </w:t>
      </w:r>
      <w:r>
        <w:rPr>
          <w:rFonts w:ascii="Arial" w:cs="Arial" w:eastAsia="Arial" w:hAnsi="Arial"/>
          <w:sz w:val="13"/>
          <w:szCs w:val="13"/>
          <w:color w:val="auto"/>
        </w:rPr>
        <w:t>and</w:t>
      </w:r>
      <w:r>
        <w:rPr>
          <w:rFonts w:ascii="Arial" w:cs="Arial" w:eastAsia="Arial" w:hAnsi="Arial"/>
          <w:sz w:val="13"/>
          <w:szCs w:val="13"/>
          <w:b w:val="1"/>
          <w:bCs w:val="1"/>
          <w:color w:val="auto"/>
        </w:rPr>
        <w:t xml:space="preserve"> “Solvency”</w:t>
      </w:r>
      <w:r>
        <w:rPr>
          <w:rFonts w:ascii="Arial" w:cs="Arial" w:eastAsia="Arial" w:hAnsi="Arial"/>
          <w:sz w:val="13"/>
          <w:szCs w:val="13"/>
          <w:color w:val="auto"/>
        </w:rPr>
        <w:t>: With respect to any Person on a particular date, on such date: (a) the fair salable value of the assets of such Person is greater than the total amount of</w:t>
      </w:r>
      <w:r>
        <w:rPr>
          <w:rFonts w:ascii="Arial" w:cs="Arial" w:eastAsia="Arial" w:hAnsi="Arial"/>
          <w:sz w:val="13"/>
          <w:szCs w:val="13"/>
          <w:b w:val="1"/>
          <w:bCs w:val="1"/>
          <w:color w:val="auto"/>
        </w:rPr>
        <w:t xml:space="preserve"> </w:t>
      </w:r>
      <w:r>
        <w:rPr>
          <w:rFonts w:ascii="Arial" w:cs="Arial" w:eastAsia="Arial" w:hAnsi="Arial"/>
          <w:sz w:val="13"/>
          <w:szCs w:val="13"/>
          <w:color w:val="auto"/>
        </w:rPr>
        <w:t>liabilities, including, without limitation, contingent liabilities, of such Person; and (b) the present fair salable value of the assets of such Person is not less than the amount that will be required to pay the probable liability of such Person on its debts as they become absolute and matured; and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“Store”</w:t>
      </w:r>
      <w:r>
        <w:rPr>
          <w:rFonts w:ascii="Arial" w:cs="Arial" w:eastAsia="Arial" w:hAnsi="Arial"/>
          <w:sz w:val="15"/>
          <w:szCs w:val="15"/>
          <w:color w:val="auto"/>
        </w:rPr>
        <w:t>: Each location at which a Loan Party regularly offers Inventory for sale to the public.</w:t>
      </w:r>
    </w:p>
    <w:p>
      <w:pPr>
        <w:spacing w:after="0" w:line="164"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- 21 -</w:t>
      </w:r>
    </w:p>
    <w:p>
      <w:pPr>
        <w:sectPr>
          <w:pgSz w:w="11900" w:h="16838" w:orient="portrait"/>
          <w:cols w:equalWidth="0" w:num="1">
            <w:col w:w="10600"/>
          </w:cols>
          <w:pgMar w:left="1080" w:top="284" w:right="219" w:bottom="1440" w:gutter="0" w:footer="0" w:header="0"/>
        </w:sectPr>
      </w:pPr>
    </w:p>
    <w:bookmarkStart w:id="79" w:name="page80"/>
    <w:bookmarkEnd w:id="79"/>
    <w:p>
      <w:pPr>
        <w:jc w:val="both"/>
        <w:ind w:left="660" w:hanging="662"/>
        <w:spacing w:after="0" w:line="301" w:lineRule="auto"/>
        <w:rPr>
          <w:sz w:val="20"/>
          <w:szCs w:val="20"/>
          <w:color w:val="auto"/>
        </w:rPr>
      </w:pPr>
      <w:r>
        <w:rPr>
          <w:rFonts w:ascii="Arial" w:cs="Arial" w:eastAsia="Arial" w:hAnsi="Arial"/>
          <w:sz w:val="14"/>
          <w:szCs w:val="14"/>
          <w:b w:val="1"/>
          <w:bCs w:val="1"/>
          <w:color w:val="auto"/>
        </w:rPr>
        <w:t>“Subsidiary”</w:t>
      </w:r>
      <w:r>
        <w:rPr>
          <w:rFonts w:ascii="Arial" w:cs="Arial" w:eastAsia="Arial" w:hAnsi="Arial"/>
          <w:sz w:val="14"/>
          <w:szCs w:val="14"/>
          <w:color w:val="auto"/>
        </w:rPr>
        <w:t>: With respect to any Person, any corporation, partnership or other entity of which securities or other ownership interests having ordinary voting power to elect a</w:t>
      </w:r>
      <w:r>
        <w:rPr>
          <w:rFonts w:ascii="Arial" w:cs="Arial" w:eastAsia="Arial" w:hAnsi="Arial"/>
          <w:sz w:val="14"/>
          <w:szCs w:val="14"/>
          <w:b w:val="1"/>
          <w:bCs w:val="1"/>
          <w:color w:val="auto"/>
        </w:rPr>
        <w:t xml:space="preserve"> </w:t>
      </w:r>
      <w:r>
        <w:rPr>
          <w:rFonts w:ascii="Arial" w:cs="Arial" w:eastAsia="Arial" w:hAnsi="Arial"/>
          <w:sz w:val="14"/>
          <w:szCs w:val="14"/>
          <w:color w:val="auto"/>
        </w:rPr>
        <w:t>majority of the board of directors or other Persons performing similar functions are at the time directly or indirectly owned by such Person.</w:t>
      </w:r>
    </w:p>
    <w:p>
      <w:pPr>
        <w:spacing w:after="0" w:line="100" w:lineRule="exact"/>
        <w:rPr>
          <w:sz w:val="20"/>
          <w:szCs w:val="20"/>
          <w:color w:val="auto"/>
        </w:rPr>
      </w:pPr>
    </w:p>
    <w:p>
      <w:pPr>
        <w:jc w:val="both"/>
        <w:ind w:left="660" w:hanging="662"/>
        <w:spacing w:after="0" w:line="259" w:lineRule="auto"/>
        <w:rPr>
          <w:sz w:val="20"/>
          <w:szCs w:val="20"/>
          <w:color w:val="auto"/>
        </w:rPr>
      </w:pPr>
      <w:r>
        <w:rPr>
          <w:rFonts w:ascii="Arial" w:cs="Arial" w:eastAsia="Arial" w:hAnsi="Arial"/>
          <w:sz w:val="15"/>
          <w:szCs w:val="15"/>
          <w:b w:val="1"/>
          <w:bCs w:val="1"/>
          <w:color w:val="auto"/>
        </w:rPr>
        <w:t>“Supporting Obligation”</w:t>
      </w:r>
      <w:r>
        <w:rPr>
          <w:rFonts w:ascii="Arial" w:cs="Arial" w:eastAsia="Arial" w:hAnsi="Arial"/>
          <w:sz w:val="15"/>
          <w:szCs w:val="15"/>
          <w:color w:val="auto"/>
        </w:rPr>
        <w:t>:</w:t>
      </w:r>
      <w:r>
        <w:rPr>
          <w:sz w:val="20"/>
          <w:szCs w:val="20"/>
          <w:color w:val="auto"/>
        </w:rPr>
        <w:t xml:space="preserve"> </w:t>
      </w:r>
      <w:r>
        <w:rPr>
          <w:rFonts w:ascii="Arial" w:cs="Arial" w:eastAsia="Arial" w:hAnsi="Arial"/>
          <w:sz w:val="15"/>
          <w:szCs w:val="15"/>
          <w:color w:val="auto"/>
        </w:rPr>
        <w:t>Has the meaning given that term in UCC and also refers to a Letter-of-Credit Right or secondary obligation which supports the payment or performance of an Account, Chattel Paper, a Document, a General Intangible, an Instrument, or Investment Property.</w:t>
      </w:r>
    </w:p>
    <w:p>
      <w:pPr>
        <w:spacing w:after="0" w:line="132"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“Term Commitments”</w:t>
      </w:r>
      <w:r>
        <w:rPr>
          <w:rFonts w:ascii="Arial" w:cs="Arial" w:eastAsia="Arial" w:hAnsi="Arial"/>
          <w:sz w:val="15"/>
          <w:szCs w:val="15"/>
          <w:color w:val="auto"/>
        </w:rPr>
        <w:t>: The aggregate of each Term Lender’s Term Dollar Commitment, as such amount may be increased or reduced from time to time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terms of this Agreement. The aggregate Term Dollar Commitments as of the Closing Date is $15,000,000.</w:t>
      </w:r>
    </w:p>
    <w:p>
      <w:pPr>
        <w:spacing w:after="0" w:line="123"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“Term Dollar Commitment”</w:t>
      </w:r>
      <w:r>
        <w:rPr>
          <w:rFonts w:ascii="Arial" w:cs="Arial" w:eastAsia="Arial" w:hAnsi="Arial"/>
          <w:sz w:val="15"/>
          <w:szCs w:val="15"/>
          <w:color w:val="auto"/>
        </w:rPr>
        <w:t>: As to each Term Lender, the amount set forth on</w:t>
      </w:r>
      <w:r>
        <w:rPr>
          <w:rFonts w:ascii="Arial" w:cs="Arial" w:eastAsia="Arial" w:hAnsi="Arial"/>
          <w:sz w:val="15"/>
          <w:szCs w:val="15"/>
          <w:b w:val="1"/>
          <w:bCs w:val="1"/>
          <w:color w:val="auto"/>
        </w:rPr>
        <w:t xml:space="preserve"> EXHIBIT 2.21</w:t>
      </w:r>
      <w:r>
        <w:rPr>
          <w:rFonts w:ascii="Arial" w:cs="Arial" w:eastAsia="Arial" w:hAnsi="Arial"/>
          <w:sz w:val="15"/>
          <w:szCs w:val="15"/>
          <w:color w:val="auto"/>
        </w:rPr>
        <w:t>, annexed hereto (as such amounts may change in accordance with the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Facility”</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w:t>
      </w:r>
      <w:r>
        <w:rPr>
          <w:rFonts w:ascii="Arial" w:cs="Arial" w:eastAsia="Arial" w:hAnsi="Arial"/>
          <w:sz w:val="15"/>
          <w:szCs w:val="15"/>
          <w:color w:val="auto"/>
        </w:rPr>
        <w:t>.</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“Term Lenders”</w:t>
      </w:r>
      <w:r>
        <w:rPr>
          <w:rFonts w:ascii="Arial" w:cs="Arial" w:eastAsia="Arial" w:hAnsi="Arial"/>
          <w:sz w:val="15"/>
          <w:szCs w:val="15"/>
          <w:color w:val="auto"/>
        </w:rPr>
        <w:t>: Each Term Lender to which reference is made in the Preamble and any other Person who becomes a “Term Lender” in accordance with the provisions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w:t>
      </w:r>
    </w:p>
    <w:p>
      <w:pPr>
        <w:spacing w:after="0" w:line="123" w:lineRule="exact"/>
        <w:rPr>
          <w:sz w:val="20"/>
          <w:szCs w:val="20"/>
          <w:color w:val="auto"/>
        </w:rPr>
      </w:pPr>
    </w:p>
    <w:p>
      <w:pPr>
        <w:jc w:val="both"/>
        <w:ind w:left="660" w:hanging="662"/>
        <w:spacing w:after="0" w:line="286" w:lineRule="auto"/>
        <w:rPr>
          <w:sz w:val="20"/>
          <w:szCs w:val="20"/>
          <w:color w:val="auto"/>
        </w:rPr>
      </w:pPr>
      <w:r>
        <w:rPr>
          <w:rFonts w:ascii="Arial" w:cs="Arial" w:eastAsia="Arial" w:hAnsi="Arial"/>
          <w:sz w:val="13"/>
          <w:szCs w:val="13"/>
          <w:b w:val="1"/>
          <w:bCs w:val="1"/>
          <w:color w:val="auto"/>
        </w:rPr>
        <w:t xml:space="preserve">“Term Loan Prepayment Fee” </w:t>
      </w:r>
      <w:r>
        <w:rPr>
          <w:rFonts w:ascii="Arial" w:cs="Arial" w:eastAsia="Arial" w:hAnsi="Arial"/>
          <w:sz w:val="13"/>
          <w:szCs w:val="13"/>
          <w:color w:val="auto"/>
        </w:rPr>
        <w:t>With respect to any payment or prepayment of the Term Loans (including upon acceleration of the maturity of the Term Loans), an amount equal</w:t>
      </w:r>
      <w:r>
        <w:rPr>
          <w:rFonts w:ascii="Arial" w:cs="Arial" w:eastAsia="Arial" w:hAnsi="Arial"/>
          <w:sz w:val="13"/>
          <w:szCs w:val="13"/>
          <w:b w:val="1"/>
          <w:bCs w:val="1"/>
          <w:color w:val="auto"/>
        </w:rPr>
        <w:t xml:space="preserve"> </w:t>
      </w:r>
      <w:r>
        <w:rPr>
          <w:rFonts w:ascii="Arial" w:cs="Arial" w:eastAsia="Arial" w:hAnsi="Arial"/>
          <w:sz w:val="13"/>
          <w:szCs w:val="13"/>
          <w:color w:val="auto"/>
        </w:rPr>
        <w:t>to (a) on or prior to the first anniversary of the Closing Date, four percent (4%) of the principal amount of the Term Loans required to be repaid or prepaid, (b) after the first anniversary of the Closing Date and on or prior to the second anniversary of the Closing Date, two percent (2%), (c) after the second anniversary of the Closing Date and on or prior to the third anniversary of the Closing Date, one percent (1%), and (d) after the third anniversary of the Closing Date, $0. So long as no Event of Default has occurred under Section 10.14 or Section 10.15, notwithstanding anything to the contrary in this Agreement, the Term Loan Prepayment Fee shall be 50% of the amount otherwise required pursuant to the terms hereof if such prepayment is made simultaneously with a sale of all or substantially all of the assets of the Borrower and their Subsidiaries or all of the equity interest of the Borrowers and their Subsidiaries and such prepayment results in payment in full of all the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Loan Priority Account”</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7.3</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Loan Priority Collateral”</w:t>
      </w:r>
      <w:r>
        <w:rPr>
          <w:rFonts w:ascii="Arial" w:cs="Arial" w:eastAsia="Arial" w:hAnsi="Arial"/>
          <w:sz w:val="15"/>
          <w:szCs w:val="15"/>
          <w:color w:val="auto"/>
        </w:rPr>
        <w:t>: Has the meaning provided to such term in the Intercreditor Agreement.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Loan Push Down Reserve”</w:t>
      </w:r>
      <w:r>
        <w:rPr>
          <w:rFonts w:ascii="Arial" w:cs="Arial" w:eastAsia="Arial" w:hAnsi="Arial"/>
          <w:sz w:val="15"/>
          <w:szCs w:val="15"/>
          <w:color w:val="auto"/>
        </w:rPr>
        <w:t>: The aggregate amount, if any, by which the outstanding principal balance of the Term Loans exceeds the Borrowing Base.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Loans”</w:t>
      </w:r>
      <w:r>
        <w:rPr>
          <w:rFonts w:ascii="Arial" w:cs="Arial" w:eastAsia="Arial" w:hAnsi="Arial"/>
          <w:sz w:val="15"/>
          <w:szCs w:val="15"/>
          <w:color w:val="auto"/>
        </w:rPr>
        <w:t>: Loans made by the Term Lenders under the Term Facility.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 Note”</w:t>
      </w:r>
      <w:r>
        <w:rPr>
          <w:rFonts w:ascii="Arial" w:cs="Arial" w:eastAsia="Arial" w:hAnsi="Arial"/>
          <w:sz w:val="15"/>
          <w:szCs w:val="15"/>
          <w:color w:val="auto"/>
        </w:rPr>
        <w:t>: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2.10</w:t>
      </w:r>
      <w:r>
        <w:rPr>
          <w:rFonts w:ascii="Arial" w:cs="Arial" w:eastAsia="Arial" w:hAnsi="Arial"/>
          <w:sz w:val="15"/>
          <w:szCs w:val="15"/>
          <w:color w:val="auto"/>
        </w:rPr>
        <w:t>.</w:t>
      </w:r>
    </w:p>
    <w:p>
      <w:pPr>
        <w:spacing w:after="0" w:line="160" w:lineRule="exact"/>
        <w:rPr>
          <w:sz w:val="20"/>
          <w:szCs w:val="20"/>
          <w:color w:val="auto"/>
        </w:rPr>
      </w:pPr>
    </w:p>
    <w:p>
      <w:pPr>
        <w:jc w:val="both"/>
        <w:ind w:left="660" w:hanging="662"/>
        <w:spacing w:after="0" w:line="265" w:lineRule="auto"/>
        <w:rPr>
          <w:sz w:val="20"/>
          <w:szCs w:val="20"/>
          <w:color w:val="auto"/>
        </w:rPr>
      </w:pPr>
      <w:r>
        <w:rPr>
          <w:rFonts w:ascii="Arial" w:cs="Arial" w:eastAsia="Arial" w:hAnsi="Arial"/>
          <w:sz w:val="15"/>
          <w:szCs w:val="15"/>
          <w:b w:val="1"/>
          <w:bCs w:val="1"/>
          <w:color w:val="auto"/>
        </w:rPr>
        <w:t>“Term Percentage Commitment”</w:t>
      </w:r>
      <w:r>
        <w:rPr>
          <w:rFonts w:ascii="Arial" w:cs="Arial" w:eastAsia="Arial" w:hAnsi="Arial"/>
          <w:sz w:val="15"/>
          <w:szCs w:val="15"/>
          <w:color w:val="auto"/>
        </w:rPr>
        <w:t>: As to each Term Lender, the amount set forth on</w:t>
      </w:r>
      <w:r>
        <w:rPr>
          <w:rFonts w:ascii="Arial" w:cs="Arial" w:eastAsia="Arial" w:hAnsi="Arial"/>
          <w:sz w:val="15"/>
          <w:szCs w:val="15"/>
          <w:b w:val="1"/>
          <w:bCs w:val="1"/>
          <w:color w:val="auto"/>
        </w:rPr>
        <w:t xml:space="preserve"> EXHIBIT 2.21</w:t>
      </w:r>
      <w:r>
        <w:rPr>
          <w:rFonts w:ascii="Arial" w:cs="Arial" w:eastAsia="Arial" w:hAnsi="Arial"/>
          <w:sz w:val="15"/>
          <w:szCs w:val="15"/>
          <w:color w:val="auto"/>
        </w:rPr>
        <w:t>, annexed hereto (as such amounts may change in accordance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this Agreement).</w:t>
      </w:r>
    </w:p>
    <w:p>
      <w:pPr>
        <w:spacing w:after="0" w:line="123" w:lineRule="exact"/>
        <w:rPr>
          <w:sz w:val="20"/>
          <w:szCs w:val="20"/>
          <w:color w:val="auto"/>
        </w:rPr>
      </w:pPr>
    </w:p>
    <w:p>
      <w:pPr>
        <w:jc w:val="both"/>
        <w:ind w:left="660" w:hanging="662"/>
        <w:spacing w:after="0" w:line="251" w:lineRule="auto"/>
        <w:rPr>
          <w:sz w:val="20"/>
          <w:szCs w:val="20"/>
          <w:color w:val="auto"/>
        </w:rPr>
      </w:pPr>
      <w:r>
        <w:rPr>
          <w:rFonts w:ascii="Arial" w:cs="Arial" w:eastAsia="Arial" w:hAnsi="Arial"/>
          <w:sz w:val="15"/>
          <w:szCs w:val="15"/>
          <w:b w:val="1"/>
          <w:bCs w:val="1"/>
          <w:color w:val="auto"/>
        </w:rPr>
        <w:t>“Termination Date”</w:t>
      </w:r>
      <w:r>
        <w:rPr>
          <w:rFonts w:ascii="Arial" w:cs="Arial" w:eastAsia="Arial" w:hAnsi="Arial"/>
          <w:sz w:val="15"/>
          <w:szCs w:val="15"/>
          <w:color w:val="auto"/>
        </w:rPr>
        <w:t>: The earliest of (a) the Maturity Date; or (b) the Administrative Agent’s notice to the Borrowers’ Representative setting the Termination Date on account of</w:t>
      </w:r>
      <w:r>
        <w:rPr>
          <w:rFonts w:ascii="Arial" w:cs="Arial" w:eastAsia="Arial" w:hAnsi="Arial"/>
          <w:sz w:val="15"/>
          <w:szCs w:val="15"/>
          <w:b w:val="1"/>
          <w:bCs w:val="1"/>
          <w:color w:val="auto"/>
        </w:rPr>
        <w:t xml:space="preserve"> </w:t>
      </w:r>
      <w:r>
        <w:rPr>
          <w:rFonts w:ascii="Arial" w:cs="Arial" w:eastAsia="Arial" w:hAnsi="Arial"/>
          <w:sz w:val="15"/>
          <w:szCs w:val="15"/>
          <w:color w:val="auto"/>
        </w:rPr>
        <w:t>the occurrence of any Event of Default; or (c) a date, irrevocable written notice of which is provided by the Borrowers’ Representative to the Administrative Agent, which is at least ninety (90) days after the date of such written notice.</w:t>
      </w:r>
    </w:p>
    <w:p>
      <w:pPr>
        <w:spacing w:after="0" w:line="139"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- 22 -</w:t>
      </w:r>
    </w:p>
    <w:p>
      <w:pPr>
        <w:sectPr>
          <w:pgSz w:w="11900" w:h="16838" w:orient="portrait"/>
          <w:cols w:equalWidth="0" w:num="1">
            <w:col w:w="10600"/>
          </w:cols>
          <w:pgMar w:left="1080" w:top="284" w:right="219" w:bottom="1440" w:gutter="0" w:footer="0" w:header="0"/>
        </w:sectPr>
      </w:pPr>
    </w:p>
    <w:bookmarkStart w:id="80" w:name="page81"/>
    <w:bookmarkEnd w:id="80"/>
    <w:p>
      <w:pPr>
        <w:jc w:val="both"/>
        <w:ind w:left="1520" w:hanging="662"/>
        <w:spacing w:after="0" w:line="247" w:lineRule="auto"/>
        <w:rPr>
          <w:sz w:val="20"/>
          <w:szCs w:val="20"/>
          <w:color w:val="auto"/>
        </w:rPr>
      </w:pPr>
      <w:r>
        <w:rPr>
          <w:rFonts w:ascii="Arial" w:cs="Arial" w:eastAsia="Arial" w:hAnsi="Arial"/>
          <w:sz w:val="15"/>
          <w:szCs w:val="15"/>
          <w:b w:val="1"/>
          <w:bCs w:val="1"/>
          <w:color w:val="auto"/>
        </w:rPr>
        <w:t>“Transfer”</w:t>
      </w:r>
      <w:r>
        <w:rPr>
          <w:rFonts w:ascii="Arial" w:cs="Arial" w:eastAsia="Arial" w:hAnsi="Arial"/>
          <w:sz w:val="15"/>
          <w:szCs w:val="15"/>
          <w:color w:val="auto"/>
        </w:rPr>
        <w:t>: Wire transfer pursuant to the wire transfer system maintained by the Board of Governors of the Federal Reserve Board, or as otherwise may be agreed to from time</w:t>
      </w:r>
      <w:r>
        <w:rPr>
          <w:rFonts w:ascii="Arial" w:cs="Arial" w:eastAsia="Arial" w:hAnsi="Arial"/>
          <w:sz w:val="15"/>
          <w:szCs w:val="15"/>
          <w:b w:val="1"/>
          <w:bCs w:val="1"/>
          <w:color w:val="auto"/>
        </w:rPr>
        <w:t xml:space="preserve"> </w:t>
      </w:r>
      <w:r>
        <w:rPr>
          <w:rFonts w:ascii="Arial" w:cs="Arial" w:eastAsia="Arial" w:hAnsi="Arial"/>
          <w:sz w:val="15"/>
          <w:szCs w:val="15"/>
          <w:color w:val="auto"/>
        </w:rPr>
        <w:t>to time by the Administrative Agent making such Transfer and the subject Term Lender. Wire instructions may be changed in the same manner that Notice Addresses may be changed (</w:t>
      </w:r>
      <w:r>
        <w:rPr>
          <w:rFonts w:ascii="Arial" w:cs="Arial" w:eastAsia="Arial" w:hAnsi="Arial"/>
          <w:sz w:val="15"/>
          <w:szCs w:val="15"/>
          <w:u w:val="single" w:color="auto"/>
          <w:color w:val="auto"/>
        </w:rPr>
        <w:t>Section 17.1</w:t>
      </w:r>
      <w:r>
        <w:rPr>
          <w:rFonts w:ascii="Arial" w:cs="Arial" w:eastAsia="Arial" w:hAnsi="Arial"/>
          <w:sz w:val="15"/>
          <w:szCs w:val="15"/>
          <w:color w:val="auto"/>
        </w:rPr>
        <w:t>), except that no change of the wire instructions for Transfers to any Term Lender shall be effective without the consent of the Administrative Agent.</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“UCC”</w:t>
      </w:r>
      <w:r>
        <w:rPr>
          <w:rFonts w:ascii="Arial" w:cs="Arial" w:eastAsia="Arial" w:hAnsi="Arial"/>
          <w:sz w:val="15"/>
          <w:szCs w:val="15"/>
          <w:color w:val="auto"/>
        </w:rPr>
        <w:t>: The Uniform Commercial Code as in effect from time to time in The Commonwealth of Massachusetts..</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“Unanimous Consent”</w:t>
      </w:r>
      <w:r>
        <w:rPr>
          <w:rFonts w:ascii="Arial" w:cs="Arial" w:eastAsia="Arial" w:hAnsi="Arial"/>
          <w:sz w:val="15"/>
          <w:szCs w:val="15"/>
          <w:color w:val="auto"/>
        </w:rPr>
        <w:t>: Written Consent of Term Lenders holding 100% of the then outstanding Term Loans.</w:t>
      </w:r>
    </w:p>
    <w:p>
      <w:pPr>
        <w:spacing w:after="0" w:line="160"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“Wells Fargo”</w:t>
      </w:r>
      <w:r>
        <w:rPr>
          <w:rFonts w:ascii="Arial" w:cs="Arial" w:eastAsia="Arial" w:hAnsi="Arial"/>
          <w:sz w:val="15"/>
          <w:szCs w:val="15"/>
          <w:color w:val="auto"/>
        </w:rPr>
        <w:t>: Wells Fargo Bank, National Association.</w:t>
      </w:r>
    </w:p>
    <w:p>
      <w:pPr>
        <w:spacing w:after="0" w:line="164" w:lineRule="exact"/>
        <w:rPr>
          <w:sz w:val="20"/>
          <w:szCs w:val="20"/>
          <w:color w:val="auto"/>
        </w:rPr>
      </w:pPr>
    </w:p>
    <w:p>
      <w:pPr>
        <w:ind w:firstLine="765"/>
        <w:spacing w:after="0" w:line="259" w:lineRule="auto"/>
        <w:rPr>
          <w:sz w:val="20"/>
          <w:szCs w:val="20"/>
          <w:color w:val="auto"/>
        </w:rPr>
      </w:pPr>
      <w:r>
        <w:rPr>
          <w:rFonts w:ascii="Arial" w:cs="Arial" w:eastAsia="Arial" w:hAnsi="Arial"/>
          <w:sz w:val="15"/>
          <w:szCs w:val="15"/>
          <w:color w:val="auto"/>
        </w:rPr>
        <w:t>In the event the Revolving Credit Agreement is no longer outstanding, for purposes of the definitions referring to the Revolving Credit Agreement, it will be deemed outstanding with no obligations thereunder.</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2 - C</w:t>
      </w:r>
      <w:r>
        <w:rPr>
          <w:rFonts w:ascii="Arial" w:cs="Arial" w:eastAsia="Arial" w:hAnsi="Arial"/>
          <w:sz w:val="10"/>
          <w:szCs w:val="10"/>
          <w:b w:val="1"/>
          <w:bCs w:val="1"/>
          <w:color w:val="auto"/>
        </w:rPr>
        <w:t>OMMITMENTS AND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REDIT</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XTENSIONS</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2.1. E</w:t>
      </w:r>
      <w:r>
        <w:rPr>
          <w:rFonts w:ascii="Arial" w:cs="Arial" w:eastAsia="Arial" w:hAnsi="Arial"/>
          <w:sz w:val="10"/>
          <w:szCs w:val="10"/>
          <w:b w:val="1"/>
          <w:bCs w:val="1"/>
          <w:color w:val="auto"/>
        </w:rPr>
        <w:t>STABLISHMENT</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F</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9" w:lineRule="auto"/>
        <w:tabs>
          <w:tab w:leader="none" w:pos="1730"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set forth herein, each Term Lender severally agrees to make a loan to the Borrowers on the Closing Date in the principal amount not to exceed the Term Dollar Commitment of such Term Lender (the </w:t>
      </w:r>
      <w:r>
        <w:rPr>
          <w:rFonts w:ascii="Arial" w:cs="Arial" w:eastAsia="Arial" w:hAnsi="Arial"/>
          <w:sz w:val="15"/>
          <w:szCs w:val="15"/>
          <w:b w:val="1"/>
          <w:bCs w:val="1"/>
          <w:color w:val="auto"/>
        </w:rPr>
        <w:t>“Term Facility”</w:t>
      </w:r>
      <w:r>
        <w:rPr>
          <w:rFonts w:ascii="Arial" w:cs="Arial" w:eastAsia="Arial" w:hAnsi="Arial"/>
          <w:sz w:val="15"/>
          <w:szCs w:val="15"/>
          <w:color w:val="auto"/>
        </w:rPr>
        <w:t>) in one advance on the Closing Date. Amounts borrowed under the Term Facility and repaid or prepaid may not be reborrowed.</w:t>
      </w:r>
    </w:p>
    <w:p>
      <w:pPr>
        <w:spacing w:after="0" w:line="58" w:lineRule="exact"/>
        <w:rPr>
          <w:rFonts w:ascii="Arial" w:cs="Arial" w:eastAsia="Arial" w:hAnsi="Arial"/>
          <w:sz w:val="15"/>
          <w:szCs w:val="15"/>
          <w:color w:val="auto"/>
        </w:rPr>
      </w:pPr>
    </w:p>
    <w:p>
      <w:pPr>
        <w:ind w:firstLine="1529"/>
        <w:spacing w:after="0" w:line="259" w:lineRule="auto"/>
        <w:tabs>
          <w:tab w:leader="none" w:pos="17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 xml:space="preserve">The Borrowing Base shall be determined by the Administrative Agent by reference to Borrowing Base Certificates furnished as provided in </w:t>
      </w:r>
      <w:r>
        <w:rPr>
          <w:rFonts w:ascii="Arial" w:cs="Arial" w:eastAsia="Arial" w:hAnsi="Arial"/>
          <w:sz w:val="15"/>
          <w:szCs w:val="15"/>
          <w:u w:val="single" w:color="auto"/>
          <w:color w:val="auto"/>
        </w:rPr>
        <w:t>Section 5.4</w:t>
      </w:r>
      <w:r>
        <w:rPr>
          <w:rFonts w:ascii="Arial" w:cs="Arial" w:eastAsia="Arial" w:hAnsi="Arial"/>
          <w:sz w:val="15"/>
          <w:szCs w:val="15"/>
          <w:color w:val="auto"/>
        </w:rPr>
        <w:t>, below, and shall be subject to the following:</w:t>
      </w:r>
    </w:p>
    <w:p>
      <w:pPr>
        <w:spacing w:after="0" w:line="51" w:lineRule="exact"/>
        <w:rPr>
          <w:rFonts w:ascii="Arial" w:cs="Arial" w:eastAsia="Arial" w:hAnsi="Arial"/>
          <w:sz w:val="15"/>
          <w:szCs w:val="15"/>
          <w:color w:val="auto"/>
        </w:rPr>
      </w:pPr>
    </w:p>
    <w:p>
      <w:pPr>
        <w:ind w:left="2360" w:hanging="168"/>
        <w:spacing w:after="0"/>
        <w:tabs>
          <w:tab w:leader="none" w:pos="2360" w:val="left"/>
        </w:tabs>
        <w:numPr>
          <w:ilvl w:val="1"/>
          <w:numId w:val="77"/>
        </w:numPr>
        <w:rPr>
          <w:rFonts w:ascii="Arial" w:cs="Arial" w:eastAsia="Arial" w:hAnsi="Arial"/>
          <w:sz w:val="15"/>
          <w:szCs w:val="15"/>
          <w:color w:val="auto"/>
        </w:rPr>
      </w:pPr>
      <w:r>
        <w:rPr>
          <w:rFonts w:ascii="Arial" w:cs="Arial" w:eastAsia="Arial" w:hAnsi="Arial"/>
          <w:sz w:val="15"/>
          <w:szCs w:val="15"/>
          <w:color w:val="auto"/>
        </w:rPr>
        <w:t>Such determination shall take into account such Reserves as the Administrative Agent may take as provided herein.</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1"/>
          <w:numId w:val="77"/>
        </w:numPr>
        <w:rPr>
          <w:rFonts w:ascii="Arial" w:cs="Arial" w:eastAsia="Arial" w:hAnsi="Arial"/>
          <w:sz w:val="14"/>
          <w:szCs w:val="14"/>
          <w:color w:val="auto"/>
        </w:rPr>
      </w:pPr>
      <w:r>
        <w:rPr>
          <w:rFonts w:ascii="Arial" w:cs="Arial" w:eastAsia="Arial" w:hAnsi="Arial"/>
          <w:sz w:val="14"/>
          <w:szCs w:val="14"/>
          <w:color w:val="auto"/>
        </w:rPr>
        <w:t>The Cost of Eligible Inventory will be calculated in a manner consistent with current tracking practices, based on stock ledger inventory at Cost.</w:t>
      </w:r>
    </w:p>
    <w:p>
      <w:pPr>
        <w:spacing w:after="0" w:line="91" w:lineRule="exact"/>
        <w:rPr>
          <w:rFonts w:ascii="Arial" w:cs="Arial" w:eastAsia="Arial" w:hAnsi="Arial"/>
          <w:sz w:val="14"/>
          <w:szCs w:val="14"/>
          <w:color w:val="auto"/>
        </w:rPr>
      </w:pPr>
    </w:p>
    <w:p>
      <w:pPr>
        <w:ind w:left="1740" w:hanging="211"/>
        <w:spacing w:after="0"/>
        <w:tabs>
          <w:tab w:leader="none" w:pos="17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commitment of each Term Lender to provide such loans shall terminate on the Closing Date.</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proceeds of borrowings under the Term Facility shall be used solely for the Borrowers’ working capital needs and general corporate purposes.</w:t>
      </w:r>
    </w:p>
    <w:p>
      <w:pPr>
        <w:spacing w:after="0" w:line="156" w:lineRule="exact"/>
        <w:rPr>
          <w:sz w:val="20"/>
          <w:szCs w:val="20"/>
          <w:color w:val="auto"/>
        </w:rPr>
      </w:pPr>
    </w:p>
    <w:p>
      <w:pPr>
        <w:jc w:val="both"/>
        <w:ind w:firstLine="765"/>
        <w:spacing w:after="0" w:line="239" w:lineRule="auto"/>
        <w:rPr>
          <w:sz w:val="20"/>
          <w:szCs w:val="20"/>
          <w:color w:val="auto"/>
        </w:rPr>
      </w:pPr>
      <w:r>
        <w:rPr>
          <w:rFonts w:ascii="Arial" w:cs="Arial" w:eastAsia="Arial" w:hAnsi="Arial"/>
          <w:sz w:val="15"/>
          <w:szCs w:val="15"/>
          <w:b w:val="1"/>
          <w:bCs w:val="1"/>
          <w:color w:val="auto"/>
        </w:rPr>
        <w:t>2.2. P</w:t>
      </w:r>
      <w:r>
        <w:rPr>
          <w:rFonts w:ascii="Arial" w:cs="Arial" w:eastAsia="Arial" w:hAnsi="Arial"/>
          <w:sz w:val="10"/>
          <w:szCs w:val="10"/>
          <w:b w:val="1"/>
          <w:bCs w:val="1"/>
          <w:color w:val="auto"/>
        </w:rPr>
        <w:t>ROTECTIVE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DVANCES</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6"/>
          <w:szCs w:val="16"/>
          <w:color w:val="auto"/>
        </w:rPr>
        <w:t>Administrative Agent shall be authorized, in its discretion, at any time, to make advances (each, a “</w:t>
      </w:r>
      <w:r>
        <w:rPr>
          <w:rFonts w:ascii="Arial" w:cs="Arial" w:eastAsia="Arial" w:hAnsi="Arial"/>
          <w:sz w:val="16"/>
          <w:szCs w:val="16"/>
          <w:u w:val="single" w:color="auto"/>
          <w:color w:val="auto"/>
        </w:rPr>
        <w:t>Protective Advance</w:t>
      </w:r>
      <w:r>
        <w:rPr>
          <w:rFonts w:ascii="Arial" w:cs="Arial" w:eastAsia="Arial" w:hAnsi="Arial"/>
          <w:sz w:val="16"/>
          <w:szCs w:val="16"/>
          <w:color w:val="auto"/>
        </w:rPr>
        <w:t>”) (a) up to an</w:t>
      </w:r>
      <w:r>
        <w:rPr>
          <w:rFonts w:ascii="Arial" w:cs="Arial" w:eastAsia="Arial" w:hAnsi="Arial"/>
          <w:sz w:val="15"/>
          <w:szCs w:val="15"/>
          <w:b w:val="1"/>
          <w:bCs w:val="1"/>
          <w:color w:val="auto"/>
        </w:rPr>
        <w:t xml:space="preserve"> </w:t>
      </w:r>
      <w:r>
        <w:rPr>
          <w:rFonts w:ascii="Arial" w:cs="Arial" w:eastAsia="Arial" w:hAnsi="Arial"/>
          <w:sz w:val="16"/>
          <w:szCs w:val="16"/>
          <w:color w:val="auto"/>
        </w:rPr>
        <w:t>aggregate of the amount permitted under the Intercreditor Agreement, at any time, if Administrative Agent deems such Protective Advances necessary or desirable to, directly or indirectly, (i) maintain, protect or preserve the value of the Collateral and/or the Administrative Agent’s rights therein as determined in the discretion of the Administrative Agent, including to preserve the Loan Parties’ business assets and infrastructure (such as the payment of insurance premiums, taxes, necessary suppliers, rent and payroll), (ii) commence the Exercise of Any Secured Creditor Remedies (as defined in the Intercreditor Agreement), (iii) fund an orderly liquidation or wind-down of the Loan Parties’ assets or business or an Insolvency Proceeding (as defined in the Intercreditor Agreement) (whether or not occurring prior to or after the commencement of an Insolvency Proceeding), or (iv) enhance the likelihood of, or maximize the amount of, repayment of the Liabilities or (b) to pay any other amounts chargeable to the Loan Parties under any Loan Documents, including interest, costs, fees and expenses. Each Lender shall participate in each Protective Advance on a Pro Rata basis. Majority Term Lenders may at any time revoke Administrative Agent’s authority to make further Protective Advances under clause (a) by written notice to Administrative Agent. Absent such revocation, Administrative Agent’s determination that funding of a Protective Advance is appropriate shall be conclusive. All Protective Advances shall bear interest at the Default rate specified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- 23 -</w:t>
      </w:r>
    </w:p>
    <w:p>
      <w:pPr>
        <w:sectPr>
          <w:pgSz w:w="11900" w:h="16838" w:orient="portrait"/>
          <w:cols w:equalWidth="0" w:num="1">
            <w:col w:w="11460"/>
          </w:cols>
          <w:pgMar w:left="220" w:top="284" w:right="219" w:bottom="1440" w:gutter="0" w:footer="0" w:header="0"/>
        </w:sectPr>
      </w:pPr>
    </w:p>
    <w:bookmarkStart w:id="81" w:name="page82"/>
    <w:bookmarkEnd w:id="81"/>
    <w:p>
      <w:pPr>
        <w:spacing w:after="0" w:line="265" w:lineRule="auto"/>
        <w:rPr>
          <w:sz w:val="20"/>
          <w:szCs w:val="20"/>
          <w:color w:val="auto"/>
        </w:rPr>
      </w:pPr>
      <w:r>
        <w:rPr>
          <w:rFonts w:ascii="Arial" w:cs="Arial" w:eastAsia="Arial" w:hAnsi="Arial"/>
          <w:sz w:val="16"/>
          <w:szCs w:val="16"/>
          <w:color w:val="auto"/>
        </w:rPr>
        <w:t>Section 2.12(c), and shall be due and payable on written demand of the Administrative Agent. All Protective Advances shall constitute Liabilities as if such Protective Advances were direct advances of Term Loans.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2.3. I</w:t>
      </w:r>
      <w:r>
        <w:rPr>
          <w:rFonts w:ascii="Arial" w:cs="Arial" w:eastAsia="Arial" w:hAnsi="Arial"/>
          <w:sz w:val="10"/>
          <w:szCs w:val="10"/>
          <w:b w:val="1"/>
          <w:bCs w:val="1"/>
          <w:color w:val="auto"/>
        </w:rPr>
        <w:t>NITIAL RESERVES</w:t>
      </w:r>
      <w:r>
        <w:rPr>
          <w:rFonts w:ascii="Arial" w:cs="Arial" w:eastAsia="Arial" w:hAnsi="Arial"/>
          <w:sz w:val="15"/>
          <w:szCs w:val="15"/>
          <w:b w:val="1"/>
          <w:bCs w:val="1"/>
          <w:color w:val="auto"/>
        </w:rPr>
        <w:t>; C</w:t>
      </w:r>
      <w:r>
        <w:rPr>
          <w:rFonts w:ascii="Arial" w:cs="Arial" w:eastAsia="Arial" w:hAnsi="Arial"/>
          <w:sz w:val="10"/>
          <w:szCs w:val="10"/>
          <w:b w:val="1"/>
          <w:bCs w:val="1"/>
          <w:color w:val="auto"/>
        </w:rPr>
        <w:t>HANGES TO</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ESERVES</w:t>
      </w:r>
      <w:r>
        <w:rPr>
          <w:rFonts w:ascii="Arial" w:cs="Arial" w:eastAsia="Arial" w:hAnsi="Arial"/>
          <w:sz w:val="15"/>
          <w:szCs w:val="15"/>
          <w:b w:val="1"/>
          <w:bCs w:val="1"/>
          <w:color w:val="auto"/>
        </w:rPr>
        <w:t>.</w:t>
      </w:r>
    </w:p>
    <w:p>
      <w:pPr>
        <w:spacing w:after="0" w:line="80" w:lineRule="exact"/>
        <w:rPr>
          <w:sz w:val="20"/>
          <w:szCs w:val="20"/>
          <w:color w:val="auto"/>
        </w:rPr>
      </w:pPr>
    </w:p>
    <w:p>
      <w:pPr>
        <w:ind w:left="1740" w:hanging="211"/>
        <w:spacing w:after="0"/>
        <w:tabs>
          <w:tab w:leader="none" w:pos="17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At the execution of this Agreement, the only Reserves are as reflected on the Borrowing Base Certificate, a specimen of which is annexed hereto as </w:t>
      </w:r>
      <w:r>
        <w:rPr>
          <w:rFonts w:ascii="Arial" w:cs="Arial" w:eastAsia="Arial" w:hAnsi="Arial"/>
          <w:sz w:val="13"/>
          <w:szCs w:val="13"/>
          <w:b w:val="1"/>
          <w:bCs w:val="1"/>
          <w:color w:val="auto"/>
        </w:rPr>
        <w:t>EXHIBIT 5.4.</w:t>
      </w:r>
    </w:p>
    <w:p>
      <w:pPr>
        <w:spacing w:after="0" w:line="106" w:lineRule="exact"/>
        <w:rPr>
          <w:rFonts w:ascii="Arial" w:cs="Arial" w:eastAsia="Arial" w:hAnsi="Arial"/>
          <w:sz w:val="13"/>
          <w:szCs w:val="13"/>
          <w:color w:val="auto"/>
        </w:rPr>
      </w:pPr>
    </w:p>
    <w:p>
      <w:pPr>
        <w:ind w:firstLine="1529"/>
        <w:spacing w:after="0" w:line="259" w:lineRule="auto"/>
        <w:tabs>
          <w:tab w:leader="none" w:pos="1744" w:val="left"/>
        </w:tabs>
        <w:numPr>
          <w:ilvl w:val="0"/>
          <w:numId w:val="78"/>
        </w:numPr>
        <w:rPr>
          <w:rFonts w:ascii="Arial" w:cs="Arial" w:eastAsia="Arial" w:hAnsi="Arial"/>
          <w:sz w:val="15"/>
          <w:szCs w:val="15"/>
          <w:color w:val="auto"/>
        </w:rPr>
      </w:pPr>
      <w:r>
        <w:rPr>
          <w:rFonts w:ascii="Arial" w:cs="Arial" w:eastAsia="Arial" w:hAnsi="Arial"/>
          <w:sz w:val="15"/>
          <w:szCs w:val="15"/>
          <w:color w:val="auto"/>
        </w:rPr>
        <w:t xml:space="preserve">The Administrative Agent shall provide not less than seven (7) days prior notice to the Borrowers’ Representative of the establishment of any Reserve (other than those established at the execution of this Agreement), </w:t>
      </w:r>
      <w:r>
        <w:rPr>
          <w:rFonts w:ascii="Arial" w:cs="Arial" w:eastAsia="Arial" w:hAnsi="Arial"/>
          <w:sz w:val="15"/>
          <w:szCs w:val="15"/>
          <w:i w:val="1"/>
          <w:iCs w:val="1"/>
          <w:color w:val="auto"/>
        </w:rPr>
        <w:t>except that</w:t>
      </w:r>
      <w:r>
        <w:rPr>
          <w:rFonts w:ascii="Arial" w:cs="Arial" w:eastAsia="Arial" w:hAnsi="Arial"/>
          <w:sz w:val="15"/>
          <w:szCs w:val="15"/>
          <w:color w:val="auto"/>
        </w:rPr>
        <w:t xml:space="preserve"> the following may be undertaken without such prior notice:</w:t>
      </w:r>
    </w:p>
    <w:p>
      <w:pPr>
        <w:spacing w:after="0" w:line="51" w:lineRule="exact"/>
        <w:rPr>
          <w:rFonts w:ascii="Arial" w:cs="Arial" w:eastAsia="Arial" w:hAnsi="Arial"/>
          <w:sz w:val="15"/>
          <w:szCs w:val="15"/>
          <w:color w:val="auto"/>
        </w:rPr>
      </w:pPr>
    </w:p>
    <w:p>
      <w:pPr>
        <w:jc w:val="both"/>
        <w:ind w:left="760" w:firstLine="1432"/>
        <w:spacing w:after="0" w:line="249" w:lineRule="auto"/>
        <w:tabs>
          <w:tab w:leader="none" w:pos="2375" w:val="left"/>
        </w:tabs>
        <w:numPr>
          <w:ilvl w:val="1"/>
          <w:numId w:val="78"/>
        </w:numPr>
        <w:rPr>
          <w:rFonts w:ascii="Arial" w:cs="Arial" w:eastAsia="Arial" w:hAnsi="Arial"/>
          <w:sz w:val="15"/>
          <w:szCs w:val="15"/>
          <w:color w:val="auto"/>
        </w:rPr>
      </w:pPr>
      <w:r>
        <w:rPr>
          <w:rFonts w:ascii="Arial" w:cs="Arial" w:eastAsia="Arial" w:hAnsi="Arial"/>
          <w:sz w:val="15"/>
          <w:szCs w:val="15"/>
          <w:color w:val="auto"/>
        </w:rPr>
        <w:t>a change to the amount of a then existing Reserve (as distinguished from a change by which such Reserve is measured or determined), which change reflects the Administrative Agent’s reasonable determination of changed circumstances (e.g. the amount of the Reserve for Customer Credit Liabilities will change based on the aggregate of Customer Credit Liabilities at any one time);</w:t>
      </w:r>
    </w:p>
    <w:p>
      <w:pPr>
        <w:spacing w:after="0" w:line="58" w:lineRule="exact"/>
        <w:rPr>
          <w:rFonts w:ascii="Arial" w:cs="Arial" w:eastAsia="Arial" w:hAnsi="Arial"/>
          <w:sz w:val="15"/>
          <w:szCs w:val="15"/>
          <w:color w:val="auto"/>
        </w:rPr>
      </w:pPr>
    </w:p>
    <w:p>
      <w:pPr>
        <w:ind w:left="760" w:firstLine="1432"/>
        <w:spacing w:after="0" w:line="259" w:lineRule="auto"/>
        <w:tabs>
          <w:tab w:leader="none" w:pos="2405" w:val="left"/>
        </w:tabs>
        <w:numPr>
          <w:ilvl w:val="1"/>
          <w:numId w:val="78"/>
        </w:numPr>
        <w:rPr>
          <w:rFonts w:ascii="Arial" w:cs="Arial" w:eastAsia="Arial" w:hAnsi="Arial"/>
          <w:sz w:val="15"/>
          <w:szCs w:val="15"/>
          <w:color w:val="auto"/>
        </w:rPr>
      </w:pPr>
      <w:r>
        <w:rPr>
          <w:rFonts w:ascii="Arial" w:cs="Arial" w:eastAsia="Arial" w:hAnsi="Arial"/>
          <w:sz w:val="15"/>
          <w:szCs w:val="15"/>
          <w:color w:val="auto"/>
        </w:rPr>
        <w:t>the creation of, or a change to an existing, Reserve on account of circumstances which the Administrative Agent determines as having a material adverse change on the maintenance of loan to collateral values; and</w:t>
      </w:r>
    </w:p>
    <w:p>
      <w:pPr>
        <w:spacing w:after="0" w:line="51" w:lineRule="exact"/>
        <w:rPr>
          <w:rFonts w:ascii="Arial" w:cs="Arial" w:eastAsia="Arial" w:hAnsi="Arial"/>
          <w:sz w:val="15"/>
          <w:szCs w:val="15"/>
          <w:color w:val="auto"/>
        </w:rPr>
      </w:pPr>
    </w:p>
    <w:p>
      <w:pPr>
        <w:ind w:left="2460" w:hanging="268"/>
        <w:spacing w:after="0"/>
        <w:tabs>
          <w:tab w:leader="none" w:pos="2460" w:val="left"/>
        </w:tabs>
        <w:numPr>
          <w:ilvl w:val="1"/>
          <w:numId w:val="78"/>
        </w:numPr>
        <w:rPr>
          <w:rFonts w:ascii="Arial" w:cs="Arial" w:eastAsia="Arial" w:hAnsi="Arial"/>
          <w:sz w:val="15"/>
          <w:szCs w:val="15"/>
          <w:color w:val="auto"/>
        </w:rPr>
      </w:pPr>
      <w:r>
        <w:rPr>
          <w:rFonts w:ascii="Arial" w:cs="Arial" w:eastAsia="Arial" w:hAnsi="Arial"/>
          <w:sz w:val="15"/>
          <w:szCs w:val="15"/>
          <w:color w:val="auto"/>
        </w:rPr>
        <w:t>the creation of, or a change to an existing, Reserve after the occurrence and during the continuance of a Default or an Event of Default.</w:t>
      </w:r>
    </w:p>
    <w:p>
      <w:pPr>
        <w:spacing w:after="0" w:line="156" w:lineRule="exact"/>
        <w:rPr>
          <w:sz w:val="20"/>
          <w:szCs w:val="20"/>
          <w:color w:val="auto"/>
        </w:rPr>
      </w:pPr>
    </w:p>
    <w:p>
      <w:pPr>
        <w:jc w:val="both"/>
        <w:ind w:firstLine="765"/>
        <w:spacing w:after="0" w:line="245" w:lineRule="auto"/>
        <w:rPr>
          <w:sz w:val="20"/>
          <w:szCs w:val="20"/>
          <w:color w:val="auto"/>
        </w:rPr>
      </w:pPr>
      <w:r>
        <w:rPr>
          <w:rFonts w:ascii="Arial" w:cs="Arial" w:eastAsia="Arial" w:hAnsi="Arial"/>
          <w:sz w:val="15"/>
          <w:szCs w:val="15"/>
          <w:b w:val="1"/>
          <w:bCs w:val="1"/>
          <w:color w:val="auto"/>
        </w:rPr>
        <w:t>2.4. R</w:t>
      </w:r>
      <w:r>
        <w:rPr>
          <w:rFonts w:ascii="Arial" w:cs="Arial" w:eastAsia="Arial" w:hAnsi="Arial"/>
          <w:sz w:val="10"/>
          <w:szCs w:val="10"/>
          <w:b w:val="1"/>
          <w:bCs w:val="1"/>
          <w:color w:val="auto"/>
        </w:rPr>
        <w:t>ISKS OF</w:t>
      </w:r>
      <w:r>
        <w:rPr>
          <w:rFonts w:ascii="Arial" w:cs="Arial" w:eastAsia="Arial" w:hAnsi="Arial"/>
          <w:sz w:val="15"/>
          <w:szCs w:val="15"/>
          <w:b w:val="1"/>
          <w:bCs w:val="1"/>
          <w:color w:val="auto"/>
        </w:rPr>
        <w:t xml:space="preserve"> V</w:t>
      </w:r>
      <w:r>
        <w:rPr>
          <w:rFonts w:ascii="Arial" w:cs="Arial" w:eastAsia="Arial" w:hAnsi="Arial"/>
          <w:sz w:val="10"/>
          <w:szCs w:val="10"/>
          <w:b w:val="1"/>
          <w:bCs w:val="1"/>
          <w:color w:val="auto"/>
        </w:rPr>
        <w:t>ALUE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Administrative Agent’s reference to a given asset in connection with the making of loans, credits, and advances and the providing of</w:t>
      </w:r>
      <w:r>
        <w:rPr>
          <w:rFonts w:ascii="Arial" w:cs="Arial" w:eastAsia="Arial" w:hAnsi="Arial"/>
          <w:sz w:val="15"/>
          <w:szCs w:val="15"/>
          <w:b w:val="1"/>
          <w:bCs w:val="1"/>
          <w:color w:val="auto"/>
        </w:rPr>
        <w:t xml:space="preserve"> </w:t>
      </w:r>
      <w:r>
        <w:rPr>
          <w:rFonts w:ascii="Arial" w:cs="Arial" w:eastAsia="Arial" w:hAnsi="Arial"/>
          <w:sz w:val="15"/>
          <w:szCs w:val="15"/>
          <w:color w:val="auto"/>
        </w:rPr>
        <w:t>financial accommodations under the Term Facility and/or the monitoring of compliance with the provisions hereof shall not be deemed a determination by the Administrative Agent or any Term Lender relative to the actual value of the asset in question. All risks concerning the value of the Collateral are and remain upon the Borrowers. All Collateral secures the prompt, punctual, and faithful performance of the Liabilities whether or not relied upon by the Administrative Agent in connection with the making of loans, credits, and advances and the providing of financial accommodations under the Term Facility.</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2.5. R</w:t>
      </w:r>
      <w:r>
        <w:rPr>
          <w:rFonts w:ascii="Arial" w:cs="Arial" w:eastAsia="Arial" w:hAnsi="Arial"/>
          <w:sz w:val="10"/>
          <w:szCs w:val="10"/>
          <w:b w:val="1"/>
          <w:bCs w:val="1"/>
          <w:color w:val="auto"/>
        </w:rPr>
        <w:t>ESERVED</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2.6. R</w:t>
      </w:r>
      <w:r>
        <w:rPr>
          <w:rFonts w:ascii="Arial" w:cs="Arial" w:eastAsia="Arial" w:hAnsi="Arial"/>
          <w:sz w:val="10"/>
          <w:szCs w:val="10"/>
          <w:b w:val="1"/>
          <w:bCs w:val="1"/>
          <w:color w:val="auto"/>
        </w:rPr>
        <w:t>ESERVED</w:t>
      </w:r>
      <w:r>
        <w:rPr>
          <w:rFonts w:ascii="Arial" w:cs="Arial" w:eastAsia="Arial" w:hAnsi="Arial"/>
          <w:sz w:val="15"/>
          <w:szCs w:val="15"/>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2.7. R</w:t>
      </w:r>
      <w:r>
        <w:rPr>
          <w:rFonts w:ascii="Arial" w:cs="Arial" w:eastAsia="Arial" w:hAnsi="Arial"/>
          <w:sz w:val="10"/>
          <w:szCs w:val="10"/>
          <w:b w:val="1"/>
          <w:bCs w:val="1"/>
          <w:color w:val="auto"/>
        </w:rPr>
        <w:t>ESERVED</w:t>
      </w:r>
      <w:r>
        <w:rPr>
          <w:rFonts w:ascii="Arial" w:cs="Arial" w:eastAsia="Arial" w:hAnsi="Arial"/>
          <w:sz w:val="15"/>
          <w:szCs w:val="15"/>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2.8. R</w:t>
      </w:r>
      <w:r>
        <w:rPr>
          <w:rFonts w:ascii="Arial" w:cs="Arial" w:eastAsia="Arial" w:hAnsi="Arial"/>
          <w:sz w:val="10"/>
          <w:szCs w:val="10"/>
          <w:b w:val="1"/>
          <w:bCs w:val="1"/>
          <w:color w:val="auto"/>
        </w:rPr>
        <w:t>ESERVED</w:t>
      </w:r>
      <w:r>
        <w:rPr>
          <w:rFonts w:ascii="Arial" w:cs="Arial" w:eastAsia="Arial" w:hAnsi="Arial"/>
          <w:sz w:val="15"/>
          <w:szCs w:val="15"/>
          <w:color w:val="auto"/>
        </w:rPr>
        <w:t>.</w:t>
      </w:r>
    </w:p>
    <w:p>
      <w:pPr>
        <w:spacing w:after="0" w:line="160"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2.9. A</w:t>
      </w:r>
      <w:r>
        <w:rPr>
          <w:rFonts w:ascii="Arial" w:cs="Arial" w:eastAsia="Arial" w:hAnsi="Arial"/>
          <w:sz w:val="10"/>
          <w:szCs w:val="10"/>
          <w:b w:val="1"/>
          <w:bCs w:val="1"/>
          <w:color w:val="auto"/>
        </w:rPr>
        <w:t>MORTIZATION</w:t>
      </w:r>
      <w:r>
        <w:rPr>
          <w:rFonts w:ascii="Arial" w:cs="Arial" w:eastAsia="Arial" w:hAnsi="Arial"/>
          <w:sz w:val="15"/>
          <w:szCs w:val="15"/>
          <w:color w:val="auto"/>
        </w:rPr>
        <w:t>. The Borrowers shall pay to the Administrative Agent, for the ratable account of the Term Lenders (a) on the first Business Day of each January, April, July and</w:t>
      </w:r>
      <w:r>
        <w:rPr>
          <w:rFonts w:ascii="Arial" w:cs="Arial" w:eastAsia="Arial" w:hAnsi="Arial"/>
          <w:sz w:val="15"/>
          <w:szCs w:val="15"/>
          <w:b w:val="1"/>
          <w:bCs w:val="1"/>
          <w:color w:val="auto"/>
        </w:rPr>
        <w:t xml:space="preserve"> </w:t>
      </w:r>
      <w:r>
        <w:rPr>
          <w:rFonts w:ascii="Arial" w:cs="Arial" w:eastAsia="Arial" w:hAnsi="Arial"/>
          <w:sz w:val="15"/>
          <w:szCs w:val="15"/>
          <w:color w:val="auto"/>
        </w:rPr>
        <w:t>October, commencing on the first Business Day of January 2015, an aggregate principal amount equal to $250,000, subject to adjustment as provided in Section 2.11(c) and (b) on the Termination Date, all of the aggregate principal amount of the Term Loans outstanding on such date.</w:t>
      </w:r>
    </w:p>
    <w:p>
      <w:pPr>
        <w:spacing w:after="0" w:line="135" w:lineRule="exact"/>
        <w:rPr>
          <w:sz w:val="20"/>
          <w:szCs w:val="20"/>
          <w:color w:val="auto"/>
        </w:rPr>
      </w:pPr>
    </w:p>
    <w:p>
      <w:pPr>
        <w:jc w:val="both"/>
        <w:ind w:firstLine="765"/>
        <w:spacing w:after="0" w:line="247" w:lineRule="auto"/>
        <w:rPr>
          <w:sz w:val="20"/>
          <w:szCs w:val="20"/>
          <w:color w:val="auto"/>
        </w:rPr>
      </w:pPr>
      <w:r>
        <w:rPr>
          <w:rFonts w:ascii="Arial" w:cs="Arial" w:eastAsia="Arial" w:hAnsi="Arial"/>
          <w:sz w:val="15"/>
          <w:szCs w:val="15"/>
          <w:b w:val="1"/>
          <w:bCs w:val="1"/>
          <w:color w:val="auto"/>
        </w:rPr>
        <w:t>2.10. 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OTES</w:t>
      </w:r>
      <w:r>
        <w:rPr>
          <w:rFonts w:ascii="Arial" w:cs="Arial" w:eastAsia="Arial" w:hAnsi="Arial"/>
          <w:sz w:val="15"/>
          <w:szCs w:val="15"/>
          <w:b w:val="1"/>
          <w:bCs w:val="1"/>
          <w:color w:val="auto"/>
        </w:rPr>
        <w:t xml:space="preserve">. </w:t>
      </w:r>
      <w:r>
        <w:rPr>
          <w:rFonts w:ascii="Arial" w:cs="Arial" w:eastAsia="Arial" w:hAnsi="Arial"/>
          <w:sz w:val="15"/>
          <w:szCs w:val="15"/>
          <w:color w:val="auto"/>
        </w:rPr>
        <w:t>The Borrowers’ obligation to repay Term Loans with interest as provided herein, shall be evidenced by notes (each, a</w:t>
      </w:r>
      <w:r>
        <w:rPr>
          <w:rFonts w:ascii="Arial" w:cs="Arial" w:eastAsia="Arial" w:hAnsi="Arial"/>
          <w:sz w:val="15"/>
          <w:szCs w:val="15"/>
          <w:b w:val="1"/>
          <w:bCs w:val="1"/>
          <w:color w:val="auto"/>
        </w:rPr>
        <w:t xml:space="preserve"> “Term Note”</w:t>
      </w:r>
      <w:r>
        <w:rPr>
          <w:rFonts w:ascii="Arial" w:cs="Arial" w:eastAsia="Arial" w:hAnsi="Arial"/>
          <w:sz w:val="15"/>
          <w:szCs w:val="15"/>
          <w:color w:val="auto"/>
        </w:rPr>
        <w:t>) in the form of</w:t>
      </w:r>
      <w:r>
        <w:rPr>
          <w:rFonts w:ascii="Arial" w:cs="Arial" w:eastAsia="Arial" w:hAnsi="Arial"/>
          <w:sz w:val="15"/>
          <w:szCs w:val="15"/>
          <w:b w:val="1"/>
          <w:bCs w:val="1"/>
          <w:color w:val="auto"/>
        </w:rPr>
        <w:t xml:space="preserve"> EXHIBIT 2.10</w:t>
      </w:r>
      <w:r>
        <w:rPr>
          <w:rFonts w:ascii="Arial" w:cs="Arial" w:eastAsia="Arial" w:hAnsi="Arial"/>
          <w:sz w:val="15"/>
          <w:szCs w:val="15"/>
          <w:color w:val="auto"/>
        </w:rPr>
        <w:t>, annexed hereto, executed by each Borrower, one payable to each Term Lender. Neither the original nor a copy of any Term Note shall be required, however, to establish or</w:t>
      </w:r>
      <w:r>
        <w:rPr>
          <w:rFonts w:ascii="Arial" w:cs="Arial" w:eastAsia="Arial" w:hAnsi="Arial"/>
          <w:sz w:val="15"/>
          <w:szCs w:val="15"/>
          <w:b w:val="1"/>
          <w:bCs w:val="1"/>
          <w:color w:val="auto"/>
        </w:rPr>
        <w:t xml:space="preserve"> </w:t>
      </w:r>
      <w:r>
        <w:rPr>
          <w:rFonts w:ascii="Arial" w:cs="Arial" w:eastAsia="Arial" w:hAnsi="Arial"/>
          <w:sz w:val="15"/>
          <w:szCs w:val="15"/>
          <w:color w:val="auto"/>
        </w:rPr>
        <w:t>prove any Liability. Upon the Borrowers’ Representative’s being provided with an affidavit from any Term Lender to the effect that any Term Note has been lost, mutilated, or destroyed, the Borrowers shall execute a replacement thereof and deliver such replacement to such Term Lender.</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2.11. O</w:t>
      </w:r>
      <w:r>
        <w:rPr>
          <w:rFonts w:ascii="Arial" w:cs="Arial" w:eastAsia="Arial" w:hAnsi="Arial"/>
          <w:sz w:val="10"/>
          <w:szCs w:val="10"/>
          <w:b w:val="1"/>
          <w:bCs w:val="1"/>
          <w:color w:val="auto"/>
        </w:rPr>
        <w:t>PTIONAL</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REPAYMENTS</w:t>
      </w:r>
      <w:r>
        <w:rPr>
          <w:rFonts w:ascii="Arial" w:cs="Arial" w:eastAsia="Arial" w:hAnsi="Arial"/>
          <w:sz w:val="15"/>
          <w:szCs w:val="15"/>
          <w:b w:val="1"/>
          <w:bCs w:val="1"/>
          <w:color w:val="auto"/>
        </w:rPr>
        <w:t>; M</w:t>
      </w:r>
      <w:r>
        <w:rPr>
          <w:rFonts w:ascii="Arial" w:cs="Arial" w:eastAsia="Arial" w:hAnsi="Arial"/>
          <w:sz w:val="10"/>
          <w:szCs w:val="10"/>
          <w:b w:val="1"/>
          <w:bCs w:val="1"/>
          <w:color w:val="auto"/>
        </w:rPr>
        <w:t>ANDATORY</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REPAYMENTS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9" w:lineRule="auto"/>
        <w:tabs>
          <w:tab w:leader="none" w:pos="1732" w:val="left"/>
        </w:tabs>
        <w:numPr>
          <w:ilvl w:val="0"/>
          <w:numId w:val="79"/>
        </w:numPr>
        <w:rPr>
          <w:rFonts w:ascii="Arial" w:cs="Arial" w:eastAsia="Arial" w:hAnsi="Arial"/>
          <w:sz w:val="15"/>
          <w:szCs w:val="15"/>
          <w:color w:val="auto"/>
        </w:rPr>
      </w:pPr>
      <w:r>
        <w:rPr>
          <w:rFonts w:ascii="Arial" w:cs="Arial" w:eastAsia="Arial" w:hAnsi="Arial"/>
          <w:sz w:val="15"/>
          <w:szCs w:val="15"/>
          <w:color w:val="auto"/>
        </w:rPr>
        <w:t xml:space="preserve">Subject to Section 2.13, the Borrowers </w:t>
      </w:r>
      <w:r>
        <w:rPr>
          <w:rFonts w:ascii="Arial" w:cs="Arial" w:eastAsia="Arial" w:hAnsi="Arial"/>
          <w:sz w:val="15"/>
          <w:szCs w:val="15"/>
          <w:i w:val="1"/>
          <w:iCs w:val="1"/>
          <w:color w:val="auto"/>
        </w:rPr>
        <w:t>may</w:t>
      </w:r>
      <w:r>
        <w:rPr>
          <w:rFonts w:ascii="Arial" w:cs="Arial" w:eastAsia="Arial" w:hAnsi="Arial"/>
          <w:sz w:val="15"/>
          <w:szCs w:val="15"/>
          <w:color w:val="auto"/>
        </w:rPr>
        <w:t xml:space="preserve"> repay the outstanding Term Loans in amounts no less than $250,000 upon three (3) Business Days’ prior written notice to the Administrative Agent. Subject to Section 2.11(c), each repayment made pursuant to this Section 2.11(a) shall be applied in inverse order of maturity. All payments by the Borrowers hereunder shall be made to the Administrative Agent, for the account of the respective Term Lenders to which</w:t>
      </w:r>
    </w:p>
    <w:p>
      <w:pPr>
        <w:spacing w:after="0" w:line="138" w:lineRule="exact"/>
        <w:rPr>
          <w:rFonts w:ascii="Arial" w:cs="Arial" w:eastAsia="Arial" w:hAnsi="Arial"/>
          <w:sz w:val="15"/>
          <w:szCs w:val="15"/>
          <w:color w:val="auto"/>
        </w:rPr>
      </w:pPr>
    </w:p>
    <w:p>
      <w:pPr>
        <w:ind w:left="5660" w:hanging="86"/>
        <w:spacing w:after="0"/>
        <w:tabs>
          <w:tab w:leader="none" w:pos="5660" w:val="left"/>
        </w:tabs>
        <w:numPr>
          <w:ilvl w:val="1"/>
          <w:numId w:val="79"/>
        </w:numPr>
        <w:rPr>
          <w:rFonts w:ascii="Arial" w:cs="Arial" w:eastAsia="Arial" w:hAnsi="Arial"/>
          <w:sz w:val="15"/>
          <w:szCs w:val="15"/>
          <w:color w:val="auto"/>
        </w:rPr>
      </w:pPr>
      <w:r>
        <w:rPr>
          <w:rFonts w:ascii="Arial" w:cs="Arial" w:eastAsia="Arial" w:hAnsi="Arial"/>
          <w:sz w:val="15"/>
          <w:szCs w:val="15"/>
          <w:color w:val="auto"/>
        </w:rPr>
        <w:t>24 -</w:t>
      </w:r>
    </w:p>
    <w:p>
      <w:pPr>
        <w:sectPr>
          <w:pgSz w:w="11900" w:h="16838" w:orient="portrait"/>
          <w:cols w:equalWidth="0" w:num="1">
            <w:col w:w="11460"/>
          </w:cols>
          <w:pgMar w:left="220" w:top="284" w:right="219" w:bottom="1440" w:gutter="0" w:footer="0" w:header="0"/>
        </w:sectPr>
      </w:pPr>
    </w:p>
    <w:bookmarkStart w:id="82" w:name="page83"/>
    <w:bookmarkEnd w:id="82"/>
    <w:p>
      <w:pPr>
        <w:spacing w:after="0"/>
        <w:rPr>
          <w:sz w:val="20"/>
          <w:szCs w:val="20"/>
          <w:color w:val="auto"/>
        </w:rPr>
      </w:pPr>
      <w:r>
        <w:rPr>
          <w:rFonts w:ascii="Arial" w:cs="Arial" w:eastAsia="Arial" w:hAnsi="Arial"/>
          <w:sz w:val="15"/>
          <w:szCs w:val="15"/>
          <w:color w:val="auto"/>
        </w:rPr>
        <w:t>such payment is owed, at the Administrative Agent’s office in Dollars and in immediately available funds. Any notice of prepayment shall be irrevocable.</w:t>
      </w:r>
    </w:p>
    <w:p>
      <w:pPr>
        <w:spacing w:after="0" w:line="80" w:lineRule="exact"/>
        <w:rPr>
          <w:sz w:val="20"/>
          <w:szCs w:val="20"/>
          <w:color w:val="auto"/>
        </w:rPr>
      </w:pPr>
    </w:p>
    <w:p>
      <w:pPr>
        <w:jc w:val="both"/>
        <w:ind w:firstLine="1529"/>
        <w:spacing w:after="0" w:line="259" w:lineRule="auto"/>
        <w:tabs>
          <w:tab w:leader="none" w:pos="1741"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Subject to Section 2.13, the Borrowers shall prepay the Term Loans in an amount equal to the Net Proceeds received by the Borrowers on account of a Prepayment Event relating to the Term Loan Priority Collateral provided, that in the event Borrowers deliver a written notice promptly following the receipt of such funds that Borrowers wish to reinvest the Net Proceeds of any Disposition of casualty loss in an aggregate amount of $250,000 for any single event and $1,000,000 in the aggregate for any fiscal year, all of such Net Proceeds are deposited in the Term Loan Priority Account promptly upon receipt thereof, and Borrowers reinvest such funds within 180 days of receipt thereof then, so long as no Default or Event of Default has occurred and is continuing, the Borrowers will not be required to make such a mandatory prepayment under this Section with respect to such Net Proceeds. In the event such Net Proceeds have not been so reinvested during such 180 day period, the Borrowers will make the mandatory prepayment required under this Section. Subject to Section 2.11(c), each repayment made pursuant to this Section 2.11(b) shall be applied in inverse order of maturity </w:t>
      </w:r>
      <w:r>
        <w:rPr>
          <w:rFonts w:ascii="Arial" w:cs="Arial" w:eastAsia="Arial" w:hAnsi="Arial"/>
          <w:sz w:val="15"/>
          <w:szCs w:val="15"/>
          <w:color w:val="auto"/>
        </w:rPr>
        <w:t>. In the event, following a casualty loss, the Borrowers spend funds for repair or restoration, which costs</w:t>
      </w:r>
      <w:r>
        <w:rPr>
          <w:rFonts w:ascii="Arial" w:cs="Arial" w:eastAsia="Arial" w:hAnsi="Arial"/>
          <w:sz w:val="14"/>
          <w:szCs w:val="14"/>
          <w:color w:val="auto"/>
        </w:rPr>
        <w:t xml:space="preserve"> </w:t>
      </w:r>
      <w:r>
        <w:rPr>
          <w:rFonts w:ascii="Arial" w:cs="Arial" w:eastAsia="Arial" w:hAnsi="Arial"/>
          <w:sz w:val="15"/>
          <w:szCs w:val="15"/>
          <w:color w:val="auto"/>
        </w:rPr>
        <w:t>are covered by insurance, prior to the receipt of any insurance proceeds therefor, then, so long as no Default or Event of Default has occurred and is continuing, when such insurance proceeds are received, the Borrowers may reimburse themselves with the insurance proceeds for those repair and restoration costs included in the award. For avoidance of doubt, the Borrowers may retain the proceeds from business interruption insurance.</w:t>
      </w:r>
    </w:p>
    <w:p>
      <w:pPr>
        <w:spacing w:after="0" w:line="48" w:lineRule="exact"/>
        <w:rPr>
          <w:rFonts w:ascii="Arial" w:cs="Arial" w:eastAsia="Arial" w:hAnsi="Arial"/>
          <w:sz w:val="14"/>
          <w:szCs w:val="14"/>
          <w:color w:val="auto"/>
        </w:rPr>
      </w:pPr>
    </w:p>
    <w:p>
      <w:pPr>
        <w:jc w:val="both"/>
        <w:ind w:firstLine="1529"/>
        <w:spacing w:after="0" w:line="249" w:lineRule="auto"/>
        <w:tabs>
          <w:tab w:leader="none" w:pos="1732" w:val="left"/>
        </w:tabs>
        <w:numPr>
          <w:ilvl w:val="0"/>
          <w:numId w:val="80"/>
        </w:numPr>
        <w:rPr>
          <w:rFonts w:ascii="Arial" w:cs="Arial" w:eastAsia="Arial" w:hAnsi="Arial"/>
          <w:sz w:val="15"/>
          <w:szCs w:val="15"/>
          <w:color w:val="auto"/>
        </w:rPr>
      </w:pPr>
      <w:r>
        <w:rPr>
          <w:rFonts w:ascii="Arial" w:cs="Arial" w:eastAsia="Arial" w:hAnsi="Arial"/>
          <w:sz w:val="15"/>
          <w:szCs w:val="15"/>
          <w:color w:val="auto"/>
        </w:rPr>
        <w:t>So long as no Default or Event of Default has occurred and is continuing when any optional or mandatory prepayment is made, the Borrowers’ Representative may request up to an aggregate of two (2) times prior to the Termination Date that the amortization be recalculated, after giving effect to such prepayment, based upon the same percentage per annum (6.67%) with an assumed fifteen (15) year term commencing on the Closing Date.</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2.12. I</w:t>
      </w:r>
      <w:r>
        <w:rPr>
          <w:rFonts w:ascii="Arial" w:cs="Arial" w:eastAsia="Arial" w:hAnsi="Arial"/>
          <w:sz w:val="10"/>
          <w:szCs w:val="10"/>
          <w:b w:val="1"/>
          <w:bCs w:val="1"/>
          <w:color w:val="auto"/>
        </w:rPr>
        <w:t>NTEREST ON</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OANS</w:t>
      </w:r>
      <w:r>
        <w:rPr>
          <w:rFonts w:ascii="Arial" w:cs="Arial" w:eastAsia="Arial" w:hAnsi="Arial"/>
          <w:sz w:val="15"/>
          <w:szCs w:val="15"/>
          <w:color w:val="auto"/>
        </w:rPr>
        <w:t>.</w:t>
      </w:r>
    </w:p>
    <w:p>
      <w:pPr>
        <w:spacing w:after="0" w:line="84" w:lineRule="exact"/>
        <w:rPr>
          <w:sz w:val="20"/>
          <w:szCs w:val="20"/>
          <w:color w:val="auto"/>
        </w:rPr>
      </w:pPr>
    </w:p>
    <w:p>
      <w:pPr>
        <w:ind w:left="1740" w:hanging="211"/>
        <w:spacing w:after="0"/>
        <w:tabs>
          <w:tab w:leader="none" w:pos="17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Each Term Loan shall bear interest at the Libor Rate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Libor Margin.</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Borrowers shall pay accrued and unpaid interest on each Term Loan in arrears as follows:</w:t>
      </w:r>
    </w:p>
    <w:p>
      <w:pPr>
        <w:spacing w:after="0" w:line="79" w:lineRule="exact"/>
        <w:rPr>
          <w:rFonts w:ascii="Arial" w:cs="Arial" w:eastAsia="Arial" w:hAnsi="Arial"/>
          <w:sz w:val="15"/>
          <w:szCs w:val="15"/>
          <w:color w:val="auto"/>
        </w:rPr>
      </w:pPr>
    </w:p>
    <w:p>
      <w:pPr>
        <w:ind w:left="2360" w:hanging="168"/>
        <w:spacing w:after="0"/>
        <w:tabs>
          <w:tab w:leader="none" w:pos="2360" w:val="left"/>
        </w:tabs>
        <w:numPr>
          <w:ilvl w:val="1"/>
          <w:numId w:val="81"/>
        </w:numPr>
        <w:rPr>
          <w:rFonts w:ascii="Arial" w:cs="Arial" w:eastAsia="Arial" w:hAnsi="Arial"/>
          <w:sz w:val="15"/>
          <w:szCs w:val="15"/>
          <w:color w:val="auto"/>
        </w:rPr>
      </w:pPr>
      <w:r>
        <w:rPr>
          <w:rFonts w:ascii="Arial" w:cs="Arial" w:eastAsia="Arial" w:hAnsi="Arial"/>
          <w:sz w:val="15"/>
          <w:szCs w:val="15"/>
          <w:color w:val="auto"/>
        </w:rPr>
        <w:t>On each Interest Payment Date.</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1"/>
          <w:numId w:val="81"/>
        </w:numPr>
        <w:rPr>
          <w:rFonts w:ascii="Arial" w:cs="Arial" w:eastAsia="Arial" w:hAnsi="Arial"/>
          <w:sz w:val="15"/>
          <w:szCs w:val="15"/>
          <w:color w:val="auto"/>
        </w:rPr>
      </w:pPr>
      <w:r>
        <w:rPr>
          <w:rFonts w:ascii="Arial" w:cs="Arial" w:eastAsia="Arial" w:hAnsi="Arial"/>
          <w:sz w:val="15"/>
          <w:szCs w:val="15"/>
          <w:color w:val="auto"/>
        </w:rPr>
        <w:t>On the Termination Date and on the End Date.</w:t>
      </w:r>
    </w:p>
    <w:p>
      <w:pPr>
        <w:spacing w:after="0" w:line="79" w:lineRule="exact"/>
        <w:rPr>
          <w:rFonts w:ascii="Arial" w:cs="Arial" w:eastAsia="Arial" w:hAnsi="Arial"/>
          <w:sz w:val="15"/>
          <w:szCs w:val="15"/>
          <w:color w:val="auto"/>
        </w:rPr>
      </w:pPr>
    </w:p>
    <w:p>
      <w:pPr>
        <w:ind w:left="2460" w:hanging="268"/>
        <w:spacing w:after="0"/>
        <w:tabs>
          <w:tab w:leader="none" w:pos="2460" w:val="left"/>
        </w:tabs>
        <w:numPr>
          <w:ilvl w:val="1"/>
          <w:numId w:val="81"/>
        </w:numPr>
        <w:rPr>
          <w:rFonts w:ascii="Arial" w:cs="Arial" w:eastAsia="Arial" w:hAnsi="Arial"/>
          <w:sz w:val="15"/>
          <w:szCs w:val="15"/>
          <w:color w:val="auto"/>
        </w:rPr>
      </w:pPr>
      <w:r>
        <w:rPr>
          <w:rFonts w:ascii="Arial" w:cs="Arial" w:eastAsia="Arial" w:hAnsi="Arial"/>
          <w:sz w:val="15"/>
          <w:szCs w:val="15"/>
          <w:color w:val="auto"/>
        </w:rPr>
        <w:t>Following the occurrence of any Event of Default, with such frequency as may be determined by the Administrative Agent.</w:t>
      </w:r>
    </w:p>
    <w:p>
      <w:pPr>
        <w:spacing w:after="0" w:line="79" w:lineRule="exact"/>
        <w:rPr>
          <w:rFonts w:ascii="Arial" w:cs="Arial" w:eastAsia="Arial" w:hAnsi="Arial"/>
          <w:sz w:val="15"/>
          <w:szCs w:val="15"/>
          <w:color w:val="auto"/>
        </w:rPr>
      </w:pPr>
    </w:p>
    <w:p>
      <w:pPr>
        <w:jc w:val="both"/>
        <w:ind w:firstLine="1529"/>
        <w:spacing w:after="0" w:line="249" w:lineRule="auto"/>
        <w:tabs>
          <w:tab w:leader="none" w:pos="1732"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Following the occurrence of any Event of Default (and whether or not the Administrative Agent exercises the Administrative Agent’s rights on account thereof), all Term Loans shall bear interest, at the option of the Administrative Agent or at the instruction of the Majority Term Lenders, at a rate which is the aggregate of the rate applicable to Term Loans </w:t>
      </w:r>
      <w:r>
        <w:rPr>
          <w:rFonts w:ascii="Arial" w:cs="Arial" w:eastAsia="Arial" w:hAnsi="Arial"/>
          <w:sz w:val="15"/>
          <w:szCs w:val="15"/>
          <w:i w:val="1"/>
          <w:iCs w:val="1"/>
          <w:u w:val="single" w:color="auto"/>
          <w:color w:val="auto"/>
        </w:rPr>
        <w:t>plus</w:t>
      </w:r>
      <w:r>
        <w:rPr>
          <w:rFonts w:ascii="Arial" w:cs="Arial" w:eastAsia="Arial" w:hAnsi="Arial"/>
          <w:sz w:val="15"/>
          <w:szCs w:val="15"/>
          <w:i w:val="1"/>
          <w:iCs w:val="1"/>
          <w:color w:val="auto"/>
        </w:rPr>
        <w:t xml:space="preserve"> </w:t>
      </w:r>
      <w:r>
        <w:rPr>
          <w:rFonts w:ascii="Arial" w:cs="Arial" w:eastAsia="Arial" w:hAnsi="Arial"/>
          <w:sz w:val="15"/>
          <w:szCs w:val="15"/>
          <w:color w:val="auto"/>
        </w:rPr>
        <w:t>two percent (2%) per annum.</w:t>
      </w:r>
    </w:p>
    <w:p>
      <w:pPr>
        <w:spacing w:after="0" w:line="135" w:lineRule="exact"/>
        <w:rPr>
          <w:sz w:val="20"/>
          <w:szCs w:val="20"/>
          <w:color w:val="auto"/>
        </w:rPr>
      </w:pPr>
    </w:p>
    <w:p>
      <w:pPr>
        <w:jc w:val="both"/>
        <w:ind w:firstLine="765"/>
        <w:spacing w:after="0" w:line="243" w:lineRule="auto"/>
        <w:rPr>
          <w:sz w:val="20"/>
          <w:szCs w:val="20"/>
          <w:color w:val="auto"/>
        </w:rPr>
      </w:pPr>
      <w:r>
        <w:rPr>
          <w:rFonts w:ascii="Arial" w:cs="Arial" w:eastAsia="Arial" w:hAnsi="Arial"/>
          <w:sz w:val="15"/>
          <w:szCs w:val="15"/>
          <w:b w:val="1"/>
          <w:bCs w:val="1"/>
          <w:color w:val="auto"/>
        </w:rPr>
        <w:t>2.13. E</w:t>
      </w:r>
      <w:r>
        <w:rPr>
          <w:rFonts w:ascii="Arial" w:cs="Arial" w:eastAsia="Arial" w:hAnsi="Arial"/>
          <w:sz w:val="10"/>
          <w:szCs w:val="10"/>
          <w:b w:val="1"/>
          <w:bCs w:val="1"/>
          <w:color w:val="auto"/>
        </w:rPr>
        <w:t>ARLY</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ERMINATION</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EE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that, at any time on or prior to third anniversary of the Closing Date, (i) the Termination Date occurs, or (ii) in the event that the</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prepay, or are required to prepay, the Term Loans in whole or in part, then, on the Termination Date or the effective date of such prepayment, as applicable, the Borrowers shall pay to the Administrative Agent, for the ratable benefit of the Term Lenders, an amount equal to the Term Loan Prepayment Fee due at the time of such prepayment. All parties to this Agreement agree and acknowledge that the Term Lenders will have suffered damages on account of the early termination of this Agreement or prepayment of any portion of the Term Loans and that, in view of the difficulty in ascertaining the amount of such damages, the Term Loan Prepayment Fee constitutes reasonable compensation and liquidated damages to compensate the Term Lenders on account thereof.</w:t>
      </w:r>
    </w:p>
    <w:p>
      <w:pPr>
        <w:spacing w:after="0" w:line="142"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2.14.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EES</w:t>
      </w:r>
      <w:r>
        <w:rPr>
          <w:rFonts w:ascii="Arial" w:cs="Arial" w:eastAsia="Arial" w:hAnsi="Arial"/>
          <w:sz w:val="15"/>
          <w:szCs w:val="15"/>
          <w:b w:val="1"/>
          <w:bCs w:val="1"/>
          <w:color w:val="auto"/>
        </w:rPr>
        <w:t xml:space="preserve">. </w:t>
      </w:r>
      <w:r>
        <w:rPr>
          <w:rFonts w:ascii="Arial" w:cs="Arial" w:eastAsia="Arial" w:hAnsi="Arial"/>
          <w:sz w:val="15"/>
          <w:szCs w:val="15"/>
          <w:color w:val="auto"/>
        </w:rPr>
        <w:t>The Borrowers shall pay to the Administrative Agent the fees in the amounts and at the times specified in the Fee Letter. Such fees shall be fully earned when</w:t>
      </w:r>
      <w:r>
        <w:rPr>
          <w:rFonts w:ascii="Arial" w:cs="Arial" w:eastAsia="Arial" w:hAnsi="Arial"/>
          <w:sz w:val="15"/>
          <w:szCs w:val="15"/>
          <w:b w:val="1"/>
          <w:bCs w:val="1"/>
          <w:color w:val="auto"/>
        </w:rPr>
        <w:t xml:space="preserve"> </w:t>
      </w:r>
      <w:r>
        <w:rPr>
          <w:rFonts w:ascii="Arial" w:cs="Arial" w:eastAsia="Arial" w:hAnsi="Arial"/>
          <w:sz w:val="15"/>
          <w:szCs w:val="15"/>
          <w:color w:val="auto"/>
        </w:rPr>
        <w:t>paid and shall not be refundable for any reason whatsoever.</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2.15. R</w:t>
      </w:r>
      <w:r>
        <w:rPr>
          <w:rFonts w:ascii="Arial" w:cs="Arial" w:eastAsia="Arial" w:hAnsi="Arial"/>
          <w:sz w:val="10"/>
          <w:szCs w:val="10"/>
          <w:b w:val="1"/>
          <w:bCs w:val="1"/>
          <w:color w:val="auto"/>
        </w:rPr>
        <w:t>ESERVED</w:t>
      </w:r>
      <w:r>
        <w:rPr>
          <w:rFonts w:ascii="Arial" w:cs="Arial" w:eastAsia="Arial" w:hAnsi="Arial"/>
          <w:sz w:val="15"/>
          <w:szCs w:val="15"/>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- 25 -</w:t>
      </w:r>
    </w:p>
    <w:p>
      <w:pPr>
        <w:sectPr>
          <w:pgSz w:w="11900" w:h="16838" w:orient="portrait"/>
          <w:cols w:equalWidth="0" w:num="1">
            <w:col w:w="11460"/>
          </w:cols>
          <w:pgMar w:left="220" w:top="207" w:right="219" w:bottom="1440" w:gutter="0" w:footer="0" w:header="0"/>
        </w:sectPr>
      </w:pPr>
    </w:p>
    <w:bookmarkStart w:id="83" w:name="page84"/>
    <w:bookmarkEnd w:id="83"/>
    <w:p>
      <w:pPr>
        <w:spacing w:after="0"/>
        <w:rPr>
          <w:sz w:val="20"/>
          <w:szCs w:val="20"/>
          <w:color w:val="auto"/>
        </w:rPr>
      </w:pPr>
      <w:r>
        <w:rPr>
          <w:rFonts w:ascii="Arial" w:cs="Arial" w:eastAsia="Arial" w:hAnsi="Arial"/>
          <w:sz w:val="15"/>
          <w:szCs w:val="15"/>
          <w:b w:val="1"/>
          <w:bCs w:val="1"/>
          <w:color w:val="auto"/>
        </w:rPr>
        <w:t>2.16. R</w:t>
      </w:r>
      <w:r>
        <w:rPr>
          <w:rFonts w:ascii="Arial" w:cs="Arial" w:eastAsia="Arial" w:hAnsi="Arial"/>
          <w:sz w:val="10"/>
          <w:szCs w:val="10"/>
          <w:b w:val="1"/>
          <w:bCs w:val="1"/>
          <w:color w:val="auto"/>
        </w:rPr>
        <w:t>ESERVED</w:t>
      </w:r>
      <w:r>
        <w:rPr>
          <w:rFonts w:ascii="Arial" w:cs="Arial" w:eastAsia="Arial" w:hAnsi="Arial"/>
          <w:sz w:val="15"/>
          <w:szCs w:val="15"/>
          <w:b w:val="1"/>
          <w:bCs w:val="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2.17. A</w:t>
      </w:r>
      <w:r>
        <w:rPr>
          <w:rFonts w:ascii="Arial" w:cs="Arial" w:eastAsia="Arial" w:hAnsi="Arial"/>
          <w:sz w:val="10"/>
          <w:szCs w:val="10"/>
          <w:b w:val="1"/>
          <w:bCs w:val="1"/>
          <w:color w:val="auto"/>
        </w:rPr>
        <w:t>GENTS</w:t>
      </w:r>
      <w:r>
        <w:rPr>
          <w:rFonts w:ascii="Arial" w:cs="Arial" w:eastAsia="Arial" w:hAnsi="Arial"/>
          <w:sz w:val="15"/>
          <w:szCs w:val="15"/>
          <w:b w:val="1"/>
          <w:bCs w:val="1"/>
          <w:color w:val="auto"/>
        </w:rPr>
        <w:t xml:space="preserve">’ </w:t>
      </w:r>
      <w:r>
        <w:rPr>
          <w:rFonts w:ascii="Arial" w:cs="Arial" w:eastAsia="Arial" w:hAnsi="Arial"/>
          <w:sz w:val="10"/>
          <w:szCs w:val="10"/>
          <w:b w:val="1"/>
          <w:bCs w:val="1"/>
          <w:color w:val="auto"/>
        </w:rPr>
        <w:t>AND</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b w:val="1"/>
          <w:bCs w:val="1"/>
          <w:color w:val="auto"/>
        </w:rPr>
        <w:t>’ D</w:t>
      </w:r>
      <w:r>
        <w:rPr>
          <w:rFonts w:ascii="Arial" w:cs="Arial" w:eastAsia="Arial" w:hAnsi="Arial"/>
          <w:sz w:val="10"/>
          <w:szCs w:val="10"/>
          <w:b w:val="1"/>
          <w:bCs w:val="1"/>
          <w:color w:val="auto"/>
        </w:rPr>
        <w:t>ISCRETION</w:t>
      </w:r>
      <w:r>
        <w:rPr>
          <w:rFonts w:ascii="Arial" w:cs="Arial" w:eastAsia="Arial" w:hAnsi="Arial"/>
          <w:sz w:val="15"/>
          <w:szCs w:val="15"/>
          <w:color w:val="auto"/>
        </w:rPr>
        <w:t>.</w:t>
      </w:r>
    </w:p>
    <w:p>
      <w:pPr>
        <w:spacing w:after="0" w:line="84" w:lineRule="exact"/>
        <w:rPr>
          <w:sz w:val="20"/>
          <w:szCs w:val="20"/>
          <w:color w:val="auto"/>
        </w:rPr>
      </w:pPr>
    </w:p>
    <w:p>
      <w:pPr>
        <w:jc w:val="both"/>
        <w:ind w:left="-760" w:firstLine="1529"/>
        <w:spacing w:after="0" w:line="249" w:lineRule="auto"/>
        <w:tabs>
          <w:tab w:leader="none" w:pos="977" w:val="left"/>
        </w:tabs>
        <w:numPr>
          <w:ilvl w:val="0"/>
          <w:numId w:val="82"/>
        </w:numPr>
        <w:rPr>
          <w:rFonts w:ascii="Arial" w:cs="Arial" w:eastAsia="Arial" w:hAnsi="Arial"/>
          <w:sz w:val="15"/>
          <w:szCs w:val="15"/>
          <w:color w:val="auto"/>
        </w:rPr>
      </w:pPr>
      <w:r>
        <w:rPr>
          <w:rFonts w:ascii="Arial" w:cs="Arial" w:eastAsia="Arial" w:hAnsi="Arial"/>
          <w:sz w:val="15"/>
          <w:szCs w:val="15"/>
          <w:color w:val="auto"/>
        </w:rPr>
        <w:t>Each reference in the Loan Documents to the exercise of discretion, reasonable discretion, or the like by any Agent or any Term Lender shall be to such Person’s reasonable exercise of its judgment, in good faith (which shall be rebuttably presumed), based upon such Person’s consideration of any such factors as that Agent or that Term Lender, taking into account information of which that Person then has actual knowledge, reasonably believes:</w:t>
      </w:r>
    </w:p>
    <w:p>
      <w:pPr>
        <w:spacing w:after="0" w:line="58" w:lineRule="exact"/>
        <w:rPr>
          <w:rFonts w:ascii="Arial" w:cs="Arial" w:eastAsia="Arial" w:hAnsi="Arial"/>
          <w:sz w:val="15"/>
          <w:szCs w:val="15"/>
          <w:color w:val="auto"/>
        </w:rPr>
      </w:pPr>
    </w:p>
    <w:p>
      <w:pPr>
        <w:jc w:val="both"/>
        <w:ind w:firstLine="1432"/>
        <w:spacing w:after="0" w:line="249" w:lineRule="auto"/>
        <w:tabs>
          <w:tab w:leader="none" w:pos="1606" w:val="left"/>
        </w:tabs>
        <w:numPr>
          <w:ilvl w:val="1"/>
          <w:numId w:val="82"/>
        </w:numPr>
        <w:rPr>
          <w:rFonts w:ascii="Arial" w:cs="Arial" w:eastAsia="Arial" w:hAnsi="Arial"/>
          <w:sz w:val="15"/>
          <w:szCs w:val="15"/>
          <w:color w:val="auto"/>
        </w:rPr>
      </w:pPr>
      <w:r>
        <w:rPr>
          <w:rFonts w:ascii="Arial" w:cs="Arial" w:eastAsia="Arial" w:hAnsi="Arial"/>
          <w:sz w:val="15"/>
          <w:szCs w:val="15"/>
          <w:color w:val="auto"/>
        </w:rPr>
        <w:t xml:space="preserve">Will or reasonably could be expected to affect, in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manner, the value of the Collateral, the enforceability of the Collateral Agent’s Collateral Interests therein, or the amount which the Collateral Agent would likely realize therefrom (taking into account delays which may possibly be encountered in the Collateral Agent’s realizing upon the Collateral and likely Costs of Collection).</w:t>
      </w:r>
    </w:p>
    <w:p>
      <w:pPr>
        <w:spacing w:after="0" w:line="58" w:lineRule="exact"/>
        <w:rPr>
          <w:rFonts w:ascii="Arial" w:cs="Arial" w:eastAsia="Arial" w:hAnsi="Arial"/>
          <w:sz w:val="15"/>
          <w:szCs w:val="15"/>
          <w:color w:val="auto"/>
        </w:rPr>
      </w:pPr>
    </w:p>
    <w:p>
      <w:pPr>
        <w:ind w:firstLine="1432"/>
        <w:spacing w:after="0" w:line="259" w:lineRule="auto"/>
        <w:tabs>
          <w:tab w:leader="none" w:pos="1671" w:val="left"/>
        </w:tabs>
        <w:numPr>
          <w:ilvl w:val="1"/>
          <w:numId w:val="82"/>
        </w:numPr>
        <w:rPr>
          <w:rFonts w:ascii="Arial" w:cs="Arial" w:eastAsia="Arial" w:hAnsi="Arial"/>
          <w:sz w:val="15"/>
          <w:szCs w:val="15"/>
          <w:color w:val="auto"/>
        </w:rPr>
      </w:pPr>
      <w:r>
        <w:rPr>
          <w:rFonts w:ascii="Arial" w:cs="Arial" w:eastAsia="Arial" w:hAnsi="Arial"/>
          <w:sz w:val="15"/>
          <w:szCs w:val="15"/>
          <w:color w:val="auto"/>
        </w:rPr>
        <w:t>Indicates that any report or financial information delivered to any Agent or any Term Lender by or on behalf of any Loan Party is incomplete, inaccurate, or misleading in any material manner or was not prepared in accordance with the requirements of this Agreement.</w:t>
      </w:r>
    </w:p>
    <w:p>
      <w:pPr>
        <w:spacing w:after="0" w:line="51" w:lineRule="exact"/>
        <w:rPr>
          <w:rFonts w:ascii="Arial" w:cs="Arial" w:eastAsia="Arial" w:hAnsi="Arial"/>
          <w:sz w:val="15"/>
          <w:szCs w:val="15"/>
          <w:color w:val="auto"/>
        </w:rPr>
      </w:pPr>
    </w:p>
    <w:p>
      <w:pPr>
        <w:ind w:left="1700" w:hanging="268"/>
        <w:spacing w:after="0"/>
        <w:tabs>
          <w:tab w:leader="none" w:pos="1700" w:val="left"/>
        </w:tabs>
        <w:numPr>
          <w:ilvl w:val="1"/>
          <w:numId w:val="82"/>
        </w:numPr>
        <w:rPr>
          <w:rFonts w:ascii="Arial" w:cs="Arial" w:eastAsia="Arial" w:hAnsi="Arial"/>
          <w:sz w:val="15"/>
          <w:szCs w:val="15"/>
          <w:color w:val="auto"/>
        </w:rPr>
      </w:pPr>
      <w:r>
        <w:rPr>
          <w:rFonts w:ascii="Arial" w:cs="Arial" w:eastAsia="Arial" w:hAnsi="Arial"/>
          <w:sz w:val="15"/>
          <w:szCs w:val="15"/>
          <w:color w:val="auto"/>
        </w:rPr>
        <w:t>That a Default has occurred and is continuing.</w:t>
      </w:r>
    </w:p>
    <w:p>
      <w:pPr>
        <w:spacing w:after="0" w:line="79" w:lineRule="exact"/>
        <w:rPr>
          <w:rFonts w:ascii="Arial" w:cs="Arial" w:eastAsia="Arial" w:hAnsi="Arial"/>
          <w:sz w:val="15"/>
          <w:szCs w:val="15"/>
          <w:color w:val="auto"/>
        </w:rPr>
      </w:pPr>
    </w:p>
    <w:p>
      <w:pPr>
        <w:ind w:left="980" w:hanging="211"/>
        <w:spacing w:after="0"/>
        <w:tabs>
          <w:tab w:leader="none" w:pos="9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In the exercise of such judgment, each Agent or each Term Lender reasonably also may take into account any of the following factors:</w:t>
      </w:r>
    </w:p>
    <w:p>
      <w:pPr>
        <w:spacing w:after="0" w:line="79" w:lineRule="exact"/>
        <w:rPr>
          <w:rFonts w:ascii="Arial" w:cs="Arial" w:eastAsia="Arial" w:hAnsi="Arial"/>
          <w:sz w:val="15"/>
          <w:szCs w:val="15"/>
          <w:color w:val="auto"/>
        </w:rPr>
      </w:pPr>
    </w:p>
    <w:p>
      <w:pPr>
        <w:ind w:left="1600" w:hanging="168"/>
        <w:spacing w:after="0"/>
        <w:tabs>
          <w:tab w:leader="none" w:pos="1600" w:val="left"/>
        </w:tabs>
        <w:numPr>
          <w:ilvl w:val="1"/>
          <w:numId w:val="82"/>
        </w:numPr>
        <w:rPr>
          <w:rFonts w:ascii="Arial" w:cs="Arial" w:eastAsia="Arial" w:hAnsi="Arial"/>
          <w:sz w:val="15"/>
          <w:szCs w:val="15"/>
          <w:color w:val="auto"/>
        </w:rPr>
      </w:pPr>
      <w:r>
        <w:rPr>
          <w:rFonts w:ascii="Arial" w:cs="Arial" w:eastAsia="Arial" w:hAnsi="Arial"/>
          <w:sz w:val="15"/>
          <w:szCs w:val="15"/>
          <w:color w:val="auto"/>
        </w:rPr>
        <w:t>Those included in, or tested by, the definitions of “Eligible Accounts” and “Eligible Inventory”.</w:t>
      </w:r>
    </w:p>
    <w:p>
      <w:pPr>
        <w:spacing w:after="0" w:line="79" w:lineRule="exact"/>
        <w:rPr>
          <w:rFonts w:ascii="Arial" w:cs="Arial" w:eastAsia="Arial" w:hAnsi="Arial"/>
          <w:sz w:val="15"/>
          <w:szCs w:val="15"/>
          <w:color w:val="auto"/>
        </w:rPr>
      </w:pPr>
    </w:p>
    <w:p>
      <w:pPr>
        <w:ind w:left="1660" w:hanging="228"/>
        <w:spacing w:after="0"/>
        <w:tabs>
          <w:tab w:leader="none" w:pos="1660"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The current financial and business climate of the industry in which each Loan Party competes (having regard for that Loan Party’s position in that</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industry).</w:t>
      </w:r>
    </w:p>
    <w:p>
      <w:pPr>
        <w:spacing w:after="0" w:line="67" w:lineRule="exact"/>
        <w:rPr>
          <w:rFonts w:ascii="Arial" w:cs="Arial" w:eastAsia="Arial" w:hAnsi="Arial"/>
          <w:sz w:val="14"/>
          <w:szCs w:val="14"/>
          <w:color w:val="auto"/>
        </w:rPr>
      </w:pPr>
    </w:p>
    <w:p>
      <w:pPr>
        <w:ind w:left="1700" w:hanging="268"/>
        <w:spacing w:after="0"/>
        <w:tabs>
          <w:tab w:leader="none" w:pos="1700" w:val="left"/>
        </w:tabs>
        <w:numPr>
          <w:ilvl w:val="1"/>
          <w:numId w:val="82"/>
        </w:numPr>
        <w:rPr>
          <w:rFonts w:ascii="Arial" w:cs="Arial" w:eastAsia="Arial" w:hAnsi="Arial"/>
          <w:sz w:val="15"/>
          <w:szCs w:val="15"/>
          <w:color w:val="auto"/>
        </w:rPr>
      </w:pPr>
      <w:r>
        <w:rPr>
          <w:rFonts w:ascii="Arial" w:cs="Arial" w:eastAsia="Arial" w:hAnsi="Arial"/>
          <w:sz w:val="15"/>
          <w:szCs w:val="15"/>
          <w:color w:val="auto"/>
        </w:rPr>
        <w:t>General macroeconomic conditions which have a material effect on the Loan Parties’ cost structure.</w:t>
      </w:r>
    </w:p>
    <w:p>
      <w:pPr>
        <w:spacing w:after="0" w:line="79" w:lineRule="exact"/>
        <w:rPr>
          <w:rFonts w:ascii="Arial" w:cs="Arial" w:eastAsia="Arial" w:hAnsi="Arial"/>
          <w:sz w:val="15"/>
          <w:szCs w:val="15"/>
          <w:color w:val="auto"/>
        </w:rPr>
      </w:pPr>
    </w:p>
    <w:p>
      <w:pPr>
        <w:ind w:left="1680" w:hanging="248"/>
        <w:spacing w:after="0"/>
        <w:tabs>
          <w:tab w:leader="none" w:pos="1680" w:val="left"/>
        </w:tabs>
        <w:numPr>
          <w:ilvl w:val="1"/>
          <w:numId w:val="82"/>
        </w:numPr>
        <w:rPr>
          <w:rFonts w:ascii="Arial" w:cs="Arial" w:eastAsia="Arial" w:hAnsi="Arial"/>
          <w:sz w:val="15"/>
          <w:szCs w:val="15"/>
          <w:color w:val="auto"/>
        </w:rPr>
      </w:pPr>
      <w:r>
        <w:rPr>
          <w:rFonts w:ascii="Arial" w:cs="Arial" w:eastAsia="Arial" w:hAnsi="Arial"/>
          <w:sz w:val="15"/>
          <w:szCs w:val="15"/>
          <w:color w:val="auto"/>
        </w:rPr>
        <w:t>Material changes in or to the mix of the Borrowers’ Inventory.</w:t>
      </w:r>
    </w:p>
    <w:p>
      <w:pPr>
        <w:spacing w:after="0" w:line="79" w:lineRule="exact"/>
        <w:rPr>
          <w:rFonts w:ascii="Arial" w:cs="Arial" w:eastAsia="Arial" w:hAnsi="Arial"/>
          <w:sz w:val="15"/>
          <w:szCs w:val="15"/>
          <w:color w:val="auto"/>
        </w:rPr>
      </w:pPr>
    </w:p>
    <w:p>
      <w:pPr>
        <w:ind w:left="1640" w:hanging="208"/>
        <w:spacing w:after="0"/>
        <w:tabs>
          <w:tab w:leader="none" w:pos="1640" w:val="left"/>
        </w:tabs>
        <w:numPr>
          <w:ilvl w:val="1"/>
          <w:numId w:val="82"/>
        </w:numPr>
        <w:rPr>
          <w:rFonts w:ascii="Arial" w:cs="Arial" w:eastAsia="Arial" w:hAnsi="Arial"/>
          <w:sz w:val="15"/>
          <w:szCs w:val="15"/>
          <w:color w:val="auto"/>
        </w:rPr>
      </w:pPr>
      <w:r>
        <w:rPr>
          <w:rFonts w:ascii="Arial" w:cs="Arial" w:eastAsia="Arial" w:hAnsi="Arial"/>
          <w:sz w:val="15"/>
          <w:szCs w:val="15"/>
          <w:color w:val="auto"/>
        </w:rPr>
        <w:t>Seasonality with respect to the Borrowers’ Inventory and patterns of retail sales.</w:t>
      </w:r>
    </w:p>
    <w:p>
      <w:pPr>
        <w:spacing w:after="0" w:line="79" w:lineRule="exact"/>
        <w:rPr>
          <w:rFonts w:ascii="Arial" w:cs="Arial" w:eastAsia="Arial" w:hAnsi="Arial"/>
          <w:sz w:val="15"/>
          <w:szCs w:val="15"/>
          <w:color w:val="auto"/>
        </w:rPr>
      </w:pPr>
    </w:p>
    <w:p>
      <w:pPr>
        <w:ind w:firstLine="1432"/>
        <w:spacing w:after="0" w:line="259" w:lineRule="auto"/>
        <w:tabs>
          <w:tab w:leader="none" w:pos="1679" w:val="left"/>
        </w:tabs>
        <w:numPr>
          <w:ilvl w:val="1"/>
          <w:numId w:val="82"/>
        </w:numPr>
        <w:rPr>
          <w:rFonts w:ascii="Arial" w:cs="Arial" w:eastAsia="Arial" w:hAnsi="Arial"/>
          <w:sz w:val="15"/>
          <w:szCs w:val="15"/>
          <w:color w:val="auto"/>
        </w:rPr>
      </w:pPr>
      <w:r>
        <w:rPr>
          <w:rFonts w:ascii="Arial" w:cs="Arial" w:eastAsia="Arial" w:hAnsi="Arial"/>
          <w:sz w:val="15"/>
          <w:szCs w:val="15"/>
          <w:color w:val="auto"/>
        </w:rPr>
        <w:t>Such other factors as each Agent and each Term Lender reasonably determine as having a material bearing on credit risks associated with the providing of loans and financial accommodations to the Borrowers.</w:t>
      </w:r>
    </w:p>
    <w:p>
      <w:pPr>
        <w:spacing w:after="0" w:line="51" w:lineRule="exact"/>
        <w:rPr>
          <w:rFonts w:ascii="Arial" w:cs="Arial" w:eastAsia="Arial" w:hAnsi="Arial"/>
          <w:sz w:val="15"/>
          <w:szCs w:val="15"/>
          <w:color w:val="auto"/>
        </w:rPr>
      </w:pPr>
    </w:p>
    <w:p>
      <w:pPr>
        <w:ind w:left="-760" w:firstLine="1529"/>
        <w:spacing w:after="0" w:line="259" w:lineRule="auto"/>
        <w:tabs>
          <w:tab w:leader="none" w:pos="975"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burden of establishing the failure of any Agent or any Term Lender to have acted in a reasonable manner in such Person’s exercise of such discretion shall be the Loan Parties’ and may be made only by clear and convincing evidence.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2.18. R</w:t>
      </w:r>
      <w:r>
        <w:rPr>
          <w:rFonts w:ascii="Arial" w:cs="Arial" w:eastAsia="Arial" w:hAnsi="Arial"/>
          <w:sz w:val="10"/>
          <w:szCs w:val="10"/>
          <w:b w:val="1"/>
          <w:bCs w:val="1"/>
          <w:color w:val="auto"/>
        </w:rPr>
        <w:t>ESERVED</w:t>
      </w:r>
      <w:r>
        <w:rPr>
          <w:rFonts w:ascii="Arial" w:cs="Arial" w:eastAsia="Arial" w:hAnsi="Arial"/>
          <w:sz w:val="15"/>
          <w:szCs w:val="15"/>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2.19. C</w:t>
      </w:r>
      <w:r>
        <w:rPr>
          <w:rFonts w:ascii="Arial" w:cs="Arial" w:eastAsia="Arial" w:hAnsi="Arial"/>
          <w:sz w:val="10"/>
          <w:szCs w:val="10"/>
          <w:b w:val="1"/>
          <w:bCs w:val="1"/>
          <w:color w:val="auto"/>
        </w:rPr>
        <w:t>HANGED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IRCUMSTANCES</w:t>
      </w:r>
      <w:r>
        <w:rPr>
          <w:rFonts w:ascii="Arial" w:cs="Arial" w:eastAsia="Arial" w:hAnsi="Arial"/>
          <w:sz w:val="15"/>
          <w:szCs w:val="15"/>
          <w:color w:val="auto"/>
        </w:rPr>
        <w:t>.</w:t>
      </w:r>
    </w:p>
    <w:p>
      <w:pPr>
        <w:spacing w:after="0" w:line="84" w:lineRule="exact"/>
        <w:rPr>
          <w:sz w:val="20"/>
          <w:szCs w:val="20"/>
          <w:color w:val="auto"/>
        </w:rPr>
      </w:pPr>
    </w:p>
    <w:p>
      <w:pPr>
        <w:ind w:left="-760" w:firstLine="1529"/>
        <w:spacing w:after="0" w:line="259" w:lineRule="auto"/>
        <w:tabs>
          <w:tab w:leader="none" w:pos="975"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Administrative Agent may advise the Borrowers’ Representative (in reasonable detail as to the facts and circumstances thereof) that the Administrative Agent has made the good faith determination (which determination, in the absence of manifest error, shall be final and conclusive) of any of the following:</w:t>
      </w:r>
    </w:p>
    <w:p>
      <w:pPr>
        <w:spacing w:after="0" w:line="51" w:lineRule="exact"/>
        <w:rPr>
          <w:rFonts w:ascii="Arial" w:cs="Arial" w:eastAsia="Arial" w:hAnsi="Arial"/>
          <w:sz w:val="15"/>
          <w:szCs w:val="15"/>
          <w:color w:val="auto"/>
        </w:rPr>
      </w:pPr>
    </w:p>
    <w:p>
      <w:pPr>
        <w:ind w:left="1600" w:hanging="168"/>
        <w:spacing w:after="0"/>
        <w:tabs>
          <w:tab w:leader="none" w:pos="1600" w:val="left"/>
        </w:tabs>
        <w:numPr>
          <w:ilvl w:val="1"/>
          <w:numId w:val="83"/>
        </w:numPr>
        <w:rPr>
          <w:rFonts w:ascii="Arial" w:cs="Arial" w:eastAsia="Arial" w:hAnsi="Arial"/>
          <w:sz w:val="15"/>
          <w:szCs w:val="15"/>
          <w:color w:val="auto"/>
        </w:rPr>
      </w:pPr>
      <w:r>
        <w:rPr>
          <w:rFonts w:ascii="Arial" w:cs="Arial" w:eastAsia="Arial" w:hAnsi="Arial"/>
          <w:sz w:val="15"/>
          <w:szCs w:val="15"/>
          <w:color w:val="auto"/>
        </w:rPr>
        <w:t>Adequate and fair means do not exist for ascertaining the Libor Rate.</w:t>
      </w:r>
    </w:p>
    <w:p>
      <w:pPr>
        <w:spacing w:after="0" w:line="79" w:lineRule="exact"/>
        <w:rPr>
          <w:rFonts w:ascii="Arial" w:cs="Arial" w:eastAsia="Arial" w:hAnsi="Arial"/>
          <w:sz w:val="15"/>
          <w:szCs w:val="15"/>
          <w:color w:val="auto"/>
        </w:rPr>
      </w:pPr>
    </w:p>
    <w:p>
      <w:pPr>
        <w:ind w:firstLine="1432"/>
        <w:spacing w:after="0" w:line="259" w:lineRule="auto"/>
        <w:tabs>
          <w:tab w:leader="none" w:pos="1646" w:val="left"/>
        </w:tabs>
        <w:numPr>
          <w:ilvl w:val="1"/>
          <w:numId w:val="83"/>
        </w:numPr>
        <w:rPr>
          <w:rFonts w:ascii="Arial" w:cs="Arial" w:eastAsia="Arial" w:hAnsi="Arial"/>
          <w:sz w:val="15"/>
          <w:szCs w:val="15"/>
          <w:color w:val="auto"/>
        </w:rPr>
      </w:pPr>
      <w:r>
        <w:rPr>
          <w:rFonts w:ascii="Arial" w:cs="Arial" w:eastAsia="Arial" w:hAnsi="Arial"/>
          <w:sz w:val="15"/>
          <w:szCs w:val="15"/>
          <w:color w:val="auto"/>
        </w:rPr>
        <w:t>The indices on which the Libor Rate is based shall no longer represent the effective cost to the Administrative Agent or any Term Lender for U.S. dollar deposits in the interbank market for deposits in which it regularly participates.</w:t>
      </w:r>
    </w:p>
    <w:p>
      <w:pPr>
        <w:spacing w:after="0" w:line="51" w:lineRule="exact"/>
        <w:rPr>
          <w:rFonts w:ascii="Arial" w:cs="Arial" w:eastAsia="Arial" w:hAnsi="Arial"/>
          <w:sz w:val="15"/>
          <w:szCs w:val="15"/>
          <w:color w:val="auto"/>
        </w:rPr>
      </w:pPr>
    </w:p>
    <w:p>
      <w:pPr>
        <w:ind w:left="-760" w:firstLine="1529"/>
        <w:spacing w:after="0" w:line="336" w:lineRule="auto"/>
        <w:tabs>
          <w:tab w:leader="none" w:pos="995"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In the event that the Administrative Agent advises the Borrowers’ Representative of an occurrence described in </w:t>
      </w:r>
      <w:r>
        <w:rPr>
          <w:rFonts w:ascii="Arial" w:cs="Arial" w:eastAsia="Arial" w:hAnsi="Arial"/>
          <w:sz w:val="13"/>
          <w:szCs w:val="13"/>
          <w:u w:val="single" w:color="auto"/>
          <w:color w:val="auto"/>
        </w:rPr>
        <w:t>Section 2.19(a)</w:t>
      </w:r>
      <w:r>
        <w:rPr>
          <w:rFonts w:ascii="Arial" w:cs="Arial" w:eastAsia="Arial" w:hAnsi="Arial"/>
          <w:sz w:val="13"/>
          <w:szCs w:val="13"/>
          <w:color w:val="auto"/>
        </w:rPr>
        <w:t>, then, until the Administrative Agent notifies the Borrowers’ Representative that the circumstances giving rise to such notice no longer apply, interest on the Term Loans shall accrue and be payable at the Alternative Rate.</w:t>
      </w:r>
    </w:p>
    <w:p>
      <w:pPr>
        <w:spacing w:after="0" w:line="85" w:lineRule="exact"/>
        <w:rPr>
          <w:rFonts w:ascii="Arial" w:cs="Arial" w:eastAsia="Arial" w:hAnsi="Arial"/>
          <w:sz w:val="13"/>
          <w:szCs w:val="13"/>
          <w:color w:val="auto"/>
        </w:rPr>
      </w:pPr>
    </w:p>
    <w:p>
      <w:pPr>
        <w:ind w:left="4900" w:hanging="86"/>
        <w:spacing w:after="0"/>
        <w:tabs>
          <w:tab w:leader="none" w:pos="4900" w:val="left"/>
        </w:tabs>
        <w:numPr>
          <w:ilvl w:val="2"/>
          <w:numId w:val="83"/>
        </w:numPr>
        <w:rPr>
          <w:rFonts w:ascii="Arial" w:cs="Arial" w:eastAsia="Arial" w:hAnsi="Arial"/>
          <w:sz w:val="15"/>
          <w:szCs w:val="15"/>
          <w:color w:val="auto"/>
        </w:rPr>
      </w:pPr>
      <w:r>
        <w:rPr>
          <w:rFonts w:ascii="Arial" w:cs="Arial" w:eastAsia="Arial" w:hAnsi="Arial"/>
          <w:sz w:val="15"/>
          <w:szCs w:val="15"/>
          <w:color w:val="auto"/>
        </w:rPr>
        <w:t>26 -</w:t>
      </w:r>
    </w:p>
    <w:p>
      <w:pPr>
        <w:sectPr>
          <w:pgSz w:w="11900" w:h="16838" w:orient="portrait"/>
          <w:cols w:equalWidth="0" w:num="1">
            <w:col w:w="10700"/>
          </w:cols>
          <w:pgMar w:left="980" w:top="284" w:right="219" w:bottom="1440" w:gutter="0" w:footer="0" w:header="0"/>
        </w:sectPr>
      </w:pPr>
    </w:p>
    <w:bookmarkStart w:id="84" w:name="page85"/>
    <w:bookmarkEnd w:id="84"/>
    <w:p>
      <w:pPr>
        <w:ind w:left="760"/>
        <w:spacing w:after="0"/>
        <w:rPr>
          <w:sz w:val="20"/>
          <w:szCs w:val="20"/>
          <w:color w:val="auto"/>
        </w:rPr>
      </w:pPr>
      <w:r>
        <w:rPr>
          <w:rFonts w:ascii="Arial" w:cs="Arial" w:eastAsia="Arial" w:hAnsi="Arial"/>
          <w:sz w:val="15"/>
          <w:szCs w:val="15"/>
          <w:b w:val="1"/>
          <w:bCs w:val="1"/>
          <w:color w:val="auto"/>
        </w:rPr>
        <w:t>2.20. D</w:t>
      </w:r>
      <w:r>
        <w:rPr>
          <w:rFonts w:ascii="Arial" w:cs="Arial" w:eastAsia="Arial" w:hAnsi="Arial"/>
          <w:sz w:val="10"/>
          <w:szCs w:val="10"/>
          <w:b w:val="1"/>
          <w:bCs w:val="1"/>
          <w:color w:val="auto"/>
        </w:rPr>
        <w:t>ESIGNATION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ORROWERS</w:t>
      </w:r>
      <w:r>
        <w:rPr>
          <w:rFonts w:ascii="Arial" w:cs="Arial" w:eastAsia="Arial" w:hAnsi="Arial"/>
          <w:sz w:val="15"/>
          <w:szCs w:val="15"/>
          <w:b w:val="1"/>
          <w:bCs w:val="1"/>
          <w:color w:val="auto"/>
        </w:rPr>
        <w:t>’ R</w:t>
      </w:r>
      <w:r>
        <w:rPr>
          <w:rFonts w:ascii="Arial" w:cs="Arial" w:eastAsia="Arial" w:hAnsi="Arial"/>
          <w:sz w:val="10"/>
          <w:szCs w:val="10"/>
          <w:b w:val="1"/>
          <w:bCs w:val="1"/>
          <w:color w:val="auto"/>
        </w:rPr>
        <w:t>EPRESENTATIVE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ORROWERS</w:t>
      </w:r>
      <w:r>
        <w:rPr>
          <w:rFonts w:ascii="Arial" w:cs="Arial" w:eastAsia="Arial" w:hAnsi="Arial"/>
          <w:sz w:val="15"/>
          <w:szCs w:val="15"/>
          <w:b w:val="1"/>
          <w:bCs w:val="1"/>
          <w:color w:val="auto"/>
        </w:rPr>
        <w:t>’ A</w:t>
      </w:r>
      <w:r>
        <w:rPr>
          <w:rFonts w:ascii="Arial" w:cs="Arial" w:eastAsia="Arial" w:hAnsi="Arial"/>
          <w:sz w:val="10"/>
          <w:szCs w:val="10"/>
          <w:b w:val="1"/>
          <w:bCs w:val="1"/>
          <w:color w:val="auto"/>
        </w:rPr>
        <w:t>GENT</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37" w:val="left"/>
        </w:tabs>
        <w:numPr>
          <w:ilvl w:val="0"/>
          <w:numId w:val="84"/>
        </w:numPr>
        <w:rPr>
          <w:rFonts w:ascii="Arial" w:cs="Arial" w:eastAsia="Arial" w:hAnsi="Arial"/>
          <w:sz w:val="15"/>
          <w:szCs w:val="15"/>
          <w:color w:val="auto"/>
        </w:rPr>
      </w:pPr>
      <w:r>
        <w:rPr>
          <w:rFonts w:ascii="Arial" w:cs="Arial" w:eastAsia="Arial" w:hAnsi="Arial"/>
          <w:sz w:val="15"/>
          <w:szCs w:val="15"/>
          <w:color w:val="auto"/>
        </w:rPr>
        <w:t>Each Borrower and each Loan Party hereby irrevocably designates and appoints the Borrowers’ Representative as their agent under the Term Facility to represent them in all respects under this Agreement and the other Loan Documents.</w:t>
      </w:r>
    </w:p>
    <w:p>
      <w:pPr>
        <w:spacing w:after="0" w:line="51" w:lineRule="exact"/>
        <w:rPr>
          <w:rFonts w:ascii="Arial" w:cs="Arial" w:eastAsia="Arial" w:hAnsi="Arial"/>
          <w:sz w:val="15"/>
          <w:szCs w:val="15"/>
          <w:color w:val="auto"/>
        </w:rPr>
      </w:pPr>
    </w:p>
    <w:p>
      <w:pPr>
        <w:jc w:val="both"/>
        <w:ind w:firstLine="1529"/>
        <w:spacing w:after="0" w:line="275" w:lineRule="auto"/>
        <w:tabs>
          <w:tab w:leader="none" w:pos="1748" w:val="left"/>
        </w:tabs>
        <w:numPr>
          <w:ilvl w:val="0"/>
          <w:numId w:val="84"/>
        </w:numPr>
        <w:rPr>
          <w:rFonts w:ascii="Arial" w:cs="Arial" w:eastAsia="Arial" w:hAnsi="Arial"/>
          <w:sz w:val="14"/>
          <w:szCs w:val="14"/>
          <w:color w:val="auto"/>
        </w:rPr>
      </w:pPr>
      <w:r>
        <w:rPr>
          <w:rFonts w:ascii="Arial" w:cs="Arial" w:eastAsia="Arial" w:hAnsi="Arial"/>
          <w:sz w:val="14"/>
          <w:szCs w:val="14"/>
          <w:color w:val="auto"/>
        </w:rPr>
        <w:t>Each Borrower recognizes that credit available to it under the Term Facility is in excess of and on better terms than it otherwise could obtain on and for its own account and that one of the reasons therefor is its joining in the credit facility contemplated herein with all other Borrowers. Consequently, each Borrower hereby assumes and agrees to discharge all Liabilities of each of the other Borrowers as if the Borrower which is so assuming and agreeing was each of the other Borrowers.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2.21.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b w:val="1"/>
          <w:bCs w:val="1"/>
          <w:color w:val="auto"/>
        </w:rPr>
        <w:t>’ C</w:t>
      </w:r>
      <w:r>
        <w:rPr>
          <w:rFonts w:ascii="Arial" w:cs="Arial" w:eastAsia="Arial" w:hAnsi="Arial"/>
          <w:sz w:val="10"/>
          <w:szCs w:val="10"/>
          <w:b w:val="1"/>
          <w:bCs w:val="1"/>
          <w:color w:val="auto"/>
        </w:rPr>
        <w:t>OMMITMENTS</w:t>
      </w:r>
      <w:r>
        <w:rPr>
          <w:rFonts w:ascii="Arial" w:cs="Arial" w:eastAsia="Arial" w:hAnsi="Arial"/>
          <w:sz w:val="15"/>
          <w:szCs w:val="15"/>
          <w:color w:val="auto"/>
        </w:rPr>
        <w:t>.</w:t>
      </w:r>
    </w:p>
    <w:p>
      <w:pPr>
        <w:spacing w:after="0" w:line="80" w:lineRule="exact"/>
        <w:rPr>
          <w:sz w:val="20"/>
          <w:szCs w:val="20"/>
          <w:color w:val="auto"/>
        </w:rPr>
      </w:pPr>
    </w:p>
    <w:p>
      <w:pPr>
        <w:ind w:firstLine="1529"/>
        <w:spacing w:after="0" w:line="265" w:lineRule="auto"/>
        <w:tabs>
          <w:tab w:leader="none" w:pos="1740"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16.1</w:t>
      </w:r>
      <w:r>
        <w:rPr>
          <w:rFonts w:ascii="Arial" w:cs="Arial" w:eastAsia="Arial" w:hAnsi="Arial"/>
          <w:sz w:val="15"/>
          <w:szCs w:val="15"/>
          <w:color w:val="auto"/>
        </w:rPr>
        <w:t xml:space="preserve"> (which provides for assignments and assumptions of commitments), each Term Lender’s </w:t>
      </w:r>
      <w:r>
        <w:rPr>
          <w:rFonts w:ascii="Arial" w:cs="Arial" w:eastAsia="Arial" w:hAnsi="Arial"/>
          <w:sz w:val="15"/>
          <w:szCs w:val="15"/>
          <w:b w:val="1"/>
          <w:bCs w:val="1"/>
          <w:color w:val="auto"/>
        </w:rPr>
        <w:t>“Term Percentage Commitment”</w:t>
      </w:r>
      <w:r>
        <w:rPr>
          <w:rFonts w:ascii="Arial" w:cs="Arial" w:eastAsia="Arial" w:hAnsi="Arial"/>
          <w:sz w:val="15"/>
          <w:szCs w:val="15"/>
          <w:color w:val="auto"/>
        </w:rPr>
        <w:t xml:space="preserve"> and </w:t>
      </w:r>
      <w:r>
        <w:rPr>
          <w:rFonts w:ascii="Arial" w:cs="Arial" w:eastAsia="Arial" w:hAnsi="Arial"/>
          <w:sz w:val="15"/>
          <w:szCs w:val="15"/>
          <w:b w:val="1"/>
          <w:bCs w:val="1"/>
          <w:color w:val="auto"/>
        </w:rPr>
        <w:t>“Term</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Dollar Commitment” </w:t>
      </w:r>
      <w:r>
        <w:rPr>
          <w:rFonts w:ascii="Arial" w:cs="Arial" w:eastAsia="Arial" w:hAnsi="Arial"/>
          <w:sz w:val="15"/>
          <w:szCs w:val="15"/>
          <w:color w:val="auto"/>
        </w:rPr>
        <w:t>(respectively so referred to herein) is set forth on</w:t>
      </w:r>
      <w:r>
        <w:rPr>
          <w:rFonts w:ascii="Arial" w:cs="Arial" w:eastAsia="Arial" w:hAnsi="Arial"/>
          <w:sz w:val="15"/>
          <w:szCs w:val="15"/>
          <w:b w:val="1"/>
          <w:bCs w:val="1"/>
          <w:color w:val="auto"/>
        </w:rPr>
        <w:t xml:space="preserve"> EXHIBIT 2.21</w:t>
      </w:r>
      <w:r>
        <w:rPr>
          <w:rFonts w:ascii="Arial" w:cs="Arial" w:eastAsia="Arial" w:hAnsi="Arial"/>
          <w:sz w:val="15"/>
          <w:szCs w:val="15"/>
          <w:color w:val="auto"/>
        </w:rPr>
        <w:t>, annexed hereto.</w:t>
      </w:r>
    </w:p>
    <w:p>
      <w:pPr>
        <w:spacing w:after="0" w:line="46" w:lineRule="exact"/>
        <w:rPr>
          <w:rFonts w:ascii="Arial" w:cs="Arial" w:eastAsia="Arial" w:hAnsi="Arial"/>
          <w:sz w:val="15"/>
          <w:szCs w:val="15"/>
          <w:color w:val="auto"/>
        </w:rPr>
      </w:pPr>
    </w:p>
    <w:p>
      <w:pPr>
        <w:ind w:firstLine="1529"/>
        <w:spacing w:after="0" w:line="259" w:lineRule="auto"/>
        <w:tabs>
          <w:tab w:leader="none" w:pos="1744"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obligations of each Term Lender are several and not joint. No Term Lender shall have any obligation to make any loan or advance under the Term Facility in excess of either of the following:</w:t>
      </w:r>
    </w:p>
    <w:p>
      <w:pPr>
        <w:spacing w:after="0" w:line="51" w:lineRule="exact"/>
        <w:rPr>
          <w:rFonts w:ascii="Arial" w:cs="Arial" w:eastAsia="Arial" w:hAnsi="Arial"/>
          <w:sz w:val="15"/>
          <w:szCs w:val="15"/>
          <w:color w:val="auto"/>
        </w:rPr>
      </w:pPr>
    </w:p>
    <w:p>
      <w:pPr>
        <w:ind w:left="2360" w:hanging="168"/>
        <w:spacing w:after="0"/>
        <w:tabs>
          <w:tab w:leader="none" w:pos="2360" w:val="left"/>
        </w:tabs>
        <w:numPr>
          <w:ilvl w:val="1"/>
          <w:numId w:val="85"/>
        </w:numPr>
        <w:rPr>
          <w:rFonts w:ascii="Arial" w:cs="Arial" w:eastAsia="Arial" w:hAnsi="Arial"/>
          <w:sz w:val="15"/>
          <w:szCs w:val="15"/>
          <w:color w:val="auto"/>
        </w:rPr>
      </w:pPr>
      <w:r>
        <w:rPr>
          <w:rFonts w:ascii="Arial" w:cs="Arial" w:eastAsia="Arial" w:hAnsi="Arial"/>
          <w:sz w:val="15"/>
          <w:szCs w:val="15"/>
          <w:color w:val="auto"/>
        </w:rPr>
        <w:t>That Term Lender’s Term Percentage Commitment of the subject loan.</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1"/>
          <w:numId w:val="85"/>
        </w:numPr>
        <w:rPr>
          <w:rFonts w:ascii="Arial" w:cs="Arial" w:eastAsia="Arial" w:hAnsi="Arial"/>
          <w:sz w:val="15"/>
          <w:szCs w:val="15"/>
          <w:color w:val="auto"/>
        </w:rPr>
      </w:pPr>
      <w:r>
        <w:rPr>
          <w:rFonts w:ascii="Arial" w:cs="Arial" w:eastAsia="Arial" w:hAnsi="Arial"/>
          <w:sz w:val="15"/>
          <w:szCs w:val="15"/>
          <w:color w:val="auto"/>
        </w:rPr>
        <w:t>That Term Lender’s Term Dollar Commitment.</w:t>
      </w:r>
    </w:p>
    <w:p>
      <w:pPr>
        <w:spacing w:after="0" w:line="79" w:lineRule="exact"/>
        <w:rPr>
          <w:rFonts w:ascii="Arial" w:cs="Arial" w:eastAsia="Arial" w:hAnsi="Arial"/>
          <w:sz w:val="15"/>
          <w:szCs w:val="15"/>
          <w:color w:val="auto"/>
        </w:rPr>
      </w:pPr>
    </w:p>
    <w:p>
      <w:pPr>
        <w:ind w:firstLine="1529"/>
        <w:spacing w:after="0" w:line="259" w:lineRule="auto"/>
        <w:tabs>
          <w:tab w:leader="none" w:pos="1730" w:val="left"/>
        </w:tabs>
        <w:numPr>
          <w:ilvl w:val="0"/>
          <w:numId w:val="85"/>
        </w:numPr>
        <w:rPr>
          <w:rFonts w:ascii="Arial" w:cs="Arial" w:eastAsia="Arial" w:hAnsi="Arial"/>
          <w:sz w:val="15"/>
          <w:szCs w:val="15"/>
          <w:color w:val="auto"/>
        </w:rPr>
      </w:pPr>
      <w:r>
        <w:rPr>
          <w:rFonts w:ascii="Arial" w:cs="Arial" w:eastAsia="Arial" w:hAnsi="Arial"/>
          <w:sz w:val="15"/>
          <w:szCs w:val="15"/>
          <w:color w:val="auto"/>
        </w:rPr>
        <w:t>No Term Lender shall have any liability to the Borrowers on account of the failure of any other Term Lender to provide any loan or advance under the Term Facility nor any obligation to make up any shortfall which may be created by such failure.</w:t>
      </w:r>
    </w:p>
    <w:p>
      <w:pPr>
        <w:spacing w:after="0" w:line="51" w:lineRule="exact"/>
        <w:rPr>
          <w:rFonts w:ascii="Arial" w:cs="Arial" w:eastAsia="Arial" w:hAnsi="Arial"/>
          <w:sz w:val="15"/>
          <w:szCs w:val="15"/>
          <w:color w:val="auto"/>
        </w:rPr>
      </w:pPr>
    </w:p>
    <w:p>
      <w:pPr>
        <w:ind w:firstLine="1529"/>
        <w:spacing w:after="0" w:line="336" w:lineRule="auto"/>
        <w:tabs>
          <w:tab w:leader="none" w:pos="1741" w:val="left"/>
        </w:tabs>
        <w:numPr>
          <w:ilvl w:val="0"/>
          <w:numId w:val="85"/>
        </w:numPr>
        <w:rPr>
          <w:rFonts w:ascii="Arial" w:cs="Arial" w:eastAsia="Arial" w:hAnsi="Arial"/>
          <w:sz w:val="13"/>
          <w:szCs w:val="13"/>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16.1</w:t>
      </w:r>
      <w:r>
        <w:rPr>
          <w:rFonts w:ascii="Arial" w:cs="Arial" w:eastAsia="Arial" w:hAnsi="Arial"/>
          <w:sz w:val="13"/>
          <w:szCs w:val="13"/>
          <w:color w:val="auto"/>
        </w:rPr>
        <w:t>, the Term Dollar Commitments, Term Percentage Commitments, and identities of the Term Lenders may be changed, from time to time by the reallocation or assignment of Term Dollar Commitments and Term Percentage Commitments among the Term Lenders or with other Persons who determine to become a Term Lender.</w:t>
      </w:r>
    </w:p>
    <w:p>
      <w:pPr>
        <w:spacing w:after="0" w:line="4" w:lineRule="exact"/>
        <w:rPr>
          <w:rFonts w:ascii="Arial" w:cs="Arial" w:eastAsia="Arial" w:hAnsi="Arial"/>
          <w:sz w:val="13"/>
          <w:szCs w:val="13"/>
          <w:color w:val="auto"/>
        </w:rPr>
      </w:pPr>
    </w:p>
    <w:p>
      <w:pPr>
        <w:ind w:left="1740" w:hanging="211"/>
        <w:spacing w:after="0"/>
        <w:tabs>
          <w:tab w:leader="none" w:pos="17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 xml:space="preserve">Upon written notice given the Borrowers’ Representative from time to time by the Administrative Agent of any assignment or allocation referenced in </w:t>
      </w:r>
      <w:r>
        <w:rPr>
          <w:rFonts w:ascii="Arial" w:cs="Arial" w:eastAsia="Arial" w:hAnsi="Arial"/>
          <w:sz w:val="14"/>
          <w:szCs w:val="14"/>
          <w:u w:val="single" w:color="auto"/>
          <w:color w:val="auto"/>
        </w:rPr>
        <w:t>Section</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u w:val="single" w:color="auto"/>
          <w:color w:val="auto"/>
        </w:rPr>
        <w:t>2.21(d)</w:t>
      </w:r>
      <w:r>
        <w:rPr>
          <w:rFonts w:ascii="Arial" w:cs="Arial" w:eastAsia="Arial" w:hAnsi="Arial"/>
          <w:sz w:val="15"/>
          <w:szCs w:val="15"/>
          <w:color w:val="auto"/>
        </w:rPr>
        <w:t>:</w:t>
      </w:r>
    </w:p>
    <w:p>
      <w:pPr>
        <w:spacing w:after="0" w:line="67" w:lineRule="exact"/>
        <w:rPr>
          <w:rFonts w:ascii="Arial" w:cs="Arial" w:eastAsia="Arial" w:hAnsi="Arial"/>
          <w:sz w:val="14"/>
          <w:szCs w:val="14"/>
          <w:color w:val="auto"/>
        </w:rPr>
      </w:pPr>
    </w:p>
    <w:p>
      <w:pPr>
        <w:jc w:val="both"/>
        <w:ind w:left="760" w:firstLine="1432"/>
        <w:spacing w:after="0" w:line="243" w:lineRule="auto"/>
        <w:tabs>
          <w:tab w:leader="none" w:pos="2370" w:val="left"/>
        </w:tabs>
        <w:numPr>
          <w:ilvl w:val="1"/>
          <w:numId w:val="85"/>
        </w:numPr>
        <w:rPr>
          <w:rFonts w:ascii="Arial" w:cs="Arial" w:eastAsia="Arial" w:hAnsi="Arial"/>
          <w:sz w:val="15"/>
          <w:szCs w:val="15"/>
          <w:color w:val="auto"/>
        </w:rPr>
      </w:pPr>
      <w:r>
        <w:rPr>
          <w:rFonts w:ascii="Arial" w:cs="Arial" w:eastAsia="Arial" w:hAnsi="Arial"/>
          <w:sz w:val="15"/>
          <w:szCs w:val="15"/>
          <w:color w:val="auto"/>
        </w:rPr>
        <w:t xml:space="preserve">Each Borrower shall execute one or more replacement Term Notes to reflect such changed Term Dollar Commitments, Term Commitment Percentages, and identities and shall deliver such replacement Term Notes to the Administrative Agent (which promptly thereafter shall deliver to the Borrowers’ Representative the Term Notes so replaced);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in the event that a Term Note is to be exchanged following its acceleration or the entry of an order for relief under the Bankruptcy Code with respect to any Borrower, the Administrative Agent, in lieu of causing the Borrowers to execute one or more new Term Notes, may issue the Administrative Agent’s Certificate confirming the resulting Term Dollar Commitments and Term Percentage Commitments.</w:t>
      </w:r>
    </w:p>
    <w:p>
      <w:pPr>
        <w:spacing w:after="0" w:line="64" w:lineRule="exact"/>
        <w:rPr>
          <w:rFonts w:ascii="Arial" w:cs="Arial" w:eastAsia="Arial" w:hAnsi="Arial"/>
          <w:sz w:val="15"/>
          <w:szCs w:val="15"/>
          <w:color w:val="auto"/>
        </w:rPr>
      </w:pPr>
    </w:p>
    <w:p>
      <w:pPr>
        <w:jc w:val="both"/>
        <w:ind w:left="760" w:firstLine="1432"/>
        <w:spacing w:after="0" w:line="275" w:lineRule="auto"/>
        <w:tabs>
          <w:tab w:leader="none" w:pos="2418" w:val="left"/>
        </w:tabs>
        <w:numPr>
          <w:ilvl w:val="1"/>
          <w:numId w:val="85"/>
        </w:numPr>
        <w:rPr>
          <w:rFonts w:ascii="Arial" w:cs="Arial" w:eastAsia="Arial" w:hAnsi="Arial"/>
          <w:sz w:val="14"/>
          <w:szCs w:val="14"/>
          <w:color w:val="auto"/>
        </w:rPr>
      </w:pPr>
      <w:r>
        <w:rPr>
          <w:rFonts w:ascii="Arial" w:cs="Arial" w:eastAsia="Arial" w:hAnsi="Arial"/>
          <w:sz w:val="14"/>
          <w:szCs w:val="14"/>
          <w:color w:val="auto"/>
        </w:rPr>
        <w:t>Such change shall be effective from the effective date specified in such written notice and any Person added as a Term Lender shall have all rights, privileges, and obligations of a Term Lender hereunder thereafter as if such Person had been a signatory to this Agreement and any other Loan Document to which a Term Lender is a signatory and any Person removed as a Term Lender shall be relieved of any obligations or responsibilities of a Term Lender hereunder thereafter.</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3 - C</w:t>
      </w:r>
      <w:r>
        <w:rPr>
          <w:rFonts w:ascii="Arial" w:cs="Arial" w:eastAsia="Arial" w:hAnsi="Arial"/>
          <w:sz w:val="10"/>
          <w:szCs w:val="10"/>
          <w:b w:val="1"/>
          <w:bCs w:val="1"/>
          <w:color w:val="auto"/>
        </w:rPr>
        <w:t>ONDITIONS</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RECEDENT</w:t>
      </w:r>
      <w:r>
        <w:rPr>
          <w:rFonts w:ascii="Arial" w:cs="Arial" w:eastAsia="Arial" w:hAnsi="Arial"/>
          <w:sz w:val="15"/>
          <w:szCs w:val="15"/>
          <w:b w:val="1"/>
          <w:bCs w:val="1"/>
          <w:color w:val="auto"/>
        </w:rPr>
        <w:t>:</w:t>
      </w:r>
    </w:p>
    <w:p>
      <w:pPr>
        <w:spacing w:after="0" w:line="164" w:lineRule="exact"/>
        <w:rPr>
          <w:sz w:val="20"/>
          <w:szCs w:val="20"/>
          <w:color w:val="auto"/>
        </w:rPr>
      </w:pPr>
    </w:p>
    <w:p>
      <w:pPr>
        <w:ind w:firstLine="765"/>
        <w:spacing w:after="0" w:line="259" w:lineRule="auto"/>
        <w:rPr>
          <w:sz w:val="20"/>
          <w:szCs w:val="20"/>
          <w:color w:val="auto"/>
        </w:rPr>
      </w:pPr>
      <w:r>
        <w:rPr>
          <w:rFonts w:ascii="Arial" w:cs="Arial" w:eastAsia="Arial" w:hAnsi="Arial"/>
          <w:sz w:val="15"/>
          <w:szCs w:val="15"/>
          <w:color w:val="auto"/>
        </w:rPr>
        <w:t>The effectiveness of this Agreement, the establishment of the Term Facility, and the obligation of each Term Lender to make its portion Term Loans shall be subject to the satisfaction of each of the following conditions precedent:</w:t>
      </w:r>
    </w:p>
    <w:p>
      <w:pPr>
        <w:spacing w:after="0" w:line="51" w:lineRule="exact"/>
        <w:rPr>
          <w:sz w:val="20"/>
          <w:szCs w:val="20"/>
          <w:color w:val="auto"/>
        </w:rPr>
      </w:pPr>
    </w:p>
    <w:p>
      <w:pPr>
        <w:ind w:firstLine="1529"/>
        <w:spacing w:after="0" w:line="295" w:lineRule="auto"/>
        <w:tabs>
          <w:tab w:leader="none" w:pos="173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Administrative Agent’s receipt of the following, each of which shall be originals, telecopies or other electronic image scan transmission (e.g., “pdf” or “tif ” via e-mail) (followed promptly by originals) unless otherwise specified, each properly executed by an authorized officer of the signing Loan Party or the Term Lenders, as</w:t>
      </w:r>
    </w:p>
    <w:p>
      <w:pPr>
        <w:spacing w:after="0" w:line="108" w:lineRule="exact"/>
        <w:rPr>
          <w:rFonts w:ascii="Arial" w:cs="Arial" w:eastAsia="Arial" w:hAnsi="Arial"/>
          <w:sz w:val="14"/>
          <w:szCs w:val="14"/>
          <w:color w:val="auto"/>
        </w:rPr>
      </w:pPr>
    </w:p>
    <w:p>
      <w:pPr>
        <w:ind w:left="5660" w:hanging="86"/>
        <w:spacing w:after="0"/>
        <w:tabs>
          <w:tab w:leader="none" w:pos="5660" w:val="left"/>
        </w:tabs>
        <w:numPr>
          <w:ilvl w:val="1"/>
          <w:numId w:val="86"/>
        </w:numPr>
        <w:rPr>
          <w:rFonts w:ascii="Arial" w:cs="Arial" w:eastAsia="Arial" w:hAnsi="Arial"/>
          <w:sz w:val="15"/>
          <w:szCs w:val="15"/>
          <w:color w:val="auto"/>
        </w:rPr>
      </w:pPr>
      <w:r>
        <w:rPr>
          <w:rFonts w:ascii="Arial" w:cs="Arial" w:eastAsia="Arial" w:hAnsi="Arial"/>
          <w:sz w:val="15"/>
          <w:szCs w:val="15"/>
          <w:color w:val="auto"/>
        </w:rPr>
        <w:t>27 -</w:t>
      </w:r>
    </w:p>
    <w:p>
      <w:pPr>
        <w:sectPr>
          <w:pgSz w:w="11900" w:h="16838" w:orient="portrait"/>
          <w:cols w:equalWidth="0" w:num="1">
            <w:col w:w="11460"/>
          </w:cols>
          <w:pgMar w:left="220" w:top="284" w:right="219" w:bottom="1440" w:gutter="0" w:footer="0" w:header="0"/>
        </w:sectPr>
      </w:pPr>
    </w:p>
    <w:bookmarkStart w:id="85" w:name="page86"/>
    <w:bookmarkEnd w:id="85"/>
    <w:p>
      <w:pPr>
        <w:spacing w:after="0"/>
        <w:rPr>
          <w:sz w:val="20"/>
          <w:szCs w:val="20"/>
          <w:color w:val="auto"/>
        </w:rPr>
      </w:pPr>
      <w:r>
        <w:rPr>
          <w:rFonts w:ascii="Arial" w:cs="Arial" w:eastAsia="Arial" w:hAnsi="Arial"/>
          <w:sz w:val="13"/>
          <w:szCs w:val="13"/>
          <w:color w:val="auto"/>
        </w:rPr>
        <w:t>applicable, each dated the Closing Date (or, in the case of certificates of governmental officials, a recent date before the Closing Date) and each in form and substance satisfactory to the Agent:</w:t>
      </w:r>
    </w:p>
    <w:p>
      <w:pPr>
        <w:spacing w:after="0" w:line="103" w:lineRule="exact"/>
        <w:rPr>
          <w:sz w:val="20"/>
          <w:szCs w:val="20"/>
          <w:color w:val="auto"/>
        </w:rPr>
      </w:pPr>
    </w:p>
    <w:p>
      <w:pPr>
        <w:ind w:left="2360" w:hanging="168"/>
        <w:spacing w:after="0"/>
        <w:tabs>
          <w:tab w:leader="none" w:pos="23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executed counterparts of this Agreement sufficient in number for distribution to the Agents, each Term Lender and the Borrowers’ Representative;</w:t>
      </w:r>
    </w:p>
    <w:p>
      <w:pPr>
        <w:spacing w:after="0" w:line="91" w:lineRule="exact"/>
        <w:rPr>
          <w:rFonts w:ascii="Arial" w:cs="Arial" w:eastAsia="Arial" w:hAnsi="Arial"/>
          <w:sz w:val="14"/>
          <w:szCs w:val="14"/>
          <w:color w:val="auto"/>
        </w:rPr>
      </w:pPr>
    </w:p>
    <w:p>
      <w:pPr>
        <w:ind w:left="2400" w:hanging="208"/>
        <w:spacing w:after="0"/>
        <w:tabs>
          <w:tab w:leader="none" w:pos="24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 Term Note executed by the Borrowers in favor of each Term Lender requesting a Term Note;</w:t>
      </w:r>
    </w:p>
    <w:p>
      <w:pPr>
        <w:spacing w:after="0" w:line="79" w:lineRule="exact"/>
        <w:rPr>
          <w:rFonts w:ascii="Arial" w:cs="Arial" w:eastAsia="Arial" w:hAnsi="Arial"/>
          <w:sz w:val="15"/>
          <w:szCs w:val="15"/>
          <w:color w:val="auto"/>
        </w:rPr>
      </w:pPr>
    </w:p>
    <w:p>
      <w:pPr>
        <w:ind w:left="2460" w:hanging="268"/>
        <w:spacing w:after="0"/>
        <w:tabs>
          <w:tab w:leader="none" w:pos="2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Revolver Amendment executed by the parties thereto, upon terms and conditions acceptable to the Administrative Agent;</w:t>
      </w:r>
    </w:p>
    <w:p>
      <w:pPr>
        <w:spacing w:after="0" w:line="79" w:lineRule="exact"/>
        <w:rPr>
          <w:rFonts w:ascii="Arial" w:cs="Arial" w:eastAsia="Arial" w:hAnsi="Arial"/>
          <w:sz w:val="15"/>
          <w:szCs w:val="15"/>
          <w:color w:val="auto"/>
        </w:rPr>
      </w:pPr>
    </w:p>
    <w:p>
      <w:pPr>
        <w:ind w:left="2480" w:hanging="288"/>
        <w:spacing w:after="0"/>
        <w:tabs>
          <w:tab w:leader="none" w:pos="2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Intercreditor Agreement executed by the parties thereto and acknowledged by the Borrowers, upon terms and conditions acceptable to the</w:t>
      </w:r>
    </w:p>
    <w:p>
      <w:pPr>
        <w:spacing w:after="0" w:line="2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Administrative Agent;</w:t>
      </w:r>
    </w:p>
    <w:p>
      <w:pPr>
        <w:spacing w:after="0" w:line="68" w:lineRule="exact"/>
        <w:rPr>
          <w:sz w:val="20"/>
          <w:szCs w:val="20"/>
          <w:color w:val="auto"/>
        </w:rPr>
      </w:pPr>
    </w:p>
    <w:p>
      <w:pPr>
        <w:jc w:val="both"/>
        <w:ind w:left="760" w:firstLine="1432"/>
        <w:spacing w:after="0" w:line="245" w:lineRule="auto"/>
        <w:tabs>
          <w:tab w:leader="none" w:pos="2424" w:val="left"/>
        </w:tabs>
        <w:numPr>
          <w:ilvl w:val="0"/>
          <w:numId w:val="88"/>
        </w:numPr>
        <w:rPr>
          <w:rFonts w:ascii="Arial" w:cs="Arial" w:eastAsia="Arial" w:hAnsi="Arial"/>
          <w:sz w:val="15"/>
          <w:szCs w:val="15"/>
          <w:color w:val="auto"/>
        </w:rPr>
      </w:pPr>
      <w:r>
        <w:rPr>
          <w:rFonts w:ascii="Arial" w:cs="Arial" w:eastAsia="Arial" w:hAnsi="Arial"/>
          <w:sz w:val="15"/>
          <w:szCs w:val="15"/>
          <w:color w:val="auto"/>
        </w:rPr>
        <w:t>such certificates of resolutions or other action, incumbency certificates and/or other certificates of authorized officers of each Loan Party as the Administrative Agent may require evidencing (A) the authority of each Loan Party to enter into this Agreement and the other Loan Documents to which such Loan Party is a party or is to become a party and (B) the identity, authority and capacity of each authorized officer thereof authorized to act as an authorized officer in connection with this Agreement and the other Loan Documents to which such Loan Party is a party or is to become a party;</w:t>
      </w:r>
    </w:p>
    <w:p>
      <w:pPr>
        <w:spacing w:after="0" w:line="62" w:lineRule="exact"/>
        <w:rPr>
          <w:rFonts w:ascii="Arial" w:cs="Arial" w:eastAsia="Arial" w:hAnsi="Arial"/>
          <w:sz w:val="15"/>
          <w:szCs w:val="15"/>
          <w:color w:val="auto"/>
        </w:rPr>
      </w:pPr>
    </w:p>
    <w:p>
      <w:pPr>
        <w:jc w:val="both"/>
        <w:ind w:left="760" w:firstLine="1432"/>
        <w:spacing w:after="0" w:line="245" w:lineRule="auto"/>
        <w:tabs>
          <w:tab w:leader="none" w:pos="2438"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copies of each Loan Party’s organization documents and such other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62" w:lineRule="exact"/>
        <w:rPr>
          <w:rFonts w:ascii="Arial" w:cs="Arial" w:eastAsia="Arial" w:hAnsi="Arial"/>
          <w:sz w:val="15"/>
          <w:szCs w:val="15"/>
          <w:color w:val="auto"/>
        </w:rPr>
      </w:pPr>
    </w:p>
    <w:p>
      <w:pPr>
        <w:ind w:left="760" w:firstLine="1432"/>
        <w:spacing w:after="0" w:line="259" w:lineRule="auto"/>
        <w:tabs>
          <w:tab w:leader="none" w:pos="2502"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favorable opinion of Greenberg Traurig, LLP, counsel to the Loan Parties, addressed to the Agents and each Term Lender, as to such matters concerning the Loan Parties and the Loan Documents as the Administrative Agent may reasonably request;</w:t>
      </w:r>
    </w:p>
    <w:p>
      <w:pPr>
        <w:spacing w:after="0" w:line="51" w:lineRule="exact"/>
        <w:rPr>
          <w:rFonts w:ascii="Arial" w:cs="Arial" w:eastAsia="Arial" w:hAnsi="Arial"/>
          <w:sz w:val="15"/>
          <w:szCs w:val="15"/>
          <w:color w:val="auto"/>
        </w:rPr>
      </w:pPr>
    </w:p>
    <w:p>
      <w:pPr>
        <w:ind w:left="2540" w:hanging="348"/>
        <w:spacing w:after="0"/>
        <w:tabs>
          <w:tab w:leader="none" w:pos="25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Certificates executed by (a) either the President or the Chief Executive Officer and (b) the Chief Financial Officer of the Borrowers’ Representative</w:t>
      </w:r>
    </w:p>
    <w:p>
      <w:pPr>
        <w:spacing w:after="0" w:line="33"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5"/>
          <w:szCs w:val="15"/>
          <w:color w:val="auto"/>
        </w:rPr>
        <w:t>and stating that:</w:t>
      </w:r>
    </w:p>
    <w:p>
      <w:pPr>
        <w:spacing w:after="0" w:line="77" w:lineRule="exact"/>
        <w:rPr>
          <w:rFonts w:ascii="Arial" w:cs="Arial" w:eastAsia="Arial" w:hAnsi="Arial"/>
          <w:sz w:val="13"/>
          <w:szCs w:val="13"/>
          <w:color w:val="auto"/>
        </w:rPr>
      </w:pPr>
    </w:p>
    <w:p>
      <w:pPr>
        <w:jc w:val="both"/>
        <w:ind w:left="1520" w:firstLine="1334"/>
        <w:spacing w:after="0" w:line="288" w:lineRule="auto"/>
        <w:tabs>
          <w:tab w:leader="none" w:pos="3119" w:val="left"/>
        </w:tabs>
        <w:numPr>
          <w:ilvl w:val="1"/>
          <w:numId w:val="88"/>
        </w:numPr>
        <w:rPr>
          <w:rFonts w:ascii="Arial" w:cs="Arial" w:eastAsia="Arial" w:hAnsi="Arial"/>
          <w:sz w:val="14"/>
          <w:szCs w:val="14"/>
          <w:color w:val="auto"/>
        </w:rPr>
      </w:pPr>
      <w:r>
        <w:rPr>
          <w:rFonts w:ascii="Arial" w:cs="Arial" w:eastAsia="Arial" w:hAnsi="Arial"/>
          <w:sz w:val="13"/>
          <w:szCs w:val="13"/>
          <w:color w:val="auto"/>
        </w:rPr>
        <w:t>The representations and warranties made by the Loan Parties to the Agents and the Term Lenders in this Agreement and the other Loan Documents are true and complete in all material respects as of the Closing Date, except (i) to the extent that such representations and warranties specifically refer to an earlier date, in which case such representations and warranties shall be true and complete in all material respects as of such earlier date, and (ii) in the case of any such representations and warranties that are qualified by materiality, such representations and warranties shall be true and complete in all respects.</w:t>
      </w:r>
    </w:p>
    <w:p>
      <w:pPr>
        <w:spacing w:after="0" w:line="45" w:lineRule="exact"/>
        <w:rPr>
          <w:rFonts w:ascii="Arial" w:cs="Arial" w:eastAsia="Arial" w:hAnsi="Arial"/>
          <w:sz w:val="14"/>
          <w:szCs w:val="14"/>
          <w:color w:val="auto"/>
        </w:rPr>
      </w:pPr>
    </w:p>
    <w:p>
      <w:pPr>
        <w:ind w:left="3100" w:hanging="246"/>
        <w:spacing w:after="0"/>
        <w:tabs>
          <w:tab w:leader="none" w:pos="3100" w:val="left"/>
        </w:tabs>
        <w:numPr>
          <w:ilvl w:val="1"/>
          <w:numId w:val="88"/>
        </w:numPr>
        <w:rPr>
          <w:rFonts w:ascii="Arial" w:cs="Arial" w:eastAsia="Arial" w:hAnsi="Arial"/>
          <w:sz w:val="15"/>
          <w:szCs w:val="15"/>
          <w:color w:val="auto"/>
        </w:rPr>
      </w:pPr>
      <w:r>
        <w:rPr>
          <w:rFonts w:ascii="Arial" w:cs="Arial" w:eastAsia="Arial" w:hAnsi="Arial"/>
          <w:sz w:val="14"/>
          <w:szCs w:val="14"/>
          <w:color w:val="auto"/>
        </w:rPr>
        <w:t>No event has occurred which is or which, solely with the giving of notice or passage of time (or both) would be, an Event of Default.</w:t>
      </w:r>
    </w:p>
    <w:p>
      <w:pPr>
        <w:spacing w:after="0" w:line="89" w:lineRule="exact"/>
        <w:rPr>
          <w:rFonts w:ascii="Arial" w:cs="Arial" w:eastAsia="Arial" w:hAnsi="Arial"/>
          <w:sz w:val="15"/>
          <w:szCs w:val="15"/>
          <w:color w:val="auto"/>
        </w:rPr>
      </w:pPr>
    </w:p>
    <w:p>
      <w:pPr>
        <w:jc w:val="both"/>
        <w:ind w:left="1520" w:firstLine="1334"/>
        <w:spacing w:after="0" w:line="241" w:lineRule="auto"/>
        <w:tabs>
          <w:tab w:leader="none" w:pos="3120" w:val="left"/>
        </w:tabs>
        <w:numPr>
          <w:ilvl w:val="1"/>
          <w:numId w:val="88"/>
        </w:numPr>
        <w:rPr>
          <w:rFonts w:ascii="Arial" w:cs="Arial" w:eastAsia="Arial" w:hAnsi="Arial"/>
          <w:sz w:val="16"/>
          <w:szCs w:val="16"/>
          <w:color w:val="auto"/>
        </w:rPr>
      </w:pPr>
      <w:r>
        <w:rPr>
          <w:rFonts w:ascii="Arial" w:cs="Arial" w:eastAsia="Arial" w:hAnsi="Arial"/>
          <w:sz w:val="15"/>
          <w:szCs w:val="15"/>
          <w:color w:val="auto"/>
        </w:rPr>
        <w:t>As of the Closing Date, and immediately after giving effect to the consummation of the transactions contemplated by this Agreement (including the Term Loans to be made under this Agreement on the Closing Date), the Borrowers’ Representative and its Subsidiaries taken as a whole, and each Borrower, is Solvent.</w:t>
      </w:r>
    </w:p>
    <w:p>
      <w:pPr>
        <w:spacing w:after="0" w:line="63" w:lineRule="exact"/>
        <w:rPr>
          <w:rFonts w:ascii="Arial" w:cs="Arial" w:eastAsia="Arial" w:hAnsi="Arial"/>
          <w:sz w:val="16"/>
          <w:szCs w:val="16"/>
          <w:color w:val="auto"/>
        </w:rPr>
      </w:pPr>
    </w:p>
    <w:p>
      <w:pPr>
        <w:ind w:left="760" w:firstLine="1432"/>
        <w:spacing w:after="0" w:line="259" w:lineRule="auto"/>
        <w:tabs>
          <w:tab w:leader="none" w:pos="24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evidence that all insurance required to be maintained pursuant to the Loan Documents and all endorsements in favor of the Collateral Agent required under the Loan Documents have been obtained and are in effect;</w:t>
      </w:r>
    </w:p>
    <w:p>
      <w:pPr>
        <w:spacing w:after="0" w:line="51" w:lineRule="exact"/>
        <w:rPr>
          <w:rFonts w:ascii="Arial" w:cs="Arial" w:eastAsia="Arial" w:hAnsi="Arial"/>
          <w:sz w:val="15"/>
          <w:szCs w:val="15"/>
          <w:color w:val="auto"/>
        </w:rPr>
      </w:pPr>
    </w:p>
    <w:p>
      <w:pPr>
        <w:ind w:left="760" w:firstLine="1432"/>
        <w:spacing w:after="0" w:line="259" w:lineRule="auto"/>
        <w:tabs>
          <w:tab w:leader="none" w:pos="2415" w:val="left"/>
        </w:tabs>
        <w:numPr>
          <w:ilvl w:val="0"/>
          <w:numId w:val="88"/>
        </w:numPr>
        <w:rPr>
          <w:rFonts w:ascii="Arial" w:cs="Arial" w:eastAsia="Arial" w:hAnsi="Arial"/>
          <w:sz w:val="15"/>
          <w:szCs w:val="15"/>
          <w:color w:val="auto"/>
        </w:rPr>
      </w:pPr>
      <w:r>
        <w:rPr>
          <w:rFonts w:ascii="Arial" w:cs="Arial" w:eastAsia="Arial" w:hAnsi="Arial"/>
          <w:sz w:val="15"/>
          <w:szCs w:val="15"/>
          <w:color w:val="auto"/>
        </w:rPr>
        <w:t>subject to the Intercreditor Agreement, certificates evidencing any stock being pledged thereunder, together with undated stock powers executed in blank, each duly executed by the applicable Loan Parties;</w:t>
      </w:r>
    </w:p>
    <w:p>
      <w:pPr>
        <w:spacing w:after="0" w:line="51" w:lineRule="exact"/>
        <w:rPr>
          <w:rFonts w:ascii="Arial" w:cs="Arial" w:eastAsia="Arial" w:hAnsi="Arial"/>
          <w:sz w:val="15"/>
          <w:szCs w:val="15"/>
          <w:color w:val="auto"/>
        </w:rPr>
      </w:pPr>
    </w:p>
    <w:p>
      <w:pPr>
        <w:ind w:left="2440" w:hanging="248"/>
        <w:spacing w:after="0"/>
        <w:tabs>
          <w:tab w:leader="none" w:pos="24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all other Loan Documents, each duly executed by the applicable Loan Parties;</w:t>
      </w:r>
    </w:p>
    <w:p>
      <w:pPr>
        <w:spacing w:after="0" w:line="160" w:lineRule="exact"/>
        <w:rPr>
          <w:rFonts w:ascii="Arial" w:cs="Arial" w:eastAsia="Arial" w:hAnsi="Arial"/>
          <w:sz w:val="15"/>
          <w:szCs w:val="15"/>
          <w:color w:val="auto"/>
        </w:rPr>
      </w:pPr>
    </w:p>
    <w:p>
      <w:pPr>
        <w:ind w:left="5660" w:hanging="86"/>
        <w:spacing w:after="0"/>
        <w:tabs>
          <w:tab w:leader="none" w:pos="5660" w:val="left"/>
        </w:tabs>
        <w:numPr>
          <w:ilvl w:val="2"/>
          <w:numId w:val="88"/>
        </w:numPr>
        <w:rPr>
          <w:rFonts w:ascii="Arial" w:cs="Arial" w:eastAsia="Arial" w:hAnsi="Arial"/>
          <w:sz w:val="15"/>
          <w:szCs w:val="15"/>
          <w:color w:val="auto"/>
        </w:rPr>
      </w:pPr>
      <w:r>
        <w:rPr>
          <w:rFonts w:ascii="Arial" w:cs="Arial" w:eastAsia="Arial" w:hAnsi="Arial"/>
          <w:sz w:val="15"/>
          <w:szCs w:val="15"/>
          <w:color w:val="auto"/>
        </w:rPr>
        <w:t>28 -</w:t>
      </w:r>
    </w:p>
    <w:p>
      <w:pPr>
        <w:sectPr>
          <w:pgSz w:w="11900" w:h="16838" w:orient="portrait"/>
          <w:cols w:equalWidth="0" w:num="1">
            <w:col w:w="11460"/>
          </w:cols>
          <w:pgMar w:left="220" w:top="208" w:right="219" w:bottom="1440" w:gutter="0" w:footer="0" w:header="0"/>
        </w:sectPr>
      </w:pPr>
    </w:p>
    <w:bookmarkStart w:id="86" w:name="page87"/>
    <w:bookmarkEnd w:id="86"/>
    <w:p>
      <w:pPr>
        <w:jc w:val="both"/>
        <w:ind w:left="-460" w:firstLine="1432"/>
        <w:spacing w:after="0" w:line="249" w:lineRule="auto"/>
        <w:tabs>
          <w:tab w:leader="none" w:pos="1267" w:val="left"/>
        </w:tabs>
        <w:numPr>
          <w:ilvl w:val="1"/>
          <w:numId w:val="89"/>
        </w:numPr>
        <w:rPr>
          <w:rFonts w:ascii="Arial" w:cs="Arial" w:eastAsia="Arial" w:hAnsi="Arial"/>
          <w:sz w:val="15"/>
          <w:szCs w:val="15"/>
          <w:color w:val="auto"/>
        </w:rPr>
      </w:pPr>
      <w:r>
        <w:rPr>
          <w:rFonts w:ascii="Arial" w:cs="Arial" w:eastAsia="Arial" w:hAnsi="Arial"/>
          <w:sz w:val="15"/>
          <w:szCs w:val="15"/>
          <w:color w:val="auto"/>
        </w:rPr>
        <w:t>(A) appraisals (based on net liquidation value) by a third party appraiser acceptable to the Administrative Agent of all Inventory of the Loan Parties, the results of which are satisfactory to the Administrative Agent and (B) a written report regarding the results of a commercial finance examination of the Loan Parties, which shall be satisfactory to the Administrative Agent;</w:t>
      </w:r>
    </w:p>
    <w:p>
      <w:pPr>
        <w:spacing w:after="0" w:line="58" w:lineRule="exact"/>
        <w:rPr>
          <w:rFonts w:ascii="Arial" w:cs="Arial" w:eastAsia="Arial" w:hAnsi="Arial"/>
          <w:sz w:val="15"/>
          <w:szCs w:val="15"/>
          <w:color w:val="auto"/>
        </w:rPr>
      </w:pPr>
    </w:p>
    <w:p>
      <w:pPr>
        <w:jc w:val="both"/>
        <w:ind w:left="-460" w:firstLine="1432"/>
        <w:spacing w:after="0" w:line="243" w:lineRule="auto"/>
        <w:tabs>
          <w:tab w:leader="none" w:pos="1302" w:val="left"/>
        </w:tabs>
        <w:numPr>
          <w:ilvl w:val="1"/>
          <w:numId w:val="89"/>
        </w:numPr>
        <w:rPr>
          <w:rFonts w:ascii="Arial" w:cs="Arial" w:eastAsia="Arial" w:hAnsi="Arial"/>
          <w:sz w:val="15"/>
          <w:szCs w:val="15"/>
          <w:color w:val="auto"/>
        </w:rPr>
      </w:pPr>
      <w:r>
        <w:rPr>
          <w:rFonts w:ascii="Arial" w:cs="Arial" w:eastAsia="Arial" w:hAnsi="Arial"/>
          <w:sz w:val="15"/>
          <w:szCs w:val="15"/>
          <w:color w:val="auto"/>
        </w:rPr>
        <w:t>results of searches or other evidence reasonably satisfactory to the Administrative Agent (in each case dated as of a date reasonably satisfactory to the Administrative Agent) indicating the absence of Encumbrances on the assets of the Loan Parties, except for Permitted Encumbrances and Encumbrances for which termination statements and releases, satisfactions and discharges of any mortgages, and releases or subordination agreements satisfactory to the Administrative Agent are being tendered concurrently with such extension of credit or other arrangements satisfactory to the Administrative Agent for the delivery of such termination statements and releases, satisfactions and discharges have been made;</w:t>
      </w:r>
    </w:p>
    <w:p>
      <w:pPr>
        <w:spacing w:after="0" w:line="64" w:lineRule="exact"/>
        <w:rPr>
          <w:rFonts w:ascii="Arial" w:cs="Arial" w:eastAsia="Arial" w:hAnsi="Arial"/>
          <w:sz w:val="15"/>
          <w:szCs w:val="15"/>
          <w:color w:val="auto"/>
        </w:rPr>
      </w:pPr>
    </w:p>
    <w:p>
      <w:pPr>
        <w:jc w:val="both"/>
        <w:ind w:left="-460" w:firstLine="1432"/>
        <w:spacing w:after="0" w:line="295" w:lineRule="auto"/>
        <w:tabs>
          <w:tab w:leader="none" w:pos="1293" w:val="left"/>
        </w:tabs>
        <w:numPr>
          <w:ilvl w:val="1"/>
          <w:numId w:val="89"/>
        </w:numPr>
        <w:rPr>
          <w:rFonts w:ascii="Arial" w:cs="Arial" w:eastAsia="Arial" w:hAnsi="Arial"/>
          <w:sz w:val="13"/>
          <w:szCs w:val="13"/>
          <w:color w:val="auto"/>
        </w:rPr>
      </w:pPr>
      <w:r>
        <w:rPr>
          <w:rFonts w:ascii="Arial" w:cs="Arial" w:eastAsia="Arial" w:hAnsi="Arial"/>
          <w:sz w:val="13"/>
          <w:szCs w:val="13"/>
          <w:color w:val="auto"/>
        </w:rPr>
        <w:t>(A) all documents and instruments, including Uniform Commercial Code financing statements, required by law or reasonably requested by the Agents to be filed, registered or recorded to create or perfect the Collateral Interests intended to be created under the Loan Documents and all such documents and instruments shall have been so filed, registered or recorded to the satisfaction of the Agent, (B) the DDA Notifications, Credit Card Notifications, and Blocked Account Agreements required pursuant to the terms hereof, (C) control agreements with respect to the Loan Parties’ securities and investment accounts, and (D) Collateral Access Agreements as required by the Agent;</w:t>
      </w:r>
    </w:p>
    <w:p>
      <w:pPr>
        <w:spacing w:after="0" w:line="31" w:lineRule="exact"/>
        <w:rPr>
          <w:rFonts w:ascii="Arial" w:cs="Arial" w:eastAsia="Arial" w:hAnsi="Arial"/>
          <w:sz w:val="13"/>
          <w:szCs w:val="13"/>
          <w:color w:val="auto"/>
        </w:rPr>
      </w:pPr>
    </w:p>
    <w:p>
      <w:pPr>
        <w:ind w:left="-460" w:firstLine="1432"/>
        <w:spacing w:after="0" w:line="259" w:lineRule="auto"/>
        <w:tabs>
          <w:tab w:leader="none" w:pos="1259" w:val="left"/>
        </w:tabs>
        <w:numPr>
          <w:ilvl w:val="1"/>
          <w:numId w:val="89"/>
        </w:numPr>
        <w:rPr>
          <w:rFonts w:ascii="Arial" w:cs="Arial" w:eastAsia="Arial" w:hAnsi="Arial"/>
          <w:sz w:val="15"/>
          <w:szCs w:val="15"/>
          <w:color w:val="auto"/>
        </w:rPr>
      </w:pPr>
      <w:r>
        <w:rPr>
          <w:rFonts w:ascii="Arial" w:cs="Arial" w:eastAsia="Arial" w:hAnsi="Arial"/>
          <w:sz w:val="15"/>
          <w:szCs w:val="15"/>
          <w:color w:val="auto"/>
        </w:rPr>
        <w:t>projections and a Business Plan on a monthly basis for each of the first two Fiscal years of the Borrowers following the Closing Date and thereafter, annually, through the Maturity Date, each in form and substance acceptable to the Administrative Agent; and</w:t>
      </w:r>
    </w:p>
    <w:p>
      <w:pPr>
        <w:spacing w:after="0" w:line="51" w:lineRule="exact"/>
        <w:rPr>
          <w:rFonts w:ascii="Arial" w:cs="Arial" w:eastAsia="Arial" w:hAnsi="Arial"/>
          <w:sz w:val="15"/>
          <w:szCs w:val="15"/>
          <w:color w:val="auto"/>
        </w:rPr>
      </w:pPr>
    </w:p>
    <w:p>
      <w:pPr>
        <w:ind w:left="1300" w:hanging="328"/>
        <w:spacing w:after="0"/>
        <w:tabs>
          <w:tab w:leader="none" w:pos="1300" w:val="left"/>
        </w:tabs>
        <w:numPr>
          <w:ilvl w:val="1"/>
          <w:numId w:val="89"/>
        </w:numPr>
        <w:rPr>
          <w:rFonts w:ascii="Arial" w:cs="Arial" w:eastAsia="Arial" w:hAnsi="Arial"/>
          <w:sz w:val="15"/>
          <w:szCs w:val="15"/>
          <w:color w:val="auto"/>
        </w:rPr>
      </w:pPr>
      <w:r>
        <w:rPr>
          <w:rFonts w:ascii="Arial" w:cs="Arial" w:eastAsia="Arial" w:hAnsi="Arial"/>
          <w:sz w:val="15"/>
          <w:szCs w:val="15"/>
          <w:color w:val="auto"/>
        </w:rPr>
        <w:t>such other assurances, certificates, documents, consents or opinions as the Agent reasonably may require.</w:t>
      </w:r>
    </w:p>
    <w:p>
      <w:pPr>
        <w:spacing w:after="0" w:line="79" w:lineRule="exact"/>
        <w:rPr>
          <w:rFonts w:ascii="Arial" w:cs="Arial" w:eastAsia="Arial" w:hAnsi="Arial"/>
          <w:sz w:val="15"/>
          <w:szCs w:val="15"/>
          <w:color w:val="auto"/>
        </w:rPr>
      </w:pPr>
    </w:p>
    <w:p>
      <w:pPr>
        <w:ind w:left="520" w:hanging="211"/>
        <w:spacing w:after="0"/>
        <w:tabs>
          <w:tab w:leader="none" w:pos="5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After giving effect to the funding of the Term Loans, Excess Availability shall be not less than $52,500,000.</w:t>
      </w:r>
    </w:p>
    <w:p>
      <w:pPr>
        <w:spacing w:after="0" w:line="79" w:lineRule="exact"/>
        <w:rPr>
          <w:rFonts w:ascii="Arial" w:cs="Arial" w:eastAsia="Arial" w:hAnsi="Arial"/>
          <w:sz w:val="15"/>
          <w:szCs w:val="15"/>
          <w:color w:val="auto"/>
        </w:rPr>
      </w:pPr>
    </w:p>
    <w:p>
      <w:pPr>
        <w:ind w:left="-1220" w:firstLine="1529"/>
        <w:spacing w:after="0" w:line="259" w:lineRule="auto"/>
        <w:tabs>
          <w:tab w:leader="none" w:pos="536"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Agent shall have received a Borrowing Base Certificate dated the Closing Date, relating to the month ended on September, 2014, and executed by an authorized officer of the Borrowers’ Representative.</w:t>
      </w:r>
    </w:p>
    <w:p>
      <w:pPr>
        <w:spacing w:after="0" w:line="51" w:lineRule="exact"/>
        <w:rPr>
          <w:rFonts w:ascii="Arial" w:cs="Arial" w:eastAsia="Arial" w:hAnsi="Arial"/>
          <w:sz w:val="15"/>
          <w:szCs w:val="15"/>
          <w:color w:val="auto"/>
        </w:rPr>
      </w:pPr>
    </w:p>
    <w:p>
      <w:pPr>
        <w:ind w:left="-1220" w:firstLine="1529"/>
        <w:spacing w:after="0" w:line="259" w:lineRule="auto"/>
        <w:tabs>
          <w:tab w:leader="none" w:pos="524"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Agent shall be reasonably satisfied that any financial statements delivered to it fairly present the business and financial condition of the Loan Parties and that there has been no Material Adverse Effect since August 2, 2014.</w:t>
      </w:r>
    </w:p>
    <w:p>
      <w:pPr>
        <w:spacing w:after="0" w:line="51" w:lineRule="exact"/>
        <w:rPr>
          <w:rFonts w:ascii="Arial" w:cs="Arial" w:eastAsia="Arial" w:hAnsi="Arial"/>
          <w:sz w:val="15"/>
          <w:szCs w:val="15"/>
          <w:color w:val="auto"/>
        </w:rPr>
      </w:pPr>
    </w:p>
    <w:p>
      <w:pPr>
        <w:ind w:left="-1220" w:firstLine="1529"/>
        <w:spacing w:after="0" w:line="259" w:lineRule="auto"/>
        <w:tabs>
          <w:tab w:leader="none" w:pos="512"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There shall not be pending any action, suit, investigation or other proceeding or, to the knowledge of the Loan Parties, threatened in writing against any Loan Party or any of its Subsidiaries in any court or before any arbitrator or governmental authority.</w:t>
      </w:r>
    </w:p>
    <w:p>
      <w:pPr>
        <w:spacing w:after="0" w:line="51" w:lineRule="exact"/>
        <w:rPr>
          <w:rFonts w:ascii="Arial" w:cs="Arial" w:eastAsia="Arial" w:hAnsi="Arial"/>
          <w:sz w:val="15"/>
          <w:szCs w:val="15"/>
          <w:color w:val="auto"/>
        </w:rPr>
      </w:pPr>
    </w:p>
    <w:p>
      <w:pPr>
        <w:ind w:left="500" w:hanging="191"/>
        <w:spacing w:after="0"/>
        <w:tabs>
          <w:tab w:leader="none" w:pos="5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There shall not have occurred any default of any material contract of any Loan Party.</w:t>
      </w:r>
    </w:p>
    <w:p>
      <w:pPr>
        <w:spacing w:after="0" w:line="79" w:lineRule="exact"/>
        <w:rPr>
          <w:rFonts w:ascii="Arial" w:cs="Arial" w:eastAsia="Arial" w:hAnsi="Arial"/>
          <w:sz w:val="15"/>
          <w:szCs w:val="15"/>
          <w:color w:val="auto"/>
        </w:rPr>
      </w:pPr>
    </w:p>
    <w:p>
      <w:pPr>
        <w:ind w:left="520" w:hanging="211"/>
        <w:spacing w:after="0"/>
        <w:tabs>
          <w:tab w:leader="none" w:pos="5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No Default or Event of Default shall have occurred and be continuing under the Revolving Credit Agreement.</w:t>
      </w:r>
    </w:p>
    <w:p>
      <w:pPr>
        <w:spacing w:after="0" w:line="79" w:lineRule="exact"/>
        <w:rPr>
          <w:rFonts w:ascii="Arial" w:cs="Arial" w:eastAsia="Arial" w:hAnsi="Arial"/>
          <w:sz w:val="15"/>
          <w:szCs w:val="15"/>
          <w:color w:val="auto"/>
        </w:rPr>
      </w:pPr>
    </w:p>
    <w:p>
      <w:pPr>
        <w:ind w:left="520" w:hanging="211"/>
        <w:spacing w:after="0"/>
        <w:tabs>
          <w:tab w:leader="none" w:pos="5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No Default or Event of Default shall have occurred and be continuing or would result from the funding of the Term Loans.</w:t>
      </w:r>
    </w:p>
    <w:p>
      <w:pPr>
        <w:spacing w:after="0" w:line="79" w:lineRule="exact"/>
        <w:rPr>
          <w:rFonts w:ascii="Arial" w:cs="Arial" w:eastAsia="Arial" w:hAnsi="Arial"/>
          <w:sz w:val="15"/>
          <w:szCs w:val="15"/>
          <w:color w:val="auto"/>
        </w:rPr>
      </w:pPr>
    </w:p>
    <w:p>
      <w:pPr>
        <w:ind w:left="480" w:hanging="171"/>
        <w:spacing w:after="0"/>
        <w:tabs>
          <w:tab w:leader="none" w:pos="4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consummation of the transactions contemplated hereby shall not violate any Applicable Law or any organization document.</w:t>
      </w:r>
    </w:p>
    <w:p>
      <w:pPr>
        <w:spacing w:after="0" w:line="79" w:lineRule="exact"/>
        <w:rPr>
          <w:rFonts w:ascii="Arial" w:cs="Arial" w:eastAsia="Arial" w:hAnsi="Arial"/>
          <w:sz w:val="15"/>
          <w:szCs w:val="15"/>
          <w:color w:val="auto"/>
        </w:rPr>
      </w:pPr>
    </w:p>
    <w:p>
      <w:pPr>
        <w:ind w:left="-1220" w:firstLine="1529"/>
        <w:spacing w:after="0" w:line="259" w:lineRule="auto"/>
        <w:tabs>
          <w:tab w:leader="none" w:pos="489" w:val="left"/>
        </w:tabs>
        <w:numPr>
          <w:ilvl w:val="0"/>
          <w:numId w:val="90"/>
        </w:numPr>
        <w:rPr>
          <w:rFonts w:ascii="Arial" w:cs="Arial" w:eastAsia="Arial" w:hAnsi="Arial"/>
          <w:sz w:val="15"/>
          <w:szCs w:val="15"/>
          <w:color w:val="auto"/>
        </w:rPr>
      </w:pPr>
      <w:r>
        <w:rPr>
          <w:rFonts w:ascii="Arial" w:cs="Arial" w:eastAsia="Arial" w:hAnsi="Arial"/>
          <w:sz w:val="15"/>
          <w:szCs w:val="15"/>
          <w:color w:val="auto"/>
        </w:rPr>
        <w:t>All fees and expenses required to be paid to the Administrative Agent on or before the Closing Date shall have been paid in full, and all fees and expenses required to be paid to the Term Lenders on or before the Closing Date shall have been paid in full.</w:t>
      </w:r>
    </w:p>
    <w:p>
      <w:pPr>
        <w:spacing w:after="0" w:line="51" w:lineRule="exact"/>
        <w:rPr>
          <w:rFonts w:ascii="Arial" w:cs="Arial" w:eastAsia="Arial" w:hAnsi="Arial"/>
          <w:sz w:val="15"/>
          <w:szCs w:val="15"/>
          <w:color w:val="auto"/>
        </w:rPr>
      </w:pPr>
    </w:p>
    <w:p>
      <w:pPr>
        <w:jc w:val="both"/>
        <w:ind w:left="-1220" w:firstLine="1529"/>
        <w:spacing w:after="0" w:line="249" w:lineRule="auto"/>
        <w:tabs>
          <w:tab w:leader="none" w:pos="523"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Borrowers shall have paid all fees, charges and disbursements of counsel to the Administrative Agent, plus such additional amounts of such fees, charges and disbursements as shall constitute its reasonable estimate of such fees, charges and disbursements incurred or to be incurred by it through the Closing Date (provided that such estimate shall not thereafter preclude a final settling of accounts between the Borrowers and the Administrative Agent).</w:t>
      </w:r>
    </w:p>
    <w:p>
      <w:pPr>
        <w:spacing w:after="0" w:line="138" w:lineRule="exact"/>
        <w:rPr>
          <w:rFonts w:ascii="Arial" w:cs="Arial" w:eastAsia="Arial" w:hAnsi="Arial"/>
          <w:sz w:val="15"/>
          <w:szCs w:val="15"/>
          <w:color w:val="auto"/>
        </w:rPr>
      </w:pPr>
    </w:p>
    <w:p>
      <w:pPr>
        <w:ind w:left="4440" w:hanging="86"/>
        <w:spacing w:after="0"/>
        <w:tabs>
          <w:tab w:leader="none" w:pos="4440" w:val="left"/>
        </w:tabs>
        <w:numPr>
          <w:ilvl w:val="2"/>
          <w:numId w:val="90"/>
        </w:numPr>
        <w:rPr>
          <w:rFonts w:ascii="Arial" w:cs="Arial" w:eastAsia="Arial" w:hAnsi="Arial"/>
          <w:sz w:val="15"/>
          <w:szCs w:val="15"/>
          <w:color w:val="auto"/>
        </w:rPr>
      </w:pPr>
      <w:r>
        <w:rPr>
          <w:rFonts w:ascii="Arial" w:cs="Arial" w:eastAsia="Arial" w:hAnsi="Arial"/>
          <w:sz w:val="15"/>
          <w:szCs w:val="15"/>
          <w:color w:val="auto"/>
        </w:rPr>
        <w:t>29 -</w:t>
      </w:r>
    </w:p>
    <w:p>
      <w:pPr>
        <w:sectPr>
          <w:pgSz w:w="11900" w:h="16838" w:orient="portrait"/>
          <w:cols w:equalWidth="0" w:num="1">
            <w:col w:w="10240"/>
          </w:cols>
          <w:pgMar w:left="1440" w:top="207" w:right="219" w:bottom="1440" w:gutter="0" w:footer="0" w:header="0"/>
        </w:sectPr>
      </w:pPr>
    </w:p>
    <w:bookmarkStart w:id="87" w:name="page88"/>
    <w:bookmarkEnd w:id="87"/>
    <w:p>
      <w:pPr>
        <w:jc w:val="both"/>
        <w:ind w:firstLine="1529"/>
        <w:spacing w:after="0" w:line="249" w:lineRule="auto"/>
        <w:tabs>
          <w:tab w:leader="none" w:pos="1716"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Administrative Agent and the Term Lenders shall have received all documentation and other information required by regulatory authorities under applicable “know your customer” and anti-money laundering rules and regulations, including without limitation the USA PATRIOT Act in each case, the results of which are satisfactory to the Agent not less than five (5) Business Days prior to the Closing Date.</w:t>
      </w:r>
    </w:p>
    <w:p>
      <w:pPr>
        <w:spacing w:after="0" w:line="58" w:lineRule="exact"/>
        <w:rPr>
          <w:rFonts w:ascii="Arial" w:cs="Arial" w:eastAsia="Arial" w:hAnsi="Arial"/>
          <w:sz w:val="15"/>
          <w:szCs w:val="15"/>
          <w:color w:val="auto"/>
        </w:rPr>
      </w:pPr>
    </w:p>
    <w:p>
      <w:pPr>
        <w:jc w:val="both"/>
        <w:ind w:firstLine="1529"/>
        <w:spacing w:after="0" w:line="295" w:lineRule="auto"/>
        <w:tabs>
          <w:tab w:leader="none" w:pos="1789" w:val="left"/>
        </w:tabs>
        <w:numPr>
          <w:ilvl w:val="0"/>
          <w:numId w:val="91"/>
        </w:numPr>
        <w:rPr>
          <w:rFonts w:ascii="Arial" w:cs="Arial" w:eastAsia="Arial" w:hAnsi="Arial"/>
          <w:sz w:val="13"/>
          <w:szCs w:val="13"/>
          <w:color w:val="auto"/>
        </w:rPr>
      </w:pPr>
      <w:r>
        <w:rPr>
          <w:rFonts w:ascii="Arial" w:cs="Arial" w:eastAsia="Arial" w:hAnsi="Arial"/>
          <w:sz w:val="13"/>
          <w:szCs w:val="13"/>
          <w:color w:val="auto"/>
        </w:rPr>
        <w:t>No new or additional information, shall have been received or discovered by any Agent or any Term Lender regarding any Loan Party or its Subsidiaries or the transactions completed under this Agreement or the other Loan Documents that (i) either individually or in the aggregate, could reasonably be expected to have a Material Adverse Effect or (ii) purports to adversely affect the Term Loan Facility or any other aspect of the transactions contemplated under this Agreement or any other Loan Document, and nothing shall have come to the attention of any Agent or any Term Lender to lead it to believe that the transactions contemplated under this Agreement or any other Loan Document would have a Material Adverse Effect.</w:t>
      </w:r>
    </w:p>
    <w:p>
      <w:pPr>
        <w:spacing w:after="0" w:line="112" w:lineRule="exact"/>
        <w:rPr>
          <w:sz w:val="20"/>
          <w:szCs w:val="20"/>
          <w:color w:val="auto"/>
        </w:rPr>
      </w:pPr>
    </w:p>
    <w:p>
      <w:pPr>
        <w:jc w:val="both"/>
        <w:ind w:firstLine="765"/>
        <w:spacing w:after="0" w:line="305" w:lineRule="auto"/>
        <w:rPr>
          <w:sz w:val="20"/>
          <w:szCs w:val="20"/>
          <w:color w:val="auto"/>
        </w:rPr>
      </w:pPr>
      <w:r>
        <w:rPr>
          <w:rFonts w:ascii="Arial" w:cs="Arial" w:eastAsia="Arial" w:hAnsi="Arial"/>
          <w:sz w:val="13"/>
          <w:szCs w:val="13"/>
          <w:color w:val="auto"/>
        </w:rPr>
        <w:t xml:space="preserve">Without limiting the generality of the provisions of </w:t>
      </w:r>
      <w:r>
        <w:rPr>
          <w:rFonts w:ascii="Arial" w:cs="Arial" w:eastAsia="Arial" w:hAnsi="Arial"/>
          <w:sz w:val="13"/>
          <w:szCs w:val="13"/>
          <w:u w:val="single" w:color="auto"/>
          <w:color w:val="auto"/>
        </w:rPr>
        <w:t>Section 14.7</w:t>
      </w:r>
      <w:r>
        <w:rPr>
          <w:rFonts w:ascii="Arial" w:cs="Arial" w:eastAsia="Arial" w:hAnsi="Arial"/>
          <w:sz w:val="13"/>
          <w:szCs w:val="13"/>
          <w:color w:val="auto"/>
        </w:rPr>
        <w:t xml:space="preserve">, for purposes of determining compliance with the conditions specified in this </w:t>
      </w:r>
      <w:r>
        <w:rPr>
          <w:rFonts w:ascii="Arial" w:cs="Arial" w:eastAsia="Arial" w:hAnsi="Arial"/>
          <w:sz w:val="13"/>
          <w:szCs w:val="13"/>
          <w:u w:val="single" w:color="auto"/>
          <w:color w:val="auto"/>
        </w:rPr>
        <w:t>Article 3</w:t>
      </w:r>
      <w:r>
        <w:rPr>
          <w:rFonts w:ascii="Arial" w:cs="Arial" w:eastAsia="Arial" w:hAnsi="Arial"/>
          <w:sz w:val="13"/>
          <w:szCs w:val="13"/>
          <w:color w:val="auto"/>
        </w:rPr>
        <w:t>, each Term Lender that has signed this Agreement shall be deemed to have Consented to, approved or accepted or to be satisfied with, each document or other matter required thereunder to be Consented to or approved by or acceptable or satisfactory to a Term Lender unless the Agent shall have received notice from such Term Lender prior to the proposed Closing Date specifying its objection thereto.</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4 - G</w:t>
      </w:r>
      <w:r>
        <w:rPr>
          <w:rFonts w:ascii="Arial" w:cs="Arial" w:eastAsia="Arial" w:hAnsi="Arial"/>
          <w:sz w:val="10"/>
          <w:szCs w:val="10"/>
          <w:b w:val="1"/>
          <w:bCs w:val="1"/>
          <w:color w:val="auto"/>
        </w:rPr>
        <w:t>ENERAL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EPRESENTATIONS</w:t>
      </w:r>
      <w:r>
        <w:rPr>
          <w:rFonts w:ascii="Arial" w:cs="Arial" w:eastAsia="Arial" w:hAnsi="Arial"/>
          <w:sz w:val="15"/>
          <w:szCs w:val="15"/>
          <w:b w:val="1"/>
          <w:bCs w:val="1"/>
          <w:color w:val="auto"/>
        </w:rPr>
        <w:t>, C</w:t>
      </w:r>
      <w:r>
        <w:rPr>
          <w:rFonts w:ascii="Arial" w:cs="Arial" w:eastAsia="Arial" w:hAnsi="Arial"/>
          <w:sz w:val="10"/>
          <w:szCs w:val="10"/>
          <w:b w:val="1"/>
          <w:bCs w:val="1"/>
          <w:color w:val="auto"/>
        </w:rPr>
        <w:t>OVENANTS AND</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ARRANTIES</w:t>
      </w:r>
      <w:r>
        <w:rPr>
          <w:rFonts w:ascii="Arial" w:cs="Arial" w:eastAsia="Arial" w:hAnsi="Arial"/>
          <w:sz w:val="15"/>
          <w:szCs w:val="15"/>
          <w:b w:val="1"/>
          <w:bCs w:val="1"/>
          <w:color w:val="auto"/>
        </w:rPr>
        <w:t>:</w:t>
      </w:r>
    </w:p>
    <w:p>
      <w:pPr>
        <w:spacing w:after="0" w:line="164" w:lineRule="exact"/>
        <w:rPr>
          <w:sz w:val="20"/>
          <w:szCs w:val="20"/>
          <w:color w:val="auto"/>
        </w:rPr>
      </w:pPr>
    </w:p>
    <w:p>
      <w:pPr>
        <w:jc w:val="both"/>
        <w:ind w:firstLine="765"/>
        <w:spacing w:after="0" w:line="249" w:lineRule="auto"/>
        <w:rPr>
          <w:sz w:val="20"/>
          <w:szCs w:val="20"/>
          <w:color w:val="auto"/>
        </w:rPr>
      </w:pPr>
      <w:r>
        <w:rPr>
          <w:rFonts w:ascii="Arial" w:cs="Arial" w:eastAsia="Arial" w:hAnsi="Arial"/>
          <w:sz w:val="15"/>
          <w:szCs w:val="15"/>
          <w:color w:val="auto"/>
        </w:rPr>
        <w:t>To induce each Term Lender to establish the Term Facility contemplated herein and to induce the Term Lenders to provide loans and advances hereunder (each of which loans shall be deemed to have been made in reliance thereupon), respectively, as contemplated hereby, the Loan Parties, in addition to all other representations, warranties, and covenants made by any Loan Party in any other Loan Document, make those representations, warranties, and covenants included in this Agreement.</w:t>
      </w:r>
    </w:p>
    <w:p>
      <w:pPr>
        <w:spacing w:after="0" w:line="135"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4.1. P</w:t>
      </w:r>
      <w:r>
        <w:rPr>
          <w:rFonts w:ascii="Arial" w:cs="Arial" w:eastAsia="Arial" w:hAnsi="Arial"/>
          <w:sz w:val="10"/>
          <w:szCs w:val="10"/>
          <w:b w:val="1"/>
          <w:bCs w:val="1"/>
          <w:color w:val="auto"/>
        </w:rPr>
        <w:t>AYMENT</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ND</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ERFORMANCE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IABILITIES</w:t>
      </w:r>
      <w:r>
        <w:rPr>
          <w:rFonts w:ascii="Arial" w:cs="Arial" w:eastAsia="Arial" w:hAnsi="Arial"/>
          <w:sz w:val="15"/>
          <w:szCs w:val="15"/>
          <w:color w:val="auto"/>
        </w:rPr>
        <w:t>. The Borrowers shall pay each payment Liability when due (or when demanded, if payable on demand) and shall promptly,</w:t>
      </w:r>
      <w:r>
        <w:rPr>
          <w:rFonts w:ascii="Arial" w:cs="Arial" w:eastAsia="Arial" w:hAnsi="Arial"/>
          <w:sz w:val="15"/>
          <w:szCs w:val="15"/>
          <w:b w:val="1"/>
          <w:bCs w:val="1"/>
          <w:color w:val="auto"/>
        </w:rPr>
        <w:t xml:space="preserve"> </w:t>
      </w:r>
      <w:r>
        <w:rPr>
          <w:rFonts w:ascii="Arial" w:cs="Arial" w:eastAsia="Arial" w:hAnsi="Arial"/>
          <w:sz w:val="15"/>
          <w:szCs w:val="15"/>
          <w:color w:val="auto"/>
        </w:rPr>
        <w:t>punctually, and faithfully perform each other Liability.</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4.2. D</w:t>
      </w:r>
      <w:r>
        <w:rPr>
          <w:rFonts w:ascii="Arial" w:cs="Arial" w:eastAsia="Arial" w:hAnsi="Arial"/>
          <w:sz w:val="10"/>
          <w:szCs w:val="10"/>
          <w:b w:val="1"/>
          <w:bCs w:val="1"/>
          <w:color w:val="auto"/>
        </w:rPr>
        <w:t>UE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RGANIZATION</w:t>
      </w:r>
      <w:r>
        <w:rPr>
          <w:rFonts w:ascii="Arial" w:cs="Arial" w:eastAsia="Arial" w:hAnsi="Arial"/>
          <w:sz w:val="15"/>
          <w:szCs w:val="15"/>
          <w:b w:val="1"/>
          <w:bCs w:val="1"/>
          <w:color w:val="auto"/>
        </w:rPr>
        <w:t>; A</w:t>
      </w:r>
      <w:r>
        <w:rPr>
          <w:rFonts w:ascii="Arial" w:cs="Arial" w:eastAsia="Arial" w:hAnsi="Arial"/>
          <w:sz w:val="10"/>
          <w:szCs w:val="10"/>
          <w:b w:val="1"/>
          <w:bCs w:val="1"/>
          <w:color w:val="auto"/>
        </w:rPr>
        <w:t>UTHORIZATION</w:t>
      </w:r>
      <w:r>
        <w:rPr>
          <w:rFonts w:ascii="Arial" w:cs="Arial" w:eastAsia="Arial" w:hAnsi="Arial"/>
          <w:sz w:val="15"/>
          <w:szCs w:val="15"/>
          <w:b w:val="1"/>
          <w:bCs w:val="1"/>
          <w:color w:val="auto"/>
        </w:rPr>
        <w:t>; 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ONFLICTS</w:t>
      </w:r>
      <w:r>
        <w:rPr>
          <w:rFonts w:ascii="Arial" w:cs="Arial" w:eastAsia="Arial" w:hAnsi="Arial"/>
          <w:sz w:val="15"/>
          <w:szCs w:val="15"/>
          <w:color w:val="auto"/>
        </w:rPr>
        <w:t>.</w:t>
      </w:r>
    </w:p>
    <w:p>
      <w:pPr>
        <w:spacing w:after="0" w:line="80" w:lineRule="exact"/>
        <w:rPr>
          <w:sz w:val="20"/>
          <w:szCs w:val="20"/>
          <w:color w:val="auto"/>
        </w:rPr>
      </w:pPr>
    </w:p>
    <w:p>
      <w:pPr>
        <w:jc w:val="both"/>
        <w:ind w:firstLine="1529"/>
        <w:spacing w:after="0" w:line="247" w:lineRule="auto"/>
        <w:tabs>
          <w:tab w:leader="none" w:pos="1732"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Each Loan Party presently is and hereafter shall remain in good standing under the laws of the State in which it is organized, as set forth on </w:t>
      </w:r>
      <w:r>
        <w:rPr>
          <w:rFonts w:ascii="Arial" w:cs="Arial" w:eastAsia="Arial" w:hAnsi="Arial"/>
          <w:sz w:val="15"/>
          <w:szCs w:val="15"/>
          <w:b w:val="1"/>
          <w:bCs w:val="1"/>
          <w:color w:val="auto"/>
        </w:rPr>
        <w:t>EXHIBIT 4.2</w:t>
      </w:r>
      <w:r>
        <w:rPr>
          <w:rFonts w:ascii="Arial" w:cs="Arial" w:eastAsia="Arial" w:hAnsi="Arial"/>
          <w:sz w:val="15"/>
          <w:szCs w:val="15"/>
          <w:color w:val="auto"/>
        </w:rPr>
        <w:t xml:space="preserve"> annexed hereto, and is and shall hereafter remain duly qualified and in good standing in every other State in which, by reason of the nature or location of such Loan Party’s assets or operation of such Loan Party’s business, such qualification is necessary, except where the failure to so qualify could not reasonably be expected to have a Material Adverse Effect on the business or assets of that Loan Party.</w:t>
      </w:r>
    </w:p>
    <w:p>
      <w:pPr>
        <w:spacing w:after="0" w:line="56" w:lineRule="exact"/>
        <w:rPr>
          <w:rFonts w:ascii="Arial" w:cs="Arial" w:eastAsia="Arial" w:hAnsi="Arial"/>
          <w:sz w:val="15"/>
          <w:szCs w:val="15"/>
          <w:color w:val="auto"/>
        </w:rPr>
      </w:pPr>
    </w:p>
    <w:p>
      <w:pPr>
        <w:ind w:left="1740" w:hanging="211"/>
        <w:spacing w:after="0"/>
        <w:tabs>
          <w:tab w:leader="none" w:pos="17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Each Loan Party’s respective federal employer identification number is stated on </w:t>
      </w:r>
      <w:r>
        <w:rPr>
          <w:rFonts w:ascii="Arial" w:cs="Arial" w:eastAsia="Arial" w:hAnsi="Arial"/>
          <w:sz w:val="15"/>
          <w:szCs w:val="15"/>
          <w:b w:val="1"/>
          <w:bCs w:val="1"/>
          <w:color w:val="auto"/>
        </w:rPr>
        <w:t>EXHIBIT 4.2</w:t>
      </w:r>
      <w:r>
        <w:rPr>
          <w:rFonts w:ascii="Arial" w:cs="Arial" w:eastAsia="Arial" w:hAnsi="Arial"/>
          <w:sz w:val="15"/>
          <w:szCs w:val="15"/>
          <w:color w:val="auto"/>
        </w:rPr>
        <w:t>, annexed hereto.</w:t>
      </w:r>
    </w:p>
    <w:p>
      <w:pPr>
        <w:spacing w:after="0" w:line="83" w:lineRule="exact"/>
        <w:rPr>
          <w:rFonts w:ascii="Arial" w:cs="Arial" w:eastAsia="Arial" w:hAnsi="Arial"/>
          <w:sz w:val="15"/>
          <w:szCs w:val="15"/>
          <w:color w:val="auto"/>
        </w:rPr>
      </w:pPr>
    </w:p>
    <w:p>
      <w:pPr>
        <w:ind w:firstLine="1529"/>
        <w:spacing w:after="0" w:line="259" w:lineRule="auto"/>
        <w:tabs>
          <w:tab w:leader="none" w:pos="1737" w:val="left"/>
        </w:tabs>
        <w:numPr>
          <w:ilvl w:val="0"/>
          <w:numId w:val="92"/>
        </w:numPr>
        <w:rPr>
          <w:rFonts w:ascii="Arial" w:cs="Arial" w:eastAsia="Arial" w:hAnsi="Arial"/>
          <w:sz w:val="15"/>
          <w:szCs w:val="15"/>
          <w:color w:val="auto"/>
        </w:rPr>
      </w:pPr>
      <w:r>
        <w:rPr>
          <w:rFonts w:ascii="Arial" w:cs="Arial" w:eastAsia="Arial" w:hAnsi="Arial"/>
          <w:sz w:val="15"/>
          <w:szCs w:val="15"/>
          <w:color w:val="auto"/>
        </w:rPr>
        <w:t>No Loan Party shall change (i) its State of organization, or (ii) that Loan Party’s federal taxpayer identification number, in each case on less than sixty (60) days’ prior written notice (in reasonable detail) to the Administrative Agent.</w:t>
      </w:r>
    </w:p>
    <w:p>
      <w:pPr>
        <w:spacing w:after="0" w:line="47" w:lineRule="exact"/>
        <w:rPr>
          <w:rFonts w:ascii="Arial" w:cs="Arial" w:eastAsia="Arial" w:hAnsi="Arial"/>
          <w:sz w:val="15"/>
          <w:szCs w:val="15"/>
          <w:color w:val="auto"/>
        </w:rPr>
      </w:pPr>
    </w:p>
    <w:p>
      <w:pPr>
        <w:ind w:firstLine="1529"/>
        <w:spacing w:after="0" w:line="265" w:lineRule="auto"/>
        <w:tabs>
          <w:tab w:leader="none" w:pos="1738"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Each Affiliate of the Loan Parties is listed on </w:t>
      </w:r>
      <w:r>
        <w:rPr>
          <w:rFonts w:ascii="Arial" w:cs="Arial" w:eastAsia="Arial" w:hAnsi="Arial"/>
          <w:sz w:val="15"/>
          <w:szCs w:val="15"/>
          <w:b w:val="1"/>
          <w:bCs w:val="1"/>
          <w:color w:val="auto"/>
        </w:rPr>
        <w:t>EXHIBIT 4.2</w:t>
      </w:r>
      <w:r>
        <w:rPr>
          <w:rFonts w:ascii="Arial" w:cs="Arial" w:eastAsia="Arial" w:hAnsi="Arial"/>
          <w:sz w:val="15"/>
          <w:szCs w:val="15"/>
          <w:color w:val="auto"/>
        </w:rPr>
        <w:t>. The Borrowers’ Representative shall provide the Administrative Agent with prior written notice of any entity’s becoming or ceasing to be an Affiliate.</w:t>
      </w:r>
    </w:p>
    <w:p>
      <w:pPr>
        <w:spacing w:after="0" w:line="46" w:lineRule="exact"/>
        <w:rPr>
          <w:rFonts w:ascii="Arial" w:cs="Arial" w:eastAsia="Arial" w:hAnsi="Arial"/>
          <w:sz w:val="15"/>
          <w:szCs w:val="15"/>
          <w:color w:val="auto"/>
        </w:rPr>
      </w:pPr>
    </w:p>
    <w:p>
      <w:pPr>
        <w:ind w:firstLine="1529"/>
        <w:spacing w:after="0" w:line="259" w:lineRule="auto"/>
        <w:tabs>
          <w:tab w:leader="none" w:pos="1741" w:val="left"/>
        </w:tabs>
        <w:numPr>
          <w:ilvl w:val="0"/>
          <w:numId w:val="92"/>
        </w:numPr>
        <w:rPr>
          <w:rFonts w:ascii="Arial" w:cs="Arial" w:eastAsia="Arial" w:hAnsi="Arial"/>
          <w:sz w:val="15"/>
          <w:szCs w:val="15"/>
          <w:color w:val="auto"/>
        </w:rPr>
      </w:pPr>
      <w:r>
        <w:rPr>
          <w:rFonts w:ascii="Arial" w:cs="Arial" w:eastAsia="Arial" w:hAnsi="Arial"/>
          <w:sz w:val="15"/>
          <w:szCs w:val="15"/>
          <w:color w:val="auto"/>
        </w:rPr>
        <w:t>Each Loan Party has all requisite power and authority to execute and deliver all Loan Documents to which that Loan Party is a party and has and will hereafter retain all requisite power to perform all Liabilities.</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15"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execution and delivery by each Loan Party of each Loan Document to which it is a party; each Loan Party’s consummation of the transactions contemplated by such Loan Documents (including, without limitation, the creation of Collateral Interests by that Loan Party to secure the Liabilities); each Loan Party’s performance under those of the Loan Documents to which it is a party; the borrowings hereunder; and the use of the proceeds thereof:</w:t>
      </w:r>
    </w:p>
    <w:p>
      <w:pPr>
        <w:spacing w:after="0" w:line="58" w:lineRule="exact"/>
        <w:rPr>
          <w:rFonts w:ascii="Arial" w:cs="Arial" w:eastAsia="Arial" w:hAnsi="Arial"/>
          <w:sz w:val="15"/>
          <w:szCs w:val="15"/>
          <w:color w:val="auto"/>
        </w:rPr>
      </w:pPr>
    </w:p>
    <w:p>
      <w:pPr>
        <w:ind w:left="2360" w:hanging="168"/>
        <w:spacing w:after="0"/>
        <w:tabs>
          <w:tab w:leader="none" w:pos="2360" w:val="left"/>
        </w:tabs>
        <w:numPr>
          <w:ilvl w:val="1"/>
          <w:numId w:val="92"/>
        </w:numPr>
        <w:rPr>
          <w:rFonts w:ascii="Arial" w:cs="Arial" w:eastAsia="Arial" w:hAnsi="Arial"/>
          <w:sz w:val="15"/>
          <w:szCs w:val="15"/>
          <w:color w:val="auto"/>
        </w:rPr>
      </w:pPr>
      <w:r>
        <w:rPr>
          <w:rFonts w:ascii="Arial" w:cs="Arial" w:eastAsia="Arial" w:hAnsi="Arial"/>
          <w:sz w:val="15"/>
          <w:szCs w:val="15"/>
          <w:color w:val="auto"/>
        </w:rPr>
        <w:t>Have been duly authorized by all necessary action.</w:t>
      </w:r>
    </w:p>
    <w:p>
      <w:pPr>
        <w:spacing w:after="0" w:line="160" w:lineRule="exact"/>
        <w:rPr>
          <w:rFonts w:ascii="Arial" w:cs="Arial" w:eastAsia="Arial" w:hAnsi="Arial"/>
          <w:sz w:val="15"/>
          <w:szCs w:val="15"/>
          <w:color w:val="auto"/>
        </w:rPr>
      </w:pPr>
    </w:p>
    <w:p>
      <w:pPr>
        <w:ind w:left="5660" w:hanging="86"/>
        <w:spacing w:after="0"/>
        <w:tabs>
          <w:tab w:leader="none" w:pos="5660" w:val="left"/>
        </w:tabs>
        <w:numPr>
          <w:ilvl w:val="2"/>
          <w:numId w:val="92"/>
        </w:numPr>
        <w:rPr>
          <w:rFonts w:ascii="Arial" w:cs="Arial" w:eastAsia="Arial" w:hAnsi="Arial"/>
          <w:sz w:val="15"/>
          <w:szCs w:val="15"/>
          <w:color w:val="auto"/>
        </w:rPr>
      </w:pPr>
      <w:r>
        <w:rPr>
          <w:rFonts w:ascii="Arial" w:cs="Arial" w:eastAsia="Arial" w:hAnsi="Arial"/>
          <w:sz w:val="15"/>
          <w:szCs w:val="15"/>
          <w:color w:val="auto"/>
        </w:rPr>
        <w:t>30 -</w:t>
      </w:r>
    </w:p>
    <w:p>
      <w:pPr>
        <w:sectPr>
          <w:pgSz w:w="11900" w:h="16838" w:orient="portrait"/>
          <w:cols w:equalWidth="0" w:num="1">
            <w:col w:w="11460"/>
          </w:cols>
          <w:pgMar w:left="220" w:top="207" w:right="219" w:bottom="1440" w:gutter="0" w:footer="0" w:header="0"/>
        </w:sectPr>
      </w:pPr>
    </w:p>
    <w:bookmarkStart w:id="88" w:name="page89"/>
    <w:bookmarkEnd w:id="88"/>
    <w:p>
      <w:pPr>
        <w:ind w:left="760" w:firstLine="1432"/>
        <w:spacing w:after="0" w:line="259" w:lineRule="auto"/>
        <w:tabs>
          <w:tab w:leader="none" w:pos="2429" w:val="left"/>
        </w:tabs>
        <w:numPr>
          <w:ilvl w:val="1"/>
          <w:numId w:val="93"/>
        </w:numPr>
        <w:rPr>
          <w:rFonts w:ascii="Arial" w:cs="Arial" w:eastAsia="Arial" w:hAnsi="Arial"/>
          <w:sz w:val="15"/>
          <w:szCs w:val="15"/>
          <w:color w:val="auto"/>
        </w:rPr>
      </w:pPr>
      <w:r>
        <w:rPr>
          <w:rFonts w:ascii="Arial" w:cs="Arial" w:eastAsia="Arial" w:hAnsi="Arial"/>
          <w:sz w:val="15"/>
          <w:szCs w:val="15"/>
          <w:color w:val="auto"/>
        </w:rPr>
        <w:t>Do not, and will not, contravene in any material respect any provision of any Requirement of Law or obligation of that Loan Party, where such contravention would have a Material Adverse Effect on that Loan Party.</w:t>
      </w:r>
    </w:p>
    <w:p>
      <w:pPr>
        <w:spacing w:after="0" w:line="51" w:lineRule="exact"/>
        <w:rPr>
          <w:rFonts w:ascii="Arial" w:cs="Arial" w:eastAsia="Arial" w:hAnsi="Arial"/>
          <w:sz w:val="15"/>
          <w:szCs w:val="15"/>
          <w:color w:val="auto"/>
        </w:rPr>
      </w:pPr>
    </w:p>
    <w:p>
      <w:pPr>
        <w:ind w:left="760" w:firstLine="1432"/>
        <w:spacing w:after="0" w:line="259" w:lineRule="auto"/>
        <w:tabs>
          <w:tab w:leader="none" w:pos="2452" w:val="left"/>
        </w:tabs>
        <w:numPr>
          <w:ilvl w:val="1"/>
          <w:numId w:val="93"/>
        </w:numPr>
        <w:rPr>
          <w:rFonts w:ascii="Arial" w:cs="Arial" w:eastAsia="Arial" w:hAnsi="Arial"/>
          <w:sz w:val="15"/>
          <w:szCs w:val="15"/>
          <w:color w:val="auto"/>
        </w:rPr>
      </w:pPr>
      <w:r>
        <w:rPr>
          <w:rFonts w:ascii="Arial" w:cs="Arial" w:eastAsia="Arial" w:hAnsi="Arial"/>
          <w:sz w:val="15"/>
          <w:szCs w:val="15"/>
          <w:color w:val="auto"/>
        </w:rPr>
        <w:t>Will not result in the creation or imposition of, or the obligation to create or impose, any Encumbrance upon any assets of that Loan Party pursuant to any Requirement of Law or obligation, except pursuant to or as permitted by the Loan Documents.</w:t>
      </w:r>
    </w:p>
    <w:p>
      <w:pPr>
        <w:spacing w:after="0" w:line="51" w:lineRule="exact"/>
        <w:rPr>
          <w:rFonts w:ascii="Arial" w:cs="Arial" w:eastAsia="Arial" w:hAnsi="Arial"/>
          <w:sz w:val="15"/>
          <w:szCs w:val="15"/>
          <w:color w:val="auto"/>
        </w:rPr>
      </w:pPr>
    </w:p>
    <w:p>
      <w:pPr>
        <w:jc w:val="both"/>
        <w:ind w:firstLine="1529"/>
        <w:spacing w:after="0" w:line="275" w:lineRule="auto"/>
        <w:tabs>
          <w:tab w:leader="none" w:pos="1746"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Loan Documents have been duly executed and delivered by each Loan Party and are the legal, valid and binding obligations of each Loan Party, enforceable against each Loan Party in accordance with their respective terms, except as such enforceability may be subject to limitations on the rights and remedies of secured creditors generally imposed under bankruptcy or insolvency law and that the availability of equitable relief is subject to the discretion of the court from which such relief is sought.</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4.3. T</w:t>
      </w:r>
      <w:r>
        <w:rPr>
          <w:rFonts w:ascii="Arial" w:cs="Arial" w:eastAsia="Arial" w:hAnsi="Arial"/>
          <w:sz w:val="10"/>
          <w:szCs w:val="10"/>
          <w:b w:val="1"/>
          <w:bCs w:val="1"/>
          <w:color w:val="auto"/>
        </w:rPr>
        <w:t>RADE</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AMES</w:t>
      </w:r>
      <w:r>
        <w:rPr>
          <w:rFonts w:ascii="Arial" w:cs="Arial" w:eastAsia="Arial" w:hAnsi="Arial"/>
          <w:sz w:val="15"/>
          <w:szCs w:val="15"/>
          <w:color w:val="auto"/>
        </w:rPr>
        <w:t>.</w:t>
      </w:r>
    </w:p>
    <w:p>
      <w:pPr>
        <w:spacing w:after="0" w:line="80" w:lineRule="exact"/>
        <w:rPr>
          <w:sz w:val="20"/>
          <w:szCs w:val="20"/>
          <w:color w:val="auto"/>
        </w:rPr>
      </w:pPr>
    </w:p>
    <w:p>
      <w:pPr>
        <w:ind w:left="1740" w:hanging="211"/>
        <w:spacing w:after="0"/>
        <w:tabs>
          <w:tab w:leader="none" w:pos="1740" w:val="left"/>
        </w:tabs>
        <w:numPr>
          <w:ilvl w:val="0"/>
          <w:numId w:val="95"/>
        </w:numPr>
        <w:rPr>
          <w:rFonts w:ascii="Arial" w:cs="Arial" w:eastAsia="Arial" w:hAnsi="Arial"/>
          <w:sz w:val="15"/>
          <w:szCs w:val="15"/>
          <w:color w:val="auto"/>
        </w:rPr>
      </w:pPr>
      <w:r>
        <w:rPr>
          <w:rFonts w:ascii="Arial" w:cs="Arial" w:eastAsia="Arial" w:hAnsi="Arial"/>
          <w:sz w:val="15"/>
          <w:szCs w:val="15"/>
          <w:b w:val="1"/>
          <w:bCs w:val="1"/>
          <w:color w:val="auto"/>
        </w:rPr>
        <w:t>EXHIBIT 4.3</w:t>
      </w:r>
      <w:r>
        <w:rPr>
          <w:rFonts w:ascii="Arial" w:cs="Arial" w:eastAsia="Arial" w:hAnsi="Arial"/>
          <w:sz w:val="15"/>
          <w:szCs w:val="15"/>
          <w:color w:val="auto"/>
        </w:rPr>
        <w:t>, annexed hereto, is a listing of:</w:t>
      </w:r>
    </w:p>
    <w:p>
      <w:pPr>
        <w:spacing w:after="0" w:line="83" w:lineRule="exact"/>
        <w:rPr>
          <w:rFonts w:ascii="Arial" w:cs="Arial" w:eastAsia="Arial" w:hAnsi="Arial"/>
          <w:sz w:val="15"/>
          <w:szCs w:val="15"/>
          <w:color w:val="auto"/>
        </w:rPr>
      </w:pPr>
    </w:p>
    <w:p>
      <w:pPr>
        <w:ind w:left="2360" w:hanging="168"/>
        <w:spacing w:after="0"/>
        <w:tabs>
          <w:tab w:leader="none" w:pos="2360"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names under which any Loan Party conducted its business during the five (5) years preceding the date of this Agreement.</w:t>
      </w:r>
    </w:p>
    <w:p>
      <w:pPr>
        <w:spacing w:after="0" w:line="79" w:lineRule="exact"/>
        <w:rPr>
          <w:rFonts w:ascii="Arial" w:cs="Arial" w:eastAsia="Arial" w:hAnsi="Arial"/>
          <w:sz w:val="15"/>
          <w:szCs w:val="15"/>
          <w:color w:val="auto"/>
        </w:rPr>
      </w:pPr>
    </w:p>
    <w:p>
      <w:pPr>
        <w:ind w:left="760" w:firstLine="1432"/>
        <w:spacing w:after="0" w:line="259" w:lineRule="auto"/>
        <w:tabs>
          <w:tab w:leader="none" w:pos="2410" w:val="left"/>
        </w:tabs>
        <w:numPr>
          <w:ilvl w:val="1"/>
          <w:numId w:val="95"/>
        </w:numPr>
        <w:rPr>
          <w:rFonts w:ascii="Arial" w:cs="Arial" w:eastAsia="Arial" w:hAnsi="Arial"/>
          <w:sz w:val="15"/>
          <w:szCs w:val="15"/>
          <w:color w:val="auto"/>
        </w:rPr>
      </w:pPr>
      <w:r>
        <w:rPr>
          <w:rFonts w:ascii="Arial" w:cs="Arial" w:eastAsia="Arial" w:hAnsi="Arial"/>
          <w:sz w:val="15"/>
          <w:szCs w:val="15"/>
          <w:color w:val="auto"/>
        </w:rPr>
        <w:t>All Persons with whom any Loan Party consolidated or merged, or from whom any Loan Party acquired in a single transaction or in a series of related transactions substantially all of such Person’s assets, in each case during the five (5) years preceding the date of this Agreement.</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45"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Borrowers’ Representative will provide the Administrative Agent with not less than twenty-one (21) days’ prior written notice (with reasonable particularity) of any change to any Loan Party’s name from that under which that Loan Party is conducting its business at the execution of this Agreement and will not effect such change unless each Loan Party is then in compliance with all provisions of this Agreement.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4.4. I</w:t>
      </w:r>
      <w:r>
        <w:rPr>
          <w:rFonts w:ascii="Arial" w:cs="Arial" w:eastAsia="Arial" w:hAnsi="Arial"/>
          <w:sz w:val="10"/>
          <w:szCs w:val="10"/>
          <w:b w:val="1"/>
          <w:bCs w:val="1"/>
          <w:color w:val="auto"/>
        </w:rPr>
        <w:t>NFRASTRUCTURE</w:t>
      </w:r>
      <w:r>
        <w:rPr>
          <w:rFonts w:ascii="Arial" w:cs="Arial" w:eastAsia="Arial" w:hAnsi="Arial"/>
          <w:sz w:val="15"/>
          <w:szCs w:val="15"/>
          <w:color w:val="auto"/>
        </w:rPr>
        <w:t>.</w:t>
      </w:r>
    </w:p>
    <w:p>
      <w:pPr>
        <w:spacing w:after="0" w:line="84" w:lineRule="exact"/>
        <w:rPr>
          <w:sz w:val="20"/>
          <w:szCs w:val="20"/>
          <w:color w:val="auto"/>
        </w:rPr>
      </w:pPr>
    </w:p>
    <w:p>
      <w:pPr>
        <w:ind w:left="1740" w:hanging="211"/>
        <w:spacing w:after="0"/>
        <w:tabs>
          <w:tab w:leader="none" w:pos="1740" w:val="left"/>
        </w:tabs>
        <w:numPr>
          <w:ilvl w:val="0"/>
          <w:numId w:val="96"/>
        </w:numPr>
        <w:rPr>
          <w:rFonts w:ascii="Arial" w:cs="Arial" w:eastAsia="Arial" w:hAnsi="Arial"/>
          <w:sz w:val="13"/>
          <w:szCs w:val="13"/>
          <w:color w:val="auto"/>
        </w:rPr>
      </w:pPr>
      <w:r>
        <w:rPr>
          <w:rFonts w:ascii="Arial" w:cs="Arial" w:eastAsia="Arial" w:hAnsi="Arial"/>
          <w:sz w:val="13"/>
          <w:szCs w:val="13"/>
          <w:color w:val="auto"/>
        </w:rPr>
        <w:t>Each Loan Party has and will maintain a sufficient infrastructure to conduct its business as presently conducted and as contemplated to be conducted following its</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execution of this Agreement.</w:t>
      </w:r>
    </w:p>
    <w:p>
      <w:pPr>
        <w:spacing w:after="0" w:line="63" w:lineRule="exact"/>
        <w:rPr>
          <w:rFonts w:ascii="Arial" w:cs="Arial" w:eastAsia="Arial" w:hAnsi="Arial"/>
          <w:sz w:val="13"/>
          <w:szCs w:val="13"/>
          <w:color w:val="auto"/>
        </w:rPr>
      </w:pPr>
    </w:p>
    <w:p>
      <w:pPr>
        <w:jc w:val="both"/>
        <w:ind w:firstLine="1529"/>
        <w:spacing w:after="0" w:line="247" w:lineRule="auto"/>
        <w:tabs>
          <w:tab w:leader="none" w:pos="1739"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To the Borrowers’ knowledge, except as set forth in </w:t>
      </w:r>
      <w:r>
        <w:rPr>
          <w:rFonts w:ascii="Arial" w:cs="Arial" w:eastAsia="Arial" w:hAnsi="Arial"/>
          <w:sz w:val="15"/>
          <w:szCs w:val="15"/>
          <w:b w:val="1"/>
          <w:bCs w:val="1"/>
          <w:color w:val="auto"/>
        </w:rPr>
        <w:t>EXHIBIT 4.4(b)</w:t>
      </w:r>
      <w:r>
        <w:rPr>
          <w:rFonts w:ascii="Arial" w:cs="Arial" w:eastAsia="Arial" w:hAnsi="Arial"/>
          <w:sz w:val="15"/>
          <w:szCs w:val="15"/>
          <w:color w:val="auto"/>
        </w:rPr>
        <w:t xml:space="preserve">, each Loan Party owns and possesses, or has the right to use (and will hereafter own, possess, or have such right to use) all patents, industrial designs, trademarks, trade names, trade styles, brand names, service marks, logos, copyrights, trade secrets, know-how, confidential information, and other intellectual or proprietary property of any third Person necessary for that Loan Party’s conduct of that Loan Party’s business except where the failure to own, possess, or have such right or use will not have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adverse effect on any Loan Party.</w:t>
      </w:r>
    </w:p>
    <w:p>
      <w:pPr>
        <w:spacing w:after="0" w:line="60" w:lineRule="exact"/>
        <w:rPr>
          <w:rFonts w:ascii="Arial" w:cs="Arial" w:eastAsia="Arial" w:hAnsi="Arial"/>
          <w:sz w:val="15"/>
          <w:szCs w:val="15"/>
          <w:color w:val="auto"/>
        </w:rPr>
      </w:pPr>
    </w:p>
    <w:p>
      <w:pPr>
        <w:jc w:val="both"/>
        <w:ind w:firstLine="1529"/>
        <w:spacing w:after="0" w:line="305" w:lineRule="auto"/>
        <w:tabs>
          <w:tab w:leader="none" w:pos="1748" w:val="left"/>
        </w:tabs>
        <w:numPr>
          <w:ilvl w:val="0"/>
          <w:numId w:val="96"/>
        </w:numPr>
        <w:rPr>
          <w:rFonts w:ascii="Arial" w:cs="Arial" w:eastAsia="Arial" w:hAnsi="Arial"/>
          <w:sz w:val="13"/>
          <w:szCs w:val="13"/>
          <w:color w:val="auto"/>
        </w:rPr>
      </w:pPr>
      <w:r>
        <w:rPr>
          <w:rFonts w:ascii="Arial" w:cs="Arial" w:eastAsia="Arial" w:hAnsi="Arial"/>
          <w:sz w:val="13"/>
          <w:szCs w:val="13"/>
          <w:color w:val="auto"/>
        </w:rPr>
        <w:t xml:space="preserve">To the Borrowers’ knowledge, the conduct by each Loan Party of that Loan Party’s business does not presently infringe (nor will any Loan Party conduct its business in the future so as to infringe) the patents, industrial designs, trademarks, trade names, trade styles, brand names, service marks, logos, copyrights, trade secrets, know-how, confidential information, or other intellectual or proprietary property of any third Person except where such infringement will not have no more than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adverse effect on that Loan Party.</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4.5. L</w:t>
      </w:r>
      <w:r>
        <w:rPr>
          <w:rFonts w:ascii="Arial" w:cs="Arial" w:eastAsia="Arial" w:hAnsi="Arial"/>
          <w:sz w:val="10"/>
          <w:szCs w:val="10"/>
          <w:b w:val="1"/>
          <w:bCs w:val="1"/>
          <w:color w:val="auto"/>
        </w:rPr>
        <w:t>OCATIONS</w:t>
      </w:r>
      <w:r>
        <w:rPr>
          <w:rFonts w:ascii="Arial" w:cs="Arial" w:eastAsia="Arial" w:hAnsi="Arial"/>
          <w:sz w:val="15"/>
          <w:szCs w:val="15"/>
          <w:color w:val="auto"/>
        </w:rPr>
        <w:t>.</w:t>
      </w:r>
    </w:p>
    <w:p>
      <w:pPr>
        <w:spacing w:after="0" w:line="84" w:lineRule="exact"/>
        <w:rPr>
          <w:sz w:val="20"/>
          <w:szCs w:val="20"/>
          <w:color w:val="auto"/>
        </w:rPr>
      </w:pPr>
    </w:p>
    <w:p>
      <w:pPr>
        <w:ind w:left="1740" w:hanging="211"/>
        <w:spacing w:after="0"/>
        <w:tabs>
          <w:tab w:leader="none" w:pos="17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Collateral, and the books, records, and papers of the Loan Parties pertaining thereto, are kept and maintained solely at the following locations:</w:t>
      </w:r>
    </w:p>
    <w:p>
      <w:pPr>
        <w:spacing w:after="0" w:line="91" w:lineRule="exact"/>
        <w:rPr>
          <w:rFonts w:ascii="Arial" w:cs="Arial" w:eastAsia="Arial" w:hAnsi="Arial"/>
          <w:sz w:val="14"/>
          <w:szCs w:val="14"/>
          <w:color w:val="auto"/>
        </w:rPr>
      </w:pPr>
    </w:p>
    <w:p>
      <w:pPr>
        <w:ind w:left="2360" w:hanging="168"/>
        <w:spacing w:after="0"/>
        <w:tabs>
          <w:tab w:leader="none" w:pos="2360" w:val="left"/>
        </w:tabs>
        <w:numPr>
          <w:ilvl w:val="1"/>
          <w:numId w:val="97"/>
        </w:numPr>
        <w:rPr>
          <w:rFonts w:ascii="Arial" w:cs="Arial" w:eastAsia="Arial" w:hAnsi="Arial"/>
          <w:sz w:val="15"/>
          <w:szCs w:val="15"/>
          <w:color w:val="auto"/>
        </w:rPr>
      </w:pPr>
      <w:r>
        <w:rPr>
          <w:rFonts w:ascii="Arial" w:cs="Arial" w:eastAsia="Arial" w:hAnsi="Arial"/>
          <w:sz w:val="15"/>
          <w:szCs w:val="15"/>
          <w:color w:val="auto"/>
        </w:rPr>
        <w:t>The Borrowers’ Representative’s chief executive offices which are at 555 Turnpike Street, Canton, Massachusetts 02021.</w:t>
      </w:r>
    </w:p>
    <w:p>
      <w:pPr>
        <w:spacing w:after="0" w:line="75" w:lineRule="exact"/>
        <w:rPr>
          <w:rFonts w:ascii="Arial" w:cs="Arial" w:eastAsia="Arial" w:hAnsi="Arial"/>
          <w:sz w:val="15"/>
          <w:szCs w:val="15"/>
          <w:color w:val="auto"/>
        </w:rPr>
      </w:pPr>
    </w:p>
    <w:p>
      <w:pPr>
        <w:jc w:val="both"/>
        <w:ind w:left="760" w:firstLine="1432"/>
        <w:spacing w:after="0" w:line="251" w:lineRule="auto"/>
        <w:tabs>
          <w:tab w:leader="none" w:pos="2407" w:val="left"/>
        </w:tabs>
        <w:numPr>
          <w:ilvl w:val="1"/>
          <w:numId w:val="97"/>
        </w:numPr>
        <w:rPr>
          <w:rFonts w:ascii="Arial" w:cs="Arial" w:eastAsia="Arial" w:hAnsi="Arial"/>
          <w:sz w:val="15"/>
          <w:szCs w:val="15"/>
          <w:color w:val="auto"/>
        </w:rPr>
      </w:pPr>
      <w:r>
        <w:rPr>
          <w:rFonts w:ascii="Arial" w:cs="Arial" w:eastAsia="Arial" w:hAnsi="Arial"/>
          <w:sz w:val="15"/>
          <w:szCs w:val="15"/>
          <w:color w:val="auto"/>
        </w:rPr>
        <w:t xml:space="preserve">Those locations which are listed on </w:t>
      </w:r>
      <w:r>
        <w:rPr>
          <w:rFonts w:ascii="Arial" w:cs="Arial" w:eastAsia="Arial" w:hAnsi="Arial"/>
          <w:sz w:val="15"/>
          <w:szCs w:val="15"/>
          <w:b w:val="1"/>
          <w:bCs w:val="1"/>
          <w:color w:val="auto"/>
        </w:rPr>
        <w:t>EXHIBIT 4.5</w:t>
      </w:r>
      <w:r>
        <w:rPr>
          <w:rFonts w:ascii="Arial" w:cs="Arial" w:eastAsia="Arial" w:hAnsi="Arial"/>
          <w:sz w:val="15"/>
          <w:szCs w:val="15"/>
          <w:color w:val="auto"/>
        </w:rPr>
        <w:t>, annexed hereto, which EXHIBIT includes, with respect to each such location, the name and address of the landlord on the Lease which covers such location (or an indication that a Loan Party owns the subject location) and of all service bureaus with which any such records are maintained and the names and addresses of each Loan Party’s landlord(s).</w:t>
      </w:r>
    </w:p>
    <w:p>
      <w:pPr>
        <w:spacing w:after="0" w:line="138" w:lineRule="exact"/>
        <w:rPr>
          <w:rFonts w:ascii="Arial" w:cs="Arial" w:eastAsia="Arial" w:hAnsi="Arial"/>
          <w:sz w:val="15"/>
          <w:szCs w:val="15"/>
          <w:color w:val="auto"/>
        </w:rPr>
      </w:pPr>
    </w:p>
    <w:p>
      <w:pPr>
        <w:ind w:left="5660" w:hanging="86"/>
        <w:spacing w:after="0"/>
        <w:tabs>
          <w:tab w:leader="none" w:pos="5660" w:val="left"/>
        </w:tabs>
        <w:numPr>
          <w:ilvl w:val="2"/>
          <w:numId w:val="97"/>
        </w:numPr>
        <w:rPr>
          <w:rFonts w:ascii="Arial" w:cs="Arial" w:eastAsia="Arial" w:hAnsi="Arial"/>
          <w:sz w:val="15"/>
          <w:szCs w:val="15"/>
          <w:color w:val="auto"/>
        </w:rPr>
      </w:pPr>
      <w:r>
        <w:rPr>
          <w:rFonts w:ascii="Arial" w:cs="Arial" w:eastAsia="Arial" w:hAnsi="Arial"/>
          <w:sz w:val="15"/>
          <w:szCs w:val="15"/>
          <w:color w:val="auto"/>
        </w:rPr>
        <w:t>31 -</w:t>
      </w:r>
    </w:p>
    <w:p>
      <w:pPr>
        <w:sectPr>
          <w:pgSz w:w="11900" w:h="16838" w:orient="portrait"/>
          <w:cols w:equalWidth="0" w:num="1">
            <w:col w:w="11460"/>
          </w:cols>
          <w:pgMar w:left="220" w:top="208" w:right="219" w:bottom="1440" w:gutter="0" w:footer="0" w:header="0"/>
        </w:sectPr>
      </w:pPr>
    </w:p>
    <w:bookmarkStart w:id="89" w:name="page90"/>
    <w:bookmarkEnd w:id="89"/>
    <w:p>
      <w:pPr>
        <w:ind w:left="980" w:hanging="211"/>
        <w:spacing w:after="0"/>
        <w:tabs>
          <w:tab w:leader="none" w:pos="9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 xml:space="preserve">No Loan Party shall remove any of the Collateral from said chief executive office or those locations listed on </w:t>
      </w:r>
      <w:r>
        <w:rPr>
          <w:rFonts w:ascii="Arial" w:cs="Arial" w:eastAsia="Arial" w:hAnsi="Arial"/>
          <w:sz w:val="14"/>
          <w:szCs w:val="14"/>
          <w:b w:val="1"/>
          <w:bCs w:val="1"/>
          <w:color w:val="auto"/>
        </w:rPr>
        <w:t>EXHIBIT 4.5</w:t>
      </w:r>
      <w:r>
        <w:rPr>
          <w:rFonts w:ascii="Arial" w:cs="Arial" w:eastAsia="Arial" w:hAnsi="Arial"/>
          <w:sz w:val="14"/>
          <w:szCs w:val="14"/>
          <w:color w:val="auto"/>
        </w:rPr>
        <w:t xml:space="preserve"> except for the following purposes:</w:t>
      </w:r>
    </w:p>
    <w:p>
      <w:pPr>
        <w:spacing w:after="0" w:line="95" w:lineRule="exact"/>
        <w:rPr>
          <w:rFonts w:ascii="Arial" w:cs="Arial" w:eastAsia="Arial" w:hAnsi="Arial"/>
          <w:sz w:val="14"/>
          <w:szCs w:val="14"/>
          <w:color w:val="auto"/>
        </w:rPr>
      </w:pPr>
    </w:p>
    <w:p>
      <w:pPr>
        <w:ind w:left="1600" w:hanging="168"/>
        <w:spacing w:after="0"/>
        <w:tabs>
          <w:tab w:leader="none" w:pos="1600" w:val="left"/>
        </w:tabs>
        <w:numPr>
          <w:ilvl w:val="1"/>
          <w:numId w:val="98"/>
        </w:numPr>
        <w:rPr>
          <w:rFonts w:ascii="Arial" w:cs="Arial" w:eastAsia="Arial" w:hAnsi="Arial"/>
          <w:sz w:val="15"/>
          <w:szCs w:val="15"/>
          <w:color w:val="auto"/>
        </w:rPr>
      </w:pPr>
      <w:r>
        <w:rPr>
          <w:rFonts w:ascii="Arial" w:cs="Arial" w:eastAsia="Arial" w:hAnsi="Arial"/>
          <w:sz w:val="15"/>
          <w:szCs w:val="15"/>
          <w:color w:val="auto"/>
        </w:rPr>
        <w:t xml:space="preserve">To accomplish sales of Inventory in the ordinary course of business or sales permitted by </w:t>
      </w:r>
      <w:r>
        <w:rPr>
          <w:rFonts w:ascii="Arial" w:cs="Arial" w:eastAsia="Arial" w:hAnsi="Arial"/>
          <w:sz w:val="15"/>
          <w:szCs w:val="15"/>
          <w:u w:val="single" w:color="auto"/>
          <w:color w:val="auto"/>
        </w:rPr>
        <w:t>Section 4.14(d)</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1640" w:hanging="208"/>
        <w:spacing w:after="0"/>
        <w:tabs>
          <w:tab w:leader="none" w:pos="1640" w:val="left"/>
        </w:tabs>
        <w:numPr>
          <w:ilvl w:val="1"/>
          <w:numId w:val="98"/>
        </w:numPr>
        <w:rPr>
          <w:rFonts w:ascii="Arial" w:cs="Arial" w:eastAsia="Arial" w:hAnsi="Arial"/>
          <w:sz w:val="15"/>
          <w:szCs w:val="15"/>
          <w:color w:val="auto"/>
        </w:rPr>
      </w:pPr>
      <w:r>
        <w:rPr>
          <w:rFonts w:ascii="Arial" w:cs="Arial" w:eastAsia="Arial" w:hAnsi="Arial"/>
          <w:sz w:val="15"/>
          <w:szCs w:val="15"/>
          <w:color w:val="auto"/>
        </w:rPr>
        <w:t>To move Inventory from one such location to another such location.</w:t>
      </w:r>
    </w:p>
    <w:p>
      <w:pPr>
        <w:spacing w:after="0" w:line="79" w:lineRule="exact"/>
        <w:rPr>
          <w:rFonts w:ascii="Arial" w:cs="Arial" w:eastAsia="Arial" w:hAnsi="Arial"/>
          <w:sz w:val="15"/>
          <w:szCs w:val="15"/>
          <w:color w:val="auto"/>
        </w:rPr>
      </w:pPr>
    </w:p>
    <w:p>
      <w:pPr>
        <w:ind w:left="1700" w:hanging="268"/>
        <w:spacing w:after="0"/>
        <w:tabs>
          <w:tab w:leader="none" w:pos="1700" w:val="left"/>
        </w:tabs>
        <w:numPr>
          <w:ilvl w:val="1"/>
          <w:numId w:val="98"/>
        </w:numPr>
        <w:rPr>
          <w:rFonts w:ascii="Arial" w:cs="Arial" w:eastAsia="Arial" w:hAnsi="Arial"/>
          <w:sz w:val="15"/>
          <w:szCs w:val="15"/>
          <w:color w:val="auto"/>
        </w:rPr>
      </w:pPr>
      <w:r>
        <w:rPr>
          <w:rFonts w:ascii="Arial" w:cs="Arial" w:eastAsia="Arial" w:hAnsi="Arial"/>
          <w:sz w:val="15"/>
          <w:szCs w:val="15"/>
          <w:color w:val="auto"/>
        </w:rPr>
        <w:t>To utilize such of the Collateral as is removed from such locations in the ordinary course of business (such as motor vehicles).</w:t>
      </w:r>
    </w:p>
    <w:p>
      <w:pPr>
        <w:spacing w:after="0" w:line="79" w:lineRule="exact"/>
        <w:rPr>
          <w:rFonts w:ascii="Arial" w:cs="Arial" w:eastAsia="Arial" w:hAnsi="Arial"/>
          <w:sz w:val="15"/>
          <w:szCs w:val="15"/>
          <w:color w:val="auto"/>
        </w:rPr>
      </w:pPr>
    </w:p>
    <w:p>
      <w:pPr>
        <w:jc w:val="both"/>
        <w:ind w:left="-760" w:firstLine="1529"/>
        <w:spacing w:after="0" w:line="305" w:lineRule="auto"/>
        <w:tabs>
          <w:tab w:leader="none" w:pos="973"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Except where caused by a force majeure or as otherwise agreed by the Administrative Agent, and except with respect to the locations referred to in </w:t>
      </w:r>
      <w:r>
        <w:rPr>
          <w:rFonts w:ascii="Arial" w:cs="Arial" w:eastAsia="Arial" w:hAnsi="Arial"/>
          <w:sz w:val="13"/>
          <w:szCs w:val="13"/>
          <w:u w:val="single" w:color="auto"/>
          <w:color w:val="auto"/>
        </w:rPr>
        <w:t>Section 4.14(d)</w:t>
      </w:r>
      <w:r>
        <w:rPr>
          <w:rFonts w:ascii="Arial" w:cs="Arial" w:eastAsia="Arial" w:hAnsi="Arial"/>
          <w:sz w:val="13"/>
          <w:szCs w:val="13"/>
          <w:color w:val="auto"/>
        </w:rPr>
        <w:t xml:space="preserve"> as to which five (5) days’ notice shall be deemed sufficient, no Loan Party shall cease the conduct of business at any of its present or future Stores for more than fifteen (15) consecutive days without first furnishing the Administrative Agent with not less than thirty (30) days’ (or such lesser period as the Administrative Agent may agree) prior written notice thereof.</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4.6. S</w:t>
      </w:r>
      <w:r>
        <w:rPr>
          <w:rFonts w:ascii="Arial" w:cs="Arial" w:eastAsia="Arial" w:hAnsi="Arial"/>
          <w:sz w:val="10"/>
          <w:szCs w:val="10"/>
          <w:b w:val="1"/>
          <w:bCs w:val="1"/>
          <w:color w:val="auto"/>
        </w:rPr>
        <w:t>TORES</w:t>
      </w:r>
      <w:r>
        <w:rPr>
          <w:rFonts w:ascii="Arial" w:cs="Arial" w:eastAsia="Arial" w:hAnsi="Arial"/>
          <w:sz w:val="15"/>
          <w:szCs w:val="15"/>
          <w:color w:val="auto"/>
        </w:rPr>
        <w:t>.</w:t>
      </w:r>
    </w:p>
    <w:p>
      <w:pPr>
        <w:spacing w:after="0" w:line="84" w:lineRule="exact"/>
        <w:rPr>
          <w:sz w:val="20"/>
          <w:szCs w:val="20"/>
          <w:color w:val="auto"/>
        </w:rPr>
      </w:pPr>
    </w:p>
    <w:p>
      <w:pPr>
        <w:ind w:left="-760" w:firstLine="1529"/>
        <w:spacing w:after="0" w:line="259" w:lineRule="auto"/>
        <w:tabs>
          <w:tab w:leader="none" w:pos="970" w:val="left"/>
        </w:tabs>
        <w:numPr>
          <w:ilvl w:val="0"/>
          <w:numId w:val="99"/>
        </w:numPr>
        <w:rPr>
          <w:rFonts w:ascii="Arial" w:cs="Arial" w:eastAsia="Arial" w:hAnsi="Arial"/>
          <w:sz w:val="15"/>
          <w:szCs w:val="15"/>
          <w:color w:val="auto"/>
        </w:rPr>
      </w:pPr>
      <w:r>
        <w:rPr>
          <w:rFonts w:ascii="Arial" w:cs="Arial" w:eastAsia="Arial" w:hAnsi="Arial"/>
          <w:sz w:val="15"/>
          <w:szCs w:val="15"/>
          <w:color w:val="auto"/>
        </w:rPr>
        <w:t>No Loan Party is or may commit to or become legally obligated to open additional Stores where such commitment, obligation, or opening is prohibited by, or would result in a breach of, this Agreement.</w:t>
      </w:r>
    </w:p>
    <w:p>
      <w:pPr>
        <w:spacing w:after="0" w:line="51" w:lineRule="exact"/>
        <w:rPr>
          <w:rFonts w:ascii="Arial" w:cs="Arial" w:eastAsia="Arial" w:hAnsi="Arial"/>
          <w:sz w:val="15"/>
          <w:szCs w:val="15"/>
          <w:color w:val="auto"/>
        </w:rPr>
      </w:pPr>
    </w:p>
    <w:p>
      <w:pPr>
        <w:ind w:left="-760" w:firstLine="1529"/>
        <w:spacing w:after="0" w:line="259" w:lineRule="auto"/>
        <w:tabs>
          <w:tab w:leader="none" w:pos="978"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Except for in-transit Inventory, no tangible personal property of any Loan Party (beyond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amount of such property) is in the care or custody of any third party or stored or entrusted with a bailee or other third party </w:t>
      </w:r>
      <w:r>
        <w:rPr>
          <w:rFonts w:ascii="Arial" w:cs="Arial" w:eastAsia="Arial" w:hAnsi="Arial"/>
          <w:sz w:val="15"/>
          <w:szCs w:val="15"/>
          <w:i w:val="1"/>
          <w:iCs w:val="1"/>
          <w:color w:val="auto"/>
        </w:rPr>
        <w:t>other than</w:t>
      </w:r>
      <w:r>
        <w:rPr>
          <w:rFonts w:ascii="Arial" w:cs="Arial" w:eastAsia="Arial" w:hAnsi="Arial"/>
          <w:sz w:val="15"/>
          <w:szCs w:val="15"/>
          <w:color w:val="auto"/>
        </w:rPr>
        <w:t xml:space="preserve"> as otherwise consented to in writing by the Administrative Agent.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4.7. T</w:t>
      </w:r>
      <w:r>
        <w:rPr>
          <w:rFonts w:ascii="Arial" w:cs="Arial" w:eastAsia="Arial" w:hAnsi="Arial"/>
          <w:sz w:val="10"/>
          <w:szCs w:val="10"/>
          <w:b w:val="1"/>
          <w:bCs w:val="1"/>
          <w:color w:val="auto"/>
        </w:rPr>
        <w:t>ITLE TO</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SSETS</w:t>
      </w:r>
      <w:r>
        <w:rPr>
          <w:rFonts w:ascii="Arial" w:cs="Arial" w:eastAsia="Arial" w:hAnsi="Arial"/>
          <w:sz w:val="15"/>
          <w:szCs w:val="15"/>
          <w:color w:val="auto"/>
        </w:rPr>
        <w:t>.</w:t>
      </w:r>
    </w:p>
    <w:p>
      <w:pPr>
        <w:spacing w:after="0" w:line="84" w:lineRule="exact"/>
        <w:rPr>
          <w:sz w:val="20"/>
          <w:szCs w:val="20"/>
          <w:color w:val="auto"/>
        </w:rPr>
      </w:pPr>
    </w:p>
    <w:p>
      <w:pPr>
        <w:ind w:left="980" w:hanging="211"/>
        <w:spacing w:after="0"/>
        <w:tabs>
          <w:tab w:leader="none" w:pos="9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Loan Parties are, and shall hereafter remain, the owners of the Collateral free and clear of all Encumbrances with the exceptions of the following:</w:t>
      </w:r>
    </w:p>
    <w:p>
      <w:pPr>
        <w:spacing w:after="0" w:line="91" w:lineRule="exact"/>
        <w:rPr>
          <w:rFonts w:ascii="Arial" w:cs="Arial" w:eastAsia="Arial" w:hAnsi="Arial"/>
          <w:sz w:val="14"/>
          <w:szCs w:val="14"/>
          <w:color w:val="auto"/>
        </w:rPr>
      </w:pPr>
    </w:p>
    <w:p>
      <w:pPr>
        <w:ind w:left="1600" w:hanging="168"/>
        <w:spacing w:after="0"/>
        <w:tabs>
          <w:tab w:leader="none" w:pos="160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Encumbrances in favor of the Collateral Agent.</w:t>
      </w:r>
    </w:p>
    <w:p>
      <w:pPr>
        <w:spacing w:after="0" w:line="79" w:lineRule="exact"/>
        <w:rPr>
          <w:rFonts w:ascii="Arial" w:cs="Arial" w:eastAsia="Arial" w:hAnsi="Arial"/>
          <w:sz w:val="15"/>
          <w:szCs w:val="15"/>
          <w:color w:val="auto"/>
        </w:rPr>
      </w:pPr>
    </w:p>
    <w:p>
      <w:pPr>
        <w:ind w:left="1640" w:hanging="208"/>
        <w:spacing w:after="0"/>
        <w:tabs>
          <w:tab w:leader="none" w:pos="164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Permitted Encumbrances.</w:t>
      </w:r>
    </w:p>
    <w:p>
      <w:pPr>
        <w:spacing w:after="0" w:line="75" w:lineRule="exact"/>
        <w:rPr>
          <w:rFonts w:ascii="Arial" w:cs="Arial" w:eastAsia="Arial" w:hAnsi="Arial"/>
          <w:sz w:val="15"/>
          <w:szCs w:val="15"/>
          <w:color w:val="auto"/>
        </w:rPr>
      </w:pPr>
    </w:p>
    <w:p>
      <w:pPr>
        <w:ind w:left="-760" w:firstLine="1529"/>
        <w:spacing w:after="0" w:line="265" w:lineRule="auto"/>
        <w:tabs>
          <w:tab w:leader="none" w:pos="9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xml:space="preserve">Except as disclosed on </w:t>
      </w:r>
      <w:r>
        <w:rPr>
          <w:rFonts w:ascii="Arial" w:cs="Arial" w:eastAsia="Arial" w:hAnsi="Arial"/>
          <w:sz w:val="15"/>
          <w:szCs w:val="15"/>
          <w:b w:val="1"/>
          <w:bCs w:val="1"/>
          <w:color w:val="auto"/>
        </w:rPr>
        <w:t>EXHIBIT 4.7(b)</w:t>
      </w:r>
      <w:r>
        <w:rPr>
          <w:rFonts w:ascii="Arial" w:cs="Arial" w:eastAsia="Arial" w:hAnsi="Arial"/>
          <w:sz w:val="15"/>
          <w:szCs w:val="15"/>
          <w:color w:val="auto"/>
        </w:rPr>
        <w:t>, annexed hereto, the Loan Parties do not have possession of any property on consignment to the Loan Parties and will not have possession of property on consignment hereafter.</w:t>
      </w:r>
    </w:p>
    <w:p>
      <w:pPr>
        <w:spacing w:after="0" w:line="46" w:lineRule="exact"/>
        <w:rPr>
          <w:rFonts w:ascii="Arial" w:cs="Arial" w:eastAsia="Arial" w:hAnsi="Arial"/>
          <w:sz w:val="15"/>
          <w:szCs w:val="15"/>
          <w:color w:val="auto"/>
        </w:rPr>
      </w:pPr>
    </w:p>
    <w:p>
      <w:pPr>
        <w:ind w:left="980" w:hanging="211"/>
        <w:spacing w:after="0"/>
        <w:tabs>
          <w:tab w:leader="none" w:pos="98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No Loan Party shall acquire or obtain the right to use any Equipment in which any third party has an interest, except for:</w:t>
      </w:r>
    </w:p>
    <w:p>
      <w:pPr>
        <w:spacing w:after="0" w:line="79" w:lineRule="exact"/>
        <w:rPr>
          <w:rFonts w:ascii="Arial" w:cs="Arial" w:eastAsia="Arial" w:hAnsi="Arial"/>
          <w:sz w:val="15"/>
          <w:szCs w:val="15"/>
          <w:color w:val="auto"/>
        </w:rPr>
      </w:pPr>
    </w:p>
    <w:p>
      <w:pPr>
        <w:ind w:left="1600" w:hanging="168"/>
        <w:spacing w:after="0"/>
        <w:tabs>
          <w:tab w:leader="none" w:pos="160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Equipment which is merely incidental to the conduct of that Loan Party’s business; or</w:t>
      </w:r>
    </w:p>
    <w:p>
      <w:pPr>
        <w:spacing w:after="0" w:line="79" w:lineRule="exact"/>
        <w:rPr>
          <w:rFonts w:ascii="Arial" w:cs="Arial" w:eastAsia="Arial" w:hAnsi="Arial"/>
          <w:sz w:val="15"/>
          <w:szCs w:val="15"/>
          <w:color w:val="auto"/>
        </w:rPr>
      </w:pPr>
    </w:p>
    <w:p>
      <w:pPr>
        <w:ind w:left="1660" w:hanging="228"/>
        <w:spacing w:after="0"/>
        <w:tabs>
          <w:tab w:leader="none" w:pos="166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Equipment securing the BALC Indebtedness or the acquisition or right to use of which has been consented to in writing by the Administrative Agent in</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its sole discretion; or</w:t>
      </w:r>
    </w:p>
    <w:p>
      <w:pPr>
        <w:spacing w:after="0" w:line="67" w:lineRule="exact"/>
        <w:rPr>
          <w:rFonts w:ascii="Arial" w:cs="Arial" w:eastAsia="Arial" w:hAnsi="Arial"/>
          <w:sz w:val="13"/>
          <w:szCs w:val="13"/>
          <w:color w:val="auto"/>
        </w:rPr>
      </w:pPr>
    </w:p>
    <w:p>
      <w:pPr>
        <w:ind w:left="1700" w:hanging="268"/>
        <w:spacing w:after="0"/>
        <w:tabs>
          <w:tab w:leader="none" w:pos="1700"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Equipment subject to Leases, Capital Leases or licenses otherwise permitted hereunder.</w:t>
      </w:r>
    </w:p>
    <w:p>
      <w:pPr>
        <w:spacing w:after="0" w:line="79" w:lineRule="exact"/>
        <w:rPr>
          <w:rFonts w:ascii="Arial" w:cs="Arial" w:eastAsia="Arial" w:hAnsi="Arial"/>
          <w:sz w:val="15"/>
          <w:szCs w:val="15"/>
          <w:color w:val="auto"/>
        </w:rPr>
      </w:pPr>
    </w:p>
    <w:p>
      <w:pPr>
        <w:jc w:val="both"/>
        <w:ind w:left="-760" w:firstLine="1529"/>
        <w:spacing w:after="0" w:line="275" w:lineRule="auto"/>
        <w:tabs>
          <w:tab w:leader="none" w:pos="987" w:val="left"/>
        </w:tabs>
        <w:numPr>
          <w:ilvl w:val="0"/>
          <w:numId w:val="100"/>
        </w:numPr>
        <w:rPr>
          <w:rFonts w:ascii="Arial" w:cs="Arial" w:eastAsia="Arial" w:hAnsi="Arial"/>
          <w:sz w:val="14"/>
          <w:szCs w:val="14"/>
          <w:color w:val="auto"/>
        </w:rPr>
      </w:pPr>
      <w:r>
        <w:rPr>
          <w:rFonts w:ascii="Arial" w:cs="Arial" w:eastAsia="Arial" w:hAnsi="Arial"/>
          <w:sz w:val="14"/>
          <w:szCs w:val="14"/>
          <w:color w:val="auto"/>
        </w:rPr>
        <w:t>No Affiliate (other than a Loan Party) which is owned, directly or indirectly, by a Loan Party has, and none will acquire, any assets other than assets of nominal value, unless (i) such acquisition of assets is not prohibited by another provision of this Agreement and (ii) the ownership interests of such Affiliate shall have been pledged to the Collateral Agent for the benefit of the Term Lenders as their interests may appear and the Collateral Agent has a first priority, perfected security interest in such ownership interests.</w:t>
      </w:r>
    </w:p>
    <w:p>
      <w:pPr>
        <w:spacing w:after="0" w:line="122" w:lineRule="exact"/>
        <w:rPr>
          <w:rFonts w:ascii="Arial" w:cs="Arial" w:eastAsia="Arial" w:hAnsi="Arial"/>
          <w:sz w:val="14"/>
          <w:szCs w:val="14"/>
          <w:color w:val="auto"/>
        </w:rPr>
      </w:pPr>
    </w:p>
    <w:p>
      <w:pPr>
        <w:ind w:left="4900" w:hanging="86"/>
        <w:spacing w:after="0"/>
        <w:tabs>
          <w:tab w:leader="none" w:pos="4900" w:val="left"/>
        </w:tabs>
        <w:numPr>
          <w:ilvl w:val="2"/>
          <w:numId w:val="100"/>
        </w:numPr>
        <w:rPr>
          <w:rFonts w:ascii="Arial" w:cs="Arial" w:eastAsia="Arial" w:hAnsi="Arial"/>
          <w:sz w:val="15"/>
          <w:szCs w:val="15"/>
          <w:color w:val="auto"/>
        </w:rPr>
      </w:pPr>
      <w:r>
        <w:rPr>
          <w:rFonts w:ascii="Arial" w:cs="Arial" w:eastAsia="Arial" w:hAnsi="Arial"/>
          <w:sz w:val="15"/>
          <w:szCs w:val="15"/>
          <w:color w:val="auto"/>
        </w:rPr>
        <w:t>32 -</w:t>
      </w:r>
    </w:p>
    <w:p>
      <w:pPr>
        <w:sectPr>
          <w:pgSz w:w="11900" w:h="16838" w:orient="portrait"/>
          <w:cols w:equalWidth="0" w:num="1">
            <w:col w:w="10700"/>
          </w:cols>
          <w:pgMar w:left="980" w:top="203" w:right="219" w:bottom="1440" w:gutter="0" w:footer="0" w:header="0"/>
        </w:sectPr>
      </w:pPr>
    </w:p>
    <w:bookmarkStart w:id="90" w:name="page91"/>
    <w:bookmarkEnd w:id="90"/>
    <w:p>
      <w:pPr>
        <w:ind w:left="760"/>
        <w:spacing w:after="0"/>
        <w:rPr>
          <w:sz w:val="20"/>
          <w:szCs w:val="20"/>
          <w:color w:val="auto"/>
        </w:rPr>
      </w:pPr>
      <w:r>
        <w:rPr>
          <w:rFonts w:ascii="Arial" w:cs="Arial" w:eastAsia="Arial" w:hAnsi="Arial"/>
          <w:sz w:val="15"/>
          <w:szCs w:val="15"/>
          <w:b w:val="1"/>
          <w:bCs w:val="1"/>
          <w:color w:val="auto"/>
        </w:rPr>
        <w:t>4.8. I</w:t>
      </w:r>
      <w:r>
        <w:rPr>
          <w:rFonts w:ascii="Arial" w:cs="Arial" w:eastAsia="Arial" w:hAnsi="Arial"/>
          <w:sz w:val="10"/>
          <w:szCs w:val="10"/>
          <w:b w:val="1"/>
          <w:bCs w:val="1"/>
          <w:color w:val="auto"/>
        </w:rPr>
        <w:t>NDEBTEDNESS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9" w:lineRule="auto"/>
        <w:tabs>
          <w:tab w:leader="none" w:pos="1733"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The Loan Parties do not, and shall not hereafter, have any Indebtedness with the exception of Permitted Indebtedness and shall not make, directly or indirectly, any payment or other distribution (whether in cash, securities or other property) of or in respect of principal of or interest on any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Loan Parties shall be permitted to make the following payments on Permitted Indebtedness:</w:t>
      </w:r>
    </w:p>
    <w:p>
      <w:pPr>
        <w:spacing w:after="0" w:line="58" w:lineRule="exact"/>
        <w:rPr>
          <w:rFonts w:ascii="Arial" w:cs="Arial" w:eastAsia="Arial" w:hAnsi="Arial"/>
          <w:sz w:val="15"/>
          <w:szCs w:val="15"/>
          <w:color w:val="auto"/>
        </w:rPr>
      </w:pPr>
    </w:p>
    <w:p>
      <w:pPr>
        <w:ind w:left="760" w:firstLine="1432"/>
        <w:spacing w:after="0" w:line="259" w:lineRule="auto"/>
        <w:tabs>
          <w:tab w:leader="none" w:pos="2373" w:val="left"/>
        </w:tabs>
        <w:numPr>
          <w:ilvl w:val="1"/>
          <w:numId w:val="101"/>
        </w:numPr>
        <w:rPr>
          <w:rFonts w:ascii="Arial" w:cs="Arial" w:eastAsia="Arial" w:hAnsi="Arial"/>
          <w:sz w:val="15"/>
          <w:szCs w:val="15"/>
          <w:color w:val="auto"/>
        </w:rPr>
      </w:pPr>
      <w:r>
        <w:rPr>
          <w:rFonts w:ascii="Arial" w:cs="Arial" w:eastAsia="Arial" w:hAnsi="Arial"/>
          <w:sz w:val="15"/>
          <w:szCs w:val="15"/>
          <w:color w:val="auto"/>
        </w:rPr>
        <w:t>regularly scheduled payments (but not prepayments) of principal and interest on account of Permitted Indebtedness (other than Permitted Indebtedness issued under the Revolving Credit Agreement) when due;</w:t>
      </w:r>
    </w:p>
    <w:p>
      <w:pPr>
        <w:spacing w:after="0" w:line="51" w:lineRule="exact"/>
        <w:rPr>
          <w:rFonts w:ascii="Arial" w:cs="Arial" w:eastAsia="Arial" w:hAnsi="Arial"/>
          <w:sz w:val="15"/>
          <w:szCs w:val="15"/>
          <w:color w:val="auto"/>
        </w:rPr>
      </w:pPr>
    </w:p>
    <w:p>
      <w:pPr>
        <w:ind w:left="760" w:firstLine="1432"/>
        <w:spacing w:after="0" w:line="259" w:lineRule="auto"/>
        <w:tabs>
          <w:tab w:leader="none" w:pos="2421" w:val="left"/>
        </w:tabs>
        <w:numPr>
          <w:ilvl w:val="1"/>
          <w:numId w:val="101"/>
        </w:numPr>
        <w:rPr>
          <w:rFonts w:ascii="Arial" w:cs="Arial" w:eastAsia="Arial" w:hAnsi="Arial"/>
          <w:sz w:val="15"/>
          <w:szCs w:val="15"/>
          <w:color w:val="auto"/>
        </w:rPr>
      </w:pPr>
      <w:r>
        <w:rPr>
          <w:rFonts w:ascii="Arial" w:cs="Arial" w:eastAsia="Arial" w:hAnsi="Arial"/>
          <w:sz w:val="15"/>
          <w:szCs w:val="15"/>
          <w:color w:val="auto"/>
        </w:rPr>
        <w:t>voluntary prepayments, repurchases, redemptions or defeasances of principal and interest on account of Permitted Indebtedness as long as the Loan Parties are in compliance with the Payment Conditions; and</w:t>
      </w:r>
    </w:p>
    <w:p>
      <w:pPr>
        <w:spacing w:after="0" w:line="51" w:lineRule="exact"/>
        <w:rPr>
          <w:rFonts w:ascii="Arial" w:cs="Arial" w:eastAsia="Arial" w:hAnsi="Arial"/>
          <w:sz w:val="15"/>
          <w:szCs w:val="15"/>
          <w:color w:val="auto"/>
        </w:rPr>
      </w:pPr>
    </w:p>
    <w:p>
      <w:pPr>
        <w:ind w:left="2460" w:hanging="268"/>
        <w:spacing w:after="0"/>
        <w:tabs>
          <w:tab w:leader="none" w:pos="2460" w:val="left"/>
        </w:tabs>
        <w:numPr>
          <w:ilvl w:val="1"/>
          <w:numId w:val="101"/>
        </w:numPr>
        <w:rPr>
          <w:rFonts w:ascii="Arial" w:cs="Arial" w:eastAsia="Arial" w:hAnsi="Arial"/>
          <w:sz w:val="15"/>
          <w:szCs w:val="15"/>
          <w:color w:val="auto"/>
        </w:rPr>
      </w:pPr>
      <w:r>
        <w:rPr>
          <w:rFonts w:ascii="Arial" w:cs="Arial" w:eastAsia="Arial" w:hAnsi="Arial"/>
          <w:sz w:val="15"/>
          <w:szCs w:val="15"/>
          <w:color w:val="auto"/>
        </w:rPr>
        <w:t>payments of Permitted Indebtedness issued under the Revolving Credit Agreement.</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4.9. I</w:t>
      </w:r>
      <w:r>
        <w:rPr>
          <w:rFonts w:ascii="Arial" w:cs="Arial" w:eastAsia="Arial" w:hAnsi="Arial"/>
          <w:sz w:val="10"/>
          <w:szCs w:val="10"/>
          <w:b w:val="1"/>
          <w:bCs w:val="1"/>
          <w:color w:val="auto"/>
        </w:rPr>
        <w:t>NSURANCE</w:t>
      </w:r>
      <w:r>
        <w:rPr>
          <w:rFonts w:ascii="Arial" w:cs="Arial" w:eastAsia="Arial" w:hAnsi="Arial"/>
          <w:sz w:val="15"/>
          <w:szCs w:val="15"/>
          <w:color w:val="auto"/>
        </w:rPr>
        <w:t>.</w:t>
      </w:r>
    </w:p>
    <w:p>
      <w:pPr>
        <w:spacing w:after="0" w:line="80" w:lineRule="exact"/>
        <w:rPr>
          <w:sz w:val="20"/>
          <w:szCs w:val="20"/>
          <w:color w:val="auto"/>
        </w:rPr>
      </w:pPr>
    </w:p>
    <w:p>
      <w:pPr>
        <w:ind w:firstLine="1529"/>
        <w:spacing w:after="0" w:line="265" w:lineRule="auto"/>
        <w:tabs>
          <w:tab w:leader="none" w:pos="1729" w:val="left"/>
        </w:tabs>
        <w:numPr>
          <w:ilvl w:val="0"/>
          <w:numId w:val="102"/>
        </w:numPr>
        <w:rPr>
          <w:rFonts w:ascii="Arial" w:cs="Arial" w:eastAsia="Arial" w:hAnsi="Arial"/>
          <w:sz w:val="15"/>
          <w:szCs w:val="15"/>
          <w:color w:val="auto"/>
        </w:rPr>
      </w:pPr>
      <w:r>
        <w:rPr>
          <w:rFonts w:ascii="Arial" w:cs="Arial" w:eastAsia="Arial" w:hAnsi="Arial"/>
          <w:sz w:val="15"/>
          <w:szCs w:val="15"/>
          <w:b w:val="1"/>
          <w:bCs w:val="1"/>
          <w:color w:val="auto"/>
        </w:rPr>
        <w:t>EXHIBIT 4.9</w:t>
      </w:r>
      <w:r>
        <w:rPr>
          <w:rFonts w:ascii="Arial" w:cs="Arial" w:eastAsia="Arial" w:hAnsi="Arial"/>
          <w:sz w:val="15"/>
          <w:szCs w:val="15"/>
          <w:color w:val="auto"/>
        </w:rPr>
        <w:t>, annexed hereto, is a schedule of all insurance policies owned by the Loan Parties or under which any Loan Party is the named insured. Each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policies is in full force and effect. Neither the issuer of any such policy nor any Loan Party is in default or violation of any such policy.</w:t>
      </w:r>
    </w:p>
    <w:p>
      <w:pPr>
        <w:spacing w:after="0" w:line="46" w:lineRule="exact"/>
        <w:rPr>
          <w:rFonts w:ascii="Arial" w:cs="Arial" w:eastAsia="Arial" w:hAnsi="Arial"/>
          <w:sz w:val="15"/>
          <w:szCs w:val="15"/>
          <w:color w:val="auto"/>
        </w:rPr>
      </w:pPr>
    </w:p>
    <w:p>
      <w:pPr>
        <w:ind w:firstLine="1529"/>
        <w:spacing w:after="0" w:line="259" w:lineRule="auto"/>
        <w:tabs>
          <w:tab w:leader="none" w:pos="17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Loan Parties shall have and maintain at all times insurance covering such risks, in such amounts, containing such terms, in such form, for such periods, and written by such companies as may be satisfactory to the Administrative Agent.</w:t>
      </w:r>
    </w:p>
    <w:p>
      <w:pPr>
        <w:spacing w:after="0" w:line="51" w:lineRule="exact"/>
        <w:rPr>
          <w:rFonts w:ascii="Arial" w:cs="Arial" w:eastAsia="Arial" w:hAnsi="Arial"/>
          <w:sz w:val="15"/>
          <w:szCs w:val="15"/>
          <w:color w:val="auto"/>
        </w:rPr>
      </w:pPr>
    </w:p>
    <w:p>
      <w:pPr>
        <w:jc w:val="both"/>
        <w:ind w:firstLine="1529"/>
        <w:spacing w:after="0" w:line="245" w:lineRule="auto"/>
        <w:tabs>
          <w:tab w:leader="none" w:pos="173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All insurance carried by the Loan Parties shall provide for a minimum of thirty (30) days’ prior written notice of cancellation to the Administrative Agent and all such insurance which covers the Collateral shall include an endorsement in favor of the Agents, which endorsement shall provide that the insurance, to the extent of the Agent’s respective interest therein, shall not be impaired or invalidated, in whole or in part, by reason of any act or neglect of any Loan Party or by the failure of any Loan Party to comply with any warranty or condition of the policy, and shall not include an endorsement in favor of any other Person.</w:t>
      </w:r>
    </w:p>
    <w:p>
      <w:pPr>
        <w:spacing w:after="0" w:line="58" w:lineRule="exact"/>
        <w:rPr>
          <w:rFonts w:ascii="Arial" w:cs="Arial" w:eastAsia="Arial" w:hAnsi="Arial"/>
          <w:sz w:val="15"/>
          <w:szCs w:val="15"/>
          <w:color w:val="auto"/>
        </w:rPr>
      </w:pPr>
    </w:p>
    <w:p>
      <w:pPr>
        <w:ind w:firstLine="1529"/>
        <w:spacing w:after="0" w:line="265" w:lineRule="auto"/>
        <w:tabs>
          <w:tab w:leader="none" w:pos="1746"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The coverage reflected on </w:t>
      </w:r>
      <w:r>
        <w:rPr>
          <w:rFonts w:ascii="Arial" w:cs="Arial" w:eastAsia="Arial" w:hAnsi="Arial"/>
          <w:sz w:val="15"/>
          <w:szCs w:val="15"/>
          <w:b w:val="1"/>
          <w:bCs w:val="1"/>
          <w:color w:val="auto"/>
        </w:rPr>
        <w:t>EXHIBIT 4.9</w:t>
      </w:r>
      <w:r>
        <w:rPr>
          <w:rFonts w:ascii="Arial" w:cs="Arial" w:eastAsia="Arial" w:hAnsi="Arial"/>
          <w:sz w:val="15"/>
          <w:szCs w:val="15"/>
          <w:color w:val="auto"/>
        </w:rPr>
        <w:t xml:space="preserve"> presently satisfies the foregoing requirements, </w:t>
      </w:r>
      <w:r>
        <w:rPr>
          <w:rFonts w:ascii="Arial" w:cs="Arial" w:eastAsia="Arial" w:hAnsi="Arial"/>
          <w:sz w:val="15"/>
          <w:szCs w:val="15"/>
          <w:i w:val="1"/>
          <w:iCs w:val="1"/>
          <w:color w:val="auto"/>
        </w:rPr>
        <w:t>it being recognized by each Loan Party, however, that</w:t>
      </w:r>
      <w:r>
        <w:rPr>
          <w:rFonts w:ascii="Arial" w:cs="Arial" w:eastAsia="Arial" w:hAnsi="Arial"/>
          <w:sz w:val="15"/>
          <w:szCs w:val="15"/>
          <w:color w:val="auto"/>
        </w:rPr>
        <w:t xml:space="preserve"> such requirements may hereafter be modified as required by the Administrative Agent in its reasonable discretion to reflect changing circumstances.</w:t>
      </w:r>
    </w:p>
    <w:p>
      <w:pPr>
        <w:spacing w:after="0" w:line="46" w:lineRule="exact"/>
        <w:rPr>
          <w:rFonts w:ascii="Arial" w:cs="Arial" w:eastAsia="Arial" w:hAnsi="Arial"/>
          <w:sz w:val="15"/>
          <w:szCs w:val="15"/>
          <w:color w:val="auto"/>
        </w:rPr>
      </w:pPr>
    </w:p>
    <w:p>
      <w:pPr>
        <w:ind w:firstLine="1529"/>
        <w:spacing w:after="0" w:line="259" w:lineRule="auto"/>
        <w:tabs>
          <w:tab w:leader="none" w:pos="1731"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Borrowers’ Representative shall furnish the Administrative Agent from time to time with certificates or other evidence satisfactory to the Administrative Agent regarding compliance by the Loan Parties with the foregoing requirements.</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14"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In the event of the failure by the Loan Parties to maintain insurance as required herein, the Administrative Agent, at its option, may obtain such insurance;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Administrative Agent’s obtaining of such insurance shall not constitute a cure or waiver of any Event of Default occasioned by the Loan Parties’ failure to have maintained such insurance.</w:t>
      </w:r>
    </w:p>
    <w:p>
      <w:pPr>
        <w:spacing w:after="0" w:line="135" w:lineRule="exact"/>
        <w:rPr>
          <w:sz w:val="20"/>
          <w:szCs w:val="20"/>
          <w:color w:val="auto"/>
        </w:rPr>
      </w:pPr>
    </w:p>
    <w:p>
      <w:pPr>
        <w:jc w:val="both"/>
        <w:ind w:firstLine="765"/>
        <w:spacing w:after="0" w:line="309" w:lineRule="auto"/>
        <w:rPr>
          <w:sz w:val="20"/>
          <w:szCs w:val="20"/>
          <w:color w:val="auto"/>
        </w:rPr>
      </w:pPr>
      <w:r>
        <w:rPr>
          <w:rFonts w:ascii="Arial" w:cs="Arial" w:eastAsia="Arial" w:hAnsi="Arial"/>
          <w:sz w:val="13"/>
          <w:szCs w:val="13"/>
          <w:b w:val="1"/>
          <w:bCs w:val="1"/>
          <w:color w:val="auto"/>
        </w:rPr>
        <w:t>4.10. L</w:t>
      </w:r>
      <w:r>
        <w:rPr>
          <w:rFonts w:ascii="Arial" w:cs="Arial" w:eastAsia="Arial" w:hAnsi="Arial"/>
          <w:sz w:val="9"/>
          <w:szCs w:val="9"/>
          <w:b w:val="1"/>
          <w:bCs w:val="1"/>
          <w:color w:val="auto"/>
        </w:rPr>
        <w:t>ICENSES</w:t>
      </w:r>
      <w:r>
        <w:rPr>
          <w:rFonts w:ascii="Arial" w:cs="Arial" w:eastAsia="Arial" w:hAnsi="Arial"/>
          <w:sz w:val="13"/>
          <w:szCs w:val="13"/>
          <w:b w:val="1"/>
          <w:bCs w:val="1"/>
          <w:color w:val="auto"/>
        </w:rPr>
        <w:t xml:space="preserve">. </w:t>
      </w:r>
      <w:r>
        <w:rPr>
          <w:rFonts w:ascii="Arial" w:cs="Arial" w:eastAsia="Arial" w:hAnsi="Arial"/>
          <w:sz w:val="13"/>
          <w:szCs w:val="13"/>
          <w:color w:val="auto"/>
        </w:rPr>
        <w:t>Each license, distributorship, franchise, and similar agreement issued to, or to which any Loan Party is a party, is in full force and effect, except where the failure</w:t>
      </w:r>
      <w:r>
        <w:rPr>
          <w:rFonts w:ascii="Arial" w:cs="Arial" w:eastAsia="Arial" w:hAnsi="Arial"/>
          <w:sz w:val="13"/>
          <w:szCs w:val="13"/>
          <w:b w:val="1"/>
          <w:bCs w:val="1"/>
          <w:color w:val="auto"/>
        </w:rPr>
        <w:t xml:space="preserve"> </w:t>
      </w:r>
      <w:r>
        <w:rPr>
          <w:rFonts w:ascii="Arial" w:cs="Arial" w:eastAsia="Arial" w:hAnsi="Arial"/>
          <w:sz w:val="13"/>
          <w:szCs w:val="13"/>
          <w:color w:val="auto"/>
        </w:rPr>
        <w:t>thereof to be in full force and effect could not reasonably be expected to have a Material Adverse Effect on the Loan Parties. Neither the Borrowers nor, to the best knowledge of the Borrowers, any other party to any such license or agreement is in default or violation thereof. No Loan Party has received any notice or threat of cancellation of any such license or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- 33 -</w:t>
      </w:r>
    </w:p>
    <w:p>
      <w:pPr>
        <w:sectPr>
          <w:pgSz w:w="11900" w:h="16838" w:orient="portrait"/>
          <w:cols w:equalWidth="0" w:num="1">
            <w:col w:w="11460"/>
          </w:cols>
          <w:pgMar w:left="220" w:top="284" w:right="219" w:bottom="1440" w:gutter="0" w:footer="0" w:header="0"/>
        </w:sectPr>
      </w:pPr>
    </w:p>
    <w:bookmarkStart w:id="91" w:name="page92"/>
    <w:bookmarkEnd w:id="91"/>
    <w:p>
      <w:pPr>
        <w:jc w:val="both"/>
        <w:ind w:firstLine="765"/>
        <w:spacing w:after="0" w:line="264" w:lineRule="auto"/>
        <w:rPr>
          <w:sz w:val="20"/>
          <w:szCs w:val="20"/>
          <w:color w:val="auto"/>
        </w:rPr>
      </w:pPr>
      <w:r>
        <w:rPr>
          <w:rFonts w:ascii="Arial" w:cs="Arial" w:eastAsia="Arial" w:hAnsi="Arial"/>
          <w:sz w:val="14"/>
          <w:szCs w:val="14"/>
          <w:b w:val="1"/>
          <w:bCs w:val="1"/>
          <w:color w:val="auto"/>
        </w:rPr>
        <w:t>4.11. L</w:t>
      </w:r>
      <w:r>
        <w:rPr>
          <w:rFonts w:ascii="Arial" w:cs="Arial" w:eastAsia="Arial" w:hAnsi="Arial"/>
          <w:sz w:val="9"/>
          <w:szCs w:val="9"/>
          <w:b w:val="1"/>
          <w:bCs w:val="1"/>
          <w:color w:val="auto"/>
        </w:rPr>
        <w:t>EASES</w:t>
      </w:r>
      <w:r>
        <w:rPr>
          <w:rFonts w:ascii="Arial" w:cs="Arial" w:eastAsia="Arial" w:hAnsi="Arial"/>
          <w:sz w:val="14"/>
          <w:szCs w:val="14"/>
          <w:b w:val="1"/>
          <w:bCs w:val="1"/>
          <w:color w:val="auto"/>
        </w:rPr>
        <w:t>. EXHIBIT 4.11</w:t>
      </w:r>
      <w:r>
        <w:rPr>
          <w:rFonts w:ascii="Arial" w:cs="Arial" w:eastAsia="Arial" w:hAnsi="Arial"/>
          <w:sz w:val="14"/>
          <w:szCs w:val="14"/>
          <w:color w:val="auto"/>
        </w:rPr>
        <w:t>, annexed hereto, is a schedule of all presently effective Capital Leases.</w:t>
      </w:r>
      <w:r>
        <w:rPr>
          <w:rFonts w:ascii="Arial" w:cs="Arial" w:eastAsia="Arial" w:hAnsi="Arial"/>
          <w:sz w:val="14"/>
          <w:szCs w:val="14"/>
          <w:b w:val="1"/>
          <w:bCs w:val="1"/>
          <w:color w:val="auto"/>
        </w:rPr>
        <w:t xml:space="preserve"> EXHIBIT 4.5 </w:t>
      </w:r>
      <w:r>
        <w:rPr>
          <w:rFonts w:ascii="Arial" w:cs="Arial" w:eastAsia="Arial" w:hAnsi="Arial"/>
          <w:sz w:val="14"/>
          <w:szCs w:val="14"/>
          <w:color w:val="auto"/>
        </w:rPr>
        <w:t>includes a list of all other presently effective Leases. Each of</w:t>
      </w:r>
      <w:r>
        <w:rPr>
          <w:rFonts w:ascii="Arial" w:cs="Arial" w:eastAsia="Arial" w:hAnsi="Arial"/>
          <w:sz w:val="14"/>
          <w:szCs w:val="14"/>
          <w:b w:val="1"/>
          <w:bCs w:val="1"/>
          <w:color w:val="auto"/>
        </w:rPr>
        <w:t xml:space="preserve"> </w:t>
      </w:r>
      <w:r>
        <w:rPr>
          <w:rFonts w:ascii="Arial" w:cs="Arial" w:eastAsia="Arial" w:hAnsi="Arial"/>
          <w:sz w:val="14"/>
          <w:szCs w:val="14"/>
          <w:color w:val="auto"/>
        </w:rPr>
        <w:t>such Leases and Capital Leases is in full force and effect. Neither the Borrower nor, to the best knowledge of the Borrowers, any other party to any such Lease or Capital Lease is in default or violation of any such Lease or Capital Lease and no Loan Party has received notice or a threat of cancellation of any such Lease or Capital Lease. Each Loan Party hereby authorizes the Administrative Agent at any time and from time to time, with the consent of the Borrowers’ Representative and at any time following the occurrence of an Event of Default, to contact any of the Loan Parties’ respective landlords in order to confirm the Loan Parties’ continued compliance with the terms and conditions of the Lease(s) between the subject Loan Party and that landlord and to discuss such issues, concerning the subject Loan Party’s occupancy under such Lease(s), as the Administrative Agent may determine.</w:t>
      </w:r>
    </w:p>
    <w:p>
      <w:pPr>
        <w:spacing w:after="0" w:line="127" w:lineRule="exact"/>
        <w:rPr>
          <w:sz w:val="20"/>
          <w:szCs w:val="20"/>
          <w:color w:val="auto"/>
        </w:rPr>
      </w:pPr>
    </w:p>
    <w:p>
      <w:pPr>
        <w:jc w:val="both"/>
        <w:ind w:firstLine="765"/>
        <w:spacing w:after="0" w:line="309" w:lineRule="auto"/>
        <w:rPr>
          <w:sz w:val="20"/>
          <w:szCs w:val="20"/>
          <w:color w:val="auto"/>
        </w:rPr>
      </w:pPr>
      <w:r>
        <w:rPr>
          <w:rFonts w:ascii="Arial" w:cs="Arial" w:eastAsia="Arial" w:hAnsi="Arial"/>
          <w:sz w:val="13"/>
          <w:szCs w:val="13"/>
          <w:b w:val="1"/>
          <w:bCs w:val="1"/>
          <w:color w:val="auto"/>
        </w:rPr>
        <w:t>4.12. R</w:t>
      </w:r>
      <w:r>
        <w:rPr>
          <w:rFonts w:ascii="Arial" w:cs="Arial" w:eastAsia="Arial" w:hAnsi="Arial"/>
          <w:sz w:val="9"/>
          <w:szCs w:val="9"/>
          <w:b w:val="1"/>
          <w:bCs w:val="1"/>
          <w:color w:val="auto"/>
        </w:rPr>
        <w:t>EQUIREMENTS OF</w:t>
      </w:r>
      <w:r>
        <w:rPr>
          <w:rFonts w:ascii="Arial" w:cs="Arial" w:eastAsia="Arial" w:hAnsi="Arial"/>
          <w:sz w:val="13"/>
          <w:szCs w:val="13"/>
          <w:b w:val="1"/>
          <w:bCs w:val="1"/>
          <w:color w:val="auto"/>
        </w:rPr>
        <w:t xml:space="preserve"> L</w:t>
      </w:r>
      <w:r>
        <w:rPr>
          <w:rFonts w:ascii="Arial" w:cs="Arial" w:eastAsia="Arial" w:hAnsi="Arial"/>
          <w:sz w:val="9"/>
          <w:szCs w:val="9"/>
          <w:b w:val="1"/>
          <w:bCs w:val="1"/>
          <w:color w:val="auto"/>
        </w:rPr>
        <w:t>AW</w:t>
      </w:r>
      <w:r>
        <w:rPr>
          <w:rFonts w:ascii="Arial" w:cs="Arial" w:eastAsia="Arial" w:hAnsi="Arial"/>
          <w:sz w:val="13"/>
          <w:szCs w:val="13"/>
          <w:b w:val="1"/>
          <w:bCs w:val="1"/>
          <w:color w:val="auto"/>
        </w:rPr>
        <w:t xml:space="preserve">. </w:t>
      </w:r>
      <w:r>
        <w:rPr>
          <w:rFonts w:ascii="Arial" w:cs="Arial" w:eastAsia="Arial" w:hAnsi="Arial"/>
          <w:sz w:val="13"/>
          <w:szCs w:val="13"/>
          <w:color w:val="auto"/>
        </w:rPr>
        <w:t>Each Loan Party is in compliance with, and shall hereafter comply with and use its assets in compliance with, all Requirements of Law except where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failure of such compliance will not have more than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adverse effect on the Loan Party’s business. No Loan Party has received any notice of any violation of any Requirement of Law (other than of a violation which has no more than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adverse effect on the Loan Party’s business or assets), which violation has not been cured or otherwise remedied.</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4.13. L</w:t>
      </w:r>
      <w:r>
        <w:rPr>
          <w:rFonts w:ascii="Arial" w:cs="Arial" w:eastAsia="Arial" w:hAnsi="Arial"/>
          <w:sz w:val="10"/>
          <w:szCs w:val="10"/>
          <w:b w:val="1"/>
          <w:bCs w:val="1"/>
          <w:color w:val="auto"/>
        </w:rPr>
        <w:t>ABOR</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ELATIONS</w:t>
      </w:r>
      <w:r>
        <w:rPr>
          <w:rFonts w:ascii="Arial" w:cs="Arial" w:eastAsia="Arial" w:hAnsi="Arial"/>
          <w:sz w:val="15"/>
          <w:szCs w:val="15"/>
          <w:color w:val="auto"/>
        </w:rPr>
        <w:t>.</w:t>
      </w:r>
    </w:p>
    <w:p>
      <w:pPr>
        <w:spacing w:after="0" w:line="80" w:lineRule="exact"/>
        <w:rPr>
          <w:sz w:val="20"/>
          <w:szCs w:val="20"/>
          <w:color w:val="auto"/>
        </w:rPr>
      </w:pPr>
    </w:p>
    <w:p>
      <w:pPr>
        <w:ind w:left="1740" w:hanging="211"/>
        <w:spacing w:after="0"/>
        <w:tabs>
          <w:tab w:leader="none" w:pos="17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 xml:space="preserve">Except as disclosed on </w:t>
      </w:r>
      <w:r>
        <w:rPr>
          <w:rFonts w:ascii="Arial" w:cs="Arial" w:eastAsia="Arial" w:hAnsi="Arial"/>
          <w:sz w:val="15"/>
          <w:szCs w:val="15"/>
          <w:b w:val="1"/>
          <w:bCs w:val="1"/>
          <w:color w:val="auto"/>
        </w:rPr>
        <w:t>EXHIBIT 4.13(a)</w:t>
      </w:r>
      <w:r>
        <w:rPr>
          <w:rFonts w:ascii="Arial" w:cs="Arial" w:eastAsia="Arial" w:hAnsi="Arial"/>
          <w:sz w:val="15"/>
          <w:szCs w:val="15"/>
          <w:color w:val="auto"/>
        </w:rPr>
        <w:t>, annexed hereto, no Loan Party is presently a party to any collective bargaining or other labor contract.</w:t>
      </w:r>
    </w:p>
    <w:p>
      <w:pPr>
        <w:spacing w:after="0" w:line="83" w:lineRule="exact"/>
        <w:rPr>
          <w:rFonts w:ascii="Arial" w:cs="Arial" w:eastAsia="Arial" w:hAnsi="Arial"/>
          <w:sz w:val="15"/>
          <w:szCs w:val="15"/>
          <w:color w:val="auto"/>
        </w:rPr>
      </w:pPr>
    </w:p>
    <w:p>
      <w:pPr>
        <w:ind w:left="1740" w:hanging="211"/>
        <w:spacing w:after="0"/>
        <w:tabs>
          <w:tab w:leader="none" w:pos="17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There is not presently pending and, to any Loan Party’s knowledge, there is not threatened any of the following:</w:t>
      </w:r>
    </w:p>
    <w:p>
      <w:pPr>
        <w:spacing w:after="0" w:line="79" w:lineRule="exact"/>
        <w:rPr>
          <w:rFonts w:ascii="Arial" w:cs="Arial" w:eastAsia="Arial" w:hAnsi="Arial"/>
          <w:sz w:val="15"/>
          <w:szCs w:val="15"/>
          <w:color w:val="auto"/>
        </w:rPr>
      </w:pPr>
    </w:p>
    <w:p>
      <w:pPr>
        <w:ind w:left="2360" w:hanging="168"/>
        <w:spacing w:after="0"/>
        <w:tabs>
          <w:tab w:leader="none" w:pos="2360" w:val="left"/>
        </w:tabs>
        <w:numPr>
          <w:ilvl w:val="1"/>
          <w:numId w:val="103"/>
        </w:numPr>
        <w:rPr>
          <w:rFonts w:ascii="Arial" w:cs="Arial" w:eastAsia="Arial" w:hAnsi="Arial"/>
          <w:sz w:val="15"/>
          <w:szCs w:val="15"/>
          <w:color w:val="auto"/>
        </w:rPr>
      </w:pPr>
      <w:r>
        <w:rPr>
          <w:rFonts w:ascii="Arial" w:cs="Arial" w:eastAsia="Arial" w:hAnsi="Arial"/>
          <w:sz w:val="15"/>
          <w:szCs w:val="15"/>
          <w:color w:val="auto"/>
        </w:rPr>
        <w:t>Any strike, slowdown, picketing, work stoppage, or material employee grievance process.</w:t>
      </w:r>
    </w:p>
    <w:p>
      <w:pPr>
        <w:spacing w:after="0" w:line="79" w:lineRule="exact"/>
        <w:rPr>
          <w:rFonts w:ascii="Arial" w:cs="Arial" w:eastAsia="Arial" w:hAnsi="Arial"/>
          <w:sz w:val="15"/>
          <w:szCs w:val="15"/>
          <w:color w:val="auto"/>
        </w:rPr>
      </w:pPr>
    </w:p>
    <w:p>
      <w:pPr>
        <w:jc w:val="both"/>
        <w:ind w:left="760" w:firstLine="1432"/>
        <w:spacing w:after="0" w:line="305" w:lineRule="auto"/>
        <w:tabs>
          <w:tab w:leader="none" w:pos="2424" w:val="left"/>
        </w:tabs>
        <w:numPr>
          <w:ilvl w:val="1"/>
          <w:numId w:val="103"/>
        </w:numPr>
        <w:rPr>
          <w:rFonts w:ascii="Arial" w:cs="Arial" w:eastAsia="Arial" w:hAnsi="Arial"/>
          <w:sz w:val="13"/>
          <w:szCs w:val="13"/>
          <w:color w:val="auto"/>
        </w:rPr>
      </w:pPr>
      <w:r>
        <w:rPr>
          <w:rFonts w:ascii="Arial" w:cs="Arial" w:eastAsia="Arial" w:hAnsi="Arial"/>
          <w:sz w:val="13"/>
          <w:szCs w:val="13"/>
          <w:color w:val="auto"/>
        </w:rPr>
        <w:t xml:space="preserve">Any proceeding against or affecting any Loan Party relating to the alleged violation of any Applicable Law pertaining to labor relations or before National Labor Relations Board, the Equal Employment Opportunity Commission, or any comparable governmental body, organizational activity, or other labor or employment dispute against or affecting any Loan Party, which, if determined adversely to that Loan Party could have more than a </w:t>
      </w:r>
      <w:r>
        <w:rPr>
          <w:rFonts w:ascii="Arial" w:cs="Arial" w:eastAsia="Arial" w:hAnsi="Arial"/>
          <w:sz w:val="13"/>
          <w:szCs w:val="13"/>
          <w:i w:val="1"/>
          <w:iCs w:val="1"/>
          <w:color w:val="auto"/>
        </w:rPr>
        <w:t>de minimis</w:t>
      </w:r>
      <w:r>
        <w:rPr>
          <w:rFonts w:ascii="Arial" w:cs="Arial" w:eastAsia="Arial" w:hAnsi="Arial"/>
          <w:sz w:val="13"/>
          <w:szCs w:val="13"/>
          <w:color w:val="auto"/>
        </w:rPr>
        <w:t xml:space="preserve"> adverse effect on that Loan Party.</w:t>
      </w:r>
    </w:p>
    <w:p>
      <w:pPr>
        <w:spacing w:after="0" w:line="25" w:lineRule="exact"/>
        <w:rPr>
          <w:rFonts w:ascii="Arial" w:cs="Arial" w:eastAsia="Arial" w:hAnsi="Arial"/>
          <w:sz w:val="13"/>
          <w:szCs w:val="13"/>
          <w:color w:val="auto"/>
        </w:rPr>
      </w:pPr>
    </w:p>
    <w:p>
      <w:pPr>
        <w:ind w:left="2460" w:hanging="268"/>
        <w:spacing w:after="0"/>
        <w:tabs>
          <w:tab w:leader="none" w:pos="2460" w:val="left"/>
        </w:tabs>
        <w:numPr>
          <w:ilvl w:val="1"/>
          <w:numId w:val="103"/>
        </w:numPr>
        <w:rPr>
          <w:rFonts w:ascii="Arial" w:cs="Arial" w:eastAsia="Arial" w:hAnsi="Arial"/>
          <w:sz w:val="15"/>
          <w:szCs w:val="15"/>
          <w:color w:val="auto"/>
        </w:rPr>
      </w:pPr>
      <w:r>
        <w:rPr>
          <w:rFonts w:ascii="Arial" w:cs="Arial" w:eastAsia="Arial" w:hAnsi="Arial"/>
          <w:sz w:val="15"/>
          <w:szCs w:val="15"/>
          <w:color w:val="auto"/>
        </w:rPr>
        <w:t>Any lockout of any employees by any Loan Party (and no such action is contemplated by any Loan Party).</w:t>
      </w:r>
    </w:p>
    <w:p>
      <w:pPr>
        <w:spacing w:after="0" w:line="79" w:lineRule="exact"/>
        <w:rPr>
          <w:rFonts w:ascii="Arial" w:cs="Arial" w:eastAsia="Arial" w:hAnsi="Arial"/>
          <w:sz w:val="15"/>
          <w:szCs w:val="15"/>
          <w:color w:val="auto"/>
        </w:rPr>
      </w:pPr>
    </w:p>
    <w:p>
      <w:pPr>
        <w:ind w:left="2440" w:hanging="248"/>
        <w:spacing w:after="0"/>
        <w:tabs>
          <w:tab w:leader="none" w:pos="2440" w:val="left"/>
        </w:tabs>
        <w:numPr>
          <w:ilvl w:val="1"/>
          <w:numId w:val="103"/>
        </w:numPr>
        <w:rPr>
          <w:rFonts w:ascii="Arial" w:cs="Arial" w:eastAsia="Arial" w:hAnsi="Arial"/>
          <w:sz w:val="15"/>
          <w:szCs w:val="15"/>
          <w:color w:val="auto"/>
        </w:rPr>
      </w:pPr>
      <w:r>
        <w:rPr>
          <w:rFonts w:ascii="Arial" w:cs="Arial" w:eastAsia="Arial" w:hAnsi="Arial"/>
          <w:sz w:val="15"/>
          <w:szCs w:val="15"/>
          <w:color w:val="auto"/>
        </w:rPr>
        <w:t>Any application for the certification of a collective bargaining agent.</w:t>
      </w:r>
    </w:p>
    <w:p>
      <w:pPr>
        <w:spacing w:after="0" w:line="79" w:lineRule="exact"/>
        <w:rPr>
          <w:rFonts w:ascii="Arial" w:cs="Arial" w:eastAsia="Arial" w:hAnsi="Arial"/>
          <w:sz w:val="15"/>
          <w:szCs w:val="15"/>
          <w:color w:val="auto"/>
        </w:rPr>
      </w:pPr>
    </w:p>
    <w:p>
      <w:pPr>
        <w:ind w:firstLine="1529"/>
        <w:spacing w:after="0" w:line="259" w:lineRule="auto"/>
        <w:tabs>
          <w:tab w:leader="none" w:pos="173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To the knowledge of the Borrowers’ Representative and each Loan Party, no material event has occurred or circumstance exists which could provide the basis for any work stoppage or other labor dispute.</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Each Loan Party:</w:t>
      </w:r>
    </w:p>
    <w:p>
      <w:pPr>
        <w:spacing w:after="0" w:line="79" w:lineRule="exact"/>
        <w:rPr>
          <w:rFonts w:ascii="Arial" w:cs="Arial" w:eastAsia="Arial" w:hAnsi="Arial"/>
          <w:sz w:val="15"/>
          <w:szCs w:val="15"/>
          <w:color w:val="auto"/>
        </w:rPr>
      </w:pPr>
    </w:p>
    <w:p>
      <w:pPr>
        <w:ind w:left="760" w:firstLine="1432"/>
        <w:spacing w:after="0" w:line="259" w:lineRule="auto"/>
        <w:tabs>
          <w:tab w:leader="none" w:pos="2371" w:val="left"/>
        </w:tabs>
        <w:numPr>
          <w:ilvl w:val="1"/>
          <w:numId w:val="103"/>
        </w:numPr>
        <w:rPr>
          <w:rFonts w:ascii="Arial" w:cs="Arial" w:eastAsia="Arial" w:hAnsi="Arial"/>
          <w:sz w:val="15"/>
          <w:szCs w:val="15"/>
          <w:color w:val="auto"/>
        </w:rPr>
      </w:pPr>
      <w:r>
        <w:rPr>
          <w:rFonts w:ascii="Arial" w:cs="Arial" w:eastAsia="Arial" w:hAnsi="Arial"/>
          <w:sz w:val="15"/>
          <w:szCs w:val="15"/>
          <w:color w:val="auto"/>
        </w:rPr>
        <w:t>Has complied in all material respects with all Applicable Law relating to employment, equal employment opportunity, nondiscrimination, immigration, wages, hours, benefits, collective bargaining, the payment of social security and similar taxes, occupational safety and health, and plant closing.</w:t>
      </w:r>
    </w:p>
    <w:p>
      <w:pPr>
        <w:spacing w:after="0" w:line="51" w:lineRule="exact"/>
        <w:rPr>
          <w:rFonts w:ascii="Arial" w:cs="Arial" w:eastAsia="Arial" w:hAnsi="Arial"/>
          <w:sz w:val="15"/>
          <w:szCs w:val="15"/>
          <w:color w:val="auto"/>
        </w:rPr>
      </w:pPr>
    </w:p>
    <w:p>
      <w:pPr>
        <w:ind w:left="760" w:firstLine="1432"/>
        <w:spacing w:after="0" w:line="259" w:lineRule="auto"/>
        <w:tabs>
          <w:tab w:leader="none" w:pos="2404" w:val="left"/>
        </w:tabs>
        <w:numPr>
          <w:ilvl w:val="1"/>
          <w:numId w:val="103"/>
        </w:numPr>
        <w:rPr>
          <w:rFonts w:ascii="Arial" w:cs="Arial" w:eastAsia="Arial" w:hAnsi="Arial"/>
          <w:sz w:val="15"/>
          <w:szCs w:val="15"/>
          <w:color w:val="auto"/>
        </w:rPr>
      </w:pPr>
      <w:r>
        <w:rPr>
          <w:rFonts w:ascii="Arial" w:cs="Arial" w:eastAsia="Arial" w:hAnsi="Arial"/>
          <w:sz w:val="15"/>
          <w:szCs w:val="15"/>
          <w:color w:val="auto"/>
        </w:rPr>
        <w:t xml:space="preserve">Is not liable for the payment of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amount of compensation, damages, taxes, fines, penalties, or other amounts, however designated, for that Loan Party’s failure to comply with any Applicable Law referenced in </w:t>
      </w:r>
      <w:r>
        <w:rPr>
          <w:rFonts w:ascii="Arial" w:cs="Arial" w:eastAsia="Arial" w:hAnsi="Arial"/>
          <w:sz w:val="15"/>
          <w:szCs w:val="15"/>
          <w:u w:val="single" w:color="auto"/>
          <w:color w:val="auto"/>
        </w:rPr>
        <w:t>Section 4.13(d)(i)</w:t>
      </w:r>
      <w:r>
        <w:rPr>
          <w:rFonts w:ascii="Arial" w:cs="Arial" w:eastAsia="Arial" w:hAnsi="Arial"/>
          <w:sz w:val="15"/>
          <w:szCs w:val="15"/>
          <w:color w:val="auto"/>
        </w:rPr>
        <w:t>.</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4.14. M</w:t>
      </w:r>
      <w:r>
        <w:rPr>
          <w:rFonts w:ascii="Arial" w:cs="Arial" w:eastAsia="Arial" w:hAnsi="Arial"/>
          <w:sz w:val="10"/>
          <w:szCs w:val="10"/>
          <w:b w:val="1"/>
          <w:bCs w:val="1"/>
          <w:color w:val="auto"/>
        </w:rPr>
        <w:t>AINTAIN</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ROPERTIES</w:t>
      </w:r>
      <w:r>
        <w:rPr>
          <w:rFonts w:ascii="Arial" w:cs="Arial" w:eastAsia="Arial" w:hAnsi="Arial"/>
          <w:sz w:val="15"/>
          <w:szCs w:val="15"/>
          <w:b w:val="1"/>
          <w:bCs w:val="1"/>
          <w:color w:val="auto"/>
        </w:rPr>
        <w:t>; A</w:t>
      </w:r>
      <w:r>
        <w:rPr>
          <w:rFonts w:ascii="Arial" w:cs="Arial" w:eastAsia="Arial" w:hAnsi="Arial"/>
          <w:sz w:val="10"/>
          <w:szCs w:val="10"/>
          <w:b w:val="1"/>
          <w:bCs w:val="1"/>
          <w:color w:val="auto"/>
        </w:rPr>
        <w:t>SSET</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ALES</w:t>
      </w:r>
      <w:r>
        <w:rPr>
          <w:rFonts w:ascii="Arial" w:cs="Arial" w:eastAsia="Arial" w:hAnsi="Arial"/>
          <w:sz w:val="15"/>
          <w:szCs w:val="15"/>
          <w:color w:val="auto"/>
        </w:rPr>
        <w:t>. The Loan Parties shall:</w:t>
      </w:r>
    </w:p>
    <w:p>
      <w:pPr>
        <w:spacing w:after="0" w:line="84" w:lineRule="exact"/>
        <w:rPr>
          <w:sz w:val="20"/>
          <w:szCs w:val="20"/>
          <w:color w:val="auto"/>
        </w:rPr>
      </w:pPr>
    </w:p>
    <w:p>
      <w:pPr>
        <w:ind w:left="1740" w:hanging="211"/>
        <w:spacing w:after="0"/>
        <w:tabs>
          <w:tab w:leader="none" w:pos="17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Keep the Collateral in good order and repair (ordinary reasonable wear and tear and insured casualty excepted).</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Not suffer or cause the waste or destruction of any material part of the Collateral.</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Not use any of the Collateral in violation of any policy of insurance thereon.</w:t>
      </w:r>
    </w:p>
    <w:p>
      <w:pPr>
        <w:spacing w:after="0" w:line="160" w:lineRule="exact"/>
        <w:rPr>
          <w:rFonts w:ascii="Arial" w:cs="Arial" w:eastAsia="Arial" w:hAnsi="Arial"/>
          <w:sz w:val="15"/>
          <w:szCs w:val="15"/>
          <w:color w:val="auto"/>
        </w:rPr>
      </w:pPr>
    </w:p>
    <w:p>
      <w:pPr>
        <w:ind w:left="5660" w:hanging="86"/>
        <w:spacing w:after="0"/>
        <w:tabs>
          <w:tab w:leader="none" w:pos="566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34 -</w:t>
      </w:r>
    </w:p>
    <w:p>
      <w:pPr>
        <w:sectPr>
          <w:pgSz w:w="11900" w:h="16838" w:orient="portrait"/>
          <w:cols w:equalWidth="0" w:num="1">
            <w:col w:w="11460"/>
          </w:cols>
          <w:pgMar w:left="220" w:top="284" w:right="219" w:bottom="1440" w:gutter="0" w:footer="0" w:header="0"/>
        </w:sectPr>
      </w:pPr>
    </w:p>
    <w:bookmarkStart w:id="92" w:name="page93"/>
    <w:bookmarkEnd w:id="92"/>
    <w:p>
      <w:pPr>
        <w:ind w:left="980" w:hanging="211"/>
        <w:spacing w:after="0"/>
        <w:tabs>
          <w:tab w:leader="none" w:pos="98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Not sell, lease, or otherwise dispose of any of the Collateral, other than the following:</w:t>
      </w:r>
    </w:p>
    <w:p>
      <w:pPr>
        <w:spacing w:after="0" w:line="79" w:lineRule="exact"/>
        <w:rPr>
          <w:rFonts w:ascii="Arial" w:cs="Arial" w:eastAsia="Arial" w:hAnsi="Arial"/>
          <w:sz w:val="15"/>
          <w:szCs w:val="15"/>
          <w:color w:val="auto"/>
        </w:rPr>
      </w:pPr>
    </w:p>
    <w:p>
      <w:pPr>
        <w:ind w:left="1600" w:hanging="168"/>
        <w:spacing w:after="0"/>
        <w:tabs>
          <w:tab w:leader="none" w:pos="160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sale of Inventory in compliance with this Agreement.</w:t>
      </w:r>
    </w:p>
    <w:p>
      <w:pPr>
        <w:spacing w:after="0" w:line="79" w:lineRule="exact"/>
        <w:rPr>
          <w:rFonts w:ascii="Arial" w:cs="Arial" w:eastAsia="Arial" w:hAnsi="Arial"/>
          <w:sz w:val="15"/>
          <w:szCs w:val="15"/>
          <w:color w:val="auto"/>
        </w:rPr>
      </w:pPr>
    </w:p>
    <w:p>
      <w:pPr>
        <w:ind w:firstLine="1432"/>
        <w:spacing w:after="0" w:line="259" w:lineRule="auto"/>
        <w:tabs>
          <w:tab w:leader="none" w:pos="165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disposal of Equipment which is obsolete, worn out, or damaged beyond repair, which Equipment is replaced to the extent necessary to preserve or improve the operating efficiency of any Loan Party.</w:t>
      </w:r>
    </w:p>
    <w:p>
      <w:pPr>
        <w:spacing w:after="0" w:line="51" w:lineRule="exact"/>
        <w:rPr>
          <w:rFonts w:ascii="Arial" w:cs="Arial" w:eastAsia="Arial" w:hAnsi="Arial"/>
          <w:sz w:val="15"/>
          <w:szCs w:val="15"/>
          <w:color w:val="auto"/>
        </w:rPr>
      </w:pPr>
    </w:p>
    <w:p>
      <w:pPr>
        <w:ind w:left="1700" w:hanging="268"/>
        <w:spacing w:after="0"/>
        <w:tabs>
          <w:tab w:leader="none" w:pos="170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The turning over to the Revolving Agent of all Receipts as provided in the Revolving Loan Agreement.</w:t>
      </w:r>
    </w:p>
    <w:p>
      <w:pPr>
        <w:spacing w:after="0" w:line="79" w:lineRule="exact"/>
        <w:rPr>
          <w:rFonts w:ascii="Arial" w:cs="Arial" w:eastAsia="Arial" w:hAnsi="Arial"/>
          <w:sz w:val="15"/>
          <w:szCs w:val="15"/>
          <w:color w:val="auto"/>
        </w:rPr>
      </w:pPr>
    </w:p>
    <w:p>
      <w:pPr>
        <w:ind w:firstLine="1432"/>
        <w:spacing w:after="0" w:line="259" w:lineRule="auto"/>
        <w:tabs>
          <w:tab w:leader="none" w:pos="1677" w:val="left"/>
        </w:tabs>
        <w:numPr>
          <w:ilvl w:val="1"/>
          <w:numId w:val="105"/>
        </w:numPr>
        <w:rPr>
          <w:rFonts w:ascii="Arial" w:cs="Arial" w:eastAsia="Arial" w:hAnsi="Arial"/>
          <w:sz w:val="15"/>
          <w:szCs w:val="15"/>
          <w:color w:val="auto"/>
        </w:rPr>
      </w:pPr>
      <w:r>
        <w:rPr>
          <w:rFonts w:ascii="Arial" w:cs="Arial" w:eastAsia="Arial" w:hAnsi="Arial"/>
          <w:sz w:val="15"/>
          <w:szCs w:val="15"/>
          <w:color w:val="auto"/>
        </w:rPr>
        <w:t xml:space="preserve">The turning over to the Administrative gent of all Net Proceeds of Equipment, unless such Net Proceeds are being reinvested in accordance with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2.11(b)</w:t>
      </w:r>
      <w:r>
        <w:rPr>
          <w:rFonts w:ascii="Arial" w:cs="Arial" w:eastAsia="Arial" w:hAnsi="Arial"/>
          <w:sz w:val="15"/>
          <w:szCs w:val="15"/>
          <w:color w:val="auto"/>
        </w:rPr>
        <w:t xml:space="preserve"> hereof, in which case such Net Proceed shall be deposited in the Term Loan Priority Account.</w:t>
      </w:r>
    </w:p>
    <w:p>
      <w:pPr>
        <w:spacing w:after="0" w:line="51" w:lineRule="exact"/>
        <w:rPr>
          <w:rFonts w:ascii="Arial" w:cs="Arial" w:eastAsia="Arial" w:hAnsi="Arial"/>
          <w:sz w:val="15"/>
          <w:szCs w:val="15"/>
          <w:color w:val="auto"/>
        </w:rPr>
      </w:pPr>
    </w:p>
    <w:p>
      <w:pPr>
        <w:ind w:left="1640" w:hanging="208"/>
        <w:spacing w:after="0"/>
        <w:tabs>
          <w:tab w:leader="none" w:pos="1640" w:val="left"/>
        </w:tabs>
        <w:numPr>
          <w:ilvl w:val="1"/>
          <w:numId w:val="105"/>
        </w:numPr>
        <w:rPr>
          <w:rFonts w:ascii="Arial" w:cs="Arial" w:eastAsia="Arial" w:hAnsi="Arial"/>
          <w:sz w:val="15"/>
          <w:szCs w:val="15"/>
          <w:color w:val="auto"/>
        </w:rPr>
      </w:pPr>
      <w:r>
        <w:rPr>
          <w:rFonts w:ascii="Arial" w:cs="Arial" w:eastAsia="Arial" w:hAnsi="Arial"/>
          <w:sz w:val="15"/>
          <w:szCs w:val="15"/>
          <w:color w:val="auto"/>
        </w:rPr>
        <w:t>Permitted Asset Dispositions.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4.15. T</w:t>
      </w:r>
      <w:r>
        <w:rPr>
          <w:rFonts w:ascii="Arial" w:cs="Arial" w:eastAsia="Arial" w:hAnsi="Arial"/>
          <w:sz w:val="10"/>
          <w:szCs w:val="10"/>
          <w:b w:val="1"/>
          <w:bCs w:val="1"/>
          <w:color w:val="auto"/>
        </w:rPr>
        <w:t>AXES</w:t>
      </w:r>
      <w:r>
        <w:rPr>
          <w:rFonts w:ascii="Arial" w:cs="Arial" w:eastAsia="Arial" w:hAnsi="Arial"/>
          <w:sz w:val="15"/>
          <w:szCs w:val="15"/>
          <w:color w:val="auto"/>
        </w:rPr>
        <w:t>.</w:t>
      </w:r>
    </w:p>
    <w:p>
      <w:pPr>
        <w:spacing w:after="0" w:line="84" w:lineRule="exact"/>
        <w:rPr>
          <w:sz w:val="20"/>
          <w:szCs w:val="20"/>
          <w:color w:val="auto"/>
        </w:rPr>
      </w:pPr>
    </w:p>
    <w:p>
      <w:pPr>
        <w:ind w:left="-760" w:firstLine="1529"/>
        <w:spacing w:after="0" w:line="336" w:lineRule="auto"/>
        <w:tabs>
          <w:tab w:leader="none" w:pos="983"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Loan Parties, in compliance with all Applicable Law, have properly filed the Loan Party’s tax returns due to be filed up to the date of this Agreement. All federal and state taxes and other amounts in the nature of taxes for which any Loan Party is liable or obligated are presently due and payable without penalty; or have been paid or settled.</w:t>
      </w:r>
    </w:p>
    <w:p>
      <w:pPr>
        <w:spacing w:after="0" w:line="4" w:lineRule="exact"/>
        <w:rPr>
          <w:rFonts w:ascii="Arial" w:cs="Arial" w:eastAsia="Arial" w:hAnsi="Arial"/>
          <w:sz w:val="13"/>
          <w:szCs w:val="13"/>
          <w:color w:val="auto"/>
        </w:rPr>
      </w:pPr>
    </w:p>
    <w:p>
      <w:pPr>
        <w:jc w:val="both"/>
        <w:ind w:left="-760" w:firstLine="1529"/>
        <w:spacing w:after="0" w:line="262" w:lineRule="auto"/>
        <w:tabs>
          <w:tab w:leader="none" w:pos="9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 xml:space="preserve">The Loan Parties shall: pay, as they become due and payable, all taxes and unemployment contributions and other charges of any kind or nature levied, assessed or claimed against any Loan Party or the Collateral by any Person whose claim could result in an Encumbrance upon any asset of any Loan Party or by any governmental authority; properly exercise any trust responsibilities imposed upon any Loan Party by reason of withholding from employees’ pay or by reason of any Loan Party’s receipt of sales tax or other funds for the account of any third party; timely make all contributions and other payments as may be required pursuant to any Employee Benefit Plan now or hereafter established by any Loan Party; and timely file all tax and other returns and other reports with each governmental authority to whom any Loan Party is obligated to so file except where failure to file could not reasonably be expected to have a Material Adverse Effect;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nothing included in this </w:t>
      </w:r>
      <w:r>
        <w:rPr>
          <w:rFonts w:ascii="Arial" w:cs="Arial" w:eastAsia="Arial" w:hAnsi="Arial"/>
          <w:sz w:val="14"/>
          <w:szCs w:val="14"/>
          <w:u w:val="single" w:color="auto"/>
          <w:color w:val="auto"/>
        </w:rPr>
        <w:t>Section 4.15(b)</w:t>
      </w:r>
      <w:r>
        <w:rPr>
          <w:rFonts w:ascii="Arial" w:cs="Arial" w:eastAsia="Arial" w:hAnsi="Arial"/>
          <w:sz w:val="14"/>
          <w:szCs w:val="14"/>
          <w:color w:val="auto"/>
        </w:rPr>
        <w:t xml:space="preserve"> shall prevent the Loan Parties from contesting, in good faith and by appropriate proceedings, any tax liability claimed against any Loan Party, but only provided that and so long as no tax lien is filed with respect thereto.</w:t>
      </w:r>
    </w:p>
    <w:p>
      <w:pPr>
        <w:spacing w:after="0" w:line="50" w:lineRule="exact"/>
        <w:rPr>
          <w:rFonts w:ascii="Arial" w:cs="Arial" w:eastAsia="Arial" w:hAnsi="Arial"/>
          <w:sz w:val="14"/>
          <w:szCs w:val="14"/>
          <w:color w:val="auto"/>
        </w:rPr>
      </w:pPr>
    </w:p>
    <w:p>
      <w:pPr>
        <w:jc w:val="both"/>
        <w:ind w:left="-760" w:firstLine="1529"/>
        <w:spacing w:after="0" w:line="249" w:lineRule="auto"/>
        <w:tabs>
          <w:tab w:leader="none" w:pos="981"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At its option, with prior notice to the Borrowers’ Representative, the Administrative Agent may pay any tax, charge levied, assessed, or claimed upon any Loan Party or the Collateral by any Person, or entity or governmental authority, and make any payments on account of any Loan Party’s Employee Benefit Plan as the Administrative Agent, in the Administrative Agent’s reasonable discretion, may deem necessary or desirable, to protect the Agents’ Rights and Remedies.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4.16. 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ARGIN</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TOCK</w:t>
      </w:r>
      <w:r>
        <w:rPr>
          <w:rFonts w:ascii="Arial" w:cs="Arial" w:eastAsia="Arial" w:hAnsi="Arial"/>
          <w:sz w:val="15"/>
          <w:szCs w:val="15"/>
          <w:b w:val="1"/>
          <w:bCs w:val="1"/>
          <w:color w:val="auto"/>
        </w:rPr>
        <w:t>; N</w:t>
      </w:r>
      <w:r>
        <w:rPr>
          <w:rFonts w:ascii="Arial" w:cs="Arial" w:eastAsia="Arial" w:hAnsi="Arial"/>
          <w:sz w:val="10"/>
          <w:szCs w:val="10"/>
          <w:b w:val="1"/>
          <w:bCs w:val="1"/>
          <w:color w:val="auto"/>
        </w:rPr>
        <w:t>OT</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NVESTMENT</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OMPANY</w:t>
      </w:r>
      <w:r>
        <w:rPr>
          <w:rFonts w:ascii="Arial" w:cs="Arial" w:eastAsia="Arial" w:hAnsi="Arial"/>
          <w:sz w:val="15"/>
          <w:szCs w:val="15"/>
          <w:color w:val="auto"/>
        </w:rPr>
        <w:t>.</w:t>
      </w:r>
    </w:p>
    <w:p>
      <w:pPr>
        <w:spacing w:after="0" w:line="84" w:lineRule="exact"/>
        <w:rPr>
          <w:sz w:val="20"/>
          <w:szCs w:val="20"/>
          <w:color w:val="auto"/>
        </w:rPr>
      </w:pPr>
    </w:p>
    <w:p>
      <w:pPr>
        <w:jc w:val="both"/>
        <w:ind w:left="-760" w:firstLine="1529"/>
        <w:spacing w:after="0" w:line="268" w:lineRule="auto"/>
        <w:tabs>
          <w:tab w:leader="none" w:pos="975"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No Loan Party is engaged in the business of extending credit for the purpose of purchasing or carrying any margin stock (within the meaning of Regulations U, T, and X of the Board of Governors of the Federal Reserve System of the United States). No part of the proceeds of any borrowing hereunder will be used at any time to purchase or carry any such margin stock or to extend credit to others for the purpose of purchasing or carrying any such margin stock. No Loan Party or any Subsidiary or any Person controlling any Loan Party or any Subsidiary is or is required to be registered as an “investment company” under the Investment Company Act of 1940.</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4.17. E</w:t>
      </w:r>
      <w:r>
        <w:rPr>
          <w:rFonts w:ascii="Arial" w:cs="Arial" w:eastAsia="Arial" w:hAnsi="Arial"/>
          <w:sz w:val="10"/>
          <w:szCs w:val="10"/>
          <w:b w:val="1"/>
          <w:bCs w:val="1"/>
          <w:color w:val="auto"/>
        </w:rPr>
        <w:t>RISA</w:t>
      </w:r>
      <w:r>
        <w:rPr>
          <w:rFonts w:ascii="Arial" w:cs="Arial" w:eastAsia="Arial" w:hAnsi="Arial"/>
          <w:sz w:val="15"/>
          <w:szCs w:val="15"/>
          <w:color w:val="auto"/>
        </w:rPr>
        <w:t>.</w:t>
      </w:r>
    </w:p>
    <w:p>
      <w:pPr>
        <w:spacing w:after="0" w:line="84" w:lineRule="exact"/>
        <w:rPr>
          <w:sz w:val="20"/>
          <w:szCs w:val="20"/>
          <w:color w:val="auto"/>
        </w:rPr>
      </w:pPr>
    </w:p>
    <w:p>
      <w:pPr>
        <w:ind w:left="980" w:hanging="211"/>
        <w:spacing w:after="0"/>
        <w:tabs>
          <w:tab w:leader="none" w:pos="9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Neither any Loan Party nor any ERISA Affiliate has ever:</w:t>
      </w:r>
    </w:p>
    <w:p>
      <w:pPr>
        <w:spacing w:after="0" w:line="79" w:lineRule="exact"/>
        <w:rPr>
          <w:rFonts w:ascii="Arial" w:cs="Arial" w:eastAsia="Arial" w:hAnsi="Arial"/>
          <w:sz w:val="15"/>
          <w:szCs w:val="15"/>
          <w:color w:val="auto"/>
        </w:rPr>
      </w:pPr>
    </w:p>
    <w:p>
      <w:pPr>
        <w:ind w:left="1600" w:hanging="168"/>
        <w:spacing w:after="0"/>
        <w:tabs>
          <w:tab w:leader="none" w:pos="160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Violated or failed to be in full compliance with any Employee Benefit Plan maintained by any Loan Party.</w:t>
      </w:r>
    </w:p>
    <w:p>
      <w:pPr>
        <w:spacing w:after="0" w:line="79" w:lineRule="exact"/>
        <w:rPr>
          <w:rFonts w:ascii="Arial" w:cs="Arial" w:eastAsia="Arial" w:hAnsi="Arial"/>
          <w:sz w:val="15"/>
          <w:szCs w:val="15"/>
          <w:color w:val="auto"/>
        </w:rPr>
      </w:pPr>
    </w:p>
    <w:p>
      <w:pPr>
        <w:ind w:left="1640" w:hanging="208"/>
        <w:spacing w:after="0"/>
        <w:tabs>
          <w:tab w:leader="none" w:pos="164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Failed timely to file all reports and filings required by ERISA to be filed by any Loan Party.</w:t>
      </w:r>
    </w:p>
    <w:p>
      <w:pPr>
        <w:spacing w:after="0" w:line="79" w:lineRule="exact"/>
        <w:rPr>
          <w:rFonts w:ascii="Arial" w:cs="Arial" w:eastAsia="Arial" w:hAnsi="Arial"/>
          <w:sz w:val="15"/>
          <w:szCs w:val="15"/>
          <w:color w:val="auto"/>
        </w:rPr>
      </w:pPr>
    </w:p>
    <w:p>
      <w:pPr>
        <w:ind w:left="1700" w:hanging="268"/>
        <w:spacing w:after="0"/>
        <w:tabs>
          <w:tab w:leader="none" w:pos="170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Engaged in any nonexempt “prohibited transactions” or “reportable events” (respectively as described in ERISA).</w:t>
      </w:r>
    </w:p>
    <w:p>
      <w:pPr>
        <w:spacing w:after="0" w:line="160" w:lineRule="exact"/>
        <w:rPr>
          <w:rFonts w:ascii="Arial" w:cs="Arial" w:eastAsia="Arial" w:hAnsi="Arial"/>
          <w:sz w:val="15"/>
          <w:szCs w:val="15"/>
          <w:color w:val="auto"/>
        </w:rPr>
      </w:pPr>
    </w:p>
    <w:p>
      <w:pPr>
        <w:ind w:left="4900" w:hanging="86"/>
        <w:spacing w:after="0"/>
        <w:tabs>
          <w:tab w:leader="none" w:pos="4900" w:val="left"/>
        </w:tabs>
        <w:numPr>
          <w:ilvl w:val="2"/>
          <w:numId w:val="108"/>
        </w:numPr>
        <w:rPr>
          <w:rFonts w:ascii="Arial" w:cs="Arial" w:eastAsia="Arial" w:hAnsi="Arial"/>
          <w:sz w:val="15"/>
          <w:szCs w:val="15"/>
          <w:color w:val="auto"/>
        </w:rPr>
      </w:pPr>
      <w:r>
        <w:rPr>
          <w:rFonts w:ascii="Arial" w:cs="Arial" w:eastAsia="Arial" w:hAnsi="Arial"/>
          <w:sz w:val="15"/>
          <w:szCs w:val="15"/>
          <w:color w:val="auto"/>
        </w:rPr>
        <w:t>35 -</w:t>
      </w:r>
    </w:p>
    <w:p>
      <w:pPr>
        <w:sectPr>
          <w:pgSz w:w="11900" w:h="16838" w:orient="portrait"/>
          <w:cols w:equalWidth="0" w:num="1">
            <w:col w:w="10700"/>
          </w:cols>
          <w:pgMar w:left="980" w:top="207" w:right="219" w:bottom="1440" w:gutter="0" w:footer="0" w:header="0"/>
        </w:sectPr>
      </w:pPr>
    </w:p>
    <w:bookmarkStart w:id="93" w:name="page94"/>
    <w:bookmarkEnd w:id="93"/>
    <w:p>
      <w:pPr>
        <w:ind w:left="2440" w:hanging="248"/>
        <w:spacing w:after="0"/>
        <w:tabs>
          <w:tab w:leader="none" w:pos="244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Engaged in, or committed, any act such that a tax or penalty could be imposed upon any Loan Party on account thereof pursuant to ERISA.</w:t>
      </w:r>
    </w:p>
    <w:p>
      <w:pPr>
        <w:spacing w:after="0" w:line="91" w:lineRule="exact"/>
        <w:rPr>
          <w:rFonts w:ascii="Arial" w:cs="Arial" w:eastAsia="Arial" w:hAnsi="Arial"/>
          <w:sz w:val="14"/>
          <w:szCs w:val="14"/>
          <w:color w:val="auto"/>
        </w:rPr>
      </w:pPr>
    </w:p>
    <w:p>
      <w:pPr>
        <w:ind w:left="2400" w:hanging="208"/>
        <w:spacing w:after="0"/>
        <w:tabs>
          <w:tab w:leader="none" w:pos="2400" w:val="left"/>
        </w:tabs>
        <w:numPr>
          <w:ilvl w:val="1"/>
          <w:numId w:val="109"/>
        </w:numPr>
        <w:rPr>
          <w:rFonts w:ascii="Arial" w:cs="Arial" w:eastAsia="Arial" w:hAnsi="Arial"/>
          <w:sz w:val="15"/>
          <w:szCs w:val="15"/>
          <w:color w:val="auto"/>
        </w:rPr>
      </w:pPr>
      <w:r>
        <w:rPr>
          <w:rFonts w:ascii="Arial" w:cs="Arial" w:eastAsia="Arial" w:hAnsi="Arial"/>
          <w:sz w:val="15"/>
          <w:szCs w:val="15"/>
          <w:color w:val="auto"/>
        </w:rPr>
        <w:t>Accumulated any material cumulative funding deficiency within the meaning of ERISA.</w:t>
      </w:r>
    </w:p>
    <w:p>
      <w:pPr>
        <w:spacing w:after="0" w:line="79" w:lineRule="exact"/>
        <w:rPr>
          <w:rFonts w:ascii="Arial" w:cs="Arial" w:eastAsia="Arial" w:hAnsi="Arial"/>
          <w:sz w:val="15"/>
          <w:szCs w:val="15"/>
          <w:color w:val="auto"/>
        </w:rPr>
      </w:pPr>
    </w:p>
    <w:p>
      <w:pPr>
        <w:ind w:left="2440" w:hanging="248"/>
        <w:spacing w:after="0"/>
        <w:tabs>
          <w:tab w:leader="none" w:pos="244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Terminated any Employee Benefit Plan such that a lien could be asserted against any assets of any Loan Party on account thereof pursuant to ERISA.</w:t>
      </w:r>
    </w:p>
    <w:p>
      <w:pPr>
        <w:spacing w:after="0" w:line="102" w:lineRule="exact"/>
        <w:rPr>
          <w:rFonts w:ascii="Arial" w:cs="Arial" w:eastAsia="Arial" w:hAnsi="Arial"/>
          <w:sz w:val="13"/>
          <w:szCs w:val="13"/>
          <w:color w:val="auto"/>
        </w:rPr>
      </w:pPr>
    </w:p>
    <w:p>
      <w:pPr>
        <w:ind w:left="2500" w:hanging="308"/>
        <w:spacing w:after="0"/>
        <w:tabs>
          <w:tab w:leader="none" w:pos="250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Been a member of, contributed to, or had any obligation under any Employee Benefit Plan which is a multiemployer plan within the meaning of</w:t>
      </w:r>
    </w:p>
    <w:p>
      <w:pPr>
        <w:spacing w:after="0" w:line="2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5"/>
          <w:szCs w:val="15"/>
          <w:color w:val="auto"/>
        </w:rPr>
        <w:t>Section 4001(a) of ERISA.</w:t>
      </w:r>
    </w:p>
    <w:p>
      <w:pPr>
        <w:spacing w:after="0" w:line="67" w:lineRule="exact"/>
        <w:rPr>
          <w:rFonts w:ascii="Arial" w:cs="Arial" w:eastAsia="Arial" w:hAnsi="Arial"/>
          <w:sz w:val="14"/>
          <w:szCs w:val="14"/>
          <w:color w:val="auto"/>
        </w:rPr>
      </w:pPr>
    </w:p>
    <w:p>
      <w:pPr>
        <w:ind w:left="1740" w:hanging="211"/>
        <w:spacing w:after="0"/>
        <w:tabs>
          <w:tab w:leader="none" w:pos="17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 xml:space="preserve">Neither any Loan Party nor any ERISA Affiliate shall ever engage in any action of the type described in </w:t>
      </w:r>
      <w:r>
        <w:rPr>
          <w:rFonts w:ascii="Arial" w:cs="Arial" w:eastAsia="Arial" w:hAnsi="Arial"/>
          <w:sz w:val="15"/>
          <w:szCs w:val="15"/>
          <w:u w:val="single" w:color="auto"/>
          <w:color w:val="auto"/>
        </w:rPr>
        <w:t>Section 4.17(a)</w:t>
      </w:r>
      <w:r>
        <w:rPr>
          <w:rFonts w:ascii="Arial" w:cs="Arial" w:eastAsia="Arial" w:hAnsi="Arial"/>
          <w:sz w:val="15"/>
          <w:szCs w:val="15"/>
          <w:color w:val="auto"/>
        </w:rPr>
        <w:t>.</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4.18. H</w:t>
      </w:r>
      <w:r>
        <w:rPr>
          <w:rFonts w:ascii="Arial" w:cs="Arial" w:eastAsia="Arial" w:hAnsi="Arial"/>
          <w:sz w:val="10"/>
          <w:szCs w:val="10"/>
          <w:b w:val="1"/>
          <w:bCs w:val="1"/>
          <w:color w:val="auto"/>
        </w:rPr>
        <w:t>AZARDOUS</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ATERIALS</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34" w:val="left"/>
        </w:tabs>
        <w:numPr>
          <w:ilvl w:val="0"/>
          <w:numId w:val="111"/>
        </w:numPr>
        <w:rPr>
          <w:rFonts w:ascii="Arial" w:cs="Arial" w:eastAsia="Arial" w:hAnsi="Arial"/>
          <w:sz w:val="15"/>
          <w:szCs w:val="15"/>
          <w:color w:val="auto"/>
        </w:rPr>
      </w:pPr>
      <w:r>
        <w:rPr>
          <w:rFonts w:ascii="Arial" w:cs="Arial" w:eastAsia="Arial" w:hAnsi="Arial"/>
          <w:sz w:val="15"/>
          <w:szCs w:val="15"/>
          <w:color w:val="auto"/>
        </w:rPr>
        <w:t>No Loan Party has ever: (i) been legally responsible for any release or threat of release of any Hazardous Material or (ii) received notification of the incurrence of any expense in connection with the assessment, containment, or removal of any Hazardous Material for which that Loan Party would be responsible.</w:t>
      </w:r>
    </w:p>
    <w:p>
      <w:pPr>
        <w:spacing w:after="0" w:line="51" w:lineRule="exact"/>
        <w:rPr>
          <w:rFonts w:ascii="Arial" w:cs="Arial" w:eastAsia="Arial" w:hAnsi="Arial"/>
          <w:sz w:val="15"/>
          <w:szCs w:val="15"/>
          <w:color w:val="auto"/>
        </w:rPr>
      </w:pPr>
    </w:p>
    <w:p>
      <w:pPr>
        <w:ind w:firstLine="1529"/>
        <w:spacing w:after="0" w:line="259" w:lineRule="auto"/>
        <w:tabs>
          <w:tab w:leader="none" w:pos="174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Each Loan Party shall: (i) dispose of any Hazardous Material only in compliance with all Environmental Laws and (ii) have possession of any Hazardous Material only in the ordinary course of that Loan Party’s business and in compliance with all Environmental Laws.</w:t>
      </w:r>
    </w:p>
    <w:p>
      <w:pPr>
        <w:spacing w:after="0" w:line="128" w:lineRule="exact"/>
        <w:rPr>
          <w:sz w:val="20"/>
          <w:szCs w:val="20"/>
          <w:color w:val="auto"/>
        </w:rPr>
      </w:pPr>
    </w:p>
    <w:p>
      <w:pPr>
        <w:jc w:val="both"/>
        <w:ind w:firstLine="765"/>
        <w:spacing w:after="0" w:line="278" w:lineRule="auto"/>
        <w:rPr>
          <w:sz w:val="20"/>
          <w:szCs w:val="20"/>
          <w:color w:val="auto"/>
        </w:rPr>
      </w:pPr>
      <w:r>
        <w:rPr>
          <w:rFonts w:ascii="Arial" w:cs="Arial" w:eastAsia="Arial" w:hAnsi="Arial"/>
          <w:sz w:val="14"/>
          <w:szCs w:val="14"/>
          <w:b w:val="1"/>
          <w:bCs w:val="1"/>
          <w:color w:val="auto"/>
        </w:rPr>
        <w:t>4.19. L</w:t>
      </w:r>
      <w:r>
        <w:rPr>
          <w:rFonts w:ascii="Arial" w:cs="Arial" w:eastAsia="Arial" w:hAnsi="Arial"/>
          <w:sz w:val="9"/>
          <w:szCs w:val="9"/>
          <w:b w:val="1"/>
          <w:bCs w:val="1"/>
          <w:color w:val="auto"/>
        </w:rPr>
        <w:t>ITIGATION</w:t>
      </w:r>
      <w:r>
        <w:rPr>
          <w:rFonts w:ascii="Arial" w:cs="Arial" w:eastAsia="Arial" w:hAnsi="Arial"/>
          <w:sz w:val="14"/>
          <w:szCs w:val="14"/>
          <w:color w:val="auto"/>
        </w:rPr>
        <w:t>. Except as described in</w:t>
      </w:r>
      <w:r>
        <w:rPr>
          <w:rFonts w:ascii="Arial" w:cs="Arial" w:eastAsia="Arial" w:hAnsi="Arial"/>
          <w:sz w:val="14"/>
          <w:szCs w:val="14"/>
          <w:b w:val="1"/>
          <w:bCs w:val="1"/>
          <w:color w:val="auto"/>
        </w:rPr>
        <w:t xml:space="preserve"> EXHIBIT 4.19</w:t>
      </w:r>
      <w:r>
        <w:rPr>
          <w:rFonts w:ascii="Arial" w:cs="Arial" w:eastAsia="Arial" w:hAnsi="Arial"/>
          <w:sz w:val="14"/>
          <w:szCs w:val="14"/>
          <w:color w:val="auto"/>
        </w:rPr>
        <w:t>, annexed hereto, there is not presently pending or to the knowledge of the Borrowers, threatened in writing, by or against</w:t>
      </w:r>
      <w:r>
        <w:rPr>
          <w:rFonts w:ascii="Arial" w:cs="Arial" w:eastAsia="Arial" w:hAnsi="Arial"/>
          <w:sz w:val="14"/>
          <w:szCs w:val="14"/>
          <w:b w:val="1"/>
          <w:bCs w:val="1"/>
          <w:color w:val="auto"/>
        </w:rPr>
        <w:t xml:space="preserve"> </w:t>
      </w:r>
      <w:r>
        <w:rPr>
          <w:rFonts w:ascii="Arial" w:cs="Arial" w:eastAsia="Arial" w:hAnsi="Arial"/>
          <w:sz w:val="14"/>
          <w:szCs w:val="14"/>
          <w:color w:val="auto"/>
        </w:rPr>
        <w:t>any Loan Party, any suit, action, proceeding, or investigation which if determined adversely to such Loan Party, would have a Material Adverse Effect upon the Loan Parties’ financial condition or the ability of the Loan Parties to conduct their business as such business is presently conducted or is contemplated to be conducted in the foreseeable future.</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4.20. D</w:t>
      </w:r>
      <w:r>
        <w:rPr>
          <w:rFonts w:ascii="Arial" w:cs="Arial" w:eastAsia="Arial" w:hAnsi="Arial"/>
          <w:sz w:val="10"/>
          <w:szCs w:val="10"/>
          <w:b w:val="1"/>
          <w:bCs w:val="1"/>
          <w:color w:val="auto"/>
        </w:rPr>
        <w:t>IVIDENDS</w:t>
      </w:r>
      <w:r>
        <w:rPr>
          <w:rFonts w:ascii="Arial" w:cs="Arial" w:eastAsia="Arial" w:hAnsi="Arial"/>
          <w:sz w:val="15"/>
          <w:szCs w:val="15"/>
          <w:b w:val="1"/>
          <w:bCs w:val="1"/>
          <w:color w:val="auto"/>
        </w:rPr>
        <w:t>, I</w:t>
      </w:r>
      <w:r>
        <w:rPr>
          <w:rFonts w:ascii="Arial" w:cs="Arial" w:eastAsia="Arial" w:hAnsi="Arial"/>
          <w:sz w:val="10"/>
          <w:szCs w:val="10"/>
          <w:b w:val="1"/>
          <w:bCs w:val="1"/>
          <w:color w:val="auto"/>
        </w:rPr>
        <w:t>NVESTMENTS</w:t>
      </w:r>
      <w:r>
        <w:rPr>
          <w:rFonts w:ascii="Arial" w:cs="Arial" w:eastAsia="Arial" w:hAnsi="Arial"/>
          <w:sz w:val="15"/>
          <w:szCs w:val="15"/>
          <w:b w:val="1"/>
          <w:bCs w:val="1"/>
          <w:color w:val="auto"/>
        </w:rPr>
        <w:t>, E</w:t>
      </w:r>
      <w:r>
        <w:rPr>
          <w:rFonts w:ascii="Arial" w:cs="Arial" w:eastAsia="Arial" w:hAnsi="Arial"/>
          <w:sz w:val="10"/>
          <w:szCs w:val="10"/>
          <w:b w:val="1"/>
          <w:bCs w:val="1"/>
          <w:color w:val="auto"/>
        </w:rPr>
        <w:t>NTITY</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CTION</w:t>
      </w:r>
      <w:r>
        <w:rPr>
          <w:rFonts w:ascii="Arial" w:cs="Arial" w:eastAsia="Arial" w:hAnsi="Arial"/>
          <w:sz w:val="15"/>
          <w:szCs w:val="15"/>
          <w:color w:val="auto"/>
        </w:rPr>
        <w:t>. No Loan Party shall:</w:t>
      </w:r>
    </w:p>
    <w:p>
      <w:pPr>
        <w:spacing w:after="0" w:line="84" w:lineRule="exact"/>
        <w:rPr>
          <w:sz w:val="20"/>
          <w:szCs w:val="20"/>
          <w:color w:val="auto"/>
        </w:rPr>
      </w:pPr>
    </w:p>
    <w:p>
      <w:pPr>
        <w:ind w:firstLine="1529"/>
        <w:spacing w:after="0" w:line="259" w:lineRule="auto"/>
        <w:tabs>
          <w:tab w:leader="none" w:pos="1738" w:val="left"/>
        </w:tabs>
        <w:numPr>
          <w:ilvl w:val="0"/>
          <w:numId w:val="112"/>
        </w:numPr>
        <w:rPr>
          <w:rFonts w:ascii="Arial" w:cs="Arial" w:eastAsia="Arial" w:hAnsi="Arial"/>
          <w:sz w:val="15"/>
          <w:szCs w:val="15"/>
          <w:color w:val="auto"/>
        </w:rPr>
      </w:pPr>
      <w:r>
        <w:rPr>
          <w:rFonts w:ascii="Arial" w:cs="Arial" w:eastAsia="Arial" w:hAnsi="Arial"/>
          <w:sz w:val="15"/>
          <w:szCs w:val="15"/>
          <w:color w:val="auto"/>
        </w:rPr>
        <w:t>Pay any cash dividend or make any other distribution in respect of any class of their respective capital stock or other ownership interests, other than payments to another Loan Party, unless the Loan Parties are in compliance with the Payment Conditions.</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Redeem, retire, purchase, or acquire any of Casual Male’s capital stock, other than pursuant to a Permitted Repurchase.</w:t>
      </w:r>
    </w:p>
    <w:p>
      <w:pPr>
        <w:spacing w:after="0" w:line="79" w:lineRule="exact"/>
        <w:rPr>
          <w:rFonts w:ascii="Arial" w:cs="Arial" w:eastAsia="Arial" w:hAnsi="Arial"/>
          <w:sz w:val="15"/>
          <w:szCs w:val="15"/>
          <w:color w:val="auto"/>
        </w:rPr>
      </w:pPr>
    </w:p>
    <w:p>
      <w:pPr>
        <w:ind w:firstLine="1529"/>
        <w:spacing w:after="0" w:line="259" w:lineRule="auto"/>
        <w:tabs>
          <w:tab w:leader="none" w:pos="1744"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Invest in or purchase any stock or securities or other ownership interests, or rights to purchase any such stock or securities or other ownership interests, of any corporation or other Person, except for:</w:t>
      </w:r>
    </w:p>
    <w:p>
      <w:pPr>
        <w:spacing w:after="0" w:line="51" w:lineRule="exact"/>
        <w:rPr>
          <w:rFonts w:ascii="Arial" w:cs="Arial" w:eastAsia="Arial" w:hAnsi="Arial"/>
          <w:sz w:val="15"/>
          <w:szCs w:val="15"/>
          <w:color w:val="auto"/>
        </w:rPr>
      </w:pPr>
    </w:p>
    <w:p>
      <w:pPr>
        <w:ind w:left="2360" w:hanging="168"/>
        <w:spacing w:after="0"/>
        <w:tabs>
          <w:tab w:leader="none" w:pos="236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Permitted Investments;</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 xml:space="preserve">Permitted Acquisitions subject to the provisions of </w:t>
      </w:r>
      <w:r>
        <w:rPr>
          <w:rFonts w:ascii="Arial" w:cs="Arial" w:eastAsia="Arial" w:hAnsi="Arial"/>
          <w:sz w:val="15"/>
          <w:szCs w:val="15"/>
          <w:u w:val="single" w:color="auto"/>
          <w:color w:val="auto"/>
        </w:rPr>
        <w:t>Section 4.21</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2460" w:hanging="268"/>
        <w:spacing w:after="0"/>
        <w:tabs>
          <w:tab w:leader="none" w:pos="246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 xml:space="preserve">Investments in new wholly owned Subsidiaries formed in connection with any such Permitted Acquisition, subject to the provisions of </w:t>
      </w:r>
      <w:r>
        <w:rPr>
          <w:rFonts w:ascii="Arial" w:cs="Arial" w:eastAsia="Arial" w:hAnsi="Arial"/>
          <w:sz w:val="13"/>
          <w:szCs w:val="13"/>
          <w:u w:val="single" w:color="auto"/>
          <w:color w:val="auto"/>
        </w:rPr>
        <w:t>Section 4.21(c)</w:t>
      </w:r>
      <w:r>
        <w:rPr>
          <w:rFonts w:ascii="Arial" w:cs="Arial" w:eastAsia="Arial" w:hAnsi="Arial"/>
          <w:sz w:val="13"/>
          <w:szCs w:val="13"/>
          <w:color w:val="auto"/>
        </w:rPr>
        <w:t>;</w:t>
      </w:r>
    </w:p>
    <w:p>
      <w:pPr>
        <w:spacing w:after="0" w:line="102" w:lineRule="exact"/>
        <w:rPr>
          <w:rFonts w:ascii="Arial" w:cs="Arial" w:eastAsia="Arial" w:hAnsi="Arial"/>
          <w:sz w:val="13"/>
          <w:szCs w:val="13"/>
          <w:color w:val="auto"/>
        </w:rPr>
      </w:pPr>
    </w:p>
    <w:p>
      <w:pPr>
        <w:jc w:val="both"/>
        <w:ind w:left="760" w:firstLine="1432"/>
        <w:spacing w:after="0" w:line="249" w:lineRule="auto"/>
        <w:tabs>
          <w:tab w:leader="none" w:pos="2444" w:val="left"/>
        </w:tabs>
        <w:numPr>
          <w:ilvl w:val="1"/>
          <w:numId w:val="112"/>
        </w:numPr>
        <w:rPr>
          <w:rFonts w:ascii="Arial" w:cs="Arial" w:eastAsia="Arial" w:hAnsi="Arial"/>
          <w:sz w:val="15"/>
          <w:szCs w:val="15"/>
          <w:color w:val="auto"/>
        </w:rPr>
      </w:pPr>
      <w:r>
        <w:rPr>
          <w:rFonts w:ascii="Arial" w:cs="Arial" w:eastAsia="Arial" w:hAnsi="Arial"/>
          <w:sz w:val="15"/>
          <w:szCs w:val="15"/>
          <w:color w:val="auto"/>
        </w:rPr>
        <w:t xml:space="preserve">At any time after January 31, 2016, Permitted Minority Investments;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Borrowers are in compliance with the Payment Conditions and (B) at any time that any Term Loan is outstanding before and after giving effect to such Permitted Minority Investment, the aggregate amount of all Permitted Minority Investments made shall not exceed $10,000,000; and</w:t>
      </w:r>
    </w:p>
    <w:p>
      <w:pPr>
        <w:spacing w:after="0" w:line="58" w:lineRule="exact"/>
        <w:rPr>
          <w:rFonts w:ascii="Arial" w:cs="Arial" w:eastAsia="Arial" w:hAnsi="Arial"/>
          <w:sz w:val="15"/>
          <w:szCs w:val="15"/>
          <w:color w:val="auto"/>
        </w:rPr>
      </w:pPr>
    </w:p>
    <w:p>
      <w:pPr>
        <w:jc w:val="both"/>
        <w:ind w:left="760" w:firstLine="1432"/>
        <w:spacing w:after="0" w:line="268" w:lineRule="auto"/>
        <w:tabs>
          <w:tab w:leader="none" w:pos="2403" w:val="left"/>
        </w:tabs>
        <w:numPr>
          <w:ilvl w:val="1"/>
          <w:numId w:val="112"/>
        </w:numPr>
        <w:rPr>
          <w:rFonts w:ascii="Arial" w:cs="Arial" w:eastAsia="Arial" w:hAnsi="Arial"/>
          <w:sz w:val="14"/>
          <w:szCs w:val="14"/>
          <w:color w:val="auto"/>
        </w:rPr>
      </w:pPr>
      <w:r>
        <w:rPr>
          <w:rFonts w:ascii="Arial" w:cs="Arial" w:eastAsia="Arial" w:hAnsi="Arial"/>
          <w:sz w:val="14"/>
          <w:szCs w:val="14"/>
          <w:color w:val="auto"/>
        </w:rPr>
        <w:t xml:space="preserve">At any time after January 31, 2016, Investments by the Loan Parties in Subsidiaries that are not Loan Parties;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(A) such Investments may only be made following the Closing Date to the extent that such Investments, together with the principal amount of any intercompany loans permitted pursuant to </w:t>
      </w:r>
      <w:r>
        <w:rPr>
          <w:rFonts w:ascii="Arial" w:cs="Arial" w:eastAsia="Arial" w:hAnsi="Arial"/>
          <w:sz w:val="14"/>
          <w:szCs w:val="14"/>
          <w:u w:val="single" w:color="auto"/>
          <w:color w:val="auto"/>
        </w:rPr>
        <w:t>Section 4.22(g)</w:t>
      </w:r>
      <w:r>
        <w:rPr>
          <w:rFonts w:ascii="Arial" w:cs="Arial" w:eastAsia="Arial" w:hAnsi="Arial"/>
          <w:sz w:val="14"/>
          <w:szCs w:val="14"/>
          <w:color w:val="auto"/>
        </w:rPr>
        <w:t xml:space="preserve">, shall not exceed $10,000,000 in the aggregate from and after the Closing Date, and (B) in the event that the aggregate amount of such Investments, together with the principal amount of any intercompany loans permitted pursuant to </w:t>
      </w:r>
      <w:r>
        <w:rPr>
          <w:rFonts w:ascii="Arial" w:cs="Arial" w:eastAsia="Arial" w:hAnsi="Arial"/>
          <w:sz w:val="14"/>
          <w:szCs w:val="14"/>
          <w:u w:val="single" w:color="auto"/>
          <w:color w:val="auto"/>
        </w:rPr>
        <w:t>Section 4.22(g)</w:t>
      </w:r>
      <w:r>
        <w:rPr>
          <w:rFonts w:ascii="Arial" w:cs="Arial" w:eastAsia="Arial" w:hAnsi="Arial"/>
          <w:sz w:val="14"/>
          <w:szCs w:val="14"/>
          <w:color w:val="auto"/>
        </w:rPr>
        <w:t>, exceeds $5,000,000, the Payment Conditions shall have been satisfied.</w:t>
      </w:r>
    </w:p>
    <w:p>
      <w:pPr>
        <w:spacing w:after="0" w:line="128" w:lineRule="exact"/>
        <w:rPr>
          <w:rFonts w:ascii="Arial" w:cs="Arial" w:eastAsia="Arial" w:hAnsi="Arial"/>
          <w:sz w:val="14"/>
          <w:szCs w:val="14"/>
          <w:color w:val="auto"/>
        </w:rPr>
      </w:pPr>
    </w:p>
    <w:p>
      <w:pPr>
        <w:ind w:left="5660" w:hanging="86"/>
        <w:spacing w:after="0"/>
        <w:tabs>
          <w:tab w:leader="none" w:pos="5660" w:val="left"/>
        </w:tabs>
        <w:numPr>
          <w:ilvl w:val="2"/>
          <w:numId w:val="112"/>
        </w:numPr>
        <w:rPr>
          <w:rFonts w:ascii="Arial" w:cs="Arial" w:eastAsia="Arial" w:hAnsi="Arial"/>
          <w:sz w:val="15"/>
          <w:szCs w:val="15"/>
          <w:color w:val="auto"/>
        </w:rPr>
      </w:pPr>
      <w:r>
        <w:rPr>
          <w:rFonts w:ascii="Arial" w:cs="Arial" w:eastAsia="Arial" w:hAnsi="Arial"/>
          <w:sz w:val="15"/>
          <w:szCs w:val="15"/>
          <w:color w:val="auto"/>
        </w:rPr>
        <w:t>36 -</w:t>
      </w:r>
    </w:p>
    <w:p>
      <w:pPr>
        <w:sectPr>
          <w:pgSz w:w="11900" w:h="16838" w:orient="portrait"/>
          <w:cols w:equalWidth="0" w:num="1">
            <w:col w:w="11460"/>
          </w:cols>
          <w:pgMar w:left="220" w:top="207" w:right="219" w:bottom="1440" w:gutter="0" w:footer="0" w:header="0"/>
        </w:sectPr>
      </w:pPr>
    </w:p>
    <w:bookmarkStart w:id="94" w:name="page95"/>
    <w:bookmarkEnd w:id="94"/>
    <w:p>
      <w:pPr>
        <w:ind w:left="-760" w:firstLine="1529"/>
        <w:spacing w:after="0" w:line="259" w:lineRule="auto"/>
        <w:tabs>
          <w:tab w:leader="none" w:pos="989" w:val="left"/>
        </w:tabs>
        <w:numPr>
          <w:ilvl w:val="0"/>
          <w:numId w:val="113"/>
        </w:numPr>
        <w:rPr>
          <w:rFonts w:ascii="Arial" w:cs="Arial" w:eastAsia="Arial" w:hAnsi="Arial"/>
          <w:sz w:val="15"/>
          <w:szCs w:val="15"/>
          <w:color w:val="auto"/>
        </w:rPr>
      </w:pPr>
      <w:r>
        <w:rPr>
          <w:rFonts w:ascii="Arial" w:cs="Arial" w:eastAsia="Arial" w:hAnsi="Arial"/>
          <w:sz w:val="15"/>
          <w:szCs w:val="15"/>
          <w:color w:val="auto"/>
        </w:rPr>
        <w:t xml:space="preserve">Merge or consolidate or be merged or consolidated with or into any other corporation or other entity;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nothing in this Agreement shall prevent any Loan Party from merging into any other Loan Party.</w:t>
      </w:r>
    </w:p>
    <w:p>
      <w:pPr>
        <w:spacing w:after="0" w:line="51" w:lineRule="exact"/>
        <w:rPr>
          <w:rFonts w:ascii="Arial" w:cs="Arial" w:eastAsia="Arial" w:hAnsi="Arial"/>
          <w:sz w:val="15"/>
          <w:szCs w:val="15"/>
          <w:color w:val="auto"/>
        </w:rPr>
      </w:pPr>
    </w:p>
    <w:p>
      <w:pPr>
        <w:ind w:left="980" w:hanging="211"/>
        <w:spacing w:after="0"/>
        <w:tabs>
          <w:tab w:leader="none" w:pos="98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Consolidate any of that Loan Party’s operations with those of any other corporation or other entity other than another Loan Party.</w:t>
      </w:r>
    </w:p>
    <w:p>
      <w:pPr>
        <w:spacing w:after="0" w:line="79" w:lineRule="exact"/>
        <w:rPr>
          <w:rFonts w:ascii="Arial" w:cs="Arial" w:eastAsia="Arial" w:hAnsi="Arial"/>
          <w:sz w:val="15"/>
          <w:szCs w:val="15"/>
          <w:color w:val="auto"/>
        </w:rPr>
      </w:pPr>
    </w:p>
    <w:p>
      <w:pPr>
        <w:ind w:left="960" w:hanging="191"/>
        <w:spacing w:after="0"/>
        <w:tabs>
          <w:tab w:leader="none" w:pos="9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Subordinate any debts or obligations owed to that Loan Party by any third party to any other debts owed by such third party to any other Person.</w:t>
      </w:r>
    </w:p>
    <w:p>
      <w:pPr>
        <w:spacing w:after="0" w:line="79" w:lineRule="exact"/>
        <w:rPr>
          <w:rFonts w:ascii="Arial" w:cs="Arial" w:eastAsia="Arial" w:hAnsi="Arial"/>
          <w:sz w:val="15"/>
          <w:szCs w:val="15"/>
          <w:color w:val="auto"/>
        </w:rPr>
      </w:pPr>
    </w:p>
    <w:p>
      <w:pPr>
        <w:ind w:left="-760" w:firstLine="1529"/>
        <w:spacing w:after="0" w:line="259" w:lineRule="auto"/>
        <w:tabs>
          <w:tab w:leader="none" w:pos="984"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Engage in any interest rate swaps, caps, or similar activities, or any hedging activities, other than in the ordinary course and conduct of that Loan Party’s business and then only with a Term Lender or any Affiliate of a Term Lender.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4.21. P</w:t>
      </w:r>
      <w:r>
        <w:rPr>
          <w:rFonts w:ascii="Arial" w:cs="Arial" w:eastAsia="Arial" w:hAnsi="Arial"/>
          <w:sz w:val="9"/>
          <w:szCs w:val="9"/>
          <w:b w:val="1"/>
          <w:bCs w:val="1"/>
          <w:color w:val="auto"/>
        </w:rPr>
        <w:t>ERMITTED</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CQUISITIONS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 Loan Parties may, after January 31, 2017, make Permitted Acquisitions without the consent of the Agent or the Term Lenders;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provided that</w:t>
      </w:r>
      <w:r>
        <w:rPr>
          <w:rFonts w:ascii="Arial" w:cs="Arial" w:eastAsia="Arial" w:hAnsi="Arial"/>
          <w:sz w:val="14"/>
          <w:szCs w:val="14"/>
          <w:color w:val="auto"/>
        </w:rPr>
        <w:t>:</w:t>
      </w:r>
    </w:p>
    <w:p>
      <w:pPr>
        <w:spacing w:after="0" w:line="95" w:lineRule="exact"/>
        <w:rPr>
          <w:sz w:val="20"/>
          <w:szCs w:val="20"/>
          <w:color w:val="auto"/>
        </w:rPr>
      </w:pPr>
    </w:p>
    <w:p>
      <w:pPr>
        <w:ind w:left="-760" w:firstLine="1529"/>
        <w:spacing w:after="0" w:line="259" w:lineRule="auto"/>
        <w:tabs>
          <w:tab w:leader="none" w:pos="971" w:val="left"/>
        </w:tabs>
        <w:numPr>
          <w:ilvl w:val="0"/>
          <w:numId w:val="114"/>
        </w:numPr>
        <w:rPr>
          <w:rFonts w:ascii="Arial" w:cs="Arial" w:eastAsia="Arial" w:hAnsi="Arial"/>
          <w:sz w:val="15"/>
          <w:szCs w:val="15"/>
          <w:color w:val="auto"/>
        </w:rPr>
      </w:pPr>
      <w:r>
        <w:rPr>
          <w:rFonts w:ascii="Arial" w:cs="Arial" w:eastAsia="Arial" w:hAnsi="Arial"/>
          <w:sz w:val="15"/>
          <w:szCs w:val="15"/>
          <w:color w:val="auto"/>
        </w:rPr>
        <w:t>Not less than fifteen (15) days’ prior written notice (with reasonable particularity as to the facts and circumstances in respect of which such notice is being given) of such Permitted Acquisition is given to the Administrative Agent.</w:t>
      </w:r>
    </w:p>
    <w:p>
      <w:pPr>
        <w:spacing w:after="0" w:line="51" w:lineRule="exact"/>
        <w:rPr>
          <w:rFonts w:ascii="Arial" w:cs="Arial" w:eastAsia="Arial" w:hAnsi="Arial"/>
          <w:sz w:val="15"/>
          <w:szCs w:val="15"/>
          <w:color w:val="auto"/>
        </w:rPr>
      </w:pPr>
    </w:p>
    <w:p>
      <w:pPr>
        <w:ind w:left="980" w:hanging="211"/>
        <w:spacing w:after="0"/>
        <w:tabs>
          <w:tab w:leader="none" w:pos="98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Loan Parties are in compliance with the Payment Conditions.</w:t>
      </w:r>
    </w:p>
    <w:p>
      <w:pPr>
        <w:spacing w:after="0" w:line="79" w:lineRule="exact"/>
        <w:rPr>
          <w:rFonts w:ascii="Arial" w:cs="Arial" w:eastAsia="Arial" w:hAnsi="Arial"/>
          <w:sz w:val="15"/>
          <w:szCs w:val="15"/>
          <w:color w:val="auto"/>
        </w:rPr>
      </w:pPr>
    </w:p>
    <w:p>
      <w:pPr>
        <w:jc w:val="both"/>
        <w:ind w:left="-760" w:firstLine="1529"/>
        <w:spacing w:after="0" w:line="295" w:lineRule="auto"/>
        <w:tabs>
          <w:tab w:leader="none" w:pos="98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 xml:space="preserve">With respect to, and in the event of any Permitted Acquisition which consists of, or results in the creation of, a Subsidiary, the Administrative Agent shall be provided with such Subsidiary’s Guarantor Agreement (in form and substance satisfactory to the Administrative Agent), which Guarantor Agreement shall be secured by first priority perfected security interests and liens (subject to the Intercreditor Agreement) on all of the assets of such Subsidiary which comprise Term Loan Priority Collateral and a second priority perfected security interest and lien on those assets which constitute ABL Priority Collateral, subject to the same limitations set forth in </w:t>
      </w:r>
      <w:r>
        <w:rPr>
          <w:rFonts w:ascii="Arial" w:cs="Arial" w:eastAsia="Arial" w:hAnsi="Arial"/>
          <w:sz w:val="13"/>
          <w:szCs w:val="13"/>
          <w:u w:val="single" w:color="auto"/>
          <w:color w:val="auto"/>
        </w:rPr>
        <w:t>Section 8.1</w:t>
      </w:r>
      <w:r>
        <w:rPr>
          <w:rFonts w:ascii="Arial" w:cs="Arial" w:eastAsia="Arial" w:hAnsi="Arial"/>
          <w:sz w:val="13"/>
          <w:szCs w:val="13"/>
          <w:color w:val="auto"/>
        </w:rPr>
        <w:t xml:space="preserve"> hereof and subject to Permitted Encumbrances.</w:t>
      </w:r>
    </w:p>
    <w:p>
      <w:pPr>
        <w:spacing w:after="0" w:line="31" w:lineRule="exact"/>
        <w:rPr>
          <w:rFonts w:ascii="Arial" w:cs="Arial" w:eastAsia="Arial" w:hAnsi="Arial"/>
          <w:sz w:val="13"/>
          <w:szCs w:val="13"/>
          <w:color w:val="auto"/>
        </w:rPr>
      </w:pPr>
    </w:p>
    <w:p>
      <w:pPr>
        <w:jc w:val="both"/>
        <w:ind w:left="-760" w:firstLine="1529"/>
        <w:spacing w:after="0" w:line="243" w:lineRule="auto"/>
        <w:tabs>
          <w:tab w:leader="none" w:pos="978"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Agent and the Term Lenders shall have no obligation to include any Inventory acquired in such Permitted Acquisition (or Inventory of a similar type and nature acquired after the Permitted Acquisition) as Eligible Inventory unless the Agent (i) has a perfected security interest in such Inventory (subject to the Intercreditor Agreement), (ii) has completed or received an appraisal of such Inventory from appraisers satisfactory to the Agent and such other due diligence as the Agent may require, all of the results of the foregoing to be reasonably satisfactory to the Agent, (iii) has established applicable advance rates and Reserves in connection therewith, and (iv) has otherwise determined in its reasonable discretion that such Inventory is eligible to be included in the Borrowing Base.</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4.22. L</w:t>
      </w:r>
      <w:r>
        <w:rPr>
          <w:rFonts w:ascii="Arial" w:cs="Arial" w:eastAsia="Arial" w:hAnsi="Arial"/>
          <w:sz w:val="9"/>
          <w:szCs w:val="9"/>
          <w:b w:val="1"/>
          <w:bCs w:val="1"/>
          <w:color w:val="auto"/>
        </w:rPr>
        <w:t>OANS</w:t>
      </w:r>
      <w:r>
        <w:rPr>
          <w:rFonts w:ascii="Arial" w:cs="Arial" w:eastAsia="Arial" w:hAnsi="Arial"/>
          <w:sz w:val="13"/>
          <w:szCs w:val="13"/>
          <w:b w:val="1"/>
          <w:bCs w:val="1"/>
          <w:color w:val="auto"/>
        </w:rPr>
        <w:t xml:space="preserve">. </w:t>
      </w:r>
      <w:r>
        <w:rPr>
          <w:rFonts w:ascii="Arial" w:cs="Arial" w:eastAsia="Arial" w:hAnsi="Arial"/>
          <w:sz w:val="13"/>
          <w:szCs w:val="13"/>
          <w:color w:val="auto"/>
        </w:rPr>
        <w:t>The Loan Parties shall not make any loans to, nor acquire the Indebtedness of, any Person;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the foregoing does not prohibit any of the following:</w:t>
      </w:r>
    </w:p>
    <w:p>
      <w:pPr>
        <w:spacing w:after="0" w:line="107" w:lineRule="exact"/>
        <w:rPr>
          <w:sz w:val="20"/>
          <w:szCs w:val="20"/>
          <w:color w:val="auto"/>
        </w:rPr>
      </w:pPr>
    </w:p>
    <w:p>
      <w:pPr>
        <w:ind w:left="980" w:hanging="211"/>
        <w:spacing w:after="0"/>
        <w:tabs>
          <w:tab w:leader="none" w:pos="9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Subject to such conditions respectively as apply thereto, the making of Permitted Investments.</w:t>
      </w:r>
    </w:p>
    <w:p>
      <w:pPr>
        <w:spacing w:after="0" w:line="79" w:lineRule="exact"/>
        <w:rPr>
          <w:rFonts w:ascii="Arial" w:cs="Arial" w:eastAsia="Arial" w:hAnsi="Arial"/>
          <w:sz w:val="15"/>
          <w:szCs w:val="15"/>
          <w:color w:val="auto"/>
        </w:rPr>
      </w:pPr>
    </w:p>
    <w:p>
      <w:pPr>
        <w:ind w:left="980" w:hanging="211"/>
        <w:spacing w:after="0"/>
        <w:tabs>
          <w:tab w:leader="none" w:pos="9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Advance payments made to a Loan Party’s suppliers in the ordinary course.</w:t>
      </w:r>
    </w:p>
    <w:p>
      <w:pPr>
        <w:spacing w:after="0" w:line="79" w:lineRule="exact"/>
        <w:rPr>
          <w:rFonts w:ascii="Arial" w:cs="Arial" w:eastAsia="Arial" w:hAnsi="Arial"/>
          <w:sz w:val="15"/>
          <w:szCs w:val="15"/>
          <w:color w:val="auto"/>
        </w:rPr>
      </w:pPr>
    </w:p>
    <w:p>
      <w:pPr>
        <w:ind w:left="-760" w:firstLine="1529"/>
        <w:spacing w:after="0" w:line="295" w:lineRule="auto"/>
        <w:tabs>
          <w:tab w:leader="none" w:pos="97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Advances to a Loan Party’s officers, employees, and salespersons with respect to reasonable expenses to be incurred by such officers, employees, and salespersons for the benefit of a Loan Party, which expenses are properly substantiated by the person seeking such advance and properly reimbursable by a Loan Party.</w:t>
      </w:r>
    </w:p>
    <w:p>
      <w:pPr>
        <w:spacing w:after="0" w:line="27" w:lineRule="exact"/>
        <w:rPr>
          <w:rFonts w:ascii="Arial" w:cs="Arial" w:eastAsia="Arial" w:hAnsi="Arial"/>
          <w:sz w:val="14"/>
          <w:szCs w:val="14"/>
          <w:color w:val="auto"/>
        </w:rPr>
      </w:pPr>
    </w:p>
    <w:p>
      <w:pPr>
        <w:ind w:left="-760" w:firstLine="1529"/>
        <w:spacing w:after="0" w:line="259" w:lineRule="auto"/>
        <w:tabs>
          <w:tab w:leader="none" w:pos="982" w:val="left"/>
        </w:tabs>
        <w:numPr>
          <w:ilvl w:val="0"/>
          <w:numId w:val="115"/>
        </w:numPr>
        <w:rPr>
          <w:rFonts w:ascii="Arial" w:cs="Arial" w:eastAsia="Arial" w:hAnsi="Arial"/>
          <w:sz w:val="15"/>
          <w:szCs w:val="15"/>
          <w:color w:val="auto"/>
        </w:rPr>
      </w:pPr>
      <w:r>
        <w:rPr>
          <w:rFonts w:ascii="Arial" w:cs="Arial" w:eastAsia="Arial" w:hAnsi="Arial"/>
          <w:sz w:val="15"/>
          <w:szCs w:val="15"/>
          <w:color w:val="auto"/>
        </w:rPr>
        <w:t>Loans to a Loan Party’s officers and employees not exceeding $400,000 in the aggregate at any one time outstanding, provided that each such loan is for a term of not more than 90 days from the date on which it is made and is paid within such 90-day period.</w:t>
      </w:r>
    </w:p>
    <w:p>
      <w:pPr>
        <w:spacing w:after="0" w:line="51" w:lineRule="exact"/>
        <w:rPr>
          <w:rFonts w:ascii="Arial" w:cs="Arial" w:eastAsia="Arial" w:hAnsi="Arial"/>
          <w:sz w:val="15"/>
          <w:szCs w:val="15"/>
          <w:color w:val="auto"/>
        </w:rPr>
      </w:pPr>
    </w:p>
    <w:p>
      <w:pPr>
        <w:ind w:left="980" w:hanging="211"/>
        <w:spacing w:after="0"/>
        <w:tabs>
          <w:tab w:leader="none" w:pos="9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Advances to contractors for the construction or renovation of stores, buildings or improvements for use in the business of a Loan Party.</w:t>
      </w:r>
    </w:p>
    <w:p>
      <w:pPr>
        <w:spacing w:after="0" w:line="79" w:lineRule="exact"/>
        <w:rPr>
          <w:rFonts w:ascii="Arial" w:cs="Arial" w:eastAsia="Arial" w:hAnsi="Arial"/>
          <w:sz w:val="15"/>
          <w:szCs w:val="15"/>
          <w:color w:val="auto"/>
        </w:rPr>
      </w:pPr>
    </w:p>
    <w:p>
      <w:pPr>
        <w:ind w:left="960" w:hanging="191"/>
        <w:spacing w:after="0"/>
        <w:tabs>
          <w:tab w:leader="none" w:pos="96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Reserved.</w:t>
      </w:r>
    </w:p>
    <w:p>
      <w:pPr>
        <w:spacing w:after="0" w:line="79" w:lineRule="exact"/>
        <w:rPr>
          <w:rFonts w:ascii="Arial" w:cs="Arial" w:eastAsia="Arial" w:hAnsi="Arial"/>
          <w:sz w:val="15"/>
          <w:szCs w:val="15"/>
          <w:color w:val="auto"/>
        </w:rPr>
      </w:pPr>
    </w:p>
    <w:p>
      <w:pPr>
        <w:jc w:val="both"/>
        <w:ind w:left="-760" w:firstLine="1529"/>
        <w:spacing w:after="0" w:line="249" w:lineRule="auto"/>
        <w:tabs>
          <w:tab w:leader="none" w:pos="99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At any time after January 31, 2016, Loans made by the Loan Parties to Subsidiaries that are not Loan Parties to finance the purchase by such Subsidiaries of Inventory and to permit such Subsidiaries to pay ordinary course operating expenses (including, without limitation, rent, utilities and taxes) so long as, in each case, such intercompany loans shall be evidenced by, and subject to, such documentation (including, without limitation, notes and pledge</w:t>
      </w:r>
    </w:p>
    <w:p>
      <w:pPr>
        <w:spacing w:after="0" w:line="138" w:lineRule="exact"/>
        <w:rPr>
          <w:rFonts w:ascii="Arial" w:cs="Arial" w:eastAsia="Arial" w:hAnsi="Arial"/>
          <w:sz w:val="15"/>
          <w:szCs w:val="15"/>
          <w:color w:val="auto"/>
        </w:rPr>
      </w:pPr>
    </w:p>
    <w:p>
      <w:pPr>
        <w:ind w:left="4900" w:hanging="86"/>
        <w:spacing w:after="0"/>
        <w:tabs>
          <w:tab w:leader="none" w:pos="4900" w:val="left"/>
        </w:tabs>
        <w:numPr>
          <w:ilvl w:val="1"/>
          <w:numId w:val="115"/>
        </w:numPr>
        <w:rPr>
          <w:rFonts w:ascii="Arial" w:cs="Arial" w:eastAsia="Arial" w:hAnsi="Arial"/>
          <w:sz w:val="15"/>
          <w:szCs w:val="15"/>
          <w:color w:val="auto"/>
        </w:rPr>
      </w:pPr>
      <w:r>
        <w:rPr>
          <w:rFonts w:ascii="Arial" w:cs="Arial" w:eastAsia="Arial" w:hAnsi="Arial"/>
          <w:sz w:val="15"/>
          <w:szCs w:val="15"/>
          <w:color w:val="auto"/>
        </w:rPr>
        <w:t>37 -</w:t>
      </w:r>
    </w:p>
    <w:p>
      <w:pPr>
        <w:sectPr>
          <w:pgSz w:w="11900" w:h="16838" w:orient="portrait"/>
          <w:cols w:equalWidth="0" w:num="1">
            <w:col w:w="10700"/>
          </w:cols>
          <w:pgMar w:left="980" w:top="208" w:right="219" w:bottom="1440" w:gutter="0" w:footer="0" w:header="0"/>
        </w:sectPr>
      </w:pPr>
    </w:p>
    <w:bookmarkStart w:id="95" w:name="page96"/>
    <w:bookmarkEnd w:id="95"/>
    <w:p>
      <w:pPr>
        <w:jc w:val="both"/>
        <w:spacing w:after="0" w:line="245" w:lineRule="auto"/>
        <w:rPr>
          <w:sz w:val="20"/>
          <w:szCs w:val="20"/>
          <w:color w:val="auto"/>
        </w:rPr>
      </w:pPr>
      <w:r>
        <w:rPr>
          <w:rFonts w:ascii="Arial" w:cs="Arial" w:eastAsia="Arial" w:hAnsi="Arial"/>
          <w:sz w:val="15"/>
          <w:szCs w:val="15"/>
          <w:color w:val="auto"/>
        </w:rPr>
        <w:t xml:space="preserve">agreements) as the Collateral Agent may require; provided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(A) such intercompany loans may only be made following the Closing Date to the extent that the principal amount of such intercompany loans, together with Investments permitted pursuant to </w:t>
      </w:r>
      <w:r>
        <w:rPr>
          <w:rFonts w:ascii="Arial" w:cs="Arial" w:eastAsia="Arial" w:hAnsi="Arial"/>
          <w:sz w:val="15"/>
          <w:szCs w:val="15"/>
          <w:u w:val="single" w:color="auto"/>
          <w:color w:val="auto"/>
        </w:rPr>
        <w:t>Section 4.20(c)(v)</w:t>
      </w:r>
      <w:r>
        <w:rPr>
          <w:rFonts w:ascii="Arial" w:cs="Arial" w:eastAsia="Arial" w:hAnsi="Arial"/>
          <w:sz w:val="15"/>
          <w:szCs w:val="15"/>
          <w:color w:val="auto"/>
        </w:rPr>
        <w:t xml:space="preserve">, shall not exceed $10,000,000 in the aggregate from and after the Closing Date, and (B) in the event that the aggregate principal amount of such intercompany loans, together with Investments permitted pursuant to </w:t>
      </w:r>
      <w:r>
        <w:rPr>
          <w:rFonts w:ascii="Arial" w:cs="Arial" w:eastAsia="Arial" w:hAnsi="Arial"/>
          <w:sz w:val="15"/>
          <w:szCs w:val="15"/>
          <w:u w:val="single" w:color="auto"/>
          <w:color w:val="auto"/>
        </w:rPr>
        <w:t>Section 4.20(c)(v)</w:t>
      </w:r>
      <w:r>
        <w:rPr>
          <w:rFonts w:ascii="Arial" w:cs="Arial" w:eastAsia="Arial" w:hAnsi="Arial"/>
          <w:sz w:val="15"/>
          <w:szCs w:val="15"/>
          <w:color w:val="auto"/>
        </w:rPr>
        <w:t>, exceeds $5,000,000, the Payment Conditions shall have been satisfied.</w:t>
      </w:r>
    </w:p>
    <w:p>
      <w:pPr>
        <w:spacing w:after="0" w:line="139" w:lineRule="exact"/>
        <w:rPr>
          <w:sz w:val="20"/>
          <w:szCs w:val="20"/>
          <w:color w:val="auto"/>
        </w:rPr>
      </w:pPr>
    </w:p>
    <w:p>
      <w:pPr>
        <w:jc w:val="both"/>
        <w:ind w:firstLine="765"/>
        <w:spacing w:after="0" w:line="245" w:lineRule="auto"/>
        <w:rPr>
          <w:sz w:val="20"/>
          <w:szCs w:val="20"/>
          <w:color w:val="auto"/>
        </w:rPr>
      </w:pPr>
      <w:r>
        <w:rPr>
          <w:rFonts w:ascii="Arial" w:cs="Arial" w:eastAsia="Arial" w:hAnsi="Arial"/>
          <w:sz w:val="15"/>
          <w:szCs w:val="15"/>
          <w:b w:val="1"/>
          <w:bCs w:val="1"/>
          <w:color w:val="auto"/>
        </w:rPr>
        <w:t>4.23. R</w:t>
      </w:r>
      <w:r>
        <w:rPr>
          <w:rFonts w:ascii="Arial" w:cs="Arial" w:eastAsia="Arial" w:hAnsi="Arial"/>
          <w:sz w:val="10"/>
          <w:szCs w:val="10"/>
          <w:b w:val="1"/>
          <w:bCs w:val="1"/>
          <w:color w:val="auto"/>
        </w:rPr>
        <w:t>ESTRICTIONS ON</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ALE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 L</w:t>
      </w:r>
      <w:r>
        <w:rPr>
          <w:rFonts w:ascii="Arial" w:cs="Arial" w:eastAsia="Arial" w:hAnsi="Arial"/>
          <w:sz w:val="10"/>
          <w:szCs w:val="10"/>
          <w:b w:val="1"/>
          <w:bCs w:val="1"/>
          <w:color w:val="auto"/>
        </w:rPr>
        <w:t>ICENSE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To the Loan Parties’ knowledge, the Loan Parties are not, and shall not become, party to any agreement or</w:t>
      </w:r>
      <w:r>
        <w:rPr>
          <w:rFonts w:ascii="Arial" w:cs="Arial" w:eastAsia="Arial" w:hAnsi="Arial"/>
          <w:sz w:val="15"/>
          <w:szCs w:val="15"/>
          <w:b w:val="1"/>
          <w:bCs w:val="1"/>
          <w:color w:val="auto"/>
        </w:rPr>
        <w:t xml:space="preserve"> </w:t>
      </w:r>
      <w:r>
        <w:rPr>
          <w:rFonts w:ascii="Arial" w:cs="Arial" w:eastAsia="Arial" w:hAnsi="Arial"/>
          <w:sz w:val="15"/>
          <w:szCs w:val="15"/>
          <w:color w:val="auto"/>
        </w:rPr>
        <w:t>understanding which limits, impairs, or otherwise restricts the ability of the Collateral Agent to freely sell and dispose of any of the Collateral (including, without limitation, any repurchase agreements, rights of first refusal or other agreements which limit or condition the time, manner, place or price for the sale or disposition of the Collateral). The Loan Parties shall not effect or permit any material change or amendment to the terms of such License Agreements which would impose further restrictions to the Collateral Agent’s disposition of the Collateral or would shorten the term of such License Agreements.</w:t>
      </w:r>
    </w:p>
    <w:p>
      <w:pPr>
        <w:spacing w:after="0" w:line="138" w:lineRule="exact"/>
        <w:rPr>
          <w:sz w:val="20"/>
          <w:szCs w:val="20"/>
          <w:color w:val="auto"/>
        </w:rPr>
      </w:pPr>
    </w:p>
    <w:p>
      <w:pPr>
        <w:jc w:val="both"/>
        <w:ind w:firstLine="765"/>
        <w:spacing w:after="0" w:line="243" w:lineRule="auto"/>
        <w:rPr>
          <w:sz w:val="20"/>
          <w:szCs w:val="20"/>
          <w:color w:val="auto"/>
        </w:rPr>
      </w:pPr>
      <w:r>
        <w:rPr>
          <w:rFonts w:ascii="Arial" w:cs="Arial" w:eastAsia="Arial" w:hAnsi="Arial"/>
          <w:sz w:val="15"/>
          <w:szCs w:val="15"/>
          <w:b w:val="1"/>
          <w:bCs w:val="1"/>
          <w:color w:val="auto"/>
        </w:rPr>
        <w:t>4.24. P</w:t>
      </w:r>
      <w:r>
        <w:rPr>
          <w:rFonts w:ascii="Arial" w:cs="Arial" w:eastAsia="Arial" w:hAnsi="Arial"/>
          <w:sz w:val="10"/>
          <w:szCs w:val="10"/>
          <w:b w:val="1"/>
          <w:bCs w:val="1"/>
          <w:color w:val="auto"/>
        </w:rPr>
        <w:t>ROTECTION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SSETS</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Administrative Agent, in the Administrative Agent’s reasonable discretion, from time to time, may discharge any tax or Encumbrance on any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Collateral, or take any other action which the Administrative Agent may deem necessary or desirable to repair, insure, maintain, preserve, collect, or realize upon any of the Collateral. The Administrative Agent shall not have any obligation to undertake any of the foregoing and shall have no liability on account of any action so undertaken except where there is a specific finding in a judicial proceeding (in which the Administrative Agent has had an opportunity to be heard), from which finding no further appeal is available, that the Administrative Agent had acted in actual bad faith or in a grossly negligent manner. The Loan Parties shall pay to the Administrative Agent, on demand all amounts paid or incurred by the Administrative Agent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4.24</w:t>
      </w:r>
      <w:r>
        <w:rPr>
          <w:rFonts w:ascii="Arial" w:cs="Arial" w:eastAsia="Arial" w:hAnsi="Arial"/>
          <w:sz w:val="15"/>
          <w:szCs w:val="15"/>
          <w:color w:val="auto"/>
        </w:rPr>
        <w:t>.</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4.25. L</w:t>
      </w:r>
      <w:r>
        <w:rPr>
          <w:rFonts w:ascii="Arial" w:cs="Arial" w:eastAsia="Arial" w:hAnsi="Arial"/>
          <w:sz w:val="10"/>
          <w:szCs w:val="10"/>
          <w:b w:val="1"/>
          <w:bCs w:val="1"/>
          <w:color w:val="auto"/>
        </w:rPr>
        <w:t>INE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USINESS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95" w:lineRule="auto"/>
        <w:tabs>
          <w:tab w:leader="none" w:pos="1729" w:val="left"/>
        </w:tabs>
        <w:numPr>
          <w:ilvl w:val="0"/>
          <w:numId w:val="116"/>
        </w:numPr>
        <w:rPr>
          <w:rFonts w:ascii="Arial" w:cs="Arial" w:eastAsia="Arial" w:hAnsi="Arial"/>
          <w:sz w:val="13"/>
          <w:szCs w:val="13"/>
          <w:color w:val="auto"/>
        </w:rPr>
      </w:pPr>
      <w:r>
        <w:rPr>
          <w:rFonts w:ascii="Arial" w:cs="Arial" w:eastAsia="Arial" w:hAnsi="Arial"/>
          <w:sz w:val="13"/>
          <w:szCs w:val="13"/>
          <w:color w:val="auto"/>
        </w:rPr>
        <w:t xml:space="preserve">Except as provided in </w:t>
      </w:r>
      <w:r>
        <w:rPr>
          <w:rFonts w:ascii="Arial" w:cs="Arial" w:eastAsia="Arial" w:hAnsi="Arial"/>
          <w:sz w:val="13"/>
          <w:szCs w:val="13"/>
          <w:u w:val="single" w:color="auto"/>
          <w:color w:val="auto"/>
        </w:rPr>
        <w:t>Sections 4.20</w:t>
      </w:r>
      <w:r>
        <w:rPr>
          <w:rFonts w:ascii="Arial" w:cs="Arial" w:eastAsia="Arial" w:hAnsi="Arial"/>
          <w:sz w:val="13"/>
          <w:szCs w:val="13"/>
          <w:color w:val="auto"/>
        </w:rPr>
        <w:t xml:space="preserve">, </w:t>
      </w:r>
      <w:r>
        <w:rPr>
          <w:rFonts w:ascii="Arial" w:cs="Arial" w:eastAsia="Arial" w:hAnsi="Arial"/>
          <w:sz w:val="13"/>
          <w:szCs w:val="13"/>
          <w:u w:val="single" w:color="auto"/>
          <w:color w:val="auto"/>
        </w:rPr>
        <w:t>4.23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4.25(c)</w:t>
      </w:r>
      <w:r>
        <w:rPr>
          <w:rFonts w:ascii="Arial" w:cs="Arial" w:eastAsia="Arial" w:hAnsi="Arial"/>
          <w:sz w:val="13"/>
          <w:szCs w:val="13"/>
          <w:color w:val="auto"/>
        </w:rPr>
        <w:t xml:space="preserve">, no Loan Party shall engage in any business other than the business in which it is currently engaged or plans to be engaged, as reflected in the Business Plan, or a business reasonably related thereto (the conduct of which reasonably related business is reflected in the Business Plan);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the foregoing shall not prohibit the expansion or contraction of a Loan Party’s business so long as the Loan Parties are still engaged solely in the retail sale of apparel, footwear and related accessories and other activities, ancillary, incidental or necessary thereto, and such expansion or contraction is otherwise permitted under other Sections of this Agreement.</w:t>
      </w:r>
    </w:p>
    <w:p>
      <w:pPr>
        <w:spacing w:after="0" w:line="31" w:lineRule="exact"/>
        <w:rPr>
          <w:rFonts w:ascii="Arial" w:cs="Arial" w:eastAsia="Arial" w:hAnsi="Arial"/>
          <w:sz w:val="13"/>
          <w:szCs w:val="13"/>
          <w:color w:val="auto"/>
        </w:rPr>
      </w:pPr>
    </w:p>
    <w:p>
      <w:pPr>
        <w:ind w:firstLine="1529"/>
        <w:spacing w:after="0" w:line="259" w:lineRule="auto"/>
        <w:tabs>
          <w:tab w:leader="none" w:pos="1752"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Loan Parties, with the prior written notice to the Administrative Agent in each instance, may license the use of up to 5% of the selling space of any Store (measured in terms of square feet) for the operation of certain departments of their Stores by third parties.</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3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 xml:space="preserve">The Loan Parties, with the prior written consent of the Administrative Agent (as to which, </w:t>
      </w:r>
      <w:r>
        <w:rPr>
          <w:rFonts w:ascii="Arial" w:cs="Arial" w:eastAsia="Arial" w:hAnsi="Arial"/>
          <w:sz w:val="15"/>
          <w:szCs w:val="15"/>
          <w:i w:val="1"/>
          <w:iCs w:val="1"/>
          <w:color w:val="auto"/>
        </w:rPr>
        <w:t>see</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4.25(c)(i)</w:t>
      </w:r>
      <w:r>
        <w:rPr>
          <w:rFonts w:ascii="Arial" w:cs="Arial" w:eastAsia="Arial" w:hAnsi="Arial"/>
          <w:sz w:val="15"/>
          <w:szCs w:val="15"/>
          <w:color w:val="auto"/>
        </w:rPr>
        <w:t xml:space="preserve">), may (x) license the use of more than 5% of the selling space of any Store (measured in terms of square feet) for the operation of certain departments by third parties, (y) franchise to others the right to operate comparable Stores, </w:t>
      </w:r>
      <w:r>
        <w:rPr>
          <w:rFonts w:ascii="Arial" w:cs="Arial" w:eastAsia="Arial" w:hAnsi="Arial"/>
          <w:sz w:val="15"/>
          <w:szCs w:val="15"/>
          <w:i w:val="1"/>
          <w:iCs w:val="1"/>
          <w:color w:val="auto"/>
        </w:rPr>
        <w:t>it being</w:t>
      </w:r>
      <w:r>
        <w:rPr>
          <w:rFonts w:ascii="Arial" w:cs="Arial" w:eastAsia="Arial" w:hAnsi="Arial"/>
          <w:sz w:val="15"/>
          <w:szCs w:val="15"/>
          <w:color w:val="auto"/>
        </w:rPr>
        <w:t xml:space="preserve"> </w:t>
      </w:r>
      <w:r>
        <w:rPr>
          <w:rFonts w:ascii="Arial" w:cs="Arial" w:eastAsia="Arial" w:hAnsi="Arial"/>
          <w:sz w:val="15"/>
          <w:szCs w:val="15"/>
          <w:i w:val="1"/>
          <w:iCs w:val="1"/>
          <w:color w:val="auto"/>
        </w:rPr>
        <w:t>understood that:</w:t>
      </w:r>
    </w:p>
    <w:p>
      <w:pPr>
        <w:spacing w:after="0" w:line="58" w:lineRule="exact"/>
        <w:rPr>
          <w:rFonts w:ascii="Arial" w:cs="Arial" w:eastAsia="Arial" w:hAnsi="Arial"/>
          <w:sz w:val="15"/>
          <w:szCs w:val="15"/>
          <w:color w:val="auto"/>
        </w:rPr>
      </w:pPr>
    </w:p>
    <w:p>
      <w:pPr>
        <w:jc w:val="both"/>
        <w:ind w:left="760" w:firstLine="1432"/>
        <w:spacing w:after="0" w:line="249" w:lineRule="auto"/>
        <w:tabs>
          <w:tab w:leader="none" w:pos="2407" w:val="left"/>
        </w:tabs>
        <w:numPr>
          <w:ilvl w:val="1"/>
          <w:numId w:val="116"/>
        </w:numPr>
        <w:rPr>
          <w:rFonts w:ascii="Arial" w:cs="Arial" w:eastAsia="Arial" w:hAnsi="Arial"/>
          <w:sz w:val="15"/>
          <w:szCs w:val="15"/>
          <w:color w:val="auto"/>
        </w:rPr>
      </w:pPr>
      <w:r>
        <w:rPr>
          <w:rFonts w:ascii="Arial" w:cs="Arial" w:eastAsia="Arial" w:hAnsi="Arial"/>
          <w:sz w:val="15"/>
          <w:szCs w:val="15"/>
          <w:color w:val="auto"/>
        </w:rPr>
        <w:t xml:space="preserve">The Administrative Agent’s determination to consent to the Loan Parties’ activities described in </w:t>
      </w:r>
      <w:r>
        <w:rPr>
          <w:rFonts w:ascii="Arial" w:cs="Arial" w:eastAsia="Arial" w:hAnsi="Arial"/>
          <w:sz w:val="15"/>
          <w:szCs w:val="15"/>
          <w:u w:val="single" w:color="auto"/>
          <w:color w:val="auto"/>
        </w:rPr>
        <w:t>Section 4.25(c)</w:t>
      </w:r>
      <w:r>
        <w:rPr>
          <w:rFonts w:ascii="Arial" w:cs="Arial" w:eastAsia="Arial" w:hAnsi="Arial"/>
          <w:sz w:val="15"/>
          <w:szCs w:val="15"/>
          <w:color w:val="auto"/>
        </w:rPr>
        <w:t xml:space="preserve"> may be conditioned on the Administrative Agent’s being satisfied that the secured position of the Collateral Agent, and the Agents’ Rights and Remedies, would not be adversely affected by such restructuring and that such restructuring does not place any material additional administrative burdens on the Agents.</w:t>
      </w:r>
    </w:p>
    <w:p>
      <w:pPr>
        <w:spacing w:after="0" w:line="58" w:lineRule="exact"/>
        <w:rPr>
          <w:rFonts w:ascii="Arial" w:cs="Arial" w:eastAsia="Arial" w:hAnsi="Arial"/>
          <w:sz w:val="15"/>
          <w:szCs w:val="15"/>
          <w:color w:val="auto"/>
        </w:rPr>
      </w:pPr>
    </w:p>
    <w:p>
      <w:pPr>
        <w:ind w:left="2420" w:hanging="228"/>
        <w:spacing w:after="0"/>
        <w:tabs>
          <w:tab w:leader="none" w:pos="242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 xml:space="preserve">The Administrative Agent may provide such consent pursuant to this </w:t>
      </w:r>
      <w:r>
        <w:rPr>
          <w:rFonts w:ascii="Arial" w:cs="Arial" w:eastAsia="Arial" w:hAnsi="Arial"/>
          <w:sz w:val="14"/>
          <w:szCs w:val="14"/>
          <w:u w:val="single" w:color="auto"/>
          <w:color w:val="auto"/>
        </w:rPr>
        <w:t>Section 4.25(c)</w:t>
      </w:r>
      <w:r>
        <w:rPr>
          <w:rFonts w:ascii="Arial" w:cs="Arial" w:eastAsia="Arial" w:hAnsi="Arial"/>
          <w:sz w:val="14"/>
          <w:szCs w:val="14"/>
          <w:color w:val="auto"/>
        </w:rPr>
        <w:t xml:space="preserve"> on its own authority and without obtaining the Consent of the</w:t>
      </w:r>
    </w:p>
    <w:p>
      <w:pPr>
        <w:spacing w:after="0" w:line="2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5"/>
          <w:szCs w:val="15"/>
          <w:color w:val="auto"/>
        </w:rPr>
        <w:t>Majority Term Lenders.</w:t>
      </w:r>
    </w:p>
    <w:p>
      <w:pPr>
        <w:spacing w:after="0" w:line="67" w:lineRule="exact"/>
        <w:rPr>
          <w:rFonts w:ascii="Arial" w:cs="Arial" w:eastAsia="Arial" w:hAnsi="Arial"/>
          <w:sz w:val="14"/>
          <w:szCs w:val="14"/>
          <w:color w:val="auto"/>
        </w:rPr>
      </w:pPr>
    </w:p>
    <w:p>
      <w:pPr>
        <w:ind w:left="2460" w:hanging="268"/>
        <w:spacing w:after="0"/>
        <w:tabs>
          <w:tab w:leader="none" w:pos="246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 xml:space="preserve">The Administrative Agent may condition its providing of such consent pursuant to this </w:t>
      </w:r>
      <w:r>
        <w:rPr>
          <w:rFonts w:ascii="Arial" w:cs="Arial" w:eastAsia="Arial" w:hAnsi="Arial"/>
          <w:sz w:val="13"/>
          <w:szCs w:val="13"/>
          <w:u w:val="single" w:color="auto"/>
          <w:color w:val="auto"/>
        </w:rPr>
        <w:t>Section 4.25(c)</w:t>
      </w:r>
      <w:r>
        <w:rPr>
          <w:rFonts w:ascii="Arial" w:cs="Arial" w:eastAsia="Arial" w:hAnsi="Arial"/>
          <w:sz w:val="13"/>
          <w:szCs w:val="13"/>
          <w:color w:val="auto"/>
        </w:rPr>
        <w:t xml:space="preserve"> on the Consent of the Majority Term Lenders.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 xml:space="preserve">and (z) franchise to the party for the location, each as described on </w:t>
      </w:r>
      <w:r>
        <w:rPr>
          <w:rFonts w:ascii="Arial" w:cs="Arial" w:eastAsia="Arial" w:hAnsi="Arial"/>
          <w:sz w:val="15"/>
          <w:szCs w:val="15"/>
          <w:b w:val="1"/>
          <w:bCs w:val="1"/>
          <w:color w:val="auto"/>
        </w:rPr>
        <w:t>EXHIBIT 4.25</w:t>
      </w:r>
      <w:r>
        <w:rPr>
          <w:rFonts w:ascii="Arial" w:cs="Arial" w:eastAsia="Arial" w:hAnsi="Arial"/>
          <w:sz w:val="15"/>
          <w:szCs w:val="15"/>
          <w:color w:val="auto"/>
        </w:rPr>
        <w:t xml:space="preserve"> attached 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- 38 -</w:t>
      </w:r>
    </w:p>
    <w:p>
      <w:pPr>
        <w:sectPr>
          <w:pgSz w:w="11900" w:h="16838" w:orient="portrait"/>
          <w:cols w:equalWidth="0" w:num="1">
            <w:col w:w="11460"/>
          </w:cols>
          <w:pgMar w:left="220" w:top="208" w:right="219" w:bottom="1440" w:gutter="0" w:footer="0" w:header="0"/>
        </w:sectPr>
      </w:pPr>
    </w:p>
    <w:bookmarkStart w:id="96" w:name="page97"/>
    <w:bookmarkEnd w:id="96"/>
    <w:p>
      <w:pPr>
        <w:spacing w:after="0"/>
        <w:rPr>
          <w:sz w:val="20"/>
          <w:szCs w:val="20"/>
          <w:color w:val="auto"/>
        </w:rPr>
      </w:pPr>
      <w:r>
        <w:rPr>
          <w:rFonts w:ascii="Arial" w:cs="Arial" w:eastAsia="Arial" w:hAnsi="Arial"/>
          <w:sz w:val="15"/>
          <w:szCs w:val="15"/>
          <w:b w:val="1"/>
          <w:bCs w:val="1"/>
          <w:color w:val="auto"/>
        </w:rPr>
        <w:t>4.26. A</w:t>
      </w:r>
      <w:r>
        <w:rPr>
          <w:rFonts w:ascii="Arial" w:cs="Arial" w:eastAsia="Arial" w:hAnsi="Arial"/>
          <w:sz w:val="10"/>
          <w:szCs w:val="10"/>
          <w:b w:val="1"/>
          <w:bCs w:val="1"/>
          <w:color w:val="auto"/>
        </w:rPr>
        <w:t>FFILIATE</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RANSACTIONS</w:t>
      </w:r>
      <w:r>
        <w:rPr>
          <w:rFonts w:ascii="Arial" w:cs="Arial" w:eastAsia="Arial" w:hAnsi="Arial"/>
          <w:sz w:val="15"/>
          <w:szCs w:val="15"/>
          <w:color w:val="auto"/>
        </w:rPr>
        <w:t>. No Loan Party shall make any payment, nor give any value, to any Affiliate except for:</w:t>
      </w:r>
    </w:p>
    <w:p>
      <w:pPr>
        <w:spacing w:after="0" w:line="84" w:lineRule="exact"/>
        <w:rPr>
          <w:sz w:val="20"/>
          <w:szCs w:val="20"/>
          <w:color w:val="auto"/>
        </w:rPr>
      </w:pPr>
    </w:p>
    <w:p>
      <w:pPr>
        <w:ind w:left="980" w:hanging="211"/>
        <w:spacing w:after="0"/>
        <w:tabs>
          <w:tab w:leader="none" w:pos="9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Goods and services actually purchased by that Loan Party from, or sold by that Loan Party to, such Affiliate for a price and on terms which shall</w:t>
      </w:r>
    </w:p>
    <w:p>
      <w:pPr>
        <w:spacing w:after="0" w:line="79" w:lineRule="exact"/>
        <w:rPr>
          <w:rFonts w:ascii="Arial" w:cs="Arial" w:eastAsia="Arial" w:hAnsi="Arial"/>
          <w:sz w:val="15"/>
          <w:szCs w:val="15"/>
          <w:color w:val="auto"/>
        </w:rPr>
      </w:pPr>
    </w:p>
    <w:p>
      <w:pPr>
        <w:ind w:firstLine="1432"/>
        <w:spacing w:after="0" w:line="259" w:lineRule="auto"/>
        <w:tabs>
          <w:tab w:leader="none" w:pos="161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be competitive and fully deductible as an “ordinary and necessary business expense” and/or fully depreciable under the Internal Revenue Code of 1986 and the Treasury Regulations, each as amended; and</w:t>
      </w:r>
    </w:p>
    <w:p>
      <w:pPr>
        <w:spacing w:after="0" w:line="51" w:lineRule="exact"/>
        <w:rPr>
          <w:rFonts w:ascii="Arial" w:cs="Arial" w:eastAsia="Arial" w:hAnsi="Arial"/>
          <w:sz w:val="15"/>
          <w:szCs w:val="15"/>
          <w:color w:val="auto"/>
        </w:rPr>
      </w:pPr>
    </w:p>
    <w:p>
      <w:pPr>
        <w:ind w:left="1640" w:hanging="208"/>
        <w:spacing w:after="0"/>
        <w:tabs>
          <w:tab w:leader="none" w:pos="1640" w:val="left"/>
        </w:tabs>
        <w:numPr>
          <w:ilvl w:val="1"/>
          <w:numId w:val="117"/>
        </w:numPr>
        <w:rPr>
          <w:rFonts w:ascii="Arial" w:cs="Arial" w:eastAsia="Arial" w:hAnsi="Arial"/>
          <w:sz w:val="15"/>
          <w:szCs w:val="15"/>
          <w:color w:val="auto"/>
        </w:rPr>
      </w:pPr>
      <w:r>
        <w:rPr>
          <w:rFonts w:ascii="Arial" w:cs="Arial" w:eastAsia="Arial" w:hAnsi="Arial"/>
          <w:sz w:val="15"/>
          <w:szCs w:val="15"/>
          <w:color w:val="auto"/>
        </w:rPr>
        <w:t>be no less favorable to that Loan Party than those which would have been charged and imposed in an arms’ length transaction.</w:t>
      </w:r>
    </w:p>
    <w:p>
      <w:pPr>
        <w:spacing w:after="0" w:line="79" w:lineRule="exact"/>
        <w:rPr>
          <w:rFonts w:ascii="Arial" w:cs="Arial" w:eastAsia="Arial" w:hAnsi="Arial"/>
          <w:sz w:val="15"/>
          <w:szCs w:val="15"/>
          <w:color w:val="auto"/>
        </w:rPr>
      </w:pPr>
    </w:p>
    <w:p>
      <w:pPr>
        <w:ind w:left="980" w:hanging="211"/>
        <w:spacing w:after="0"/>
        <w:tabs>
          <w:tab w:leader="none" w:pos="98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 xml:space="preserve">Dividends, investments and other transactions expressly permitted pursuant to </w:t>
      </w:r>
      <w:r>
        <w:rPr>
          <w:rFonts w:ascii="Arial" w:cs="Arial" w:eastAsia="Arial" w:hAnsi="Arial"/>
          <w:sz w:val="15"/>
          <w:szCs w:val="15"/>
          <w:u w:val="single" w:color="auto"/>
          <w:color w:val="auto"/>
        </w:rPr>
        <w:t>Section 4.20</w:t>
      </w:r>
      <w:r>
        <w:rPr>
          <w:rFonts w:ascii="Arial" w:cs="Arial" w:eastAsia="Arial" w:hAnsi="Arial"/>
          <w:sz w:val="15"/>
          <w:szCs w:val="15"/>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4.27. F</w:t>
      </w:r>
      <w:r>
        <w:rPr>
          <w:rFonts w:ascii="Arial" w:cs="Arial" w:eastAsia="Arial" w:hAnsi="Arial"/>
          <w:sz w:val="10"/>
          <w:szCs w:val="10"/>
          <w:b w:val="1"/>
          <w:bCs w:val="1"/>
          <w:color w:val="auto"/>
        </w:rPr>
        <w:t>URTHER</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SSURANCES</w:t>
      </w:r>
      <w:r>
        <w:rPr>
          <w:rFonts w:ascii="Arial" w:cs="Arial" w:eastAsia="Arial" w:hAnsi="Arial"/>
          <w:sz w:val="15"/>
          <w:szCs w:val="15"/>
          <w:color w:val="auto"/>
        </w:rPr>
        <w:t>.</w:t>
      </w:r>
    </w:p>
    <w:p>
      <w:pPr>
        <w:spacing w:after="0" w:line="84" w:lineRule="exact"/>
        <w:rPr>
          <w:sz w:val="20"/>
          <w:szCs w:val="20"/>
          <w:color w:val="auto"/>
        </w:rPr>
      </w:pPr>
    </w:p>
    <w:p>
      <w:pPr>
        <w:jc w:val="both"/>
        <w:ind w:left="-760" w:firstLine="1529"/>
        <w:spacing w:after="0" w:line="305" w:lineRule="auto"/>
        <w:tabs>
          <w:tab w:leader="none" w:pos="993"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No Loan Party is the owner of, nor has it any interest in, any property or asset which, immediately upon the satisfaction of the conditions precedent to the effectiveness of the credit facility contemplated hereby (</w:t>
      </w:r>
      <w:r>
        <w:rPr>
          <w:rFonts w:ascii="Arial" w:cs="Arial" w:eastAsia="Arial" w:hAnsi="Arial"/>
          <w:sz w:val="13"/>
          <w:szCs w:val="13"/>
          <w:u w:val="single" w:color="auto"/>
          <w:color w:val="auto"/>
        </w:rPr>
        <w:t>Article 4</w:t>
      </w:r>
      <w:r>
        <w:rPr>
          <w:rFonts w:ascii="Arial" w:cs="Arial" w:eastAsia="Arial" w:hAnsi="Arial"/>
          <w:sz w:val="13"/>
          <w:szCs w:val="13"/>
          <w:color w:val="auto"/>
        </w:rPr>
        <w:t>) and the proper filing of Uniform Commercial Code Financing Statements and delivery of any Collateral in which a security interest must be perfected by possession, will not be subject to a perfected Collateral Interest in favor of the Collateral Agent (subject only to Permitted Encumbrances) to secure the Liabilities.</w:t>
      </w:r>
    </w:p>
    <w:p>
      <w:pPr>
        <w:spacing w:after="0" w:line="25" w:lineRule="exact"/>
        <w:rPr>
          <w:rFonts w:ascii="Arial" w:cs="Arial" w:eastAsia="Arial" w:hAnsi="Arial"/>
          <w:sz w:val="13"/>
          <w:szCs w:val="13"/>
          <w:color w:val="auto"/>
        </w:rPr>
      </w:pPr>
    </w:p>
    <w:p>
      <w:pPr>
        <w:ind w:left="-760" w:firstLine="1529"/>
        <w:spacing w:after="0" w:line="295" w:lineRule="auto"/>
        <w:tabs>
          <w:tab w:leader="none" w:pos="987" w:val="left"/>
        </w:tabs>
        <w:numPr>
          <w:ilvl w:val="0"/>
          <w:numId w:val="118"/>
        </w:numPr>
        <w:rPr>
          <w:rFonts w:ascii="Arial" w:cs="Arial" w:eastAsia="Arial" w:hAnsi="Arial"/>
          <w:sz w:val="14"/>
          <w:szCs w:val="14"/>
          <w:color w:val="auto"/>
        </w:rPr>
      </w:pPr>
      <w:r>
        <w:rPr>
          <w:rFonts w:ascii="Arial" w:cs="Arial" w:eastAsia="Arial" w:hAnsi="Arial"/>
          <w:sz w:val="14"/>
          <w:szCs w:val="14"/>
          <w:color w:val="auto"/>
        </w:rPr>
        <w:t>Except as otherwise permitted by this Agreement, no Loan Party will hereafter acquire any asset or any interest in property which is not, immediately upon such acquisition, subject to such a perfected Collateral Interest in favor of the Collateral Agent to secure the Liabilities (subject only to Permitted Encumbrances).</w:t>
      </w:r>
    </w:p>
    <w:p>
      <w:pPr>
        <w:spacing w:after="0" w:line="27" w:lineRule="exact"/>
        <w:rPr>
          <w:rFonts w:ascii="Arial" w:cs="Arial" w:eastAsia="Arial" w:hAnsi="Arial"/>
          <w:sz w:val="14"/>
          <w:szCs w:val="14"/>
          <w:color w:val="auto"/>
        </w:rPr>
      </w:pPr>
    </w:p>
    <w:p>
      <w:pPr>
        <w:jc w:val="both"/>
        <w:ind w:left="-760" w:firstLine="1529"/>
        <w:spacing w:after="0" w:line="268" w:lineRule="auto"/>
        <w:tabs>
          <w:tab w:leader="none" w:pos="983" w:val="left"/>
        </w:tabs>
        <w:numPr>
          <w:ilvl w:val="0"/>
          <w:numId w:val="118"/>
        </w:numPr>
        <w:rPr>
          <w:rFonts w:ascii="Arial" w:cs="Arial" w:eastAsia="Arial" w:hAnsi="Arial"/>
          <w:sz w:val="14"/>
          <w:szCs w:val="14"/>
          <w:color w:val="auto"/>
        </w:rPr>
      </w:pPr>
      <w:r>
        <w:rPr>
          <w:rFonts w:ascii="Arial" w:cs="Arial" w:eastAsia="Arial" w:hAnsi="Arial"/>
          <w:sz w:val="14"/>
          <w:szCs w:val="14"/>
          <w:color w:val="auto"/>
        </w:rPr>
        <w:t>Each Loan Party shall execute and deliver to the Administrative Agent such instruments, documents, and papers, and shall do all such things from time to time hereafter as the Administrative Agent reasonably may request, to carry into effect the provisions and intent of this Agreement; to protect and perfect the Collateral Agent’s Collateral Interests in the Collateral; and to comply with all applicable statutes and laws, and facilitate the collection of the Receivables Collateral. Each Loan Party shall execute all such instruments as may be required by the Administrative Agent with respect to the recordation and/or perfection of the Collateral Interests created or contemplated herein.</w:t>
      </w:r>
    </w:p>
    <w:p>
      <w:pPr>
        <w:spacing w:after="0" w:line="47" w:lineRule="exact"/>
        <w:rPr>
          <w:rFonts w:ascii="Arial" w:cs="Arial" w:eastAsia="Arial" w:hAnsi="Arial"/>
          <w:sz w:val="14"/>
          <w:szCs w:val="14"/>
          <w:color w:val="auto"/>
        </w:rPr>
      </w:pPr>
    </w:p>
    <w:p>
      <w:pPr>
        <w:ind w:left="-760" w:firstLine="1529"/>
        <w:spacing w:after="0" w:line="259" w:lineRule="auto"/>
        <w:tabs>
          <w:tab w:leader="none" w:pos="986"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Loan Party hereby designates the Collateral Agent as and for that Loan Party’s true and lawful attorney, with full power of substitution, to sign and file any financing statements in order to perfect or protect the Collateral Agent’s Collateral Interests in the Collateral.</w:t>
      </w:r>
    </w:p>
    <w:p>
      <w:pPr>
        <w:spacing w:after="0" w:line="51" w:lineRule="exact"/>
        <w:rPr>
          <w:rFonts w:ascii="Arial" w:cs="Arial" w:eastAsia="Arial" w:hAnsi="Arial"/>
          <w:sz w:val="15"/>
          <w:szCs w:val="15"/>
          <w:color w:val="auto"/>
        </w:rPr>
      </w:pPr>
    </w:p>
    <w:p>
      <w:pPr>
        <w:ind w:left="-760" w:firstLine="1529"/>
        <w:spacing w:after="0" w:line="259" w:lineRule="auto"/>
        <w:tabs>
          <w:tab w:leader="none" w:pos="9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This Agreement constitutes an authenticated record which authorizes the Collateral Agent to file such financing statements as the Collateral Agent determines as appropriate to perfect or protect the Agent’s Collateral Interests created hereby.</w:t>
      </w:r>
    </w:p>
    <w:p>
      <w:pPr>
        <w:spacing w:after="0" w:line="51" w:lineRule="exact"/>
        <w:rPr>
          <w:rFonts w:ascii="Arial" w:cs="Arial" w:eastAsia="Arial" w:hAnsi="Arial"/>
          <w:sz w:val="15"/>
          <w:szCs w:val="15"/>
          <w:color w:val="auto"/>
        </w:rPr>
      </w:pPr>
    </w:p>
    <w:p>
      <w:pPr>
        <w:ind w:left="-760" w:firstLine="1529"/>
        <w:spacing w:after="0" w:line="259" w:lineRule="auto"/>
        <w:tabs>
          <w:tab w:leader="none" w:pos="96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 xml:space="preserve">A carbon, photographic, or other reproduction of this Agreement or of any financing statement or other instrument executed pursuant to this </w:t>
      </w:r>
      <w:r>
        <w:rPr>
          <w:rFonts w:ascii="Arial" w:cs="Arial" w:eastAsia="Arial" w:hAnsi="Arial"/>
          <w:sz w:val="15"/>
          <w:szCs w:val="15"/>
          <w:u w:val="single" w:color="auto"/>
          <w:color w:val="auto"/>
        </w:rPr>
        <w:t>Section 4.27</w:t>
      </w:r>
      <w:r>
        <w:rPr>
          <w:rFonts w:ascii="Arial" w:cs="Arial" w:eastAsia="Arial" w:hAnsi="Arial"/>
          <w:sz w:val="15"/>
          <w:szCs w:val="15"/>
          <w:color w:val="auto"/>
        </w:rPr>
        <w:t xml:space="preserve"> shall be sufficient for filing to perfect the security interests granted herein.</w:t>
      </w:r>
    </w:p>
    <w:p>
      <w:pPr>
        <w:spacing w:after="0" w:line="51" w:lineRule="exact"/>
        <w:rPr>
          <w:rFonts w:ascii="Arial" w:cs="Arial" w:eastAsia="Arial" w:hAnsi="Arial"/>
          <w:sz w:val="15"/>
          <w:szCs w:val="15"/>
          <w:color w:val="auto"/>
        </w:rPr>
      </w:pPr>
    </w:p>
    <w:p>
      <w:pPr>
        <w:jc w:val="both"/>
        <w:ind w:left="-760" w:firstLine="1529"/>
        <w:spacing w:after="0" w:line="245" w:lineRule="auto"/>
        <w:tabs>
          <w:tab w:leader="none" w:pos="983"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Loan Party shall, upon the request of the Administrative Agent, use commercially reasonable efforts to cause each of its customs brokers, freight forwarders, consolidators and/or carriers to deliver an agreement (including, without limitation, a Customs Broker/Carrier Agreement) to the Administrative Agent covering such matters and in such form as the Administrative Agent may reasonably require within forty-five (45) days of such request (provided, the Administrative Agent may establish Reserves due to the failure to deliver such agreements).</w:t>
      </w:r>
    </w:p>
    <w:p>
      <w:pPr>
        <w:spacing w:after="0" w:line="62" w:lineRule="exact"/>
        <w:rPr>
          <w:rFonts w:ascii="Arial" w:cs="Arial" w:eastAsia="Arial" w:hAnsi="Arial"/>
          <w:sz w:val="15"/>
          <w:szCs w:val="15"/>
          <w:color w:val="auto"/>
        </w:rPr>
      </w:pPr>
    </w:p>
    <w:p>
      <w:pPr>
        <w:jc w:val="both"/>
        <w:ind w:left="-760" w:firstLine="1529"/>
        <w:spacing w:after="0" w:line="249" w:lineRule="auto"/>
        <w:tabs>
          <w:tab w:leader="none" w:pos="978"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Loan Party shall, upon the request of the Administrative Agent, use commercially reasonable efforts to cause any of its landlords to deliver a Collateral Access Agreement to the Administrative Agent in such form as the Agent may reasonably require within forty-five (45) days of such request (provided, the Administrative Agent may establish Reserves due to the failure to deliver such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4.28. A</w:t>
      </w:r>
      <w:r>
        <w:rPr>
          <w:rFonts w:ascii="Arial" w:cs="Arial" w:eastAsia="Arial" w:hAnsi="Arial"/>
          <w:sz w:val="10"/>
          <w:szCs w:val="10"/>
          <w:b w:val="1"/>
          <w:bCs w:val="1"/>
          <w:color w:val="auto"/>
        </w:rPr>
        <w:t>DEQUACY OF</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ISCLOSURE</w:t>
      </w:r>
      <w:r>
        <w:rPr>
          <w:rFonts w:ascii="Arial" w:cs="Arial" w:eastAsia="Arial" w:hAnsi="Arial"/>
          <w:sz w:val="15"/>
          <w:szCs w:val="15"/>
          <w:color w:val="auto"/>
        </w:rPr>
        <w:t>.</w:t>
      </w:r>
    </w:p>
    <w:p>
      <w:pPr>
        <w:spacing w:after="0" w:line="84" w:lineRule="exact"/>
        <w:rPr>
          <w:sz w:val="20"/>
          <w:szCs w:val="20"/>
          <w:color w:val="auto"/>
        </w:rPr>
      </w:pPr>
    </w:p>
    <w:p>
      <w:pPr>
        <w:ind w:left="-760" w:firstLine="1529"/>
        <w:spacing w:after="0" w:line="336" w:lineRule="auto"/>
        <w:tabs>
          <w:tab w:leader="none" w:pos="973" w:val="left"/>
        </w:tabs>
        <w:numPr>
          <w:ilvl w:val="0"/>
          <w:numId w:val="119"/>
        </w:numPr>
        <w:rPr>
          <w:rFonts w:ascii="Arial" w:cs="Arial" w:eastAsia="Arial" w:hAnsi="Arial"/>
          <w:sz w:val="13"/>
          <w:szCs w:val="13"/>
          <w:color w:val="auto"/>
        </w:rPr>
      </w:pPr>
      <w:r>
        <w:rPr>
          <w:rFonts w:ascii="Arial" w:cs="Arial" w:eastAsia="Arial" w:hAnsi="Arial"/>
          <w:sz w:val="13"/>
          <w:szCs w:val="13"/>
          <w:color w:val="auto"/>
        </w:rPr>
        <w:t xml:space="preserve">All financial statements furnished to each Agent and each Term Lender by each Loan Party have been prepared in accordance with GAAP consistently applied and present fairly the condition of the Loan Parties at the date(s) thereof and the results of operations and cash flows for the period(s) covered;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unaudited financial</w:t>
      </w:r>
    </w:p>
    <w:p>
      <w:pPr>
        <w:spacing w:after="0" w:line="85" w:lineRule="exact"/>
        <w:rPr>
          <w:rFonts w:ascii="Arial" w:cs="Arial" w:eastAsia="Arial" w:hAnsi="Arial"/>
          <w:sz w:val="13"/>
          <w:szCs w:val="13"/>
          <w:color w:val="auto"/>
        </w:rPr>
      </w:pPr>
    </w:p>
    <w:p>
      <w:pPr>
        <w:ind w:left="4900" w:hanging="86"/>
        <w:spacing w:after="0"/>
        <w:tabs>
          <w:tab w:leader="none" w:pos="490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39 -</w:t>
      </w:r>
    </w:p>
    <w:p>
      <w:pPr>
        <w:sectPr>
          <w:pgSz w:w="11900" w:h="16838" w:orient="portrait"/>
          <w:cols w:equalWidth="0" w:num="1">
            <w:col w:w="10700"/>
          </w:cols>
          <w:pgMar w:left="980" w:top="284" w:right="219" w:bottom="1440" w:gutter="0" w:footer="0" w:header="0"/>
        </w:sectPr>
      </w:pPr>
    </w:p>
    <w:bookmarkStart w:id="97" w:name="page98"/>
    <w:bookmarkEnd w:id="97"/>
    <w:p>
      <w:pPr>
        <w:jc w:val="both"/>
        <w:spacing w:after="0" w:line="249" w:lineRule="auto"/>
        <w:rPr>
          <w:sz w:val="20"/>
          <w:szCs w:val="20"/>
          <w:color w:val="auto"/>
        </w:rPr>
      </w:pPr>
      <w:r>
        <w:rPr>
          <w:rFonts w:ascii="Arial" w:cs="Arial" w:eastAsia="Arial" w:hAnsi="Arial"/>
          <w:sz w:val="15"/>
          <w:szCs w:val="15"/>
          <w:color w:val="auto"/>
        </w:rPr>
        <w:t>statements are subject to normal year-end adjustments and to the absence of footnotes. There has been no change in the Consolidated financial condition, results of operations, or cash flows of the Loan Parties since the date(s) of the most recent financial statements delivered to the Administrative Agent, as supplemented by the Business Plan, other than changes in the ordinary course of business, which changes have not been materially adverse, either singularly or in the aggregate.</w:t>
      </w:r>
    </w:p>
    <w:p>
      <w:pPr>
        <w:spacing w:after="0" w:line="54" w:lineRule="exact"/>
        <w:rPr>
          <w:sz w:val="20"/>
          <w:szCs w:val="20"/>
          <w:color w:val="auto"/>
        </w:rPr>
      </w:pPr>
    </w:p>
    <w:p>
      <w:pPr>
        <w:jc w:val="both"/>
        <w:ind w:firstLine="1529"/>
        <w:spacing w:after="0" w:line="251" w:lineRule="auto"/>
        <w:tabs>
          <w:tab w:leader="none" w:pos="1738" w:val="left"/>
        </w:tabs>
        <w:numPr>
          <w:ilvl w:val="0"/>
          <w:numId w:val="120"/>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b w:val="1"/>
          <w:bCs w:val="1"/>
          <w:color w:val="auto"/>
        </w:rPr>
        <w:t>EXHIBIT 4.28(b)</w:t>
      </w:r>
      <w:r>
        <w:rPr>
          <w:rFonts w:ascii="Arial" w:cs="Arial" w:eastAsia="Arial" w:hAnsi="Arial"/>
          <w:sz w:val="15"/>
          <w:szCs w:val="15"/>
          <w:color w:val="auto"/>
        </w:rPr>
        <w:t>, annexed hereto, no Loan Party has any contingent obligations or obligation under any Lease or Capital Lease which is not noted in the Loan Parties’ Consolidated financial statements furnished to each Agent and each Term Lender prior to the execution of this Agreement other than obligations which are entered into in the ordinary course of business since the date of such financial statement.</w:t>
      </w:r>
    </w:p>
    <w:p>
      <w:pPr>
        <w:spacing w:after="0" w:line="57" w:lineRule="exact"/>
        <w:rPr>
          <w:rFonts w:ascii="Arial" w:cs="Arial" w:eastAsia="Arial" w:hAnsi="Arial"/>
          <w:sz w:val="15"/>
          <w:szCs w:val="15"/>
          <w:color w:val="auto"/>
        </w:rPr>
      </w:pPr>
    </w:p>
    <w:p>
      <w:pPr>
        <w:jc w:val="both"/>
        <w:ind w:firstLine="1529"/>
        <w:spacing w:after="0" w:line="275" w:lineRule="auto"/>
        <w:tabs>
          <w:tab w:leader="none" w:pos="173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No document, instrument, agreement, or paper now or hereafter given to any Agent and any Term Lender by or on behalf of each Loan Party or any guarantor of the Liabilities in connection with the execution of this Agreement by each Agent and each Term Lender (except for any projections provided by or on behalf of any Loan Party) contains or will contain any untrue statement of a material fact or omits or will omit to state a material fact necessary in order to make the statements therein not misleading.</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4.29. N</w:t>
      </w:r>
      <w:r>
        <w:rPr>
          <w:rFonts w:ascii="Arial" w:cs="Arial" w:eastAsia="Arial" w:hAnsi="Arial"/>
          <w:sz w:val="9"/>
          <w:szCs w:val="9"/>
          <w:b w:val="1"/>
          <w:bCs w:val="1"/>
          <w:color w:val="auto"/>
        </w:rPr>
        <w:t>O</w:t>
      </w:r>
      <w:r>
        <w:rPr>
          <w:rFonts w:ascii="Arial" w:cs="Arial" w:eastAsia="Arial" w:hAnsi="Arial"/>
          <w:sz w:val="13"/>
          <w:szCs w:val="13"/>
          <w:b w:val="1"/>
          <w:bCs w:val="1"/>
          <w:color w:val="auto"/>
        </w:rPr>
        <w:t xml:space="preserve"> R</w:t>
      </w:r>
      <w:r>
        <w:rPr>
          <w:rFonts w:ascii="Arial" w:cs="Arial" w:eastAsia="Arial" w:hAnsi="Arial"/>
          <w:sz w:val="9"/>
          <w:szCs w:val="9"/>
          <w:b w:val="1"/>
          <w:bCs w:val="1"/>
          <w:color w:val="auto"/>
        </w:rPr>
        <w:t>ESTRICTIONS ON</w:t>
      </w:r>
      <w:r>
        <w:rPr>
          <w:rFonts w:ascii="Arial" w:cs="Arial" w:eastAsia="Arial" w:hAnsi="Arial"/>
          <w:sz w:val="13"/>
          <w:szCs w:val="13"/>
          <w:b w:val="1"/>
          <w:bCs w:val="1"/>
          <w:color w:val="auto"/>
        </w:rPr>
        <w:t xml:space="preserve"> L</w:t>
      </w:r>
      <w:r>
        <w:rPr>
          <w:rFonts w:ascii="Arial" w:cs="Arial" w:eastAsia="Arial" w:hAnsi="Arial"/>
          <w:sz w:val="9"/>
          <w:szCs w:val="9"/>
          <w:b w:val="1"/>
          <w:bCs w:val="1"/>
          <w:color w:val="auto"/>
        </w:rPr>
        <w:t>IABILITIES</w:t>
      </w:r>
      <w:r>
        <w:rPr>
          <w:rFonts w:ascii="Arial" w:cs="Arial" w:eastAsia="Arial" w:hAnsi="Arial"/>
          <w:sz w:val="13"/>
          <w:szCs w:val="13"/>
          <w:color w:val="auto"/>
        </w:rPr>
        <w:t>. No Loan Party shall enter into or directly or indirectly become subject to any agreement which prohibits or restricts, in any manner, any Loan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Party’s:</w:t>
      </w:r>
    </w:p>
    <w:p>
      <w:pPr>
        <w:spacing w:after="0" w:line="68" w:lineRule="exact"/>
        <w:rPr>
          <w:sz w:val="20"/>
          <w:szCs w:val="20"/>
          <w:color w:val="auto"/>
        </w:rPr>
      </w:pPr>
    </w:p>
    <w:p>
      <w:pPr>
        <w:ind w:left="1740" w:hanging="211"/>
        <w:spacing w:after="0"/>
        <w:tabs>
          <w:tab w:leader="none" w:pos="17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Creation of, and granting of Collateral Interests in favor of the Collateral Agent.</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Incurrence of Liabilities.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4.30. O</w:t>
      </w:r>
      <w:r>
        <w:rPr>
          <w:rFonts w:ascii="Arial" w:cs="Arial" w:eastAsia="Arial" w:hAnsi="Arial"/>
          <w:sz w:val="9"/>
          <w:szCs w:val="9"/>
          <w:b w:val="1"/>
          <w:bCs w:val="1"/>
          <w:color w:val="auto"/>
        </w:rPr>
        <w:t>THER</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OVENANTS</w:t>
      </w:r>
      <w:r>
        <w:rPr>
          <w:rFonts w:ascii="Arial" w:cs="Arial" w:eastAsia="Arial" w:hAnsi="Arial"/>
          <w:sz w:val="14"/>
          <w:szCs w:val="14"/>
          <w:color w:val="auto"/>
        </w:rPr>
        <w:t>. No Loan Party shall indirectly do or cause to be done any act which, if done directly by that Loan Party, would breach any covenant contained in this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Agreement.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4.31. I</w:t>
      </w:r>
      <w:r>
        <w:rPr>
          <w:rFonts w:ascii="Arial" w:cs="Arial" w:eastAsia="Arial" w:hAnsi="Arial"/>
          <w:sz w:val="10"/>
          <w:szCs w:val="10"/>
          <w:b w:val="1"/>
          <w:bCs w:val="1"/>
          <w:color w:val="auto"/>
        </w:rPr>
        <w:t>NTENTIONALLY</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MITTED</w:t>
      </w:r>
      <w:r>
        <w:rPr>
          <w:rFonts w:ascii="Arial" w:cs="Arial" w:eastAsia="Arial" w:hAnsi="Arial"/>
          <w:sz w:val="15"/>
          <w:szCs w:val="15"/>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4.32. S</w:t>
      </w:r>
      <w:r>
        <w:rPr>
          <w:rFonts w:ascii="Arial" w:cs="Arial" w:eastAsia="Arial" w:hAnsi="Arial"/>
          <w:sz w:val="9"/>
          <w:szCs w:val="9"/>
          <w:b w:val="1"/>
          <w:bCs w:val="1"/>
          <w:color w:val="auto"/>
        </w:rPr>
        <w:t>OLVENCY</w:t>
      </w:r>
      <w:r>
        <w:rPr>
          <w:rFonts w:ascii="Arial" w:cs="Arial" w:eastAsia="Arial" w:hAnsi="Arial"/>
          <w:sz w:val="13"/>
          <w:szCs w:val="13"/>
          <w:b w:val="1"/>
          <w:bCs w:val="1"/>
          <w:color w:val="auto"/>
        </w:rPr>
        <w:t xml:space="preserve">. </w:t>
      </w:r>
      <w:r>
        <w:rPr>
          <w:rFonts w:ascii="Arial" w:cs="Arial" w:eastAsia="Arial" w:hAnsi="Arial"/>
          <w:sz w:val="13"/>
          <w:szCs w:val="13"/>
          <w:color w:val="auto"/>
        </w:rPr>
        <w:t>After giving effect to the transactions contemplated hereby, the Borrowers’ Representative and its Subsidiaries taken as a whole, and each Borrower, is Solvent.</w:t>
      </w:r>
    </w:p>
    <w:p>
      <w:pPr>
        <w:spacing w:after="0" w:line="183" w:lineRule="exact"/>
        <w:rPr>
          <w:sz w:val="20"/>
          <w:szCs w:val="20"/>
          <w:color w:val="auto"/>
        </w:rPr>
      </w:pPr>
    </w:p>
    <w:p>
      <w:pPr>
        <w:jc w:val="both"/>
        <w:ind w:firstLine="765"/>
        <w:spacing w:after="0" w:line="278" w:lineRule="auto"/>
        <w:rPr>
          <w:sz w:val="20"/>
          <w:szCs w:val="20"/>
          <w:color w:val="auto"/>
        </w:rPr>
      </w:pPr>
      <w:r>
        <w:rPr>
          <w:rFonts w:ascii="Arial" w:cs="Arial" w:eastAsia="Arial" w:hAnsi="Arial"/>
          <w:sz w:val="14"/>
          <w:szCs w:val="14"/>
          <w:b w:val="1"/>
          <w:bCs w:val="1"/>
          <w:color w:val="auto"/>
        </w:rPr>
        <w:t>4.33. P</w:t>
      </w:r>
      <w:r>
        <w:rPr>
          <w:rFonts w:ascii="Arial" w:cs="Arial" w:eastAsia="Arial" w:hAnsi="Arial"/>
          <w:sz w:val="9"/>
          <w:szCs w:val="9"/>
          <w:b w:val="1"/>
          <w:bCs w:val="1"/>
          <w:color w:val="auto"/>
        </w:rPr>
        <w:t>ATRIOT</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CT</w:t>
      </w:r>
      <w:r>
        <w:rPr>
          <w:rFonts w:ascii="Arial" w:cs="Arial" w:eastAsia="Arial" w:hAnsi="Arial"/>
          <w:sz w:val="14"/>
          <w:szCs w:val="14"/>
          <w:b w:val="1"/>
          <w:bCs w:val="1"/>
          <w:color w:val="auto"/>
        </w:rPr>
        <w:t xml:space="preserve">. </w:t>
      </w:r>
      <w:r>
        <w:rPr>
          <w:rFonts w:ascii="Arial" w:cs="Arial" w:eastAsia="Arial" w:hAnsi="Arial"/>
          <w:sz w:val="14"/>
          <w:szCs w:val="14"/>
          <w:color w:val="auto"/>
        </w:rPr>
        <w:t>Each Loan Party is in compliance, in all material respects, with the Patriot Act. No part of the proceeds of the Term Loans will be used by the Loan Parties,</w:t>
      </w:r>
      <w:r>
        <w:rPr>
          <w:rFonts w:ascii="Arial" w:cs="Arial" w:eastAsia="Arial" w:hAnsi="Arial"/>
          <w:sz w:val="14"/>
          <w:szCs w:val="14"/>
          <w:b w:val="1"/>
          <w:bCs w:val="1"/>
          <w:color w:val="auto"/>
        </w:rPr>
        <w:t xml:space="preserve"> </w:t>
      </w:r>
      <w:r>
        <w:rPr>
          <w:rFonts w:ascii="Arial" w:cs="Arial" w:eastAsia="Arial" w:hAnsi="Arial"/>
          <w:sz w:val="14"/>
          <w:szCs w:val="14"/>
          <w:color w:val="auto"/>
        </w:rPr>
        <w:t>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4.34. A</w:t>
      </w:r>
      <w:r>
        <w:rPr>
          <w:rFonts w:ascii="Arial" w:cs="Arial" w:eastAsia="Arial" w:hAnsi="Arial"/>
          <w:sz w:val="10"/>
          <w:szCs w:val="10"/>
          <w:b w:val="1"/>
          <w:bCs w:val="1"/>
          <w:color w:val="auto"/>
        </w:rPr>
        <w:t>NTI</w:t>
      </w:r>
      <w:r>
        <w:rPr>
          <w:rFonts w:ascii="Arial" w:cs="Arial" w:eastAsia="Arial" w:hAnsi="Arial"/>
          <w:sz w:val="15"/>
          <w:szCs w:val="15"/>
          <w:b w:val="1"/>
          <w:bCs w:val="1"/>
          <w:color w:val="auto"/>
        </w:rPr>
        <w:t>-C</w:t>
      </w:r>
      <w:r>
        <w:rPr>
          <w:rFonts w:ascii="Arial" w:cs="Arial" w:eastAsia="Arial" w:hAnsi="Arial"/>
          <w:sz w:val="10"/>
          <w:szCs w:val="10"/>
          <w:b w:val="1"/>
          <w:bCs w:val="1"/>
          <w:color w:val="auto"/>
        </w:rPr>
        <w:t>ORRUPTION</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AWS AND</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ANCTIONS</w:t>
      </w:r>
      <w:r>
        <w:rPr>
          <w:rFonts w:ascii="Arial" w:cs="Arial" w:eastAsia="Arial" w:hAnsi="Arial"/>
          <w:sz w:val="15"/>
          <w:szCs w:val="15"/>
          <w:b w:val="1"/>
          <w:bCs w:val="1"/>
          <w:color w:val="auto"/>
        </w:rPr>
        <w:t>.</w:t>
      </w:r>
    </w:p>
    <w:p>
      <w:pPr>
        <w:spacing w:after="0" w:line="84" w:lineRule="exact"/>
        <w:rPr>
          <w:sz w:val="20"/>
          <w:szCs w:val="20"/>
          <w:color w:val="auto"/>
        </w:rPr>
      </w:pPr>
    </w:p>
    <w:p>
      <w:pPr>
        <w:jc w:val="both"/>
        <w:ind w:firstLine="1529"/>
        <w:spacing w:after="0" w:line="242" w:lineRule="auto"/>
        <w:tabs>
          <w:tab w:leader="none" w:pos="173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Loan Parties have implemented and maintain in effect policies and procedures designed to ensure compliance by the Loan Parties, their Subsidiaries and their respective directors, officers, employees and agents with Anti-Corruption Laws and applicable Sanctions, and the Loan Parties, their Subsidiaries and their respective officers and employees and to the knowledge of the Borrowers, their directors and agents, are in compliance with Anti-Corruption Laws and applicable Sanctions in all material respects and are not knowingly engaged in any activity that would reasonably be expected to result in any Loan Party being designated as a Sanctioned Person. None of (i) any Loan Party, any Subsidiary or, any of their respective directors, officers or employees, or (ii) to the knowledge of the Borrowers, any agent of any Loan Party or any Subsidiary that will act in any capacity in connection with or benefit from the credit facility established hereby, is a Sanctioned Person. The Term Loan and the use of proceeds or other transaction contemplated by this Agreement will not violate any Anti-Corruption Law or applicable Sanctions.</w:t>
      </w:r>
    </w:p>
    <w:p>
      <w:pPr>
        <w:spacing w:after="0" w:line="63" w:lineRule="exact"/>
        <w:rPr>
          <w:rFonts w:ascii="Arial" w:cs="Arial" w:eastAsia="Arial" w:hAnsi="Arial"/>
          <w:sz w:val="15"/>
          <w:szCs w:val="15"/>
          <w:color w:val="auto"/>
        </w:rPr>
      </w:pPr>
    </w:p>
    <w:p>
      <w:pPr>
        <w:ind w:firstLine="1529"/>
        <w:spacing w:after="0" w:line="259" w:lineRule="auto"/>
        <w:tabs>
          <w:tab w:leader="none" w:pos="175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Loan Parties will maintain in effect and enforce policies and procedures designed to ensure compliance by the Loan Parties, their Subsidiaries and their respective directors, officers, employees and agents with Anti-Corruption Laws and applicable Sanctions.</w:t>
      </w:r>
    </w:p>
    <w:p>
      <w:pPr>
        <w:spacing w:after="0" w:line="51" w:lineRule="exact"/>
        <w:rPr>
          <w:rFonts w:ascii="Arial" w:cs="Arial" w:eastAsia="Arial" w:hAnsi="Arial"/>
          <w:sz w:val="15"/>
          <w:szCs w:val="15"/>
          <w:color w:val="auto"/>
        </w:rPr>
      </w:pPr>
    </w:p>
    <w:p>
      <w:pPr>
        <w:ind w:firstLine="1529"/>
        <w:spacing w:after="0" w:line="295" w:lineRule="auto"/>
        <w:tabs>
          <w:tab w:leader="none" w:pos="1737"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Borrowers will not request any Loan or L/C, and the Borrowers shall not use, and shall procure that their Subsidiaries and their respective directors, officers, employees and agents shall not use, the proceeds of any Loan or L/C (i) in furtherance of an offer, payment, promise to pay, or authorization of the payment or giving of money,</w:t>
      </w:r>
    </w:p>
    <w:p>
      <w:pPr>
        <w:spacing w:after="0" w:line="108" w:lineRule="exact"/>
        <w:rPr>
          <w:rFonts w:ascii="Arial" w:cs="Arial" w:eastAsia="Arial" w:hAnsi="Arial"/>
          <w:sz w:val="14"/>
          <w:szCs w:val="14"/>
          <w:color w:val="auto"/>
        </w:rPr>
      </w:pPr>
    </w:p>
    <w:p>
      <w:pPr>
        <w:ind w:left="5660" w:hanging="86"/>
        <w:spacing w:after="0"/>
        <w:tabs>
          <w:tab w:leader="none" w:pos="566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40 -</w:t>
      </w:r>
    </w:p>
    <w:p>
      <w:pPr>
        <w:sectPr>
          <w:pgSz w:w="11900" w:h="16838" w:orient="portrait"/>
          <w:cols w:equalWidth="0" w:num="1">
            <w:col w:w="11460"/>
          </w:cols>
          <w:pgMar w:left="220" w:top="208" w:right="219" w:bottom="1440" w:gutter="0" w:footer="0" w:header="0"/>
        </w:sectPr>
      </w:pPr>
    </w:p>
    <w:bookmarkStart w:id="98" w:name="page99"/>
    <w:bookmarkEnd w:id="98"/>
    <w:p>
      <w:pPr>
        <w:spacing w:after="0" w:line="259" w:lineRule="auto"/>
        <w:rPr>
          <w:sz w:val="20"/>
          <w:szCs w:val="20"/>
          <w:color w:val="auto"/>
        </w:rPr>
      </w:pPr>
      <w:r>
        <w:rPr>
          <w:rFonts w:ascii="Arial" w:cs="Arial" w:eastAsia="Arial" w:hAnsi="Arial"/>
          <w:sz w:val="15"/>
          <w:szCs w:val="15"/>
          <w:color w:val="auto"/>
        </w:rPr>
        <w:t>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5 - F</w:t>
      </w:r>
      <w:r>
        <w:rPr>
          <w:rFonts w:ascii="Arial" w:cs="Arial" w:eastAsia="Arial" w:hAnsi="Arial"/>
          <w:sz w:val="10"/>
          <w:szCs w:val="10"/>
          <w:b w:val="1"/>
          <w:bCs w:val="1"/>
          <w:color w:val="auto"/>
        </w:rPr>
        <w:t>INANCIAL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EPORTING AND</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ERFORMANCE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OVENANTS</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5.1. M</w:t>
      </w:r>
      <w:r>
        <w:rPr>
          <w:rFonts w:ascii="Arial" w:cs="Arial" w:eastAsia="Arial" w:hAnsi="Arial"/>
          <w:sz w:val="10"/>
          <w:szCs w:val="10"/>
          <w:b w:val="1"/>
          <w:bCs w:val="1"/>
          <w:color w:val="auto"/>
        </w:rPr>
        <w:t>AINTAIN</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ECORDS</w:t>
      </w:r>
      <w:r>
        <w:rPr>
          <w:rFonts w:ascii="Arial" w:cs="Arial" w:eastAsia="Arial" w:hAnsi="Arial"/>
          <w:sz w:val="15"/>
          <w:szCs w:val="15"/>
          <w:color w:val="auto"/>
        </w:rPr>
        <w:t>. The Loan Parties shall:</w:t>
      </w:r>
    </w:p>
    <w:p>
      <w:pPr>
        <w:spacing w:after="0" w:line="84" w:lineRule="exact"/>
        <w:rPr>
          <w:sz w:val="20"/>
          <w:szCs w:val="20"/>
          <w:color w:val="auto"/>
        </w:rPr>
      </w:pPr>
    </w:p>
    <w:p>
      <w:pPr>
        <w:jc w:val="both"/>
        <w:ind w:firstLine="1529"/>
        <w:spacing w:after="0" w:line="249" w:lineRule="auto"/>
        <w:tabs>
          <w:tab w:leader="none" w:pos="1732"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At all times, keep proper books of account, in which full, true, and accurate entries shall be made of all of the Loan Parties’ financial transactions, all in accordance with GAAP applied consistently with prior periods to fairly reflect the Consolidated financial condition of the Loan Parties at the close of, and its results of operations for, the periods in question.</w:t>
      </w:r>
    </w:p>
    <w:p>
      <w:pPr>
        <w:spacing w:after="0" w:line="58" w:lineRule="exact"/>
        <w:rPr>
          <w:rFonts w:ascii="Arial" w:cs="Arial" w:eastAsia="Arial" w:hAnsi="Arial"/>
          <w:sz w:val="15"/>
          <w:szCs w:val="15"/>
          <w:color w:val="auto"/>
        </w:rPr>
      </w:pPr>
    </w:p>
    <w:p>
      <w:pPr>
        <w:jc w:val="both"/>
        <w:ind w:firstLine="1529"/>
        <w:spacing w:after="0" w:line="249" w:lineRule="auto"/>
        <w:tabs>
          <w:tab w:leader="none" w:pos="1753"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Timely provide the Administrative Agent with those financial reports, statements, and schedules required by this Article 5 or otherwise, each of which reports, statements and schedules shall be prepared, to the extent applicable, in accordance with GAAP applied consistently with prior periods to fairly reflect the Consolidated financial condition of the Loan Parties at the close of, and the results of operations for, the period(s) covered therein.</w:t>
      </w:r>
    </w:p>
    <w:p>
      <w:pPr>
        <w:spacing w:after="0" w:line="58" w:lineRule="exact"/>
        <w:rPr>
          <w:rFonts w:ascii="Arial" w:cs="Arial" w:eastAsia="Arial" w:hAnsi="Arial"/>
          <w:sz w:val="15"/>
          <w:szCs w:val="15"/>
          <w:color w:val="auto"/>
        </w:rPr>
      </w:pPr>
    </w:p>
    <w:p>
      <w:pPr>
        <w:ind w:firstLine="1529"/>
        <w:spacing w:after="0" w:line="259" w:lineRule="auto"/>
        <w:tabs>
          <w:tab w:leader="none" w:pos="1734"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At all times, keep accurate current records of the Collateral including, without limitation, accurate current stock, cost, and sales records of its Inventory, accurately and sufficiently itemizing and describing the kinds, types, and quantities of Inventory and the cost and selling prices thereof.</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49"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At all times, retain KPMG, LLP or such other independent certified public accountants who are reasonably satisfactory to the Administrative Agent and instruct such accountants to fully cooperate with, and be available to, the Administrative Agent to discuss the Loan Parties’ financial performance, financial condition, operating results, controls, and such other matters, within the scope of the retention of such accountants, as may be raised by the Administrative Agent.</w:t>
      </w:r>
    </w:p>
    <w:p>
      <w:pPr>
        <w:spacing w:after="0" w:line="58" w:lineRule="exact"/>
        <w:rPr>
          <w:rFonts w:ascii="Arial" w:cs="Arial" w:eastAsia="Arial" w:hAnsi="Arial"/>
          <w:sz w:val="15"/>
          <w:szCs w:val="15"/>
          <w:color w:val="auto"/>
        </w:rPr>
      </w:pPr>
    </w:p>
    <w:p>
      <w:pPr>
        <w:ind w:left="1740" w:hanging="211"/>
        <w:spacing w:after="0"/>
        <w:tabs>
          <w:tab w:leader="none" w:pos="174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Not change any Loan Party’s Fiscal year.</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5.2. A</w:t>
      </w:r>
      <w:r>
        <w:rPr>
          <w:rFonts w:ascii="Arial" w:cs="Arial" w:eastAsia="Arial" w:hAnsi="Arial"/>
          <w:sz w:val="10"/>
          <w:szCs w:val="10"/>
          <w:b w:val="1"/>
          <w:bCs w:val="1"/>
          <w:color w:val="auto"/>
        </w:rPr>
        <w:t>CCESS TO</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ECORDS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3" w:lineRule="auto"/>
        <w:tabs>
          <w:tab w:leader="none" w:pos="1746"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Each Loan Party shall accord the Administrative Agent with reasonable access on reasonable notice during customary business hours from time to time as the Administrative Agent reasonably may require to all properties owned by or over which any Loan Party has control. The Administrative Agent shall have the right during customary business hours on reasonable notice, and each Loan Party will permit the Administrative Agent from time to time as Administrative Agent reasonably may request, to examine, inspect, copy, and make extracts from any and all of the Loan Parties’ books, records, electronically stored data, papers, and files. Each Loan Party shall make all of that Loan Party’s copying facilities available to the Administrative Agent.</w:t>
      </w:r>
    </w:p>
    <w:p>
      <w:pPr>
        <w:spacing w:after="0" w:line="64" w:lineRule="exact"/>
        <w:rPr>
          <w:rFonts w:ascii="Arial" w:cs="Arial" w:eastAsia="Arial" w:hAnsi="Arial"/>
          <w:sz w:val="15"/>
          <w:szCs w:val="15"/>
          <w:color w:val="auto"/>
        </w:rPr>
      </w:pPr>
    </w:p>
    <w:p>
      <w:pPr>
        <w:ind w:left="1740" w:hanging="211"/>
        <w:spacing w:after="0"/>
        <w:tabs>
          <w:tab w:leader="none" w:pos="17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Each Loan Party hereby authorizes the Administrative Agent during customary business hours on reasonable notice to:</w:t>
      </w:r>
    </w:p>
    <w:p>
      <w:pPr>
        <w:spacing w:after="0" w:line="79" w:lineRule="exact"/>
        <w:rPr>
          <w:rFonts w:ascii="Arial" w:cs="Arial" w:eastAsia="Arial" w:hAnsi="Arial"/>
          <w:sz w:val="15"/>
          <w:szCs w:val="15"/>
          <w:color w:val="auto"/>
        </w:rPr>
      </w:pPr>
    </w:p>
    <w:p>
      <w:pPr>
        <w:jc w:val="both"/>
        <w:ind w:left="760" w:firstLine="1432"/>
        <w:spacing w:after="0" w:line="249" w:lineRule="auto"/>
        <w:tabs>
          <w:tab w:leader="none" w:pos="2378" w:val="left"/>
        </w:tabs>
        <w:numPr>
          <w:ilvl w:val="1"/>
          <w:numId w:val="124"/>
        </w:numPr>
        <w:rPr>
          <w:rFonts w:ascii="Arial" w:cs="Arial" w:eastAsia="Arial" w:hAnsi="Arial"/>
          <w:sz w:val="15"/>
          <w:szCs w:val="15"/>
          <w:color w:val="auto"/>
        </w:rPr>
      </w:pPr>
      <w:r>
        <w:rPr>
          <w:rFonts w:ascii="Arial" w:cs="Arial" w:eastAsia="Arial" w:hAnsi="Arial"/>
          <w:sz w:val="15"/>
          <w:szCs w:val="15"/>
          <w:color w:val="auto"/>
        </w:rPr>
        <w:t>Inspect, copy, duplicate, review, cause to be reduced to hard copy, run off, draw off, and otherwise use any and all computer or electronically stored information or data which relates to any Loan Party, or any service bureau, contractor, accountant, or other person, and directs any such service bureau, contractor, accountant, or other person fully to cooperate with the Administrative Agent with respect thereto.</w:t>
      </w:r>
    </w:p>
    <w:p>
      <w:pPr>
        <w:spacing w:after="0" w:line="58" w:lineRule="exact"/>
        <w:rPr>
          <w:rFonts w:ascii="Arial" w:cs="Arial" w:eastAsia="Arial" w:hAnsi="Arial"/>
          <w:sz w:val="15"/>
          <w:szCs w:val="15"/>
          <w:color w:val="auto"/>
        </w:rPr>
      </w:pPr>
    </w:p>
    <w:p>
      <w:pPr>
        <w:ind w:left="760" w:firstLine="1432"/>
        <w:spacing w:after="0" w:line="336" w:lineRule="auto"/>
        <w:tabs>
          <w:tab w:leader="none" w:pos="2416" w:val="left"/>
        </w:tabs>
        <w:numPr>
          <w:ilvl w:val="1"/>
          <w:numId w:val="124"/>
        </w:numPr>
        <w:rPr>
          <w:rFonts w:ascii="Arial" w:cs="Arial" w:eastAsia="Arial" w:hAnsi="Arial"/>
          <w:sz w:val="13"/>
          <w:szCs w:val="13"/>
          <w:color w:val="auto"/>
        </w:rPr>
      </w:pPr>
      <w:r>
        <w:rPr>
          <w:rFonts w:ascii="Arial" w:cs="Arial" w:eastAsia="Arial" w:hAnsi="Arial"/>
          <w:sz w:val="13"/>
          <w:szCs w:val="13"/>
          <w:color w:val="auto"/>
        </w:rPr>
        <w:t>Verify at any time the Collateral or any portion thereof, including verification with Account Debtors, and/or with each Loan Party’s computer billing companies, collection agencies, and accountants and to sign the name of each Loan Party on any notice to each Loan Party’s Account Debtors or verification of the Collateral.</w:t>
      </w:r>
    </w:p>
    <w:p>
      <w:pPr>
        <w:spacing w:after="0" w:line="4" w:lineRule="exact"/>
        <w:rPr>
          <w:rFonts w:ascii="Arial" w:cs="Arial" w:eastAsia="Arial" w:hAnsi="Arial"/>
          <w:sz w:val="13"/>
          <w:szCs w:val="13"/>
          <w:color w:val="auto"/>
        </w:rPr>
      </w:pPr>
    </w:p>
    <w:p>
      <w:pPr>
        <w:ind w:firstLine="1529"/>
        <w:spacing w:after="0" w:line="259" w:lineRule="auto"/>
        <w:tabs>
          <w:tab w:leader="none" w:pos="1737"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Borrowers’ Representative, on reasonable request from time to time from the Administrative Agent, will make representatives of management available from time to time to discuss the Loan Parties’ operating results and other related matters with the Administrative Agent.</w:t>
      </w:r>
    </w:p>
    <w:p>
      <w:pPr>
        <w:spacing w:after="0" w:line="51" w:lineRule="exact"/>
        <w:rPr>
          <w:rFonts w:ascii="Arial" w:cs="Arial" w:eastAsia="Arial" w:hAnsi="Arial"/>
          <w:sz w:val="15"/>
          <w:szCs w:val="15"/>
          <w:color w:val="auto"/>
        </w:rPr>
      </w:pPr>
    </w:p>
    <w:p>
      <w:pPr>
        <w:ind w:firstLine="1529"/>
        <w:spacing w:after="0" w:line="259" w:lineRule="auto"/>
        <w:tabs>
          <w:tab w:leader="none" w:pos="17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 xml:space="preserve">The Administrative Agent from time to time may designate one or more representatives to exercise the Administrative Agent’s rights under this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as fully as if the Administrative Agent were doing so.</w:t>
      </w:r>
    </w:p>
    <w:p>
      <w:pPr>
        <w:spacing w:after="0" w:line="131" w:lineRule="exact"/>
        <w:rPr>
          <w:rFonts w:ascii="Arial" w:cs="Arial" w:eastAsia="Arial" w:hAnsi="Arial"/>
          <w:sz w:val="15"/>
          <w:szCs w:val="15"/>
          <w:color w:val="auto"/>
        </w:rPr>
      </w:pPr>
    </w:p>
    <w:p>
      <w:pPr>
        <w:ind w:left="5660" w:hanging="86"/>
        <w:spacing w:after="0"/>
        <w:tabs>
          <w:tab w:leader="none" w:pos="5660" w:val="left"/>
        </w:tabs>
        <w:numPr>
          <w:ilvl w:val="2"/>
          <w:numId w:val="124"/>
        </w:numPr>
        <w:rPr>
          <w:rFonts w:ascii="Arial" w:cs="Arial" w:eastAsia="Arial" w:hAnsi="Arial"/>
          <w:sz w:val="15"/>
          <w:szCs w:val="15"/>
          <w:color w:val="auto"/>
        </w:rPr>
      </w:pPr>
      <w:r>
        <w:rPr>
          <w:rFonts w:ascii="Arial" w:cs="Arial" w:eastAsia="Arial" w:hAnsi="Arial"/>
          <w:sz w:val="15"/>
          <w:szCs w:val="15"/>
          <w:color w:val="auto"/>
        </w:rPr>
        <w:t>41 -</w:t>
      </w:r>
    </w:p>
    <w:p>
      <w:pPr>
        <w:sectPr>
          <w:pgSz w:w="11900" w:h="16838" w:orient="portrait"/>
          <w:cols w:equalWidth="0" w:num="1">
            <w:col w:w="11460"/>
          </w:cols>
          <w:pgMar w:left="220" w:top="208" w:right="219" w:bottom="1440" w:gutter="0" w:footer="0" w:header="0"/>
        </w:sectPr>
      </w:pPr>
    </w:p>
    <w:bookmarkStart w:id="99" w:name="page100"/>
    <w:bookmarkEnd w:id="99"/>
    <w:p>
      <w:pPr>
        <w:ind w:left="760"/>
        <w:spacing w:after="0"/>
        <w:rPr>
          <w:sz w:val="20"/>
          <w:szCs w:val="20"/>
          <w:color w:val="auto"/>
        </w:rPr>
      </w:pPr>
      <w:r>
        <w:rPr>
          <w:rFonts w:ascii="Arial" w:cs="Arial" w:eastAsia="Arial" w:hAnsi="Arial"/>
          <w:sz w:val="15"/>
          <w:szCs w:val="15"/>
          <w:b w:val="1"/>
          <w:bCs w:val="1"/>
          <w:color w:val="auto"/>
        </w:rPr>
        <w:t>5.3. P</w:t>
      </w:r>
      <w:r>
        <w:rPr>
          <w:rFonts w:ascii="Arial" w:cs="Arial" w:eastAsia="Arial" w:hAnsi="Arial"/>
          <w:sz w:val="10"/>
          <w:szCs w:val="10"/>
          <w:b w:val="1"/>
          <w:bCs w:val="1"/>
          <w:color w:val="auto"/>
        </w:rPr>
        <w:t>ROMPT</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OTICE TO</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DMINISTRATIVE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48" w:val="left"/>
        </w:tabs>
        <w:numPr>
          <w:ilvl w:val="1"/>
          <w:numId w:val="125"/>
        </w:numPr>
        <w:rPr>
          <w:rFonts w:ascii="Arial" w:cs="Arial" w:eastAsia="Arial" w:hAnsi="Arial"/>
          <w:sz w:val="15"/>
          <w:szCs w:val="15"/>
          <w:color w:val="auto"/>
        </w:rPr>
      </w:pPr>
      <w:r>
        <w:rPr>
          <w:rFonts w:ascii="Arial" w:cs="Arial" w:eastAsia="Arial" w:hAnsi="Arial"/>
          <w:sz w:val="15"/>
          <w:szCs w:val="15"/>
          <w:color w:val="auto"/>
        </w:rPr>
        <w:t>The Borrowers’ Representative shall provide the Administrative Agent with written notice promptly upon its becoming aware of the occurrence of any of the following events, which written notice shall be with reasonable particularity as to the facts and circumstances in respect of which such notice is being given:</w:t>
      </w:r>
    </w:p>
    <w:p>
      <w:pPr>
        <w:spacing w:after="0" w:line="51" w:lineRule="exact"/>
        <w:rPr>
          <w:rFonts w:ascii="Arial" w:cs="Arial" w:eastAsia="Arial" w:hAnsi="Arial"/>
          <w:sz w:val="15"/>
          <w:szCs w:val="15"/>
          <w:color w:val="auto"/>
        </w:rPr>
      </w:pPr>
    </w:p>
    <w:p>
      <w:pPr>
        <w:ind w:left="2360" w:hanging="168"/>
        <w:spacing w:after="0"/>
        <w:tabs>
          <w:tab w:leader="none" w:pos="2360" w:val="left"/>
        </w:tabs>
        <w:numPr>
          <w:ilvl w:val="2"/>
          <w:numId w:val="125"/>
        </w:numPr>
        <w:rPr>
          <w:rFonts w:ascii="Arial" w:cs="Arial" w:eastAsia="Arial" w:hAnsi="Arial"/>
          <w:sz w:val="15"/>
          <w:szCs w:val="15"/>
          <w:color w:val="auto"/>
        </w:rPr>
      </w:pPr>
      <w:r>
        <w:rPr>
          <w:rFonts w:ascii="Arial" w:cs="Arial" w:eastAsia="Arial" w:hAnsi="Arial"/>
          <w:sz w:val="15"/>
          <w:szCs w:val="15"/>
          <w:color w:val="auto"/>
        </w:rPr>
        <w:t>Any material adverse change in the business affairs of any Loan Party.</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2"/>
          <w:numId w:val="125"/>
        </w:numPr>
        <w:rPr>
          <w:rFonts w:ascii="Arial" w:cs="Arial" w:eastAsia="Arial" w:hAnsi="Arial"/>
          <w:sz w:val="15"/>
          <w:szCs w:val="15"/>
          <w:color w:val="auto"/>
        </w:rPr>
      </w:pPr>
      <w:r>
        <w:rPr>
          <w:rFonts w:ascii="Arial" w:cs="Arial" w:eastAsia="Arial" w:hAnsi="Arial"/>
          <w:sz w:val="15"/>
          <w:szCs w:val="15"/>
          <w:color w:val="auto"/>
        </w:rPr>
        <w:t>Any change in the executive officers of any Loan Party.</w:t>
      </w:r>
    </w:p>
    <w:p>
      <w:pPr>
        <w:spacing w:after="0" w:line="79" w:lineRule="exact"/>
        <w:rPr>
          <w:rFonts w:ascii="Arial" w:cs="Arial" w:eastAsia="Arial" w:hAnsi="Arial"/>
          <w:sz w:val="15"/>
          <w:szCs w:val="15"/>
          <w:color w:val="auto"/>
        </w:rPr>
      </w:pPr>
    </w:p>
    <w:p>
      <w:pPr>
        <w:ind w:left="760" w:firstLine="1432"/>
        <w:spacing w:after="0" w:line="259" w:lineRule="auto"/>
        <w:tabs>
          <w:tab w:leader="none" w:pos="2449" w:val="left"/>
        </w:tabs>
        <w:numPr>
          <w:ilvl w:val="2"/>
          <w:numId w:val="125"/>
        </w:numPr>
        <w:rPr>
          <w:rFonts w:ascii="Arial" w:cs="Arial" w:eastAsia="Arial" w:hAnsi="Arial"/>
          <w:sz w:val="15"/>
          <w:szCs w:val="15"/>
          <w:color w:val="auto"/>
        </w:rPr>
      </w:pPr>
      <w:r>
        <w:rPr>
          <w:rFonts w:ascii="Arial" w:cs="Arial" w:eastAsia="Arial" w:hAnsi="Arial"/>
          <w:sz w:val="15"/>
          <w:szCs w:val="15"/>
          <w:color w:val="auto"/>
        </w:rPr>
        <w:t>Any ceasing of the Loan Parties’ making of payments, in the ordinary course, to any of its creditors, on account of obligations aggregating in excess of $1,000,000.00 (including the ceasing of the making of such payments on account of a dispute with the subject creditor).</w:t>
      </w:r>
    </w:p>
    <w:p>
      <w:pPr>
        <w:spacing w:after="0" w:line="51" w:lineRule="exact"/>
        <w:rPr>
          <w:rFonts w:ascii="Arial" w:cs="Arial" w:eastAsia="Arial" w:hAnsi="Arial"/>
          <w:sz w:val="15"/>
          <w:szCs w:val="15"/>
          <w:color w:val="auto"/>
        </w:rPr>
      </w:pPr>
    </w:p>
    <w:p>
      <w:pPr>
        <w:jc w:val="both"/>
        <w:ind w:left="760" w:firstLine="1432"/>
        <w:spacing w:after="0" w:line="249" w:lineRule="auto"/>
        <w:tabs>
          <w:tab w:leader="none" w:pos="2447" w:val="left"/>
        </w:tabs>
        <w:numPr>
          <w:ilvl w:val="2"/>
          <w:numId w:val="125"/>
        </w:numPr>
        <w:rPr>
          <w:rFonts w:ascii="Arial" w:cs="Arial" w:eastAsia="Arial" w:hAnsi="Arial"/>
          <w:sz w:val="15"/>
          <w:szCs w:val="15"/>
          <w:color w:val="auto"/>
        </w:rPr>
      </w:pPr>
      <w:r>
        <w:rPr>
          <w:rFonts w:ascii="Arial" w:cs="Arial" w:eastAsia="Arial" w:hAnsi="Arial"/>
          <w:sz w:val="15"/>
          <w:szCs w:val="15"/>
          <w:color w:val="auto"/>
        </w:rPr>
        <w:t>Any failure by a Loan Party to pay rent at (A) any leased distribution center at which such Loan Party maintains Inventory, (B) ten percent (10%) or more of such Loan Party’s Stores or (C) any of such Loan Party’s locations if such failure continues for more than ten (10) days following the day on which such rent first came due, except in the event that such rent is timely paid into a valid escrow account as a result of a bona fide dispute.</w:t>
      </w:r>
    </w:p>
    <w:p>
      <w:pPr>
        <w:spacing w:after="0" w:line="58" w:lineRule="exact"/>
        <w:rPr>
          <w:rFonts w:ascii="Arial" w:cs="Arial" w:eastAsia="Arial" w:hAnsi="Arial"/>
          <w:sz w:val="15"/>
          <w:szCs w:val="15"/>
          <w:color w:val="auto"/>
        </w:rPr>
      </w:pPr>
    </w:p>
    <w:p>
      <w:pPr>
        <w:ind w:left="2400" w:hanging="208"/>
        <w:spacing w:after="0"/>
        <w:tabs>
          <w:tab w:leader="none" w:pos="2400" w:val="left"/>
        </w:tabs>
        <w:numPr>
          <w:ilvl w:val="2"/>
          <w:numId w:val="125"/>
        </w:numPr>
        <w:rPr>
          <w:rFonts w:ascii="Arial" w:cs="Arial" w:eastAsia="Arial" w:hAnsi="Arial"/>
          <w:sz w:val="15"/>
          <w:szCs w:val="15"/>
          <w:color w:val="auto"/>
        </w:rPr>
      </w:pPr>
      <w:r>
        <w:rPr>
          <w:rFonts w:ascii="Arial" w:cs="Arial" w:eastAsia="Arial" w:hAnsi="Arial"/>
          <w:sz w:val="15"/>
          <w:szCs w:val="15"/>
          <w:color w:val="auto"/>
        </w:rPr>
        <w:t>Any Default or Event of Default.</w:t>
      </w:r>
    </w:p>
    <w:p>
      <w:pPr>
        <w:spacing w:after="0" w:line="79" w:lineRule="exact"/>
        <w:rPr>
          <w:rFonts w:ascii="Arial" w:cs="Arial" w:eastAsia="Arial" w:hAnsi="Arial"/>
          <w:sz w:val="15"/>
          <w:szCs w:val="15"/>
          <w:color w:val="auto"/>
        </w:rPr>
      </w:pPr>
    </w:p>
    <w:p>
      <w:pPr>
        <w:ind w:left="760" w:firstLine="1432"/>
        <w:spacing w:after="0" w:line="259" w:lineRule="auto"/>
        <w:tabs>
          <w:tab w:leader="none" w:pos="2452" w:val="left"/>
        </w:tabs>
        <w:numPr>
          <w:ilvl w:val="2"/>
          <w:numId w:val="125"/>
        </w:numPr>
        <w:rPr>
          <w:rFonts w:ascii="Arial" w:cs="Arial" w:eastAsia="Arial" w:hAnsi="Arial"/>
          <w:sz w:val="15"/>
          <w:szCs w:val="15"/>
          <w:color w:val="auto"/>
        </w:rPr>
      </w:pPr>
      <w:r>
        <w:rPr>
          <w:rFonts w:ascii="Arial" w:cs="Arial" w:eastAsia="Arial" w:hAnsi="Arial"/>
          <w:sz w:val="15"/>
          <w:szCs w:val="15"/>
          <w:color w:val="auto"/>
        </w:rPr>
        <w:t xml:space="preserve">Any intention on the part of a Loan Party to discharge that Loan Party’s present independent accountants or any withdrawal or resignation by such independent accountants from their acting in such capacity (as to which, </w:t>
      </w:r>
      <w:r>
        <w:rPr>
          <w:rFonts w:ascii="Arial" w:cs="Arial" w:eastAsia="Arial" w:hAnsi="Arial"/>
          <w:sz w:val="15"/>
          <w:szCs w:val="15"/>
          <w:i w:val="1"/>
          <w:iCs w:val="1"/>
          <w:color w:val="auto"/>
        </w:rPr>
        <w:t>see</w:t>
      </w:r>
      <w:r>
        <w:rPr>
          <w:rFonts w:ascii="Arial" w:cs="Arial" w:eastAsia="Arial" w:hAnsi="Arial"/>
          <w:sz w:val="15"/>
          <w:szCs w:val="15"/>
          <w:color w:val="auto"/>
        </w:rPr>
        <w:t xml:space="preserve"> Subsection 5.1(d)).</w:t>
      </w:r>
    </w:p>
    <w:p>
      <w:pPr>
        <w:spacing w:after="0" w:line="51" w:lineRule="exact"/>
        <w:rPr>
          <w:rFonts w:ascii="Arial" w:cs="Arial" w:eastAsia="Arial" w:hAnsi="Arial"/>
          <w:sz w:val="15"/>
          <w:szCs w:val="15"/>
          <w:color w:val="auto"/>
        </w:rPr>
      </w:pPr>
    </w:p>
    <w:p>
      <w:pPr>
        <w:ind w:left="2480" w:hanging="288"/>
        <w:spacing w:after="0"/>
        <w:tabs>
          <w:tab w:leader="none" w:pos="2480" w:val="left"/>
        </w:tabs>
        <w:numPr>
          <w:ilvl w:val="2"/>
          <w:numId w:val="125"/>
        </w:numPr>
        <w:rPr>
          <w:rFonts w:ascii="Arial" w:cs="Arial" w:eastAsia="Arial" w:hAnsi="Arial"/>
          <w:sz w:val="14"/>
          <w:szCs w:val="14"/>
          <w:color w:val="auto"/>
        </w:rPr>
      </w:pPr>
      <w:r>
        <w:rPr>
          <w:rFonts w:ascii="Arial" w:cs="Arial" w:eastAsia="Arial" w:hAnsi="Arial"/>
          <w:sz w:val="14"/>
          <w:szCs w:val="14"/>
          <w:color w:val="auto"/>
        </w:rPr>
        <w:t>Any litigation which, if determined adversely to a Loan Party, would have a Material Adverse Effect on the financial condition of that Loan Party.</w:t>
      </w:r>
    </w:p>
    <w:p>
      <w:pPr>
        <w:spacing w:after="0" w:line="91" w:lineRule="exact"/>
        <w:rPr>
          <w:rFonts w:ascii="Arial" w:cs="Arial" w:eastAsia="Arial" w:hAnsi="Arial"/>
          <w:sz w:val="14"/>
          <w:szCs w:val="14"/>
          <w:color w:val="auto"/>
        </w:rPr>
      </w:pPr>
    </w:p>
    <w:p>
      <w:pPr>
        <w:ind w:left="1740" w:hanging="211"/>
        <w:spacing w:after="0"/>
        <w:tabs>
          <w:tab w:leader="none" w:pos="1740" w:val="left"/>
        </w:tabs>
        <w:numPr>
          <w:ilvl w:val="1"/>
          <w:numId w:val="125"/>
        </w:numPr>
        <w:rPr>
          <w:rFonts w:ascii="Arial" w:cs="Arial" w:eastAsia="Arial" w:hAnsi="Arial"/>
          <w:sz w:val="15"/>
          <w:szCs w:val="15"/>
          <w:color w:val="auto"/>
        </w:rPr>
      </w:pPr>
      <w:r>
        <w:rPr>
          <w:rFonts w:ascii="Arial" w:cs="Arial" w:eastAsia="Arial" w:hAnsi="Arial"/>
          <w:sz w:val="15"/>
          <w:szCs w:val="15"/>
          <w:color w:val="auto"/>
        </w:rPr>
        <w:t>The Borrowers’ Representative shall:</w:t>
      </w:r>
    </w:p>
    <w:p>
      <w:pPr>
        <w:spacing w:after="0" w:line="79" w:lineRule="exact"/>
        <w:rPr>
          <w:rFonts w:ascii="Arial" w:cs="Arial" w:eastAsia="Arial" w:hAnsi="Arial"/>
          <w:sz w:val="15"/>
          <w:szCs w:val="15"/>
          <w:color w:val="auto"/>
        </w:rPr>
      </w:pPr>
    </w:p>
    <w:p>
      <w:pPr>
        <w:ind w:left="2380" w:hanging="188"/>
        <w:spacing w:after="0"/>
        <w:tabs>
          <w:tab w:leader="none" w:pos="2380" w:val="left"/>
        </w:tabs>
        <w:numPr>
          <w:ilvl w:val="2"/>
          <w:numId w:val="125"/>
        </w:numPr>
        <w:rPr>
          <w:rFonts w:ascii="Arial" w:cs="Arial" w:eastAsia="Arial" w:hAnsi="Arial"/>
          <w:sz w:val="13"/>
          <w:szCs w:val="13"/>
          <w:color w:val="auto"/>
        </w:rPr>
      </w:pPr>
      <w:r>
        <w:rPr>
          <w:rFonts w:ascii="Arial" w:cs="Arial" w:eastAsia="Arial" w:hAnsi="Arial"/>
          <w:sz w:val="13"/>
          <w:szCs w:val="13"/>
          <w:color w:val="auto"/>
        </w:rPr>
        <w:t>At the request of the Administrative Agent, provide the Administrative Agent with a copy of the results of any physical or cycle count of a Loan Party’s</w:t>
      </w:r>
    </w:p>
    <w:p>
      <w:pPr>
        <w:spacing w:after="0" w:line="33"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5"/>
          <w:szCs w:val="15"/>
          <w:color w:val="auto"/>
        </w:rPr>
        <w:t>Inventory.</w:t>
      </w:r>
    </w:p>
    <w:p>
      <w:pPr>
        <w:spacing w:after="0" w:line="67" w:lineRule="exact"/>
        <w:rPr>
          <w:rFonts w:ascii="Arial" w:cs="Arial" w:eastAsia="Arial" w:hAnsi="Arial"/>
          <w:sz w:val="13"/>
          <w:szCs w:val="13"/>
          <w:color w:val="auto"/>
        </w:rPr>
      </w:pPr>
    </w:p>
    <w:p>
      <w:pPr>
        <w:ind w:left="760" w:firstLine="1432"/>
        <w:spacing w:after="0" w:line="259" w:lineRule="auto"/>
        <w:tabs>
          <w:tab w:leader="none" w:pos="2427" w:val="left"/>
        </w:tabs>
        <w:numPr>
          <w:ilvl w:val="2"/>
          <w:numId w:val="125"/>
        </w:numPr>
        <w:rPr>
          <w:rFonts w:ascii="Arial" w:cs="Arial" w:eastAsia="Arial" w:hAnsi="Arial"/>
          <w:sz w:val="15"/>
          <w:szCs w:val="15"/>
          <w:color w:val="auto"/>
        </w:rPr>
      </w:pPr>
      <w:r>
        <w:rPr>
          <w:rFonts w:ascii="Arial" w:cs="Arial" w:eastAsia="Arial" w:hAnsi="Arial"/>
          <w:sz w:val="15"/>
          <w:szCs w:val="15"/>
          <w:color w:val="auto"/>
        </w:rPr>
        <w:t>Provide the Administrative Agent, when received by any Loan Party, with a copy of any management letter or similar communications from any accountant of that Loan Party.</w:t>
      </w:r>
    </w:p>
    <w:p>
      <w:pPr>
        <w:spacing w:after="0" w:line="51" w:lineRule="exact"/>
        <w:rPr>
          <w:rFonts w:ascii="Arial" w:cs="Arial" w:eastAsia="Arial" w:hAnsi="Arial"/>
          <w:sz w:val="15"/>
          <w:szCs w:val="15"/>
          <w:color w:val="auto"/>
        </w:rPr>
      </w:pPr>
    </w:p>
    <w:p>
      <w:pPr>
        <w:ind w:left="760" w:firstLine="1432"/>
        <w:spacing w:after="0" w:line="259" w:lineRule="auto"/>
        <w:tabs>
          <w:tab w:leader="none" w:pos="2447" w:val="left"/>
        </w:tabs>
        <w:numPr>
          <w:ilvl w:val="2"/>
          <w:numId w:val="125"/>
        </w:numPr>
        <w:rPr>
          <w:rFonts w:ascii="Arial" w:cs="Arial" w:eastAsia="Arial" w:hAnsi="Arial"/>
          <w:sz w:val="15"/>
          <w:szCs w:val="15"/>
          <w:color w:val="auto"/>
        </w:rPr>
      </w:pPr>
      <w:r>
        <w:rPr>
          <w:rFonts w:ascii="Arial" w:cs="Arial" w:eastAsia="Arial" w:hAnsi="Arial"/>
          <w:sz w:val="15"/>
          <w:szCs w:val="15"/>
          <w:color w:val="auto"/>
        </w:rPr>
        <w:t>Provide the Administrative Agent with copies of all filings by each Loan Party with the Securities and Exchange Commission, when so filed, and when received, copies of all correspondence from the SEC, other than routine non-substantive general communications from the SEC.</w:t>
      </w:r>
    </w:p>
    <w:p>
      <w:pPr>
        <w:spacing w:after="0" w:line="51" w:lineRule="exact"/>
        <w:rPr>
          <w:rFonts w:ascii="Arial" w:cs="Arial" w:eastAsia="Arial" w:hAnsi="Arial"/>
          <w:sz w:val="15"/>
          <w:szCs w:val="15"/>
          <w:color w:val="auto"/>
        </w:rPr>
      </w:pPr>
    </w:p>
    <w:p>
      <w:pPr>
        <w:ind w:left="2440" w:hanging="248"/>
        <w:spacing w:after="0"/>
        <w:tabs>
          <w:tab w:leader="none" w:pos="2440" w:val="left"/>
        </w:tabs>
        <w:numPr>
          <w:ilvl w:val="2"/>
          <w:numId w:val="125"/>
        </w:numPr>
        <w:rPr>
          <w:rFonts w:ascii="Arial" w:cs="Arial" w:eastAsia="Arial" w:hAnsi="Arial"/>
          <w:sz w:val="13"/>
          <w:szCs w:val="13"/>
          <w:color w:val="auto"/>
        </w:rPr>
      </w:pPr>
      <w:r>
        <w:rPr>
          <w:rFonts w:ascii="Arial" w:cs="Arial" w:eastAsia="Arial" w:hAnsi="Arial"/>
          <w:sz w:val="13"/>
          <w:szCs w:val="13"/>
          <w:color w:val="auto"/>
        </w:rPr>
        <w:t>Provide the Administrative Agent with written notice of any intended bulk sale, liquidation, or other disposition of assets of any Loan Party at least ten</w:t>
      </w:r>
    </w:p>
    <w:p>
      <w:pPr>
        <w:spacing w:after="0" w:line="33" w:lineRule="exact"/>
        <w:rPr>
          <w:rFonts w:ascii="Arial" w:cs="Arial" w:eastAsia="Arial" w:hAnsi="Arial"/>
          <w:sz w:val="13"/>
          <w:szCs w:val="13"/>
          <w:color w:val="auto"/>
        </w:rPr>
      </w:pPr>
    </w:p>
    <w:p>
      <w:pPr>
        <w:jc w:val="both"/>
        <w:ind w:left="760" w:firstLine="5"/>
        <w:spacing w:after="0"/>
        <w:tabs>
          <w:tab w:leader="none" w:pos="1044"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Business Days prior to the consummation of such sale or disposition, or commencement of such liquidation and a detailed summary of the net proceeds expected to be received therefrom;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nothing in this Section is intended to be, or shall be deemed to be, a waiver of any restriction on such disposition of assets set forth elsewhere in this Agreement, including, without limitation, </w:t>
      </w:r>
      <w:r>
        <w:rPr>
          <w:rFonts w:ascii="Arial" w:cs="Arial" w:eastAsia="Arial" w:hAnsi="Arial"/>
          <w:sz w:val="15"/>
          <w:szCs w:val="15"/>
          <w:u w:val="single" w:color="auto"/>
          <w:color w:val="auto"/>
        </w:rPr>
        <w:t>Section 4.14</w:t>
      </w:r>
      <w:r>
        <w:rPr>
          <w:rFonts w:ascii="Arial" w:cs="Arial" w:eastAsia="Arial" w:hAnsi="Arial"/>
          <w:sz w:val="15"/>
          <w:szCs w:val="15"/>
          <w:color w:val="auto"/>
        </w:rPr>
        <w:t>.</w:t>
      </w:r>
    </w:p>
    <w:p>
      <w:pPr>
        <w:spacing w:after="0" w:line="65" w:lineRule="exact"/>
        <w:rPr>
          <w:rFonts w:ascii="Arial" w:cs="Arial" w:eastAsia="Arial" w:hAnsi="Arial"/>
          <w:sz w:val="15"/>
          <w:szCs w:val="15"/>
          <w:color w:val="auto"/>
        </w:rPr>
      </w:pPr>
    </w:p>
    <w:p>
      <w:pPr>
        <w:ind w:left="760" w:firstLine="1432"/>
        <w:spacing w:after="0" w:line="259" w:lineRule="auto"/>
        <w:tabs>
          <w:tab w:leader="none" w:pos="2398" w:val="left"/>
        </w:tabs>
        <w:numPr>
          <w:ilvl w:val="2"/>
          <w:numId w:val="126"/>
        </w:numPr>
        <w:rPr>
          <w:rFonts w:ascii="Arial" w:cs="Arial" w:eastAsia="Arial" w:hAnsi="Arial"/>
          <w:sz w:val="15"/>
          <w:szCs w:val="15"/>
          <w:color w:val="auto"/>
        </w:rPr>
      </w:pPr>
      <w:r>
        <w:rPr>
          <w:rFonts w:ascii="Arial" w:cs="Arial" w:eastAsia="Arial" w:hAnsi="Arial"/>
          <w:sz w:val="15"/>
          <w:szCs w:val="15"/>
          <w:color w:val="auto"/>
        </w:rPr>
        <w:t>Provide the Administrative Agent, when so distributed, with copies of any materials distributed to the shareholders of Casual Male and each of the other Loan Parties (</w:t>
      </w:r>
      <w:r>
        <w:rPr>
          <w:rFonts w:ascii="Arial" w:cs="Arial" w:eastAsia="Arial" w:hAnsi="Arial"/>
          <w:sz w:val="15"/>
          <w:szCs w:val="15"/>
          <w:i w:val="1"/>
          <w:iCs w:val="1"/>
          <w:color w:val="auto"/>
        </w:rPr>
        <w:t>qua</w:t>
      </w:r>
      <w:r>
        <w:rPr>
          <w:rFonts w:ascii="Arial" w:cs="Arial" w:eastAsia="Arial" w:hAnsi="Arial"/>
          <w:sz w:val="15"/>
          <w:szCs w:val="15"/>
          <w:color w:val="auto"/>
        </w:rPr>
        <w:t xml:space="preserve"> such shareholders).</w:t>
      </w:r>
    </w:p>
    <w:p>
      <w:pPr>
        <w:spacing w:after="0" w:line="128" w:lineRule="exact"/>
        <w:rPr>
          <w:sz w:val="20"/>
          <w:szCs w:val="20"/>
          <w:color w:val="auto"/>
        </w:rPr>
      </w:pPr>
    </w:p>
    <w:p>
      <w:pPr>
        <w:jc w:val="both"/>
        <w:ind w:firstLine="765"/>
        <w:spacing w:after="0" w:line="245" w:lineRule="auto"/>
        <w:rPr>
          <w:sz w:val="20"/>
          <w:szCs w:val="20"/>
          <w:color w:val="auto"/>
        </w:rPr>
      </w:pPr>
      <w:r>
        <w:rPr>
          <w:rFonts w:ascii="Arial" w:cs="Arial" w:eastAsia="Arial" w:hAnsi="Arial"/>
          <w:sz w:val="15"/>
          <w:szCs w:val="15"/>
          <w:b w:val="1"/>
          <w:bCs w:val="1"/>
          <w:color w:val="auto"/>
        </w:rPr>
        <w:t>5.4. B</w:t>
      </w:r>
      <w:r>
        <w:rPr>
          <w:rFonts w:ascii="Arial" w:cs="Arial" w:eastAsia="Arial" w:hAnsi="Arial"/>
          <w:sz w:val="10"/>
          <w:szCs w:val="10"/>
          <w:b w:val="1"/>
          <w:bCs w:val="1"/>
          <w:color w:val="auto"/>
        </w:rPr>
        <w:t>ORROWING</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ASE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The Borrowers’ Representative shall provide the Administrative Agent on the fourth Business Day of each Fiscal Month as of the close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business the last day of the immediately preceding month, with a Borrowing Base Certificate;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upon the occurrence and during the continuance of an Accelerated Borrowing Base Delivery Event, at the election of the Administrative Agent, such Borrowing Base Certificate shall be delivered weekly on Thursday of each week as of the close of business for the immediately preceding week. Such Certificate may be sent to the Revolving Agent and the Administrative Agent by facsimile transmission or by electronic mail,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original thereof is forwarded to the Administrative Agent on the date of such transmission.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- 42 -</w:t>
      </w:r>
    </w:p>
    <w:p>
      <w:pPr>
        <w:sectPr>
          <w:pgSz w:w="11900" w:h="16838" w:orient="portrait"/>
          <w:cols w:equalWidth="0" w:num="1">
            <w:col w:w="11460"/>
          </w:cols>
          <w:pgMar w:left="220" w:top="284" w:right="219" w:bottom="1440" w:gutter="0" w:footer="0" w:header="0"/>
        </w:sectPr>
      </w:pPr>
    </w:p>
    <w:bookmarkStart w:id="100" w:name="page101"/>
    <w:bookmarkEnd w:id="100"/>
    <w:p>
      <w:pPr>
        <w:ind w:firstLine="765"/>
        <w:spacing w:after="0" w:line="265" w:lineRule="auto"/>
        <w:rPr>
          <w:sz w:val="20"/>
          <w:szCs w:val="20"/>
          <w:color w:val="auto"/>
        </w:rPr>
      </w:pPr>
      <w:r>
        <w:rPr>
          <w:rFonts w:ascii="Arial" w:cs="Arial" w:eastAsia="Arial" w:hAnsi="Arial"/>
          <w:sz w:val="15"/>
          <w:szCs w:val="15"/>
          <w:b w:val="1"/>
          <w:bCs w:val="1"/>
          <w:color w:val="auto"/>
        </w:rPr>
        <w:t>5.5. M</w:t>
      </w:r>
      <w:r>
        <w:rPr>
          <w:rFonts w:ascii="Arial" w:cs="Arial" w:eastAsia="Arial" w:hAnsi="Arial"/>
          <w:sz w:val="10"/>
          <w:szCs w:val="10"/>
          <w:b w:val="1"/>
          <w:bCs w:val="1"/>
          <w:color w:val="auto"/>
        </w:rPr>
        <w:t>ONTHLY</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EPORTS</w:t>
      </w:r>
      <w:r>
        <w:rPr>
          <w:rFonts w:ascii="Arial" w:cs="Arial" w:eastAsia="Arial" w:hAnsi="Arial"/>
          <w:sz w:val="15"/>
          <w:szCs w:val="15"/>
          <w:b w:val="1"/>
          <w:bCs w:val="1"/>
          <w:color w:val="auto"/>
        </w:rPr>
        <w:t xml:space="preserve">. </w:t>
      </w:r>
      <w:r>
        <w:rPr>
          <w:rFonts w:ascii="Arial" w:cs="Arial" w:eastAsia="Arial" w:hAnsi="Arial"/>
          <w:sz w:val="15"/>
          <w:szCs w:val="15"/>
          <w:color w:val="auto"/>
        </w:rPr>
        <w:t>Monthly, within thirty (30) days following the end of each Fiscal month of the Loan Parties, the Borrowers’ Representative shall provide the Revolving</w:t>
      </w:r>
      <w:r>
        <w:rPr>
          <w:rFonts w:ascii="Arial" w:cs="Arial" w:eastAsia="Arial" w:hAnsi="Arial"/>
          <w:sz w:val="15"/>
          <w:szCs w:val="15"/>
          <w:b w:val="1"/>
          <w:bCs w:val="1"/>
          <w:color w:val="auto"/>
        </w:rPr>
        <w:t xml:space="preserve"> </w:t>
      </w:r>
      <w:r>
        <w:rPr>
          <w:rFonts w:ascii="Arial" w:cs="Arial" w:eastAsia="Arial" w:hAnsi="Arial"/>
          <w:sz w:val="15"/>
          <w:szCs w:val="15"/>
          <w:color w:val="auto"/>
        </w:rPr>
        <w:t>Agent and the Administrative Agent with the following:</w:t>
      </w:r>
    </w:p>
    <w:p>
      <w:pPr>
        <w:spacing w:after="0" w:line="47" w:lineRule="exact"/>
        <w:rPr>
          <w:sz w:val="20"/>
          <w:szCs w:val="20"/>
          <w:color w:val="auto"/>
        </w:rPr>
      </w:pPr>
    </w:p>
    <w:p>
      <w:pPr>
        <w:jc w:val="both"/>
        <w:ind w:firstLine="1529"/>
        <w:spacing w:after="0" w:line="249" w:lineRule="auto"/>
        <w:tabs>
          <w:tab w:leader="none" w:pos="1733"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 management prepared Consolidated financial statement of the Loan Parties for the subject month and for the period from the beginning of the Loan Parties’ then current Fiscal year through the end of the subject month, with comparative information for the same period of the previous Fiscal year and to the Business Plan or updated forecast, which statement shall include, at a minimum, a balance sheet, income statement, and cash flows.</w:t>
      </w:r>
    </w:p>
    <w:p>
      <w:pPr>
        <w:spacing w:after="0" w:line="58" w:lineRule="exact"/>
        <w:rPr>
          <w:rFonts w:ascii="Arial" w:cs="Arial" w:eastAsia="Arial" w:hAnsi="Arial"/>
          <w:sz w:val="15"/>
          <w:szCs w:val="15"/>
          <w:color w:val="auto"/>
        </w:rPr>
      </w:pPr>
    </w:p>
    <w:p>
      <w:pPr>
        <w:ind w:left="1740" w:hanging="211"/>
        <w:spacing w:after="0"/>
        <w:tabs>
          <w:tab w:leader="none" w:pos="17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 xml:space="preserve">The Compliance Certificate described in </w:t>
      </w:r>
      <w:r>
        <w:rPr>
          <w:rFonts w:ascii="Arial" w:cs="Arial" w:eastAsia="Arial" w:hAnsi="Arial"/>
          <w:sz w:val="15"/>
          <w:szCs w:val="15"/>
          <w:u w:val="single" w:color="auto"/>
          <w:color w:val="auto"/>
        </w:rPr>
        <w:t>Section 5.8</w:t>
      </w:r>
      <w:r>
        <w:rPr>
          <w:rFonts w:ascii="Arial" w:cs="Arial" w:eastAsia="Arial" w:hAnsi="Arial"/>
          <w:sz w:val="15"/>
          <w:szCs w:val="15"/>
          <w:color w:val="auto"/>
        </w:rPr>
        <w:t>.</w:t>
      </w:r>
    </w:p>
    <w:p>
      <w:pPr>
        <w:spacing w:after="0" w:line="156" w:lineRule="exact"/>
        <w:rPr>
          <w:sz w:val="20"/>
          <w:szCs w:val="20"/>
          <w:color w:val="auto"/>
        </w:rPr>
      </w:pPr>
    </w:p>
    <w:p>
      <w:pPr>
        <w:ind w:firstLine="765"/>
        <w:spacing w:after="0" w:line="265" w:lineRule="auto"/>
        <w:rPr>
          <w:sz w:val="20"/>
          <w:szCs w:val="20"/>
          <w:color w:val="auto"/>
        </w:rPr>
      </w:pPr>
      <w:r>
        <w:rPr>
          <w:rFonts w:ascii="Arial" w:cs="Arial" w:eastAsia="Arial" w:hAnsi="Arial"/>
          <w:sz w:val="15"/>
          <w:szCs w:val="15"/>
          <w:b w:val="1"/>
          <w:bCs w:val="1"/>
          <w:color w:val="auto"/>
        </w:rPr>
        <w:t>5.6. Q</w:t>
      </w:r>
      <w:r>
        <w:rPr>
          <w:rFonts w:ascii="Arial" w:cs="Arial" w:eastAsia="Arial" w:hAnsi="Arial"/>
          <w:sz w:val="10"/>
          <w:szCs w:val="10"/>
          <w:b w:val="1"/>
          <w:bCs w:val="1"/>
          <w:color w:val="auto"/>
        </w:rPr>
        <w:t>UARTERLY</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EPORTS</w:t>
      </w:r>
      <w:r>
        <w:rPr>
          <w:rFonts w:ascii="Arial" w:cs="Arial" w:eastAsia="Arial" w:hAnsi="Arial"/>
          <w:sz w:val="15"/>
          <w:szCs w:val="15"/>
          <w:b w:val="1"/>
          <w:bCs w:val="1"/>
          <w:color w:val="auto"/>
        </w:rPr>
        <w:t xml:space="preserve">. </w:t>
      </w:r>
      <w:r>
        <w:rPr>
          <w:rFonts w:ascii="Arial" w:cs="Arial" w:eastAsia="Arial" w:hAnsi="Arial"/>
          <w:sz w:val="15"/>
          <w:szCs w:val="15"/>
          <w:color w:val="auto"/>
        </w:rPr>
        <w:t>Quarterly, within fifty (50) days following the end of each Fiscal quarter of the Loan Parties, the Borrowers’ Representative shall provide the Revolving</w:t>
      </w:r>
      <w:r>
        <w:rPr>
          <w:rFonts w:ascii="Arial" w:cs="Arial" w:eastAsia="Arial" w:hAnsi="Arial"/>
          <w:sz w:val="15"/>
          <w:szCs w:val="15"/>
          <w:b w:val="1"/>
          <w:bCs w:val="1"/>
          <w:color w:val="auto"/>
        </w:rPr>
        <w:t xml:space="preserve"> </w:t>
      </w:r>
      <w:r>
        <w:rPr>
          <w:rFonts w:ascii="Arial" w:cs="Arial" w:eastAsia="Arial" w:hAnsi="Arial"/>
          <w:sz w:val="15"/>
          <w:szCs w:val="15"/>
          <w:color w:val="auto"/>
        </w:rPr>
        <w:t>Agent and the Administrative Agent with the following:</w:t>
      </w:r>
    </w:p>
    <w:p>
      <w:pPr>
        <w:spacing w:after="0" w:line="47" w:lineRule="exact"/>
        <w:rPr>
          <w:sz w:val="20"/>
          <w:szCs w:val="20"/>
          <w:color w:val="auto"/>
        </w:rPr>
      </w:pPr>
    </w:p>
    <w:p>
      <w:pPr>
        <w:jc w:val="both"/>
        <w:ind w:firstLine="1529"/>
        <w:spacing w:after="0" w:line="249" w:lineRule="auto"/>
        <w:tabs>
          <w:tab w:leader="none" w:pos="1731"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 management prepared Consolidated financial statement of the Loan Parties for the subject quarter and for the period from the beginning of the Loan Parties’ then current Fiscal year through the end of the subject quarter, with comparative information for the same period of the previous Fiscal year and to the Business Plan or updated forecast, which statement shall include, at a minimum, a balance sheet, income statement, and cash flows.</w:t>
      </w:r>
    </w:p>
    <w:p>
      <w:pPr>
        <w:spacing w:after="0" w:line="58" w:lineRule="exact"/>
        <w:rPr>
          <w:rFonts w:ascii="Arial" w:cs="Arial" w:eastAsia="Arial" w:hAnsi="Arial"/>
          <w:sz w:val="15"/>
          <w:szCs w:val="15"/>
          <w:color w:val="auto"/>
        </w:rPr>
      </w:pPr>
    </w:p>
    <w:p>
      <w:pPr>
        <w:ind w:left="1740" w:hanging="211"/>
        <w:spacing w:after="0"/>
        <w:tabs>
          <w:tab w:leader="none" w:pos="174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 xml:space="preserve">The Compliance Certificate described in </w:t>
      </w:r>
      <w:r>
        <w:rPr>
          <w:rFonts w:ascii="Arial" w:cs="Arial" w:eastAsia="Arial" w:hAnsi="Arial"/>
          <w:sz w:val="15"/>
          <w:szCs w:val="15"/>
          <w:u w:val="single" w:color="auto"/>
          <w:color w:val="auto"/>
        </w:rPr>
        <w:t>Section 5.8</w:t>
      </w:r>
      <w:r>
        <w:rPr>
          <w:rFonts w:ascii="Arial" w:cs="Arial" w:eastAsia="Arial" w:hAnsi="Arial"/>
          <w:sz w:val="15"/>
          <w:szCs w:val="15"/>
          <w:color w:val="auto"/>
        </w:rPr>
        <w:t>.</w:t>
      </w:r>
    </w:p>
    <w:p>
      <w:pPr>
        <w:spacing w:after="0" w:line="75" w:lineRule="exact"/>
        <w:rPr>
          <w:rFonts w:ascii="Arial" w:cs="Arial" w:eastAsia="Arial" w:hAnsi="Arial"/>
          <w:sz w:val="15"/>
          <w:szCs w:val="15"/>
          <w:color w:val="auto"/>
        </w:rPr>
      </w:pPr>
    </w:p>
    <w:p>
      <w:pPr>
        <w:ind w:firstLine="1529"/>
        <w:spacing w:after="0" w:line="265" w:lineRule="auto"/>
        <w:tabs>
          <w:tab w:leader="none" w:pos="174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 xml:space="preserve">An update to </w:t>
      </w:r>
      <w:r>
        <w:rPr>
          <w:rFonts w:ascii="Arial" w:cs="Arial" w:eastAsia="Arial" w:hAnsi="Arial"/>
          <w:sz w:val="15"/>
          <w:szCs w:val="15"/>
          <w:b w:val="1"/>
          <w:bCs w:val="1"/>
          <w:color w:val="auto"/>
        </w:rPr>
        <w:t>EXHIBIT 1.01</w:t>
      </w:r>
      <w:r>
        <w:rPr>
          <w:rFonts w:ascii="Arial" w:cs="Arial" w:eastAsia="Arial" w:hAnsi="Arial"/>
          <w:sz w:val="15"/>
          <w:szCs w:val="15"/>
          <w:color w:val="auto"/>
        </w:rPr>
        <w:t xml:space="preserve"> hereto reflecting new Store openings and which Stores have been closed during such quarter or provide a similar form, reasonably acceptable to the Administrative Agent, identifying such new Store openings and closings..</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5.7. A</w:t>
      </w:r>
      <w:r>
        <w:rPr>
          <w:rFonts w:ascii="Arial" w:cs="Arial" w:eastAsia="Arial" w:hAnsi="Arial"/>
          <w:sz w:val="10"/>
          <w:szCs w:val="10"/>
          <w:b w:val="1"/>
          <w:bCs w:val="1"/>
          <w:color w:val="auto"/>
        </w:rPr>
        <w:t>NNUAL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EPORTS</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35"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Annually within ninety-five (95) days following the end of the Loan Parties’ Fiscal year, the Borrowers’ Representative shall furnish the Revolving Agent and the Administrative Agent with the following:</w:t>
      </w:r>
    </w:p>
    <w:p>
      <w:pPr>
        <w:spacing w:after="0" w:line="51" w:lineRule="exact"/>
        <w:rPr>
          <w:rFonts w:ascii="Arial" w:cs="Arial" w:eastAsia="Arial" w:hAnsi="Arial"/>
          <w:sz w:val="15"/>
          <w:szCs w:val="15"/>
          <w:color w:val="auto"/>
        </w:rPr>
      </w:pPr>
    </w:p>
    <w:p>
      <w:pPr>
        <w:jc w:val="both"/>
        <w:ind w:left="760" w:firstLine="1432"/>
        <w:spacing w:after="0" w:line="305" w:lineRule="auto"/>
        <w:tabs>
          <w:tab w:leader="none" w:pos="2377" w:val="left"/>
        </w:tabs>
        <w:numPr>
          <w:ilvl w:val="1"/>
          <w:numId w:val="129"/>
        </w:numPr>
        <w:rPr>
          <w:rFonts w:ascii="Arial" w:cs="Arial" w:eastAsia="Arial" w:hAnsi="Arial"/>
          <w:sz w:val="13"/>
          <w:szCs w:val="13"/>
          <w:color w:val="auto"/>
        </w:rPr>
      </w:pPr>
      <w:r>
        <w:rPr>
          <w:rFonts w:ascii="Arial" w:cs="Arial" w:eastAsia="Arial" w:hAnsi="Arial"/>
          <w:sz w:val="13"/>
          <w:szCs w:val="13"/>
          <w:color w:val="auto"/>
        </w:rPr>
        <w:t>The Loan Parties’ annual Consolidated financial statement (with consolidating schedules), which statement shall have been prepared by, and bear the unqualified opinion of, the Loan Parties’ independent certified public accountants (i.e. said statement shall be “certified” by such accountants). Such annual statement shall include, at a minimum (with comparative information for the then prior Fiscal year), a balance sheet, income statement, statement of changes in shareholders’ equity, and cash flows.</w:t>
      </w:r>
    </w:p>
    <w:p>
      <w:pPr>
        <w:spacing w:after="0" w:line="25" w:lineRule="exact"/>
        <w:rPr>
          <w:rFonts w:ascii="Arial" w:cs="Arial" w:eastAsia="Arial" w:hAnsi="Arial"/>
          <w:sz w:val="13"/>
          <w:szCs w:val="13"/>
          <w:color w:val="auto"/>
        </w:rPr>
      </w:pPr>
    </w:p>
    <w:p>
      <w:pPr>
        <w:ind w:left="760" w:firstLine="1432"/>
        <w:spacing w:after="0" w:line="259" w:lineRule="auto"/>
        <w:tabs>
          <w:tab w:leader="none" w:pos="2434" w:val="left"/>
        </w:tabs>
        <w:numPr>
          <w:ilvl w:val="1"/>
          <w:numId w:val="129"/>
        </w:numPr>
        <w:rPr>
          <w:rFonts w:ascii="Arial" w:cs="Arial" w:eastAsia="Arial" w:hAnsi="Arial"/>
          <w:sz w:val="15"/>
          <w:szCs w:val="15"/>
          <w:color w:val="auto"/>
        </w:rPr>
      </w:pPr>
      <w:r>
        <w:rPr>
          <w:rFonts w:ascii="Arial" w:cs="Arial" w:eastAsia="Arial" w:hAnsi="Arial"/>
          <w:sz w:val="15"/>
          <w:szCs w:val="15"/>
          <w:color w:val="auto"/>
        </w:rPr>
        <w:t>The following Consolidated financial statements for the Loan Parties for the prior Fiscal year (each prepared by the Loan Parties’ independent accountants): Balance sheet, income statement, statement of changes in stockholders’ equity and cash flow.</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Each annual financial statement shall be accompanied by such accountant’s certificate certifying such annual financial statement.</w:t>
      </w:r>
    </w:p>
    <w:p>
      <w:pPr>
        <w:spacing w:after="0" w:line="79" w:lineRule="exact"/>
        <w:rPr>
          <w:rFonts w:ascii="Arial" w:cs="Arial" w:eastAsia="Arial" w:hAnsi="Arial"/>
          <w:sz w:val="15"/>
          <w:szCs w:val="15"/>
          <w:color w:val="auto"/>
        </w:rPr>
      </w:pPr>
    </w:p>
    <w:p>
      <w:pPr>
        <w:jc w:val="both"/>
        <w:ind w:firstLine="1529"/>
        <w:spacing w:after="0" w:line="249" w:lineRule="auto"/>
        <w:tabs>
          <w:tab w:leader="none" w:pos="1735" w:val="left"/>
        </w:tabs>
        <w:numPr>
          <w:ilvl w:val="0"/>
          <w:numId w:val="129"/>
        </w:numPr>
        <w:rPr>
          <w:rFonts w:ascii="Arial" w:cs="Arial" w:eastAsia="Arial" w:hAnsi="Arial"/>
          <w:sz w:val="15"/>
          <w:szCs w:val="15"/>
          <w:color w:val="auto"/>
        </w:rPr>
      </w:pPr>
      <w:r>
        <w:rPr>
          <w:rFonts w:ascii="Arial" w:cs="Arial" w:eastAsia="Arial" w:hAnsi="Arial"/>
          <w:sz w:val="15"/>
          <w:szCs w:val="15"/>
          <w:color w:val="auto"/>
        </w:rPr>
        <w:t>Annually within thirty (30) days following the end of each of the Loan Parties’ Fiscal years, the Borrowers’ Representative shall furnish the Administrative Agent with an updated Business Plan for the current Fiscal year which Business Plan shall include, at a minimum, a balance sheet, income statement, cash flows, and availability model each on a monthly basis for the following twelve (12) month period.</w:t>
      </w:r>
    </w:p>
    <w:p>
      <w:pPr>
        <w:spacing w:after="0" w:line="58" w:lineRule="exact"/>
        <w:rPr>
          <w:rFonts w:ascii="Arial" w:cs="Arial" w:eastAsia="Arial" w:hAnsi="Arial"/>
          <w:sz w:val="15"/>
          <w:szCs w:val="15"/>
          <w:color w:val="auto"/>
        </w:rPr>
      </w:pPr>
    </w:p>
    <w:p>
      <w:pPr>
        <w:jc w:val="both"/>
        <w:ind w:firstLine="1529"/>
        <w:spacing w:after="0" w:line="285" w:lineRule="auto"/>
        <w:tabs>
          <w:tab w:leader="none" w:pos="1738"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xml:space="preserve">Documents required to be delivered pursuant to this </w:t>
      </w:r>
      <w:r>
        <w:rPr>
          <w:rFonts w:ascii="Arial" w:cs="Arial" w:eastAsia="Arial" w:hAnsi="Arial"/>
          <w:sz w:val="13"/>
          <w:szCs w:val="13"/>
          <w:u w:val="single" w:color="auto"/>
          <w:color w:val="auto"/>
        </w:rPr>
        <w:t>Section 5.7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Sections 5.5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5.6</w:t>
      </w:r>
      <w:r>
        <w:rPr>
          <w:rFonts w:ascii="Arial" w:cs="Arial" w:eastAsia="Arial" w:hAnsi="Arial"/>
          <w:sz w:val="13"/>
          <w:szCs w:val="13"/>
          <w:color w:val="auto"/>
        </w:rPr>
        <w:t xml:space="preserve"> (to the extent any such documents are included in materials otherwise filed with the SEC) may be delivered electronically and if so delivered, shall be deemed to have been delivered on the date: (i) on which the Borrowers’ Representative posts such documents, or provides a link thereto, on the Borrowers’ Representative’s website on the Internet at the website address from time to time provided by the Borrowers’ Representative to the Administrative Agent; or (ii) on which such documents are posted on the Borrowers’ Representative’s behalf on an Internet or intranet website, if any, to which each Term Lender and the Administrative Agent have access (whether a commercial, third-party website or whether sponsored by the Administrative Agent); </w:t>
      </w:r>
      <w:r>
        <w:rPr>
          <w:rFonts w:ascii="Arial" w:cs="Arial" w:eastAsia="Arial" w:hAnsi="Arial"/>
          <w:sz w:val="13"/>
          <w:szCs w:val="13"/>
          <w:u w:val="single" w:color="auto"/>
          <w:color w:val="auto"/>
        </w:rPr>
        <w:t>provided that</w:t>
      </w:r>
      <w:r>
        <w:rPr>
          <w:rFonts w:ascii="Arial" w:cs="Arial" w:eastAsia="Arial" w:hAnsi="Arial"/>
          <w:sz w:val="13"/>
          <w:szCs w:val="13"/>
          <w:color w:val="auto"/>
        </w:rPr>
        <w:t>: (i) the Borrowers’ Representative shall deliver paper copies of such documents to the Administrative Agent or any Term Lender that requests the Borrowers’ Representative to deliver such paper copies until a written request to cease delivering paper copies is given by the Administrative Agent or such Term Lender and (ii) the Borrowers’ Representative shall notify the Administrative Agent and each Term Lender (by telecopier</w:t>
      </w:r>
    </w:p>
    <w:p>
      <w:pPr>
        <w:spacing w:after="0" w:line="118" w:lineRule="exact"/>
        <w:rPr>
          <w:rFonts w:ascii="Arial" w:cs="Arial" w:eastAsia="Arial" w:hAnsi="Arial"/>
          <w:sz w:val="13"/>
          <w:szCs w:val="13"/>
          <w:color w:val="auto"/>
        </w:rPr>
      </w:pPr>
    </w:p>
    <w:p>
      <w:pPr>
        <w:ind w:left="5660" w:hanging="86"/>
        <w:spacing w:after="0"/>
        <w:tabs>
          <w:tab w:leader="none" w:pos="5660" w:val="left"/>
        </w:tabs>
        <w:numPr>
          <w:ilvl w:val="2"/>
          <w:numId w:val="129"/>
        </w:numPr>
        <w:rPr>
          <w:rFonts w:ascii="Arial" w:cs="Arial" w:eastAsia="Arial" w:hAnsi="Arial"/>
          <w:sz w:val="15"/>
          <w:szCs w:val="15"/>
          <w:color w:val="auto"/>
        </w:rPr>
      </w:pPr>
      <w:r>
        <w:rPr>
          <w:rFonts w:ascii="Arial" w:cs="Arial" w:eastAsia="Arial" w:hAnsi="Arial"/>
          <w:sz w:val="15"/>
          <w:szCs w:val="15"/>
          <w:color w:val="auto"/>
        </w:rPr>
        <w:t>43 -</w:t>
      </w:r>
    </w:p>
    <w:p>
      <w:pPr>
        <w:sectPr>
          <w:pgSz w:w="11900" w:h="16838" w:orient="portrait"/>
          <w:cols w:equalWidth="0" w:num="1">
            <w:col w:w="11460"/>
          </w:cols>
          <w:pgMar w:left="220" w:top="284" w:right="219" w:bottom="1440" w:gutter="0" w:footer="0" w:header="0"/>
        </w:sectPr>
      </w:pPr>
    </w:p>
    <w:bookmarkStart w:id="101" w:name="page102"/>
    <w:bookmarkEnd w:id="101"/>
    <w:p>
      <w:pPr>
        <w:jc w:val="both"/>
        <w:spacing w:after="0" w:line="305" w:lineRule="auto"/>
        <w:rPr>
          <w:sz w:val="20"/>
          <w:szCs w:val="20"/>
          <w:color w:val="auto"/>
        </w:rPr>
      </w:pPr>
      <w:r>
        <w:rPr>
          <w:rFonts w:ascii="Arial" w:cs="Arial" w:eastAsia="Arial" w:hAnsi="Arial"/>
          <w:sz w:val="13"/>
          <w:szCs w:val="13"/>
          <w:color w:val="auto"/>
        </w:rPr>
        <w:t>or electronic mail) of the posting of any such documents and provide to the Administrative Agent by electronic mail electronic versions (i.e., soft copies) of such documents. The Administrative Agent shall have no obligation to request the delivery or to maintain copies of the documents referred to above, and in any event shall have no responsibility to monitor compliance by the Loan Parties with any such request for delivery, and each Term Lender shall be solely responsible for requesting delivery to it or maintaining its copies of such documents.</w:t>
      </w:r>
    </w:p>
    <w:p>
      <w:pPr>
        <w:spacing w:after="0" w:line="102"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5.8. C</w:t>
      </w:r>
      <w:r>
        <w:rPr>
          <w:rFonts w:ascii="Arial" w:cs="Arial" w:eastAsia="Arial" w:hAnsi="Arial"/>
          <w:sz w:val="10"/>
          <w:szCs w:val="10"/>
          <w:b w:val="1"/>
          <w:bCs w:val="1"/>
          <w:color w:val="auto"/>
        </w:rPr>
        <w:t>OMPLIANCE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ERTIFICATES</w:t>
      </w:r>
      <w:r>
        <w:rPr>
          <w:rFonts w:ascii="Arial" w:cs="Arial" w:eastAsia="Arial" w:hAnsi="Arial"/>
          <w:sz w:val="15"/>
          <w:szCs w:val="15"/>
          <w:color w:val="auto"/>
        </w:rPr>
        <w:t>. The Borrowers’ Representative shall cause the Borrowers’ Representative’s Chief Executive Officer, its President or its Chief Financial Officer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Borrowers’ Representative, in each instance, to provide such Person’s certificate, in the form annexed hereto as </w:t>
      </w:r>
      <w:r>
        <w:rPr>
          <w:rFonts w:ascii="Arial" w:cs="Arial" w:eastAsia="Arial" w:hAnsi="Arial"/>
          <w:sz w:val="15"/>
          <w:szCs w:val="15"/>
          <w:b w:val="1"/>
          <w:bCs w:val="1"/>
          <w:color w:val="auto"/>
        </w:rPr>
        <w:t>EXHIBIT 5.8</w:t>
      </w:r>
      <w:r>
        <w:rPr>
          <w:rFonts w:ascii="Arial" w:cs="Arial" w:eastAsia="Arial" w:hAnsi="Arial"/>
          <w:sz w:val="15"/>
          <w:szCs w:val="15"/>
          <w:color w:val="auto"/>
        </w:rPr>
        <w:t xml:space="preserve"> (each such certificate, a </w:t>
      </w:r>
      <w:r>
        <w:rPr>
          <w:rFonts w:ascii="Arial" w:cs="Arial" w:eastAsia="Arial" w:hAnsi="Arial"/>
          <w:sz w:val="15"/>
          <w:szCs w:val="15"/>
          <w:b w:val="1"/>
          <w:bCs w:val="1"/>
          <w:color w:val="auto"/>
        </w:rPr>
        <w:t>“Compliance Certificate”</w:t>
      </w:r>
      <w:r>
        <w:rPr>
          <w:rFonts w:ascii="Arial" w:cs="Arial" w:eastAsia="Arial" w:hAnsi="Arial"/>
          <w:sz w:val="15"/>
          <w:szCs w:val="15"/>
          <w:color w:val="auto"/>
        </w:rPr>
        <w:t>), with those monthly, quarterly, and annual statements to be furnished pursuant to this Agreement, which Compliance Certificate shall:</w:t>
      </w:r>
    </w:p>
    <w:p>
      <w:pPr>
        <w:spacing w:after="0" w:line="58" w:lineRule="exact"/>
        <w:rPr>
          <w:sz w:val="20"/>
          <w:szCs w:val="20"/>
          <w:color w:val="auto"/>
        </w:rPr>
      </w:pPr>
    </w:p>
    <w:p>
      <w:pPr>
        <w:ind w:firstLine="1529"/>
        <w:spacing w:after="0" w:line="295" w:lineRule="auto"/>
        <w:tabs>
          <w:tab w:leader="none" w:pos="1733"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xml:space="preserve">Indicate that the subject financial statement was prepared in accordance with GAAP consistently applied and presents fairly the Consolidated financial condition of the Loan Parties at the close of, and the results of the Loan Parties’ operations and cash flows for, the period(s) covered thereby, </w:t>
      </w:r>
      <w:r>
        <w:rPr>
          <w:rFonts w:ascii="Arial" w:cs="Arial" w:eastAsia="Arial" w:hAnsi="Arial"/>
          <w:sz w:val="14"/>
          <w:szCs w:val="14"/>
          <w:i w:val="1"/>
          <w:iCs w:val="1"/>
          <w:color w:val="auto"/>
        </w:rPr>
        <w:t>subject, however</w:t>
      </w:r>
      <w:r>
        <w:rPr>
          <w:rFonts w:ascii="Arial" w:cs="Arial" w:eastAsia="Arial" w:hAnsi="Arial"/>
          <w:sz w:val="14"/>
          <w:szCs w:val="14"/>
          <w:color w:val="auto"/>
        </w:rPr>
        <w:t xml:space="preserve"> to the following:</w:t>
      </w:r>
    </w:p>
    <w:p>
      <w:pPr>
        <w:spacing w:after="0" w:line="27" w:lineRule="exact"/>
        <w:rPr>
          <w:rFonts w:ascii="Arial" w:cs="Arial" w:eastAsia="Arial" w:hAnsi="Arial"/>
          <w:sz w:val="14"/>
          <w:szCs w:val="14"/>
          <w:color w:val="auto"/>
        </w:rPr>
      </w:pPr>
    </w:p>
    <w:p>
      <w:pPr>
        <w:ind w:left="760" w:firstLine="1432"/>
        <w:spacing w:after="0" w:line="259" w:lineRule="auto"/>
        <w:tabs>
          <w:tab w:leader="none" w:pos="2364" w:val="left"/>
        </w:tabs>
        <w:numPr>
          <w:ilvl w:val="1"/>
          <w:numId w:val="130"/>
        </w:numPr>
        <w:rPr>
          <w:rFonts w:ascii="Arial" w:cs="Arial" w:eastAsia="Arial" w:hAnsi="Arial"/>
          <w:sz w:val="15"/>
          <w:szCs w:val="15"/>
          <w:color w:val="auto"/>
        </w:rPr>
      </w:pPr>
      <w:r>
        <w:rPr>
          <w:rFonts w:ascii="Arial" w:cs="Arial" w:eastAsia="Arial" w:hAnsi="Arial"/>
          <w:sz w:val="15"/>
          <w:szCs w:val="15"/>
          <w:color w:val="auto"/>
        </w:rPr>
        <w:t>Usual year-end adjustments and the absence of footnotes (this exception shall not be included in the Compliance Certificate which accompanies the Loan Parties’ annual financial statement).</w:t>
      </w:r>
    </w:p>
    <w:p>
      <w:pPr>
        <w:spacing w:after="0" w:line="51" w:lineRule="exact"/>
        <w:rPr>
          <w:rFonts w:ascii="Arial" w:cs="Arial" w:eastAsia="Arial" w:hAnsi="Arial"/>
          <w:sz w:val="15"/>
          <w:szCs w:val="15"/>
          <w:color w:val="auto"/>
        </w:rPr>
      </w:pPr>
    </w:p>
    <w:p>
      <w:pPr>
        <w:ind w:left="2400" w:hanging="208"/>
        <w:spacing w:after="0"/>
        <w:tabs>
          <w:tab w:leader="none" w:pos="2400" w:val="left"/>
        </w:tabs>
        <w:numPr>
          <w:ilvl w:val="1"/>
          <w:numId w:val="130"/>
        </w:numPr>
        <w:rPr>
          <w:rFonts w:ascii="Arial" w:cs="Arial" w:eastAsia="Arial" w:hAnsi="Arial"/>
          <w:sz w:val="15"/>
          <w:szCs w:val="15"/>
          <w:color w:val="auto"/>
        </w:rPr>
      </w:pPr>
      <w:r>
        <w:rPr>
          <w:rFonts w:ascii="Arial" w:cs="Arial" w:eastAsia="Arial" w:hAnsi="Arial"/>
          <w:sz w:val="15"/>
          <w:szCs w:val="15"/>
          <w:color w:val="auto"/>
        </w:rPr>
        <w:t>Material Accounting Changes.</w:t>
      </w:r>
    </w:p>
    <w:p>
      <w:pPr>
        <w:spacing w:after="0" w:line="79" w:lineRule="exact"/>
        <w:rPr>
          <w:rFonts w:ascii="Arial" w:cs="Arial" w:eastAsia="Arial" w:hAnsi="Arial"/>
          <w:sz w:val="15"/>
          <w:szCs w:val="15"/>
          <w:color w:val="auto"/>
        </w:rPr>
      </w:pPr>
    </w:p>
    <w:p>
      <w:pPr>
        <w:ind w:firstLine="1529"/>
        <w:spacing w:after="0" w:line="259" w:lineRule="auto"/>
        <w:tabs>
          <w:tab w:leader="none" w:pos="1751"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Indicate either that (i) no Default or Event of Default has occurred and is continuing, or (ii) if a Default or Event of Default has occurred and is continuing, its nature (in reasonable detail) and the steps (if any) being taken or contemplated by the Loan Parties to be taken on account thereof.</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Calculate the Consolidated Fixed Charge Coverage Ratio (whether or not a Covenant Compliance Event has occurred and is continuing).</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5.9. I</w:t>
      </w:r>
      <w:r>
        <w:rPr>
          <w:rFonts w:ascii="Arial" w:cs="Arial" w:eastAsia="Arial" w:hAnsi="Arial"/>
          <w:sz w:val="10"/>
          <w:szCs w:val="10"/>
          <w:b w:val="1"/>
          <w:bCs w:val="1"/>
          <w:color w:val="auto"/>
        </w:rPr>
        <w:t>NVENTORIES</w:t>
      </w:r>
      <w:r>
        <w:rPr>
          <w:rFonts w:ascii="Arial" w:cs="Arial" w:eastAsia="Arial" w:hAnsi="Arial"/>
          <w:sz w:val="15"/>
          <w:szCs w:val="15"/>
          <w:b w:val="1"/>
          <w:bCs w:val="1"/>
          <w:color w:val="auto"/>
        </w:rPr>
        <w:t>, A</w:t>
      </w:r>
      <w:r>
        <w:rPr>
          <w:rFonts w:ascii="Arial" w:cs="Arial" w:eastAsia="Arial" w:hAnsi="Arial"/>
          <w:sz w:val="10"/>
          <w:szCs w:val="10"/>
          <w:b w:val="1"/>
          <w:bCs w:val="1"/>
          <w:color w:val="auto"/>
        </w:rPr>
        <w:t>PPRAISALS</w:t>
      </w:r>
      <w:r>
        <w:rPr>
          <w:rFonts w:ascii="Arial" w:cs="Arial" w:eastAsia="Arial" w:hAnsi="Arial"/>
          <w:sz w:val="15"/>
          <w:szCs w:val="15"/>
          <w:b w:val="1"/>
          <w:bCs w:val="1"/>
          <w:color w:val="auto"/>
        </w:rPr>
        <w:t xml:space="preserve">, </w:t>
      </w:r>
      <w:r>
        <w:rPr>
          <w:rFonts w:ascii="Arial" w:cs="Arial" w:eastAsia="Arial" w:hAnsi="Arial"/>
          <w:sz w:val="10"/>
          <w:szCs w:val="10"/>
          <w:b w:val="1"/>
          <w:bCs w:val="1"/>
          <w:color w:val="auto"/>
        </w:rPr>
        <w:t>AND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UDITS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5" w:lineRule="auto"/>
        <w:tabs>
          <w:tab w:leader="none" w:pos="17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The Administrative Agent may observe each inventory and any cycle count of the Collateral which is undertaken on behalf of any Loan Party. The Loan Parties shall conduct not less than one (1) physical inventory per Store and one (1) cycle count per warehouse, per Fiscal year. The Administrative Agent does not contemplate undertaking or requiring any additional physical inventories or cycle counts by or of the Loan Parties;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Administrative Agent may do so if a Default or Event of Default has occurred and is continuing.</w:t>
      </w:r>
    </w:p>
    <w:p>
      <w:pPr>
        <w:spacing w:after="0" w:line="62" w:lineRule="exact"/>
        <w:rPr>
          <w:rFonts w:ascii="Arial" w:cs="Arial" w:eastAsia="Arial" w:hAnsi="Arial"/>
          <w:sz w:val="15"/>
          <w:szCs w:val="15"/>
          <w:color w:val="auto"/>
        </w:rPr>
      </w:pPr>
    </w:p>
    <w:p>
      <w:pPr>
        <w:jc w:val="both"/>
        <w:ind w:left="760" w:firstLine="1432"/>
        <w:spacing w:after="0" w:line="249" w:lineRule="auto"/>
        <w:tabs>
          <w:tab w:leader="none" w:pos="2371" w:val="left"/>
        </w:tabs>
        <w:numPr>
          <w:ilvl w:val="1"/>
          <w:numId w:val="131"/>
        </w:numPr>
        <w:rPr>
          <w:rFonts w:ascii="Arial" w:cs="Arial" w:eastAsia="Arial" w:hAnsi="Arial"/>
          <w:sz w:val="15"/>
          <w:szCs w:val="15"/>
          <w:color w:val="auto"/>
        </w:rPr>
      </w:pPr>
      <w:r>
        <w:rPr>
          <w:rFonts w:ascii="Arial" w:cs="Arial" w:eastAsia="Arial" w:hAnsi="Arial"/>
          <w:sz w:val="15"/>
          <w:szCs w:val="15"/>
          <w:color w:val="auto"/>
        </w:rPr>
        <w:t>On the Administrative Agent’s request, the Borrowers’ Representative shall provide the Administrative Agent with a copy of the preliminary results of each such physical inventory and cycle count (as well as of any other physical inventory or cycle count undertaken by any Loan Party) within ten (10) days following the completion of such physical inventory and such cycle count.</w:t>
      </w:r>
    </w:p>
    <w:p>
      <w:pPr>
        <w:spacing w:after="0" w:line="58" w:lineRule="exact"/>
        <w:rPr>
          <w:rFonts w:ascii="Arial" w:cs="Arial" w:eastAsia="Arial" w:hAnsi="Arial"/>
          <w:sz w:val="15"/>
          <w:szCs w:val="15"/>
          <w:color w:val="auto"/>
        </w:rPr>
      </w:pPr>
    </w:p>
    <w:p>
      <w:pPr>
        <w:jc w:val="both"/>
        <w:ind w:left="760" w:firstLine="1432"/>
        <w:spacing w:after="0" w:line="245" w:lineRule="auto"/>
        <w:tabs>
          <w:tab w:leader="none" w:pos="2410" w:val="left"/>
        </w:tabs>
        <w:numPr>
          <w:ilvl w:val="1"/>
          <w:numId w:val="131"/>
        </w:numPr>
        <w:rPr>
          <w:rFonts w:ascii="Arial" w:cs="Arial" w:eastAsia="Arial" w:hAnsi="Arial"/>
          <w:sz w:val="15"/>
          <w:szCs w:val="15"/>
          <w:color w:val="auto"/>
        </w:rPr>
      </w:pPr>
      <w:r>
        <w:rPr>
          <w:rFonts w:ascii="Arial" w:cs="Arial" w:eastAsia="Arial" w:hAnsi="Arial"/>
          <w:sz w:val="15"/>
          <w:szCs w:val="15"/>
          <w:color w:val="auto"/>
        </w:rPr>
        <w:t>On the Administrative Agent’s request, the Borrowers’ Representative, within thirty (30) days following the completion of such physical inventory and such cycle count, shall provide the Administrative Agent with a reconciliation of the results of each such physical inventory and cycle count (as well as of any other physical inventory or cycle count undertaken by any Loan Party) and shall post such results to the Loan Parties’ stock ledger and, as applicable to the Loan Parties’ other financial books and records.</w:t>
      </w:r>
    </w:p>
    <w:p>
      <w:pPr>
        <w:spacing w:after="0" w:line="62" w:lineRule="exact"/>
        <w:rPr>
          <w:rFonts w:ascii="Arial" w:cs="Arial" w:eastAsia="Arial" w:hAnsi="Arial"/>
          <w:sz w:val="15"/>
          <w:szCs w:val="15"/>
          <w:color w:val="auto"/>
        </w:rPr>
      </w:pPr>
    </w:p>
    <w:p>
      <w:pPr>
        <w:ind w:left="760" w:firstLine="1432"/>
        <w:spacing w:after="0" w:line="259" w:lineRule="auto"/>
        <w:tabs>
          <w:tab w:leader="none" w:pos="2446" w:val="left"/>
        </w:tabs>
        <w:numPr>
          <w:ilvl w:val="1"/>
          <w:numId w:val="131"/>
        </w:numPr>
        <w:rPr>
          <w:rFonts w:ascii="Arial" w:cs="Arial" w:eastAsia="Arial" w:hAnsi="Arial"/>
          <w:sz w:val="15"/>
          <w:szCs w:val="15"/>
          <w:color w:val="auto"/>
        </w:rPr>
      </w:pPr>
      <w:r>
        <w:rPr>
          <w:rFonts w:ascii="Arial" w:cs="Arial" w:eastAsia="Arial" w:hAnsi="Arial"/>
          <w:sz w:val="15"/>
          <w:szCs w:val="15"/>
          <w:color w:val="auto"/>
        </w:rPr>
        <w:t>The Administrative Agent, in its discretion, if a Default has occurred and is continuing, may cause such additional physical inventories and cycle counts to be taken as the Administrative Agent determines (each, at the expense of the Loan Parties).</w:t>
      </w:r>
    </w:p>
    <w:p>
      <w:pPr>
        <w:spacing w:after="0" w:line="51" w:lineRule="exact"/>
        <w:rPr>
          <w:rFonts w:ascii="Arial" w:cs="Arial" w:eastAsia="Arial" w:hAnsi="Arial"/>
          <w:sz w:val="15"/>
          <w:szCs w:val="15"/>
          <w:color w:val="auto"/>
        </w:rPr>
      </w:pPr>
    </w:p>
    <w:p>
      <w:pPr>
        <w:jc w:val="both"/>
        <w:ind w:firstLine="1529"/>
        <w:spacing w:after="0" w:line="263" w:lineRule="auto"/>
        <w:tabs>
          <w:tab w:leader="none" w:pos="1739"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The Administrative Agent may obtain appraisals of the Collateral conducted by such appraisers as are satisfactory to the Administrative Agent. The Administrative Agent shall be entitled to obtain one (1) appraisal (at the Loan Parties’ expense) of the Loan Parties’ Inventory during any twelve (12) month period during which this Agreement is in effect, conducted by such appraisers as are satisfactory to the Administrative Agent; provided that, if Excess Availability at any time is less than thirty percent (30%) of the Revolving Loan Cap, the Loan Parties acknowledge that the Administrative Agent may, in its discretion, undertake up to two (2) appraisals of the Loan Parties’ Inventory in the following twelve (12) month period at the Loan Parties’ expense. In addition, the Administrative Agent may obtain additional appraisals at its own expense;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following the occurrence of an Event of Default, the Administrative Agent may, in its discretion, cause additional appraisals to be undertaken at the Loan Parties’ expense.</w:t>
      </w:r>
    </w:p>
    <w:p>
      <w:pPr>
        <w:spacing w:after="0" w:line="131" w:lineRule="exact"/>
        <w:rPr>
          <w:rFonts w:ascii="Arial" w:cs="Arial" w:eastAsia="Arial" w:hAnsi="Arial"/>
          <w:sz w:val="14"/>
          <w:szCs w:val="14"/>
          <w:color w:val="auto"/>
        </w:rPr>
      </w:pPr>
    </w:p>
    <w:p>
      <w:pPr>
        <w:ind w:left="5660" w:hanging="86"/>
        <w:spacing w:after="0"/>
        <w:tabs>
          <w:tab w:leader="none" w:pos="5660" w:val="left"/>
        </w:tabs>
        <w:numPr>
          <w:ilvl w:val="2"/>
          <w:numId w:val="131"/>
        </w:numPr>
        <w:rPr>
          <w:rFonts w:ascii="Arial" w:cs="Arial" w:eastAsia="Arial" w:hAnsi="Arial"/>
          <w:sz w:val="15"/>
          <w:szCs w:val="15"/>
          <w:color w:val="auto"/>
        </w:rPr>
      </w:pPr>
      <w:r>
        <w:rPr>
          <w:rFonts w:ascii="Arial" w:cs="Arial" w:eastAsia="Arial" w:hAnsi="Arial"/>
          <w:sz w:val="15"/>
          <w:szCs w:val="15"/>
          <w:color w:val="auto"/>
        </w:rPr>
        <w:t>44 -</w:t>
      </w:r>
    </w:p>
    <w:p>
      <w:pPr>
        <w:sectPr>
          <w:pgSz w:w="11900" w:h="16838" w:orient="portrait"/>
          <w:cols w:equalWidth="0" w:num="1">
            <w:col w:w="11460"/>
          </w:cols>
          <w:pgMar w:left="220" w:top="208" w:right="219" w:bottom="1440" w:gutter="0" w:footer="0" w:header="0"/>
        </w:sectPr>
      </w:pPr>
    </w:p>
    <w:bookmarkStart w:id="102" w:name="page103"/>
    <w:bookmarkEnd w:id="102"/>
    <w:p>
      <w:pPr>
        <w:jc w:val="both"/>
        <w:ind w:firstLine="1529"/>
        <w:spacing w:after="0" w:line="262" w:lineRule="auto"/>
        <w:tabs>
          <w:tab w:leader="none" w:pos="174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The Administrative Agent may obtain commercial finance audits of the Loan Parties’ books and records, conducted by such examiners as are satisfactory to the Administrative Agent. The Administrative Agent shall be entitled to conduct one (1) commercial finance audit (at the Loan Parties’ expense) of the Loan Parties’ books and records during any twelve (12) month period during which this Agreement is in effect, conducted by such examiners as are satisfactory to the Administrative Agent; provided that, if Excess Availability at any time is less than thirty percent (30%) of the Revolving Loan Cap, the Loan Parties acknowledge that the Administrative Agent may, in its discretion, undertake up to two (2) commercial finance audits of the Loan Parties’ books and records in the following twelve (12) month period at the Loan Parties’ expense. In addition, the Administrative Agent may obtain additional commercial finance audits at its own expense;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following the occurrence of an Event of Default, the Administrative Agent may, in its discretion, cause additional commercial finance audits to be undertaken at the Loan Parties’ expense.</w:t>
      </w:r>
    </w:p>
    <w:p>
      <w:pPr>
        <w:spacing w:after="0" w:line="50" w:lineRule="exact"/>
        <w:rPr>
          <w:rFonts w:ascii="Arial" w:cs="Arial" w:eastAsia="Arial" w:hAnsi="Arial"/>
          <w:sz w:val="14"/>
          <w:szCs w:val="14"/>
          <w:color w:val="auto"/>
        </w:rPr>
      </w:pPr>
    </w:p>
    <w:p>
      <w:pPr>
        <w:jc w:val="both"/>
        <w:ind w:firstLine="1529"/>
        <w:spacing w:after="0" w:line="261" w:lineRule="auto"/>
        <w:tabs>
          <w:tab w:leader="none" w:pos="1738"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xml:space="preserve">The Administrative Agent agrees that so long as no Default or Event of Default has occurred and is continuing and (i) as long as such commercial examinations and collateral reports and appraisals are conducted or obtained by the Revolving Agent at the times, frequency and cadence set forth in Sections 5.09(b) and (c), (ii) the physical inventories are conducted by the Borrower at the times, frequency and cadence set forth in Section 6.09(a), (iii) the examiners, auditors, appraisers and inventory auditors utilized by the Revolving Agent are reasonably satisfactory to the Administrative Agent and (iv) the terms, conditions and scope of such commercial examinations, collateral reports and appraisals are reasonably acceptable to the Administrative Agent, the Administrative Agent shall not exercise its rights to conduct examinations or physical inventories, or obtain collateral reports and appraisals, </w:t>
      </w:r>
      <w:r>
        <w:rPr>
          <w:rFonts w:ascii="Arial" w:cs="Arial" w:eastAsia="Arial" w:hAnsi="Arial"/>
          <w:sz w:val="14"/>
          <w:szCs w:val="14"/>
          <w:u w:val="single" w:color="auto"/>
          <w:color w:val="auto"/>
        </w:rPr>
        <w:t>provided</w:t>
      </w:r>
      <w:r>
        <w:rPr>
          <w:rFonts w:ascii="Arial" w:cs="Arial" w:eastAsia="Arial" w:hAnsi="Arial"/>
          <w:sz w:val="14"/>
          <w:szCs w:val="14"/>
          <w:color w:val="auto"/>
        </w:rPr>
        <w:t>, that the Revolving Agent furnishes a copy of each such collateral report, appraisal and physical inventory undertaken by it to the Administrative Agent (which the Borrowers shall authorize and direct the Revolving Agent to do so). If any of the forgoing conditions specified in Section 5.09(d)(ii), (iii) or (iv) are not satisfied, the Administrative Agent may exercise its rights to conduct examinations or physical inventories or obtain collateral reports and appraisals.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5.10. A</w:t>
      </w:r>
      <w:r>
        <w:rPr>
          <w:rFonts w:ascii="Arial" w:cs="Arial" w:eastAsia="Arial" w:hAnsi="Arial"/>
          <w:sz w:val="10"/>
          <w:szCs w:val="10"/>
          <w:b w:val="1"/>
          <w:bCs w:val="1"/>
          <w:color w:val="auto"/>
        </w:rPr>
        <w:t>DDITIONAL</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INANCIAL</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NFORMATION</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2" w:lineRule="auto"/>
        <w:tabs>
          <w:tab w:leader="none" w:pos="1745" w:val="left"/>
        </w:tabs>
        <w:numPr>
          <w:ilvl w:val="0"/>
          <w:numId w:val="133"/>
        </w:numPr>
        <w:rPr>
          <w:rFonts w:ascii="Arial" w:cs="Arial" w:eastAsia="Arial" w:hAnsi="Arial"/>
          <w:sz w:val="15"/>
          <w:szCs w:val="15"/>
          <w:color w:val="auto"/>
        </w:rPr>
      </w:pPr>
      <w:r>
        <w:rPr>
          <w:rFonts w:ascii="Arial" w:cs="Arial" w:eastAsia="Arial" w:hAnsi="Arial"/>
          <w:sz w:val="15"/>
          <w:szCs w:val="15"/>
          <w:color w:val="auto"/>
        </w:rPr>
        <w:t xml:space="preserve">In addition to all other information required to be provided pursuant to this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the Borrowers’ Representative promptly shall provide the Administrative Agent with such other and additional information concerning the Loan Parties (and any guarantor of the Liabilities), the Collateral, the operation of the Loan Parties’ business, and the Loan Parties’ financial condition, including original counterparts of financial reports and statements, as the Administrative Agent reasonably may from time to time request, in its reasonable discretion. Without limitation to the foregoing, the Borrower’s representative shall, concurrently with delivery of each Borrowing Base Certificate required by </w:t>
      </w:r>
      <w:r>
        <w:rPr>
          <w:rFonts w:ascii="Arial" w:cs="Arial" w:eastAsia="Arial" w:hAnsi="Arial"/>
          <w:sz w:val="15"/>
          <w:szCs w:val="15"/>
          <w:u w:val="single" w:color="auto"/>
          <w:color w:val="auto"/>
        </w:rPr>
        <w:t>Section 5.4</w:t>
      </w:r>
      <w:r>
        <w:rPr>
          <w:rFonts w:ascii="Arial" w:cs="Arial" w:eastAsia="Arial" w:hAnsi="Arial"/>
          <w:sz w:val="15"/>
          <w:szCs w:val="15"/>
          <w:color w:val="auto"/>
        </w:rPr>
        <w:t xml:space="preserve"> hereof, furnish the Administrative Agent with a summary, as of the date of such Borrowing Base Certificate, of all Banking Services Obligations (as defined in the Revolving Credit Agreement in effect on the date hereof as amended in accordance with the terms hereof and of the Intercreditor Agreement) due or to become due by any Loan Party to any Agent under the Revolving Credit Agreement, Revolving Credit Lender, or any of their respective Affiliates.</w:t>
      </w:r>
    </w:p>
    <w:p>
      <w:pPr>
        <w:spacing w:after="0" w:line="63" w:lineRule="exact"/>
        <w:rPr>
          <w:rFonts w:ascii="Arial" w:cs="Arial" w:eastAsia="Arial" w:hAnsi="Arial"/>
          <w:sz w:val="15"/>
          <w:szCs w:val="15"/>
          <w:color w:val="auto"/>
        </w:rPr>
      </w:pPr>
    </w:p>
    <w:p>
      <w:pPr>
        <w:jc w:val="both"/>
        <w:ind w:firstLine="1529"/>
        <w:spacing w:after="0" w:line="249" w:lineRule="auto"/>
        <w:tabs>
          <w:tab w:leader="none" w:pos="1762" w:val="left"/>
        </w:tabs>
        <w:numPr>
          <w:ilvl w:val="0"/>
          <w:numId w:val="133"/>
        </w:numPr>
        <w:rPr>
          <w:rFonts w:ascii="Arial" w:cs="Arial" w:eastAsia="Arial" w:hAnsi="Arial"/>
          <w:sz w:val="15"/>
          <w:szCs w:val="15"/>
          <w:color w:val="auto"/>
        </w:rPr>
      </w:pPr>
      <w:r>
        <w:rPr>
          <w:rFonts w:ascii="Arial" w:cs="Arial" w:eastAsia="Arial" w:hAnsi="Arial"/>
          <w:sz w:val="15"/>
          <w:szCs w:val="15"/>
          <w:color w:val="auto"/>
        </w:rPr>
        <w:t>Each Loan Party recognizes that all appraisals, inventories, analyses, financial information, and other materials which the Administrative Agent may obtain, develop, or receive with respect to the Loan Parties are confidential to the Administrative Agent and that, except with the consent of the Administrative Agent, no Loan Party is entitled to receipt of any of such appraisals, inventories, analyses, financial information, and other materials, nor copies or extracts thereof or therefrom.</w:t>
      </w:r>
    </w:p>
    <w:p>
      <w:pPr>
        <w:spacing w:after="0" w:line="135" w:lineRule="exact"/>
        <w:rPr>
          <w:sz w:val="20"/>
          <w:szCs w:val="20"/>
          <w:color w:val="auto"/>
        </w:rPr>
      </w:pPr>
    </w:p>
    <w:p>
      <w:pPr>
        <w:ind w:firstLine="765"/>
        <w:spacing w:after="0" w:line="301" w:lineRule="auto"/>
        <w:rPr>
          <w:sz w:val="20"/>
          <w:szCs w:val="20"/>
          <w:color w:val="auto"/>
        </w:rPr>
      </w:pPr>
      <w:r>
        <w:rPr>
          <w:rFonts w:ascii="Arial" w:cs="Arial" w:eastAsia="Arial" w:hAnsi="Arial"/>
          <w:sz w:val="14"/>
          <w:szCs w:val="14"/>
          <w:b w:val="1"/>
          <w:bCs w:val="1"/>
          <w:color w:val="auto"/>
        </w:rPr>
        <w:t>5.11. F</w:t>
      </w:r>
      <w:r>
        <w:rPr>
          <w:rFonts w:ascii="Arial" w:cs="Arial" w:eastAsia="Arial" w:hAnsi="Arial"/>
          <w:sz w:val="9"/>
          <w:szCs w:val="9"/>
          <w:b w:val="1"/>
          <w:bCs w:val="1"/>
          <w:color w:val="auto"/>
        </w:rPr>
        <w:t>INANCIAL</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OVENANT</w:t>
      </w:r>
      <w:r>
        <w:rPr>
          <w:rFonts w:ascii="Arial" w:cs="Arial" w:eastAsia="Arial" w:hAnsi="Arial"/>
          <w:sz w:val="14"/>
          <w:szCs w:val="14"/>
          <w:color w:val="auto"/>
        </w:rPr>
        <w:t>. So long as a Covenant Compliance Event is continuing, the Borrowers shall not permit the Consolidated Fixed Charge Coverage Ratio, tested monthly</w:t>
      </w:r>
      <w:r>
        <w:rPr>
          <w:rFonts w:ascii="Arial" w:cs="Arial" w:eastAsia="Arial" w:hAnsi="Arial"/>
          <w:sz w:val="14"/>
          <w:szCs w:val="14"/>
          <w:b w:val="1"/>
          <w:bCs w:val="1"/>
          <w:color w:val="auto"/>
        </w:rPr>
        <w:t xml:space="preserve"> </w:t>
      </w:r>
      <w:r>
        <w:rPr>
          <w:rFonts w:ascii="Arial" w:cs="Arial" w:eastAsia="Arial" w:hAnsi="Arial"/>
          <w:sz w:val="14"/>
          <w:szCs w:val="14"/>
          <w:color w:val="auto"/>
        </w:rPr>
        <w:t>on a trailing twelve month basis commencing with the Fiscal month ending immediately prior to the occurrence of a Covenant Compliance Event, to be less than 1.0 to 1.0.</w:t>
      </w:r>
    </w:p>
    <w:p>
      <w:pPr>
        <w:spacing w:after="0" w:line="100" w:lineRule="exact"/>
        <w:rPr>
          <w:sz w:val="20"/>
          <w:szCs w:val="20"/>
          <w:color w:val="auto"/>
        </w:rPr>
      </w:pPr>
    </w:p>
    <w:p>
      <w:pPr>
        <w:ind w:firstLine="765"/>
        <w:spacing w:after="0" w:line="265" w:lineRule="auto"/>
        <w:rPr>
          <w:sz w:val="20"/>
          <w:szCs w:val="20"/>
          <w:color w:val="auto"/>
        </w:rPr>
      </w:pPr>
      <w:r>
        <w:rPr>
          <w:rFonts w:ascii="Arial" w:cs="Arial" w:eastAsia="Arial" w:hAnsi="Arial"/>
          <w:sz w:val="15"/>
          <w:szCs w:val="15"/>
          <w:b w:val="1"/>
          <w:bCs w:val="1"/>
          <w:color w:val="auto"/>
        </w:rPr>
        <w:t>5.12.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OAN</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USH</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OWN</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ESERVE</w:t>
      </w:r>
      <w:r>
        <w:rPr>
          <w:rFonts w:ascii="Arial" w:cs="Arial" w:eastAsia="Arial" w:hAnsi="Arial"/>
          <w:sz w:val="15"/>
          <w:szCs w:val="15"/>
          <w:color w:val="auto"/>
        </w:rPr>
        <w:t>. The Borrowers shall, or shall cause the Revolving Agent to immediately implement and to maintain the Term Loan Push Down Reserve and</w:t>
      </w:r>
      <w:r>
        <w:rPr>
          <w:rFonts w:ascii="Arial" w:cs="Arial" w:eastAsia="Arial" w:hAnsi="Arial"/>
          <w:sz w:val="15"/>
          <w:szCs w:val="15"/>
          <w:b w:val="1"/>
          <w:bCs w:val="1"/>
          <w:color w:val="auto"/>
        </w:rPr>
        <w:t xml:space="preserve"> </w:t>
      </w:r>
      <w:r>
        <w:rPr>
          <w:rFonts w:ascii="Arial" w:cs="Arial" w:eastAsia="Arial" w:hAnsi="Arial"/>
          <w:sz w:val="15"/>
          <w:szCs w:val="15"/>
          <w:color w:val="auto"/>
        </w:rPr>
        <w:t>after giving effect to the institution of the Term Loan Push Down Reserve, Excess Availability shall be greater than $0.</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6 - U</w:t>
      </w:r>
      <w:r>
        <w:rPr>
          <w:rFonts w:ascii="Arial" w:cs="Arial" w:eastAsia="Arial" w:hAnsi="Arial"/>
          <w:sz w:val="10"/>
          <w:szCs w:val="10"/>
          <w:b w:val="1"/>
          <w:bCs w:val="1"/>
          <w:color w:val="auto"/>
        </w:rPr>
        <w:t>SE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- 45 -</w:t>
      </w:r>
    </w:p>
    <w:p>
      <w:pPr>
        <w:sectPr>
          <w:pgSz w:w="11900" w:h="16838" w:orient="portrait"/>
          <w:cols w:equalWidth="0" w:num="1">
            <w:col w:w="11460"/>
          </w:cols>
          <w:pgMar w:left="220" w:top="207" w:right="219" w:bottom="1440" w:gutter="0" w:footer="0" w:header="0"/>
        </w:sectPr>
      </w:pPr>
    </w:p>
    <w:bookmarkStart w:id="103" w:name="page104"/>
    <w:bookmarkEnd w:id="103"/>
    <w:p>
      <w:pPr>
        <w:ind w:left="760"/>
        <w:spacing w:after="0"/>
        <w:rPr>
          <w:sz w:val="20"/>
          <w:szCs w:val="20"/>
          <w:color w:val="auto"/>
        </w:rPr>
      </w:pPr>
      <w:r>
        <w:rPr>
          <w:rFonts w:ascii="Arial" w:cs="Arial" w:eastAsia="Arial" w:hAnsi="Arial"/>
          <w:sz w:val="15"/>
          <w:szCs w:val="15"/>
          <w:b w:val="1"/>
          <w:bCs w:val="1"/>
          <w:color w:val="auto"/>
        </w:rPr>
        <w:t>6.1. U</w:t>
      </w:r>
      <w:r>
        <w:rPr>
          <w:rFonts w:ascii="Arial" w:cs="Arial" w:eastAsia="Arial" w:hAnsi="Arial"/>
          <w:sz w:val="10"/>
          <w:szCs w:val="10"/>
          <w:b w:val="1"/>
          <w:bCs w:val="1"/>
          <w:color w:val="auto"/>
        </w:rPr>
        <w:t>SE OF</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NVENTORY</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color w:val="auto"/>
        </w:rPr>
        <w:t>.</w:t>
      </w:r>
    </w:p>
    <w:p>
      <w:pPr>
        <w:spacing w:after="0" w:line="84" w:lineRule="exact"/>
        <w:rPr>
          <w:sz w:val="20"/>
          <w:szCs w:val="20"/>
          <w:color w:val="auto"/>
        </w:rPr>
      </w:pPr>
    </w:p>
    <w:p>
      <w:pPr>
        <w:ind w:left="1740" w:hanging="211"/>
        <w:spacing w:after="0"/>
        <w:tabs>
          <w:tab w:leader="none" w:pos="174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No Loan Party shall engage in any of the following with respect to its Inventory:</w:t>
      </w:r>
    </w:p>
    <w:p>
      <w:pPr>
        <w:spacing w:after="0" w:line="79" w:lineRule="exact"/>
        <w:rPr>
          <w:rFonts w:ascii="Arial" w:cs="Arial" w:eastAsia="Arial" w:hAnsi="Arial"/>
          <w:sz w:val="15"/>
          <w:szCs w:val="15"/>
          <w:color w:val="auto"/>
        </w:rPr>
      </w:pPr>
    </w:p>
    <w:p>
      <w:pPr>
        <w:ind w:left="2360" w:hanging="168"/>
        <w:spacing w:after="0"/>
        <w:tabs>
          <w:tab w:leader="none" w:pos="236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Any sale other than for fair consideration in the conduct of the Loan Parties’ business in the ordinary course.</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Sales or other dispositions to creditors.</w:t>
      </w:r>
    </w:p>
    <w:p>
      <w:pPr>
        <w:spacing w:after="0" w:line="79" w:lineRule="exact"/>
        <w:rPr>
          <w:rFonts w:ascii="Arial" w:cs="Arial" w:eastAsia="Arial" w:hAnsi="Arial"/>
          <w:sz w:val="15"/>
          <w:szCs w:val="15"/>
          <w:color w:val="auto"/>
        </w:rPr>
      </w:pPr>
    </w:p>
    <w:p>
      <w:pPr>
        <w:ind w:left="2460" w:hanging="268"/>
        <w:spacing w:after="0"/>
        <w:tabs>
          <w:tab w:leader="none" w:pos="246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Sales or other dispositions in bulk, except for Permitted Asset Dispositions.</w:t>
      </w:r>
    </w:p>
    <w:p>
      <w:pPr>
        <w:spacing w:after="0" w:line="79" w:lineRule="exact"/>
        <w:rPr>
          <w:rFonts w:ascii="Arial" w:cs="Arial" w:eastAsia="Arial" w:hAnsi="Arial"/>
          <w:sz w:val="15"/>
          <w:szCs w:val="15"/>
          <w:color w:val="auto"/>
        </w:rPr>
      </w:pPr>
    </w:p>
    <w:p>
      <w:pPr>
        <w:ind w:left="2440" w:hanging="248"/>
        <w:spacing w:after="0"/>
        <w:tabs>
          <w:tab w:leader="none" w:pos="244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Sales of any Collateral in breach of any provision of this Agreement.</w:t>
      </w:r>
    </w:p>
    <w:p>
      <w:pPr>
        <w:spacing w:after="0" w:line="79" w:lineRule="exact"/>
        <w:rPr>
          <w:rFonts w:ascii="Arial" w:cs="Arial" w:eastAsia="Arial" w:hAnsi="Arial"/>
          <w:sz w:val="15"/>
          <w:szCs w:val="15"/>
          <w:color w:val="auto"/>
        </w:rPr>
      </w:pPr>
    </w:p>
    <w:p>
      <w:pPr>
        <w:jc w:val="both"/>
        <w:ind w:firstLine="1529"/>
        <w:spacing w:after="0" w:line="263" w:lineRule="auto"/>
        <w:tabs>
          <w:tab w:leader="none" w:pos="173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No sale of Inventory shall be on consignment, approval, or under any other circumstances such that, with the exception of the Loan Parties’ customary return policy applicable to the return of Inventory purchased by the Loan Parties’ retail customers in the ordinary course, such Inventory may be returned to a Loan Party without the consent of the Administrative Agent, unless, in the case of Inventory consigned by a Loan Party to another Person, (i) such Loan Party has filed against the third party consignee a UCC financing statement or such other registration (which UCC financing statement or other registration shall be assigned to the Collateral Agent) as the Administrative Agent may reasonably determine to be necessary to perfect and protect its security interest in such consigned Inventory, and (ii) as to which such Loan Party has delivered to each secured party of the third party consignee (if any) notice of such Loan Party’s interest in such Inventory to the extent required pursuant to the UCC or other Applicable Law.</w:t>
      </w:r>
    </w:p>
    <w:p>
      <w:pPr>
        <w:spacing w:after="0" w:line="127" w:lineRule="exact"/>
        <w:rPr>
          <w:sz w:val="20"/>
          <w:szCs w:val="20"/>
          <w:color w:val="auto"/>
        </w:rPr>
      </w:pPr>
    </w:p>
    <w:p>
      <w:pPr>
        <w:jc w:val="both"/>
        <w:ind w:firstLine="765"/>
        <w:spacing w:after="0" w:line="343" w:lineRule="auto"/>
        <w:rPr>
          <w:sz w:val="20"/>
          <w:szCs w:val="20"/>
          <w:color w:val="auto"/>
        </w:rPr>
      </w:pPr>
      <w:r>
        <w:rPr>
          <w:rFonts w:ascii="Arial" w:cs="Arial" w:eastAsia="Arial" w:hAnsi="Arial"/>
          <w:sz w:val="13"/>
          <w:szCs w:val="13"/>
          <w:b w:val="1"/>
          <w:bCs w:val="1"/>
          <w:color w:val="auto"/>
        </w:rPr>
        <w:t>6.2. I</w:t>
      </w:r>
      <w:r>
        <w:rPr>
          <w:rFonts w:ascii="Arial" w:cs="Arial" w:eastAsia="Arial" w:hAnsi="Arial"/>
          <w:sz w:val="9"/>
          <w:szCs w:val="9"/>
          <w:b w:val="1"/>
          <w:bCs w:val="1"/>
          <w:color w:val="auto"/>
        </w:rPr>
        <w:t>NVENTORY</w:t>
      </w:r>
      <w:r>
        <w:rPr>
          <w:rFonts w:ascii="Arial" w:cs="Arial" w:eastAsia="Arial" w:hAnsi="Arial"/>
          <w:sz w:val="13"/>
          <w:szCs w:val="13"/>
          <w:b w:val="1"/>
          <w:bCs w:val="1"/>
          <w:color w:val="auto"/>
        </w:rPr>
        <w:t xml:space="preserve"> Q</w:t>
      </w:r>
      <w:r>
        <w:rPr>
          <w:rFonts w:ascii="Arial" w:cs="Arial" w:eastAsia="Arial" w:hAnsi="Arial"/>
          <w:sz w:val="9"/>
          <w:szCs w:val="9"/>
          <w:b w:val="1"/>
          <w:bCs w:val="1"/>
          <w:color w:val="auto"/>
        </w:rPr>
        <w:t>UALITY</w:t>
      </w:r>
      <w:r>
        <w:rPr>
          <w:rFonts w:ascii="Arial" w:cs="Arial" w:eastAsia="Arial" w:hAnsi="Arial"/>
          <w:sz w:val="13"/>
          <w:szCs w:val="13"/>
          <w:b w:val="1"/>
          <w:bCs w:val="1"/>
          <w:color w:val="auto"/>
        </w:rPr>
        <w:t xml:space="preserve">. </w:t>
      </w:r>
      <w:r>
        <w:rPr>
          <w:rFonts w:ascii="Arial" w:cs="Arial" w:eastAsia="Arial" w:hAnsi="Arial"/>
          <w:sz w:val="13"/>
          <w:szCs w:val="13"/>
          <w:color w:val="auto"/>
        </w:rPr>
        <w:t>All Inventory now owned or hereafter acquired by a Loan Party is and will be of good and merchantable quality and free from defects (other than defects</w:t>
      </w:r>
      <w:r>
        <w:rPr>
          <w:rFonts w:ascii="Arial" w:cs="Arial" w:eastAsia="Arial" w:hAnsi="Arial"/>
          <w:sz w:val="13"/>
          <w:szCs w:val="13"/>
          <w:b w:val="1"/>
          <w:bCs w:val="1"/>
          <w:color w:val="auto"/>
        </w:rPr>
        <w:t xml:space="preserve"> </w:t>
      </w:r>
      <w:r>
        <w:rPr>
          <w:rFonts w:ascii="Arial" w:cs="Arial" w:eastAsia="Arial" w:hAnsi="Arial"/>
          <w:sz w:val="13"/>
          <w:szCs w:val="13"/>
          <w:color w:val="auto"/>
        </w:rPr>
        <w:t>within customary trade tolerances), other than Inventory owned or acquired for outlet stores, which in the ordinary course sell manufacturer’s overruns, discontinued lines, and irregulars.</w:t>
      </w:r>
    </w:p>
    <w:p>
      <w:pPr>
        <w:spacing w:after="0" w:line="77" w:lineRule="exact"/>
        <w:rPr>
          <w:sz w:val="20"/>
          <w:szCs w:val="20"/>
          <w:color w:val="auto"/>
        </w:rPr>
      </w:pPr>
    </w:p>
    <w:p>
      <w:pPr>
        <w:jc w:val="both"/>
        <w:ind w:firstLine="765"/>
        <w:spacing w:after="0" w:line="270" w:lineRule="auto"/>
        <w:rPr>
          <w:sz w:val="20"/>
          <w:szCs w:val="20"/>
          <w:color w:val="auto"/>
        </w:rPr>
      </w:pPr>
      <w:r>
        <w:rPr>
          <w:rFonts w:ascii="Arial" w:cs="Arial" w:eastAsia="Arial" w:hAnsi="Arial"/>
          <w:sz w:val="14"/>
          <w:szCs w:val="14"/>
          <w:b w:val="1"/>
          <w:bCs w:val="1"/>
          <w:color w:val="auto"/>
        </w:rPr>
        <w:t>6.3. A</w:t>
      </w:r>
      <w:r>
        <w:rPr>
          <w:rFonts w:ascii="Arial" w:cs="Arial" w:eastAsia="Arial" w:hAnsi="Arial"/>
          <w:sz w:val="9"/>
          <w:szCs w:val="9"/>
          <w:b w:val="1"/>
          <w:bCs w:val="1"/>
          <w:color w:val="auto"/>
        </w:rPr>
        <w:t>DJUSTMENTS AND</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LLOWANCES</w:t>
      </w:r>
      <w:r>
        <w:rPr>
          <w:rFonts w:ascii="Arial" w:cs="Arial" w:eastAsia="Arial" w:hAnsi="Arial"/>
          <w:sz w:val="14"/>
          <w:szCs w:val="14"/>
          <w:b w:val="1"/>
          <w:bCs w:val="1"/>
          <w:color w:val="auto"/>
        </w:rPr>
        <w:t xml:space="preserve">. </w:t>
      </w:r>
      <w:r>
        <w:rPr>
          <w:rFonts w:ascii="Arial" w:cs="Arial" w:eastAsia="Arial" w:hAnsi="Arial"/>
          <w:sz w:val="14"/>
          <w:szCs w:val="14"/>
          <w:color w:val="auto"/>
        </w:rPr>
        <w:t>Each Loan Party may grant such allowances or other adjustments to that Loan Party’s Account Debtors (exclusive of extending the time for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payment of any material Account or Account Receivable, which shall not be done without first obtaining the Administrative Agent’s prior written consent in each instance) as that Loan Party may reasonably deem to accord with sound business practice, </w:t>
      </w:r>
      <w:r>
        <w:rPr>
          <w:rFonts w:ascii="Arial" w:cs="Arial" w:eastAsia="Arial" w:hAnsi="Arial"/>
          <w:sz w:val="14"/>
          <w:szCs w:val="14"/>
          <w:i w:val="1"/>
          <w:iCs w:val="1"/>
          <w:color w:val="auto"/>
        </w:rPr>
        <w:t>provided, however, a</w:t>
      </w:r>
      <w:r>
        <w:rPr>
          <w:rFonts w:ascii="Arial" w:cs="Arial" w:eastAsia="Arial" w:hAnsi="Arial"/>
          <w:sz w:val="14"/>
          <w:szCs w:val="14"/>
          <w:color w:val="auto"/>
        </w:rPr>
        <w:t xml:space="preserve">t any time that a Default has occurred and is continuing, the authority granted the Loan Parties pursuant to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may be limited or terminated by the Administrative Agent at any time in the Administrative Agent’s reasonable discretion.</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7 - C</w:t>
      </w:r>
      <w:r>
        <w:rPr>
          <w:rFonts w:ascii="Arial" w:cs="Arial" w:eastAsia="Arial" w:hAnsi="Arial"/>
          <w:sz w:val="10"/>
          <w:szCs w:val="10"/>
          <w:b w:val="1"/>
          <w:bCs w:val="1"/>
          <w:color w:val="auto"/>
        </w:rPr>
        <w:t>ASH</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ANAGEMENT</w:t>
      </w:r>
      <w:r>
        <w:rPr>
          <w:rFonts w:ascii="Arial" w:cs="Arial" w:eastAsia="Arial" w:hAnsi="Arial"/>
          <w:sz w:val="15"/>
          <w:szCs w:val="15"/>
          <w:b w:val="1"/>
          <w:bCs w:val="1"/>
          <w:color w:val="auto"/>
        </w:rPr>
        <w:t>. P</w:t>
      </w:r>
      <w:r>
        <w:rPr>
          <w:rFonts w:ascii="Arial" w:cs="Arial" w:eastAsia="Arial" w:hAnsi="Arial"/>
          <w:sz w:val="10"/>
          <w:szCs w:val="10"/>
          <w:b w:val="1"/>
          <w:bCs w:val="1"/>
          <w:color w:val="auto"/>
        </w:rPr>
        <w:t>AYMENT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IABILITIES</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7.1. D</w:t>
      </w:r>
      <w:r>
        <w:rPr>
          <w:rFonts w:ascii="Arial" w:cs="Arial" w:eastAsia="Arial" w:hAnsi="Arial"/>
          <w:sz w:val="10"/>
          <w:szCs w:val="10"/>
          <w:b w:val="1"/>
          <w:bCs w:val="1"/>
          <w:color w:val="auto"/>
        </w:rPr>
        <w:t>EPOSITORY</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CCOUNTS</w:t>
      </w:r>
      <w:r>
        <w:rPr>
          <w:rFonts w:ascii="Arial" w:cs="Arial" w:eastAsia="Arial" w:hAnsi="Arial"/>
          <w:sz w:val="15"/>
          <w:szCs w:val="15"/>
          <w:color w:val="auto"/>
        </w:rPr>
        <w:t>.</w:t>
      </w:r>
    </w:p>
    <w:p>
      <w:pPr>
        <w:spacing w:after="0" w:line="80" w:lineRule="exact"/>
        <w:rPr>
          <w:sz w:val="20"/>
          <w:szCs w:val="20"/>
          <w:color w:val="auto"/>
        </w:rPr>
      </w:pPr>
    </w:p>
    <w:p>
      <w:pPr>
        <w:ind w:firstLine="1529"/>
        <w:spacing w:after="0" w:line="265" w:lineRule="auto"/>
        <w:tabs>
          <w:tab w:leader="none" w:pos="17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 xml:space="preserve">Annexed hereto as </w:t>
      </w:r>
      <w:r>
        <w:rPr>
          <w:rFonts w:ascii="Arial" w:cs="Arial" w:eastAsia="Arial" w:hAnsi="Arial"/>
          <w:sz w:val="15"/>
          <w:szCs w:val="15"/>
          <w:b w:val="1"/>
          <w:bCs w:val="1"/>
          <w:color w:val="auto"/>
        </w:rPr>
        <w:t>EXHIBIT 7.1</w:t>
      </w:r>
      <w:r>
        <w:rPr>
          <w:rFonts w:ascii="Arial" w:cs="Arial" w:eastAsia="Arial" w:hAnsi="Arial"/>
          <w:sz w:val="15"/>
          <w:szCs w:val="15"/>
          <w:color w:val="auto"/>
        </w:rPr>
        <w:t xml:space="preserve"> is a schedule of all present DDAs, which schedule includes, with respect to each depository: (i) the name and address of that depository; (ii) the account number(s) of the account(s) maintained with such depository; and (iii) a contact person at such depository.</w:t>
      </w:r>
    </w:p>
    <w:p>
      <w:pPr>
        <w:spacing w:after="0" w:line="46" w:lineRule="exact"/>
        <w:rPr>
          <w:rFonts w:ascii="Arial" w:cs="Arial" w:eastAsia="Arial" w:hAnsi="Arial"/>
          <w:sz w:val="15"/>
          <w:szCs w:val="15"/>
          <w:color w:val="auto"/>
        </w:rPr>
      </w:pPr>
    </w:p>
    <w:p>
      <w:pPr>
        <w:ind w:left="1740" w:hanging="211"/>
        <w:spacing w:after="0"/>
        <w:tabs>
          <w:tab w:leader="none" w:pos="174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The Borrowers’ Representative shall deliver to the Administrative Agent, as a condition to the effectiveness of this Agreement, a Blocked Account Agreement with</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each Blocked Account Bank.</w:t>
      </w:r>
    </w:p>
    <w:p>
      <w:pPr>
        <w:spacing w:after="0" w:line="67" w:lineRule="exact"/>
        <w:rPr>
          <w:rFonts w:ascii="Arial" w:cs="Arial" w:eastAsia="Arial" w:hAnsi="Arial"/>
          <w:sz w:val="13"/>
          <w:szCs w:val="13"/>
          <w:color w:val="auto"/>
        </w:rPr>
      </w:pPr>
    </w:p>
    <w:p>
      <w:pPr>
        <w:ind w:firstLine="1529"/>
        <w:spacing w:after="0" w:line="259" w:lineRule="auto"/>
        <w:tabs>
          <w:tab w:leader="none" w:pos="1734" w:val="left"/>
        </w:tabs>
        <w:numPr>
          <w:ilvl w:val="0"/>
          <w:numId w:val="135"/>
        </w:numPr>
        <w:rPr>
          <w:rFonts w:ascii="Arial" w:cs="Arial" w:eastAsia="Arial" w:hAnsi="Arial"/>
          <w:sz w:val="15"/>
          <w:szCs w:val="15"/>
          <w:color w:val="auto"/>
        </w:rPr>
      </w:pPr>
      <w:r>
        <w:rPr>
          <w:rFonts w:ascii="Arial" w:cs="Arial" w:eastAsia="Arial" w:hAnsi="Arial"/>
          <w:sz w:val="15"/>
          <w:szCs w:val="15"/>
          <w:color w:val="auto"/>
        </w:rPr>
        <w:t>No Loan Party will establish any deposit account other than an Exempt DDA, unless the Borrowers’ Representative provides the Administrative Agent with notice thereof and, if required pursuant to the terms of this Agreement, a Blocked Account Agreement.</w:t>
      </w:r>
    </w:p>
    <w:p>
      <w:pPr>
        <w:spacing w:after="0" w:line="51" w:lineRule="exact"/>
        <w:rPr>
          <w:rFonts w:ascii="Arial" w:cs="Arial" w:eastAsia="Arial" w:hAnsi="Arial"/>
          <w:sz w:val="15"/>
          <w:szCs w:val="15"/>
          <w:color w:val="auto"/>
        </w:rPr>
      </w:pPr>
    </w:p>
    <w:p>
      <w:pPr>
        <w:jc w:val="both"/>
        <w:ind w:firstLine="1529"/>
        <w:spacing w:after="0" w:line="245" w:lineRule="auto"/>
        <w:tabs>
          <w:tab w:leader="none" w:pos="1743"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Borrowers’ Representative shall deliver to the Administrative Agent, as a condition to the effectiveness of this Agreement, notification, executed on behalf of the relevant Loan Party, to each of such Loan Party’s depository institutions (in form satisfactory to the Administrative Agent), which notice provides that all amounts on deposit (net of any minimum required balance not in any event to exceed $2,500) shall be directed to a Blocked Account (“</w:t>
      </w:r>
      <w:r>
        <w:rPr>
          <w:rFonts w:ascii="Arial" w:cs="Arial" w:eastAsia="Arial" w:hAnsi="Arial"/>
          <w:sz w:val="15"/>
          <w:szCs w:val="15"/>
          <w:b w:val="1"/>
          <w:bCs w:val="1"/>
          <w:color w:val="auto"/>
        </w:rPr>
        <w:t>DDA Notifications</w:t>
      </w:r>
      <w:r>
        <w:rPr>
          <w:rFonts w:ascii="Arial" w:cs="Arial" w:eastAsia="Arial" w:hAnsi="Arial"/>
          <w:sz w:val="15"/>
          <w:szCs w:val="15"/>
          <w:color w:val="auto"/>
        </w:rPr>
        <w:t>”). No Loan Party shall change such direction or designation except upon and with the prior written consent of the Administrative Agent.</w:t>
      </w:r>
    </w:p>
    <w:p>
      <w:pPr>
        <w:spacing w:after="0" w:line="142" w:lineRule="exact"/>
        <w:rPr>
          <w:rFonts w:ascii="Arial" w:cs="Arial" w:eastAsia="Arial" w:hAnsi="Arial"/>
          <w:sz w:val="15"/>
          <w:szCs w:val="15"/>
          <w:color w:val="auto"/>
        </w:rPr>
      </w:pPr>
    </w:p>
    <w:p>
      <w:pPr>
        <w:ind w:left="5660" w:hanging="86"/>
        <w:spacing w:after="0"/>
        <w:tabs>
          <w:tab w:leader="none" w:pos="566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46 -</w:t>
      </w:r>
    </w:p>
    <w:p>
      <w:pPr>
        <w:sectPr>
          <w:pgSz w:w="11900" w:h="16838" w:orient="portrait"/>
          <w:cols w:equalWidth="0" w:num="1">
            <w:col w:w="11460"/>
          </w:cols>
          <w:pgMar w:left="220" w:top="284" w:right="21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b w:val="1"/>
          <w:bCs w:val="1"/>
          <w:color w:val="auto"/>
        </w:rPr>
        <w:t>7.2. C</w:t>
      </w:r>
      <w:r>
        <w:rPr>
          <w:rFonts w:ascii="Arial" w:cs="Arial" w:eastAsia="Arial" w:hAnsi="Arial"/>
          <w:sz w:val="10"/>
          <w:szCs w:val="10"/>
          <w:b w:val="1"/>
          <w:bCs w:val="1"/>
          <w:color w:val="auto"/>
        </w:rPr>
        <w:t>REDIT</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ARD</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ECEIPTS</w:t>
      </w:r>
      <w:r>
        <w:rPr>
          <w:rFonts w:ascii="Arial" w:cs="Arial" w:eastAsia="Arial" w:hAnsi="Arial"/>
          <w:sz w:val="15"/>
          <w:szCs w:val="15"/>
          <w:color w:val="auto"/>
        </w:rPr>
        <w:t>.</w:t>
      </w:r>
    </w:p>
    <w:p>
      <w:pPr>
        <w:spacing w:after="0" w:line="80" w:lineRule="exact"/>
        <w:rPr>
          <w:sz w:val="20"/>
          <w:szCs w:val="20"/>
          <w:color w:val="auto"/>
        </w:rPr>
      </w:pPr>
    </w:p>
    <w:p>
      <w:pPr>
        <w:ind w:left="-760" w:firstLine="1529"/>
        <w:spacing w:after="0" w:line="265" w:lineRule="auto"/>
        <w:tabs>
          <w:tab w:leader="none" w:pos="969"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Annexed hereto as </w:t>
      </w:r>
      <w:r>
        <w:rPr>
          <w:rFonts w:ascii="Arial" w:cs="Arial" w:eastAsia="Arial" w:hAnsi="Arial"/>
          <w:sz w:val="15"/>
          <w:szCs w:val="15"/>
          <w:b w:val="1"/>
          <w:bCs w:val="1"/>
          <w:color w:val="auto"/>
        </w:rPr>
        <w:t>EXHIBIT 7.2</w:t>
      </w:r>
      <w:r>
        <w:rPr>
          <w:rFonts w:ascii="Arial" w:cs="Arial" w:eastAsia="Arial" w:hAnsi="Arial"/>
          <w:sz w:val="15"/>
          <w:szCs w:val="15"/>
          <w:color w:val="auto"/>
        </w:rPr>
        <w:t xml:space="preserve"> is a schedule which describes all arrangements to which each Loan Party is a party with respect to the payment to such Loan Party of the proceeds of all credit card charges for sales by such Loan Party.</w:t>
      </w:r>
    </w:p>
    <w:p>
      <w:pPr>
        <w:spacing w:after="0" w:line="46" w:lineRule="exact"/>
        <w:rPr>
          <w:rFonts w:ascii="Arial" w:cs="Arial" w:eastAsia="Arial" w:hAnsi="Arial"/>
          <w:sz w:val="15"/>
          <w:szCs w:val="15"/>
          <w:color w:val="auto"/>
        </w:rPr>
      </w:pPr>
    </w:p>
    <w:p>
      <w:pPr>
        <w:jc w:val="both"/>
        <w:ind w:left="-760" w:firstLine="1529"/>
        <w:spacing w:after="0" w:line="295" w:lineRule="auto"/>
        <w:tabs>
          <w:tab w:leader="none" w:pos="983"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Borrowers’ Representative shall deliver to the Administrative Agent, as a condition to the effectiveness of this Agreement, notification, executed on behalf of the relevant Loan Party, to each of such Loan Party’s credit card clearinghouses and processors (in form satisfactory to the Administrative Agent), which notice provides that payment of all credit card charges submitted by any Loan Party to that clearinghouse or processor and any other amount payable to any Loan Party by such clearinghouse or processor shall be directed to a Blocked Account (“</w:t>
      </w:r>
      <w:r>
        <w:rPr>
          <w:rFonts w:ascii="Arial" w:cs="Arial" w:eastAsia="Arial" w:hAnsi="Arial"/>
          <w:sz w:val="13"/>
          <w:szCs w:val="13"/>
          <w:b w:val="1"/>
          <w:bCs w:val="1"/>
          <w:color w:val="auto"/>
        </w:rPr>
        <w:t>Credit Card Notifications</w:t>
      </w:r>
      <w:r>
        <w:rPr>
          <w:rFonts w:ascii="Arial" w:cs="Arial" w:eastAsia="Arial" w:hAnsi="Arial"/>
          <w:sz w:val="13"/>
          <w:szCs w:val="13"/>
          <w:color w:val="auto"/>
        </w:rPr>
        <w:t>”). No Loan Party shall change such direction or designation except upon and with the prior written consent of the Administrative Agent.</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7.3. 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DMINISTRATIVE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r>
        <w:rPr>
          <w:rFonts w:ascii="Arial" w:cs="Arial" w:eastAsia="Arial" w:hAnsi="Arial"/>
          <w:sz w:val="15"/>
          <w:szCs w:val="15"/>
          <w:b w:val="1"/>
          <w:bCs w:val="1"/>
          <w:color w:val="auto"/>
        </w:rPr>
        <w:t>’</w:t>
      </w:r>
      <w:r>
        <w:rPr>
          <w:rFonts w:ascii="Arial" w:cs="Arial" w:eastAsia="Arial" w:hAnsi="Arial"/>
          <w:sz w:val="10"/>
          <w:szCs w:val="10"/>
          <w:b w:val="1"/>
          <w:bCs w:val="1"/>
          <w:color w:val="auto"/>
        </w:rPr>
        <w:t>S</w:t>
      </w:r>
      <w:r>
        <w:rPr>
          <w:rFonts w:ascii="Arial" w:cs="Arial" w:eastAsia="Arial" w:hAnsi="Arial"/>
          <w:sz w:val="15"/>
          <w:szCs w:val="15"/>
          <w:b w:val="1"/>
          <w:bCs w:val="1"/>
          <w:color w:val="auto"/>
        </w:rPr>
        <w:t>, B</w:t>
      </w:r>
      <w:r>
        <w:rPr>
          <w:rFonts w:ascii="Arial" w:cs="Arial" w:eastAsia="Arial" w:hAnsi="Arial"/>
          <w:sz w:val="10"/>
          <w:szCs w:val="10"/>
          <w:b w:val="1"/>
          <w:bCs w:val="1"/>
          <w:color w:val="auto"/>
        </w:rPr>
        <w:t>LOCKED</w:t>
      </w:r>
      <w:r>
        <w:rPr>
          <w:rFonts w:ascii="Arial" w:cs="Arial" w:eastAsia="Arial" w:hAnsi="Arial"/>
          <w:sz w:val="15"/>
          <w:szCs w:val="15"/>
          <w:b w:val="1"/>
          <w:bCs w:val="1"/>
          <w:color w:val="auto"/>
        </w:rPr>
        <w:t xml:space="preserve">, </w:t>
      </w:r>
      <w:r>
        <w:rPr>
          <w:rFonts w:ascii="Arial" w:cs="Arial" w:eastAsia="Arial" w:hAnsi="Arial"/>
          <w:sz w:val="10"/>
          <w:szCs w:val="10"/>
          <w:b w:val="1"/>
          <w:bCs w:val="1"/>
          <w:color w:val="auto"/>
        </w:rPr>
        <w:t>AND</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PERATING</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CCOUNTS</w:t>
      </w:r>
      <w:r>
        <w:rPr>
          <w:rFonts w:ascii="Arial" w:cs="Arial" w:eastAsia="Arial" w:hAnsi="Arial"/>
          <w:sz w:val="15"/>
          <w:szCs w:val="15"/>
          <w:color w:val="auto"/>
        </w:rPr>
        <w:t>.</w:t>
      </w:r>
    </w:p>
    <w:p>
      <w:pPr>
        <w:spacing w:after="0" w:line="84" w:lineRule="exact"/>
        <w:rPr>
          <w:sz w:val="20"/>
          <w:szCs w:val="20"/>
          <w:color w:val="auto"/>
        </w:rPr>
      </w:pPr>
    </w:p>
    <w:p>
      <w:pPr>
        <w:ind w:left="980" w:hanging="211"/>
        <w:spacing w:after="0"/>
        <w:tabs>
          <w:tab w:leader="none" w:pos="9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following checking accounts have been established (and are so referred to herein):</w:t>
      </w:r>
    </w:p>
    <w:p>
      <w:pPr>
        <w:spacing w:after="0" w:line="75" w:lineRule="exact"/>
        <w:rPr>
          <w:rFonts w:ascii="Arial" w:cs="Arial" w:eastAsia="Arial" w:hAnsi="Arial"/>
          <w:sz w:val="15"/>
          <w:szCs w:val="15"/>
          <w:color w:val="auto"/>
        </w:rPr>
      </w:pPr>
    </w:p>
    <w:p>
      <w:pPr>
        <w:ind w:left="1600" w:hanging="168"/>
        <w:spacing w:after="0"/>
        <w:tabs>
          <w:tab w:leader="none" w:pos="160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“Term Loan Priority Account”</w:t>
      </w:r>
      <w:r>
        <w:rPr>
          <w:rFonts w:ascii="Arial" w:cs="Arial" w:eastAsia="Arial" w:hAnsi="Arial"/>
          <w:sz w:val="15"/>
          <w:szCs w:val="15"/>
          <w:color w:val="auto"/>
        </w:rPr>
        <w:t xml:space="preserve"> (so referred to herein): Established by the Administrative Agent with Wells Fargo.</w:t>
      </w:r>
    </w:p>
    <w:p>
      <w:pPr>
        <w:spacing w:after="0" w:line="79" w:lineRule="exact"/>
        <w:rPr>
          <w:rFonts w:ascii="Arial" w:cs="Arial" w:eastAsia="Arial" w:hAnsi="Arial"/>
          <w:sz w:val="15"/>
          <w:szCs w:val="15"/>
          <w:color w:val="auto"/>
        </w:rPr>
      </w:pPr>
    </w:p>
    <w:p>
      <w:pPr>
        <w:ind w:firstLine="1432"/>
        <w:spacing w:after="0" w:line="265" w:lineRule="auto"/>
        <w:tabs>
          <w:tab w:leader="none" w:pos="1644" w:val="left"/>
        </w:tabs>
        <w:numPr>
          <w:ilvl w:val="1"/>
          <w:numId w:val="137"/>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“Blocked Accounts”</w:t>
      </w:r>
      <w:r>
        <w:rPr>
          <w:rFonts w:ascii="Arial" w:cs="Arial" w:eastAsia="Arial" w:hAnsi="Arial"/>
          <w:sz w:val="15"/>
          <w:szCs w:val="15"/>
          <w:color w:val="auto"/>
        </w:rPr>
        <w:t xml:space="preserve"> (so referred to herein): The deposit accounts from time to time established by any Loan Party with a Blocked Account Bank in respect of which the Administrative Agent has required a Blocked Account Agreement pursuant to the terms of this Agreement.</w:t>
      </w:r>
    </w:p>
    <w:p>
      <w:pPr>
        <w:spacing w:after="0" w:line="42" w:lineRule="exact"/>
        <w:rPr>
          <w:rFonts w:ascii="Arial" w:cs="Arial" w:eastAsia="Arial" w:hAnsi="Arial"/>
          <w:sz w:val="15"/>
          <w:szCs w:val="15"/>
          <w:color w:val="auto"/>
        </w:rPr>
      </w:pPr>
    </w:p>
    <w:p>
      <w:pPr>
        <w:ind w:left="1700" w:hanging="268"/>
        <w:spacing w:after="0"/>
        <w:tabs>
          <w:tab w:leader="none" w:pos="170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“Operating Account”</w:t>
      </w:r>
      <w:r>
        <w:rPr>
          <w:rFonts w:ascii="Arial" w:cs="Arial" w:eastAsia="Arial" w:hAnsi="Arial"/>
          <w:sz w:val="15"/>
          <w:szCs w:val="15"/>
          <w:color w:val="auto"/>
        </w:rPr>
        <w:t xml:space="preserve"> (so referred to herein): Established by the Borrowers’ Representative with Bank of America.</w:t>
      </w:r>
    </w:p>
    <w:p>
      <w:pPr>
        <w:spacing w:after="0" w:line="83" w:lineRule="exact"/>
        <w:rPr>
          <w:rFonts w:ascii="Arial" w:cs="Arial" w:eastAsia="Arial" w:hAnsi="Arial"/>
          <w:sz w:val="15"/>
          <w:szCs w:val="15"/>
          <w:color w:val="auto"/>
        </w:rPr>
      </w:pPr>
    </w:p>
    <w:p>
      <w:pPr>
        <w:ind w:left="-760" w:firstLine="1529"/>
        <w:spacing w:after="0" w:line="259" w:lineRule="auto"/>
        <w:tabs>
          <w:tab w:leader="none" w:pos="1002"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contents of each DDA and of the Blocked Accounts constitutes Collateral and Proceeds of Collateral. The contents of the Term Loan Priority Account constitutes the Administrative Agent’s property.</w:t>
      </w:r>
    </w:p>
    <w:p>
      <w:pPr>
        <w:spacing w:after="0" w:line="51" w:lineRule="exact"/>
        <w:rPr>
          <w:rFonts w:ascii="Arial" w:cs="Arial" w:eastAsia="Arial" w:hAnsi="Arial"/>
          <w:sz w:val="15"/>
          <w:szCs w:val="15"/>
          <w:color w:val="auto"/>
        </w:rPr>
      </w:pPr>
    </w:p>
    <w:p>
      <w:pPr>
        <w:ind w:left="-760" w:firstLine="1529"/>
        <w:spacing w:after="0" w:line="259" w:lineRule="auto"/>
        <w:tabs>
          <w:tab w:leader="none" w:pos="976"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Loan Parties shall pay all fees and charges of, and maintain such impressed balances as may be required by the depository in which any account is opened as required hereby (even if such account is opened by and/or is the property of the Administrative Agent).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7.4. P</w:t>
      </w:r>
      <w:r>
        <w:rPr>
          <w:rFonts w:ascii="Arial" w:cs="Arial" w:eastAsia="Arial" w:hAnsi="Arial"/>
          <w:sz w:val="10"/>
          <w:szCs w:val="10"/>
          <w:b w:val="1"/>
          <w:bCs w:val="1"/>
          <w:color w:val="auto"/>
        </w:rPr>
        <w:t>ROCEEDS AND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OLLECTIONS</w:t>
      </w:r>
      <w:r>
        <w:rPr>
          <w:rFonts w:ascii="Arial" w:cs="Arial" w:eastAsia="Arial" w:hAnsi="Arial"/>
          <w:sz w:val="15"/>
          <w:szCs w:val="15"/>
          <w:color w:val="auto"/>
        </w:rPr>
        <w:t>.</w:t>
      </w:r>
    </w:p>
    <w:p>
      <w:pPr>
        <w:spacing w:after="0" w:line="84" w:lineRule="exact"/>
        <w:rPr>
          <w:sz w:val="20"/>
          <w:szCs w:val="20"/>
          <w:color w:val="auto"/>
        </w:rPr>
      </w:pPr>
    </w:p>
    <w:p>
      <w:pPr>
        <w:ind w:left="980" w:hanging="211"/>
        <w:spacing w:after="0"/>
        <w:tabs>
          <w:tab w:leader="none" w:pos="98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All Receipts and all other cash proceeds of any Disposition of any of each Loan Party’s assets:</w:t>
      </w:r>
    </w:p>
    <w:p>
      <w:pPr>
        <w:spacing w:after="0" w:line="79" w:lineRule="exact"/>
        <w:rPr>
          <w:rFonts w:ascii="Arial" w:cs="Arial" w:eastAsia="Arial" w:hAnsi="Arial"/>
          <w:sz w:val="15"/>
          <w:szCs w:val="15"/>
          <w:color w:val="auto"/>
        </w:rPr>
      </w:pPr>
    </w:p>
    <w:p>
      <w:pPr>
        <w:ind w:left="1600" w:hanging="168"/>
        <w:spacing w:after="0"/>
        <w:tabs>
          <w:tab w:leader="none" w:pos="160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Constitute Collateral and proceeds of Collateral.</w:t>
      </w:r>
    </w:p>
    <w:p>
      <w:pPr>
        <w:spacing w:after="0" w:line="79" w:lineRule="exact"/>
        <w:rPr>
          <w:rFonts w:ascii="Arial" w:cs="Arial" w:eastAsia="Arial" w:hAnsi="Arial"/>
          <w:sz w:val="15"/>
          <w:szCs w:val="15"/>
          <w:color w:val="auto"/>
        </w:rPr>
      </w:pPr>
    </w:p>
    <w:p>
      <w:pPr>
        <w:ind w:left="1640" w:hanging="208"/>
        <w:spacing w:after="0"/>
        <w:tabs>
          <w:tab w:leader="none" w:pos="164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Shall be held in trust by the Loan Parties for the Administrative Agent or for the Revolving Agent, as applicable.</w:t>
      </w:r>
    </w:p>
    <w:p>
      <w:pPr>
        <w:spacing w:after="0" w:line="79" w:lineRule="exact"/>
        <w:rPr>
          <w:rFonts w:ascii="Arial" w:cs="Arial" w:eastAsia="Arial" w:hAnsi="Arial"/>
          <w:sz w:val="15"/>
          <w:szCs w:val="15"/>
          <w:color w:val="auto"/>
        </w:rPr>
      </w:pPr>
    </w:p>
    <w:p>
      <w:pPr>
        <w:ind w:left="1700" w:hanging="268"/>
        <w:spacing w:after="0"/>
        <w:tabs>
          <w:tab w:leader="none" w:pos="170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Shall not be commingled with any of any Loan Party’s other funds.</w:t>
      </w:r>
    </w:p>
    <w:p>
      <w:pPr>
        <w:spacing w:after="0" w:line="79" w:lineRule="exact"/>
        <w:rPr>
          <w:rFonts w:ascii="Arial" w:cs="Arial" w:eastAsia="Arial" w:hAnsi="Arial"/>
          <w:sz w:val="15"/>
          <w:szCs w:val="15"/>
          <w:color w:val="auto"/>
        </w:rPr>
      </w:pPr>
    </w:p>
    <w:p>
      <w:pPr>
        <w:ind w:firstLine="1432"/>
        <w:spacing w:after="0" w:line="259" w:lineRule="auto"/>
        <w:tabs>
          <w:tab w:leader="none" w:pos="1688" w:val="left"/>
        </w:tabs>
        <w:numPr>
          <w:ilvl w:val="1"/>
          <w:numId w:val="138"/>
        </w:numPr>
        <w:rPr>
          <w:rFonts w:ascii="Arial" w:cs="Arial" w:eastAsia="Arial" w:hAnsi="Arial"/>
          <w:sz w:val="15"/>
          <w:szCs w:val="15"/>
          <w:color w:val="auto"/>
        </w:rPr>
      </w:pPr>
      <w:r>
        <w:rPr>
          <w:rFonts w:ascii="Arial" w:cs="Arial" w:eastAsia="Arial" w:hAnsi="Arial"/>
          <w:sz w:val="15"/>
          <w:szCs w:val="15"/>
          <w:color w:val="auto"/>
        </w:rPr>
        <w:t>Shall be transferred only to a Blocked Account if not proceeds of Term Loan Priority Collateral or to the Term Loan Priority Account if proceeds of Term Loan Priority Collateral.</w:t>
      </w:r>
    </w:p>
    <w:p>
      <w:pPr>
        <w:spacing w:after="0" w:line="51" w:lineRule="exact"/>
        <w:rPr>
          <w:rFonts w:ascii="Arial" w:cs="Arial" w:eastAsia="Arial" w:hAnsi="Arial"/>
          <w:sz w:val="15"/>
          <w:szCs w:val="15"/>
          <w:color w:val="auto"/>
        </w:rPr>
      </w:pPr>
    </w:p>
    <w:p>
      <w:pPr>
        <w:ind w:left="980" w:hanging="211"/>
        <w:spacing w:after="0"/>
        <w:tabs>
          <w:tab w:leader="none" w:pos="9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For all Receipts, the Borrowers’ Representative shall cause by ACH or wire transfer to a Blocked Account, no less frequently than daily, the following:</w:t>
      </w:r>
    </w:p>
    <w:p>
      <w:pPr>
        <w:spacing w:after="0" w:line="91" w:lineRule="exact"/>
        <w:rPr>
          <w:rFonts w:ascii="Arial" w:cs="Arial" w:eastAsia="Arial" w:hAnsi="Arial"/>
          <w:sz w:val="14"/>
          <w:szCs w:val="14"/>
          <w:color w:val="auto"/>
        </w:rPr>
      </w:pPr>
    </w:p>
    <w:p>
      <w:pPr>
        <w:ind w:left="1600" w:hanging="168"/>
        <w:spacing w:after="0"/>
        <w:tabs>
          <w:tab w:leader="none" w:pos="160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The entire contents (net of any minimum required balance not in any event to exceed $2,500) of each DDA (but excluding any Exempt DDA).</w:t>
      </w:r>
    </w:p>
    <w:p>
      <w:pPr>
        <w:spacing w:after="0" w:line="91" w:lineRule="exact"/>
        <w:rPr>
          <w:rFonts w:ascii="Arial" w:cs="Arial" w:eastAsia="Arial" w:hAnsi="Arial"/>
          <w:sz w:val="14"/>
          <w:szCs w:val="14"/>
          <w:color w:val="auto"/>
        </w:rPr>
      </w:pPr>
    </w:p>
    <w:p>
      <w:pPr>
        <w:ind w:left="1640" w:hanging="208"/>
        <w:spacing w:after="0"/>
        <w:tabs>
          <w:tab w:leader="none" w:pos="164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The proceeds of all credit card charges not otherwise provided for pursuant hereto.</w:t>
      </w:r>
    </w:p>
    <w:p>
      <w:pPr>
        <w:spacing w:after="0" w:line="160" w:lineRule="exact"/>
        <w:rPr>
          <w:rFonts w:ascii="Arial" w:cs="Arial" w:eastAsia="Arial" w:hAnsi="Arial"/>
          <w:sz w:val="15"/>
          <w:szCs w:val="15"/>
          <w:color w:val="auto"/>
        </w:rPr>
      </w:pPr>
    </w:p>
    <w:p>
      <w:pPr>
        <w:ind w:left="4900" w:hanging="86"/>
        <w:spacing w:after="0"/>
        <w:tabs>
          <w:tab w:leader="none" w:pos="4900" w:val="left"/>
        </w:tabs>
        <w:numPr>
          <w:ilvl w:val="2"/>
          <w:numId w:val="138"/>
        </w:numPr>
        <w:rPr>
          <w:rFonts w:ascii="Arial" w:cs="Arial" w:eastAsia="Arial" w:hAnsi="Arial"/>
          <w:sz w:val="15"/>
          <w:szCs w:val="15"/>
          <w:color w:val="auto"/>
        </w:rPr>
      </w:pPr>
      <w:r>
        <w:rPr>
          <w:rFonts w:ascii="Arial" w:cs="Arial" w:eastAsia="Arial" w:hAnsi="Arial"/>
          <w:sz w:val="15"/>
          <w:szCs w:val="15"/>
          <w:color w:val="auto"/>
        </w:rPr>
        <w:t>47 -</w:t>
      </w:r>
    </w:p>
    <w:p>
      <w:pPr>
        <w:sectPr>
          <w:pgSz w:w="11900" w:h="16838" w:orient="portrait"/>
          <w:cols w:equalWidth="0" w:num="1">
            <w:col w:w="10700"/>
          </w:cols>
          <w:pgMar w:left="980" w:top="284" w:right="219" w:bottom="1440" w:gutter="0" w:footer="0" w:header="0"/>
        </w:sectPr>
      </w:pPr>
    </w:p>
    <w:bookmarkStart w:id="105" w:name="page106"/>
    <w:bookmarkEnd w:id="105"/>
    <w:p>
      <w:pPr>
        <w:spacing w:after="0" w:line="336" w:lineRule="auto"/>
        <w:rPr>
          <w:sz w:val="20"/>
          <w:szCs w:val="20"/>
          <w:color w:val="auto"/>
        </w:rPr>
      </w:pPr>
      <w:r>
        <w:rPr>
          <w:rFonts w:ascii="Arial" w:cs="Arial" w:eastAsia="Arial" w:hAnsi="Arial"/>
          <w:sz w:val="13"/>
          <w:szCs w:val="13"/>
          <w:color w:val="auto"/>
        </w:rPr>
        <w:t xml:space="preserve">So long as no Cash Dominion Event has occurred and is continuing, the Loan Parties may direct, and shall have sole control over, the manner of disposition of funds in the Blocked Accounts; </w:t>
      </w:r>
      <w:r>
        <w:rPr>
          <w:rFonts w:ascii="Arial" w:cs="Arial" w:eastAsia="Arial" w:hAnsi="Arial"/>
          <w:sz w:val="13"/>
          <w:szCs w:val="13"/>
          <w:u w:val="single" w:color="auto"/>
          <w:color w:val="auto"/>
        </w:rPr>
        <w:t>provided</w:t>
      </w:r>
      <w:r>
        <w:rPr>
          <w:rFonts w:ascii="Arial" w:cs="Arial" w:eastAsia="Arial" w:hAnsi="Arial"/>
          <w:sz w:val="13"/>
          <w:szCs w:val="13"/>
          <w:color w:val="auto"/>
        </w:rPr>
        <w:t>, that notwithstanding the foregoing, all proceeds of the Term Loan Priority Collateral shall be promptly paid to the Administrative Agent for application to the Liabilities.</w:t>
      </w:r>
    </w:p>
    <w:p>
      <w:pPr>
        <w:spacing w:after="0" w:line="5" w:lineRule="exact"/>
        <w:rPr>
          <w:sz w:val="20"/>
          <w:szCs w:val="20"/>
          <w:color w:val="auto"/>
        </w:rPr>
      </w:pPr>
    </w:p>
    <w:p>
      <w:pPr>
        <w:jc w:val="both"/>
        <w:ind w:firstLine="1529"/>
        <w:spacing w:after="0" w:line="245" w:lineRule="auto"/>
        <w:tabs>
          <w:tab w:leader="none" w:pos="1745"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After the occurrence and during the continuance of a Cash Dominion Event, the Borrowers’ Representative shall cause by ACH or wire transfer to an account maintained by the Revolving Agent at Bank of America, N.A., no less frequently than daily, of the entire ledger balance (net of any minimum required balance not in any event to exceed $2,500) of each Blocked Account, which funds shall be applied to the obligations as required by the Revolving Credit Agreement. Notwithstanding the foregoing, all Net Proceeds of Term Loan Priority Collateral shall be paid into the Term Loan Priority Account.</w:t>
      </w:r>
    </w:p>
    <w:p>
      <w:pPr>
        <w:spacing w:after="0" w:line="62" w:lineRule="exact"/>
        <w:rPr>
          <w:rFonts w:ascii="Arial" w:cs="Arial" w:eastAsia="Arial" w:hAnsi="Arial"/>
          <w:sz w:val="15"/>
          <w:szCs w:val="15"/>
          <w:color w:val="auto"/>
        </w:rPr>
      </w:pPr>
    </w:p>
    <w:p>
      <w:pPr>
        <w:jc w:val="both"/>
        <w:ind w:firstLine="1529"/>
        <w:spacing w:after="0" w:line="243" w:lineRule="auto"/>
        <w:tabs>
          <w:tab w:leader="none" w:pos="1745" w:val="left"/>
        </w:tabs>
        <w:numPr>
          <w:ilvl w:val="0"/>
          <w:numId w:val="139"/>
        </w:numPr>
        <w:rPr>
          <w:rFonts w:ascii="Arial" w:cs="Arial" w:eastAsia="Arial" w:hAnsi="Arial"/>
          <w:sz w:val="15"/>
          <w:szCs w:val="15"/>
          <w:color w:val="auto"/>
        </w:rPr>
      </w:pPr>
      <w:r>
        <w:rPr>
          <w:rFonts w:ascii="Arial" w:cs="Arial" w:eastAsia="Arial" w:hAnsi="Arial"/>
          <w:sz w:val="15"/>
          <w:szCs w:val="15"/>
          <w:color w:val="auto"/>
        </w:rPr>
        <w:t xml:space="preserve">In the event that, notwithstanding the provisions of this </w:t>
      </w:r>
      <w:r>
        <w:rPr>
          <w:rFonts w:ascii="Arial" w:cs="Arial" w:eastAsia="Arial" w:hAnsi="Arial"/>
          <w:sz w:val="15"/>
          <w:szCs w:val="15"/>
          <w:u w:val="single" w:color="auto"/>
          <w:color w:val="auto"/>
        </w:rPr>
        <w:t>Section 7.4</w:t>
      </w:r>
      <w:r>
        <w:rPr>
          <w:rFonts w:ascii="Arial" w:cs="Arial" w:eastAsia="Arial" w:hAnsi="Arial"/>
          <w:sz w:val="15"/>
          <w:szCs w:val="15"/>
          <w:color w:val="auto"/>
        </w:rPr>
        <w:t>, any Loan Party receives or otherwise has dominion and control of any Receipts, or any other proceeds or collections of any Collateral, such Receipts, proceeds, and collections shall be held in trust by that Loan Party for the Revolving Agent and the Administrative Agent, shall not be commingled with any of that Loan Party’s other funds or deposited in any account of any Loan Party and shall, not later than the Business Day after receipt thereof, be deposited into a Blocked Account or the Term Loan Priority Account or dealt with in such other fashion as such Loan Party may be instructed by the Revolving Agent or the Administrative Agent in accordance with the Intercreditor Agreement.</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7.5. P</w:t>
      </w:r>
      <w:r>
        <w:rPr>
          <w:rFonts w:ascii="Arial" w:cs="Arial" w:eastAsia="Arial" w:hAnsi="Arial"/>
          <w:sz w:val="10"/>
          <w:szCs w:val="10"/>
          <w:b w:val="1"/>
          <w:bCs w:val="1"/>
          <w:color w:val="auto"/>
        </w:rPr>
        <w:t>AYMENT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IABILITIES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75" w:lineRule="auto"/>
        <w:tabs>
          <w:tab w:leader="none" w:pos="1733" w:val="left"/>
        </w:tabs>
        <w:numPr>
          <w:ilvl w:val="0"/>
          <w:numId w:val="140"/>
        </w:numPr>
        <w:rPr>
          <w:rFonts w:ascii="Arial" w:cs="Arial" w:eastAsia="Arial" w:hAnsi="Arial"/>
          <w:sz w:val="14"/>
          <w:szCs w:val="14"/>
          <w:color w:val="auto"/>
        </w:rPr>
      </w:pPr>
      <w:r>
        <w:rPr>
          <w:rFonts w:ascii="Arial" w:cs="Arial" w:eastAsia="Arial" w:hAnsi="Arial"/>
          <w:sz w:val="14"/>
          <w:szCs w:val="14"/>
          <w:color w:val="auto"/>
        </w:rPr>
        <w:t>On each Business Day, the Administrative Agent shall apply the then collected balance of the Term Loan Priority Account, if any, (net of fees charged, and of such impressed balances as may be required by the bank at which the Administrative Agent’s Account is maintained) in accordance with Section 2.11(b). For purposes of the calculation of interest on the unpaid principal balance of the Term Loans, such payment shall be deemed to have been made one (1) Business Day after such transfer.</w:t>
      </w:r>
    </w:p>
    <w:p>
      <w:pPr>
        <w:spacing w:after="0" w:line="41" w:lineRule="exact"/>
        <w:rPr>
          <w:rFonts w:ascii="Arial" w:cs="Arial" w:eastAsia="Arial" w:hAnsi="Arial"/>
          <w:sz w:val="14"/>
          <w:szCs w:val="14"/>
          <w:color w:val="auto"/>
        </w:rPr>
      </w:pPr>
    </w:p>
    <w:p>
      <w:pPr>
        <w:ind w:left="1740" w:hanging="211"/>
        <w:spacing w:after="0"/>
        <w:tabs>
          <w:tab w:leader="none" w:pos="17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The following rules shall apply to deposits and payments under and pursuant to this </w:t>
      </w:r>
      <w:r>
        <w:rPr>
          <w:rFonts w:ascii="Arial" w:cs="Arial" w:eastAsia="Arial" w:hAnsi="Arial"/>
          <w:sz w:val="15"/>
          <w:szCs w:val="15"/>
          <w:u w:val="single" w:color="auto"/>
          <w:color w:val="auto"/>
        </w:rPr>
        <w:t>Section 7.5</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760" w:firstLine="1432"/>
        <w:spacing w:after="0" w:line="259" w:lineRule="auto"/>
        <w:tabs>
          <w:tab w:leader="none" w:pos="2366" w:val="left"/>
        </w:tabs>
        <w:numPr>
          <w:ilvl w:val="1"/>
          <w:numId w:val="140"/>
        </w:numPr>
        <w:rPr>
          <w:rFonts w:ascii="Arial" w:cs="Arial" w:eastAsia="Arial" w:hAnsi="Arial"/>
          <w:sz w:val="15"/>
          <w:szCs w:val="15"/>
          <w:color w:val="auto"/>
        </w:rPr>
      </w:pPr>
      <w:r>
        <w:rPr>
          <w:rFonts w:ascii="Arial" w:cs="Arial" w:eastAsia="Arial" w:hAnsi="Arial"/>
          <w:sz w:val="15"/>
          <w:szCs w:val="15"/>
          <w:color w:val="auto"/>
        </w:rPr>
        <w:t xml:space="preserve">Funds shall be deemed to have been deposited to the Term Loan Priority Account on the Business Day on which deposited,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such deposit is delivered to the Administrative Agent by 2:00 PM on that Business Day.</w:t>
      </w:r>
    </w:p>
    <w:p>
      <w:pPr>
        <w:spacing w:after="0" w:line="51" w:lineRule="exact"/>
        <w:rPr>
          <w:rFonts w:ascii="Arial" w:cs="Arial" w:eastAsia="Arial" w:hAnsi="Arial"/>
          <w:sz w:val="15"/>
          <w:szCs w:val="15"/>
          <w:color w:val="auto"/>
        </w:rPr>
      </w:pPr>
    </w:p>
    <w:p>
      <w:pPr>
        <w:ind w:left="760" w:firstLine="1432"/>
        <w:spacing w:after="0" w:line="295" w:lineRule="auto"/>
        <w:tabs>
          <w:tab w:leader="none" w:pos="2404" w:val="left"/>
        </w:tabs>
        <w:numPr>
          <w:ilvl w:val="1"/>
          <w:numId w:val="140"/>
        </w:numPr>
        <w:rPr>
          <w:rFonts w:ascii="Arial" w:cs="Arial" w:eastAsia="Arial" w:hAnsi="Arial"/>
          <w:sz w:val="14"/>
          <w:szCs w:val="14"/>
          <w:color w:val="auto"/>
        </w:rPr>
      </w:pPr>
      <w:r>
        <w:rPr>
          <w:rFonts w:ascii="Arial" w:cs="Arial" w:eastAsia="Arial" w:hAnsi="Arial"/>
          <w:sz w:val="14"/>
          <w:szCs w:val="14"/>
          <w:color w:val="auto"/>
        </w:rPr>
        <w:t xml:space="preserve">Funds paid to the Administrative Agent, other than by deposit to the Term Loan Priority Account, shall be deemed to have been received on the Business Day when they are good and collected funds,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such payment is delivered to the Administrative Agent by 2:00 PM on that Business Day.</w:t>
      </w:r>
    </w:p>
    <w:p>
      <w:pPr>
        <w:spacing w:after="0" w:line="27" w:lineRule="exact"/>
        <w:rPr>
          <w:rFonts w:ascii="Arial" w:cs="Arial" w:eastAsia="Arial" w:hAnsi="Arial"/>
          <w:sz w:val="14"/>
          <w:szCs w:val="14"/>
          <w:color w:val="auto"/>
        </w:rPr>
      </w:pPr>
    </w:p>
    <w:p>
      <w:pPr>
        <w:ind w:left="2460" w:hanging="268"/>
        <w:spacing w:after="0"/>
        <w:tabs>
          <w:tab w:leader="none" w:pos="246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If a deposit to the Term Loan Priority Account (</w:t>
      </w:r>
      <w:r>
        <w:rPr>
          <w:rFonts w:ascii="Arial" w:cs="Arial" w:eastAsia="Arial" w:hAnsi="Arial"/>
          <w:sz w:val="13"/>
          <w:szCs w:val="13"/>
          <w:u w:val="single" w:color="auto"/>
          <w:color w:val="auto"/>
        </w:rPr>
        <w:t>Section 7.5(b)(i)</w:t>
      </w:r>
      <w:r>
        <w:rPr>
          <w:rFonts w:ascii="Arial" w:cs="Arial" w:eastAsia="Arial" w:hAnsi="Arial"/>
          <w:sz w:val="13"/>
          <w:szCs w:val="13"/>
          <w:color w:val="auto"/>
        </w:rPr>
        <w:t>) or payment (</w:t>
      </w:r>
      <w:r>
        <w:rPr>
          <w:rFonts w:ascii="Arial" w:cs="Arial" w:eastAsia="Arial" w:hAnsi="Arial"/>
          <w:sz w:val="13"/>
          <w:szCs w:val="13"/>
          <w:u w:val="single" w:color="auto"/>
          <w:color w:val="auto"/>
        </w:rPr>
        <w:t>Section 7.5(b)(ii)</w:t>
      </w:r>
      <w:r>
        <w:rPr>
          <w:rFonts w:ascii="Arial" w:cs="Arial" w:eastAsia="Arial" w:hAnsi="Arial"/>
          <w:sz w:val="13"/>
          <w:szCs w:val="13"/>
          <w:color w:val="auto"/>
        </w:rPr>
        <w:t>) is not delivered to the Administrative Agent until after</w:t>
      </w:r>
    </w:p>
    <w:p>
      <w:pPr>
        <w:spacing w:after="0" w:line="33"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5"/>
          <w:szCs w:val="15"/>
          <w:color w:val="auto"/>
        </w:rPr>
        <w:t>2:00 PM on a Business Day, such deposit or payment shall be deemed to have been made at 9:00 AM on the then next Business Day.</w:t>
      </w:r>
    </w:p>
    <w:p>
      <w:pPr>
        <w:spacing w:after="0" w:line="67" w:lineRule="exact"/>
        <w:rPr>
          <w:rFonts w:ascii="Arial" w:cs="Arial" w:eastAsia="Arial" w:hAnsi="Arial"/>
          <w:sz w:val="13"/>
          <w:szCs w:val="13"/>
          <w:color w:val="auto"/>
        </w:rPr>
      </w:pPr>
    </w:p>
    <w:p>
      <w:pPr>
        <w:ind w:left="2440" w:hanging="248"/>
        <w:spacing w:after="0"/>
        <w:tabs>
          <w:tab w:leader="none" w:pos="244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All deposits to the Term Loan Priority Account and other payments to the Administrative Agent are subject to clearance and collection.</w:t>
      </w:r>
    </w:p>
    <w:p>
      <w:pPr>
        <w:spacing w:after="0" w:line="79" w:lineRule="exact"/>
        <w:rPr>
          <w:rFonts w:ascii="Arial" w:cs="Arial" w:eastAsia="Arial" w:hAnsi="Arial"/>
          <w:sz w:val="15"/>
          <w:szCs w:val="15"/>
          <w:color w:val="auto"/>
        </w:rPr>
      </w:pPr>
    </w:p>
    <w:p>
      <w:pPr>
        <w:ind w:firstLine="1529"/>
        <w:spacing w:after="0" w:line="259" w:lineRule="auto"/>
        <w:tabs>
          <w:tab w:leader="none" w:pos="175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The Administrative Agent shall transfer to the Operating Account any surplus in the Term Loan Priority Account remaining after the application towards the Liabilities referred to in </w:t>
      </w:r>
      <w:r>
        <w:rPr>
          <w:rFonts w:ascii="Arial" w:cs="Arial" w:eastAsia="Arial" w:hAnsi="Arial"/>
          <w:sz w:val="15"/>
          <w:szCs w:val="15"/>
          <w:u w:val="single" w:color="auto"/>
          <w:color w:val="auto"/>
        </w:rPr>
        <w:t>Section 7.5(a)</w:t>
      </w:r>
      <w:r>
        <w:rPr>
          <w:rFonts w:ascii="Arial" w:cs="Arial" w:eastAsia="Arial" w:hAnsi="Arial"/>
          <w:sz w:val="15"/>
          <w:szCs w:val="15"/>
          <w:color w:val="auto"/>
        </w:rPr>
        <w:t xml:space="preserve"> above (less those amount which are to be netted out, as provided therein).</w:t>
      </w:r>
    </w:p>
    <w:p>
      <w:pPr>
        <w:spacing w:after="0" w:line="128"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7.6. 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PERATING</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CCOUNT</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specifically provided in, or permitted by, this Agreement, all checks shall be drawn by the Borrowers’ Representative upon,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disbursements shall be made by the Borrowers’ Representative solely from, the Operating Account.</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8 - G</w:t>
      </w:r>
      <w:r>
        <w:rPr>
          <w:rFonts w:ascii="Arial" w:cs="Arial" w:eastAsia="Arial" w:hAnsi="Arial"/>
          <w:sz w:val="10"/>
          <w:szCs w:val="10"/>
          <w:b w:val="1"/>
          <w:bCs w:val="1"/>
          <w:color w:val="auto"/>
        </w:rPr>
        <w:t>RANT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ECURITY</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NTEREST</w:t>
      </w:r>
      <w:r>
        <w:rPr>
          <w:rFonts w:ascii="Arial" w:cs="Arial" w:eastAsia="Arial" w:hAnsi="Arial"/>
          <w:sz w:val="15"/>
          <w:szCs w:val="15"/>
          <w:b w:val="1"/>
          <w:bCs w:val="1"/>
          <w:color w:val="auto"/>
        </w:rPr>
        <w:t>:</w:t>
      </w:r>
    </w:p>
    <w:p>
      <w:pPr>
        <w:spacing w:after="0" w:line="160"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8.1. G</w:t>
      </w:r>
      <w:r>
        <w:rPr>
          <w:rFonts w:ascii="Arial" w:cs="Arial" w:eastAsia="Arial" w:hAnsi="Arial"/>
          <w:sz w:val="10"/>
          <w:szCs w:val="10"/>
          <w:b w:val="1"/>
          <w:bCs w:val="1"/>
          <w:color w:val="auto"/>
        </w:rPr>
        <w:t>RANT OF</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ECURITY</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NTEREST</w:t>
      </w:r>
      <w:r>
        <w:rPr>
          <w:rFonts w:ascii="Arial" w:cs="Arial" w:eastAsia="Arial" w:hAnsi="Arial"/>
          <w:sz w:val="15"/>
          <w:szCs w:val="15"/>
          <w:b w:val="1"/>
          <w:bCs w:val="1"/>
          <w:color w:val="auto"/>
        </w:rPr>
        <w:t xml:space="preserve">. </w:t>
      </w:r>
      <w:r>
        <w:rPr>
          <w:rFonts w:ascii="Arial" w:cs="Arial" w:eastAsia="Arial" w:hAnsi="Arial"/>
          <w:sz w:val="15"/>
          <w:szCs w:val="15"/>
          <w:color w:val="auto"/>
        </w:rPr>
        <w:t>To secure the Borrowers’ prompt, punctual, and faithful performance of all and each of the Liabilities, each Borrower hereby grants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Collateral Agent, for the benefit of the Term Lenders as their interests may appear herein, a continuing security interest in and to, and assigns to the Collateral Agent, for the benefit of the Term Lenders as their interests may appear herein the following, and each item thereof, whether now owned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- 48 -</w:t>
      </w:r>
    </w:p>
    <w:p>
      <w:pPr>
        <w:sectPr>
          <w:pgSz w:w="11900" w:h="16838" w:orient="portrait"/>
          <w:cols w:equalWidth="0" w:num="1">
            <w:col w:w="11460"/>
          </w:cols>
          <w:pgMar w:left="220" w:top="288" w:right="219" w:bottom="1440" w:gutter="0" w:footer="0" w:header="0"/>
        </w:sectPr>
      </w:pPr>
    </w:p>
    <w:bookmarkStart w:id="106" w:name="page107"/>
    <w:bookmarkEnd w:id="106"/>
    <w:p>
      <w:pPr>
        <w:jc w:val="both"/>
        <w:spacing w:after="0" w:line="249" w:lineRule="auto"/>
        <w:rPr>
          <w:sz w:val="20"/>
          <w:szCs w:val="20"/>
          <w:color w:val="auto"/>
        </w:rPr>
      </w:pPr>
      <w:r>
        <w:rPr>
          <w:rFonts w:ascii="Arial" w:cs="Arial" w:eastAsia="Arial" w:hAnsi="Arial"/>
          <w:sz w:val="15"/>
          <w:szCs w:val="15"/>
          <w:color w:val="auto"/>
        </w:rPr>
        <w:t>or now due, or in which that Borrower has an interest, or hereafter acquired, arising, or to become due, or in which that Borrower obtains an interest, and all products, Proceeds, substitutions, and accessions of or to any of the following (all of which, together with any other property in which the Collateral Agent may in the future be granted a security interest, is referred to herein as the “Collateral”; any of the following terms not defined in this Agreement shall have the meanings attributed thereto in the UCC):</w:t>
      </w:r>
    </w:p>
    <w:p>
      <w:pPr>
        <w:spacing w:after="0" w:line="58" w:lineRule="exact"/>
        <w:rPr>
          <w:sz w:val="20"/>
          <w:szCs w:val="20"/>
          <w:color w:val="auto"/>
        </w:rPr>
      </w:pPr>
    </w:p>
    <w:p>
      <w:pPr>
        <w:ind w:left="2120" w:hanging="208"/>
        <w:spacing w:after="0"/>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Accounts;</w:t>
      </w:r>
    </w:p>
    <w:p>
      <w:pPr>
        <w:spacing w:after="0" w:line="79" w:lineRule="exact"/>
        <w:rPr>
          <w:rFonts w:ascii="Arial" w:cs="Arial" w:eastAsia="Arial" w:hAnsi="Arial"/>
          <w:sz w:val="15"/>
          <w:szCs w:val="15"/>
          <w:color w:val="auto"/>
        </w:rPr>
      </w:pPr>
    </w:p>
    <w:p>
      <w:pPr>
        <w:ind w:left="2120" w:hanging="208"/>
        <w:spacing w:after="0"/>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Inventory;</w:t>
      </w:r>
    </w:p>
    <w:p>
      <w:pPr>
        <w:spacing w:after="0" w:line="79" w:lineRule="exact"/>
        <w:rPr>
          <w:rFonts w:ascii="Arial" w:cs="Arial" w:eastAsia="Arial" w:hAnsi="Arial"/>
          <w:sz w:val="15"/>
          <w:szCs w:val="15"/>
          <w:color w:val="auto"/>
        </w:rPr>
      </w:pPr>
    </w:p>
    <w:p>
      <w:pPr>
        <w:ind w:left="2120" w:hanging="208"/>
        <w:spacing w:after="0"/>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Documents with respect to such Borrower’s Accounts and Inventory;</w:t>
      </w:r>
    </w:p>
    <w:p>
      <w:pPr>
        <w:spacing w:after="0" w:line="79" w:lineRule="exact"/>
        <w:rPr>
          <w:rFonts w:ascii="Arial" w:cs="Arial" w:eastAsia="Arial" w:hAnsi="Arial"/>
          <w:sz w:val="15"/>
          <w:szCs w:val="15"/>
          <w:color w:val="auto"/>
        </w:rPr>
      </w:pPr>
    </w:p>
    <w:p>
      <w:pPr>
        <w:ind w:left="2120" w:hanging="208"/>
        <w:spacing w:after="0"/>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Instruments and Chattel Paper with respect to or arising from the Disposition of such Borrower’s Accounts and Inventory;</w:t>
      </w:r>
    </w:p>
    <w:p>
      <w:pPr>
        <w:spacing w:after="0" w:line="79" w:lineRule="exact"/>
        <w:rPr>
          <w:rFonts w:ascii="Arial" w:cs="Arial" w:eastAsia="Arial" w:hAnsi="Arial"/>
          <w:sz w:val="15"/>
          <w:szCs w:val="15"/>
          <w:color w:val="auto"/>
        </w:rPr>
      </w:pPr>
    </w:p>
    <w:p>
      <w:pPr>
        <w:ind w:left="2120" w:hanging="208"/>
        <w:spacing w:after="0"/>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Letters of Credit and Letter-of-Credit Rights with respect to or arising from the Disposition of each Borrower’s Accounts and Inventory;</w:t>
      </w:r>
    </w:p>
    <w:p>
      <w:pPr>
        <w:spacing w:after="0" w:line="79" w:lineRule="exact"/>
        <w:rPr>
          <w:rFonts w:ascii="Arial" w:cs="Arial" w:eastAsia="Arial" w:hAnsi="Arial"/>
          <w:sz w:val="15"/>
          <w:szCs w:val="15"/>
          <w:color w:val="auto"/>
        </w:rPr>
      </w:pPr>
    </w:p>
    <w:p>
      <w:pPr>
        <w:ind w:left="1920" w:hanging="8"/>
        <w:spacing w:after="0" w:line="259" w:lineRule="auto"/>
        <w:tabs>
          <w:tab w:leader="none" w:pos="2105"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General Intangibles with respect to such Borrower’s Accounts and Inventory (other than to the extent consisting of trademarks, copyrights, patents or other intellectual property);</w:t>
      </w:r>
    </w:p>
    <w:p>
      <w:pPr>
        <w:spacing w:after="0" w:line="51" w:lineRule="exact"/>
        <w:rPr>
          <w:rFonts w:ascii="Arial" w:cs="Arial" w:eastAsia="Arial" w:hAnsi="Arial"/>
          <w:sz w:val="15"/>
          <w:szCs w:val="15"/>
          <w:color w:val="auto"/>
        </w:rPr>
      </w:pPr>
    </w:p>
    <w:p>
      <w:pPr>
        <w:ind w:left="2120" w:hanging="208"/>
        <w:spacing w:after="0"/>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Deposit Accounts (other than Exempt DDAs);</w:t>
      </w:r>
    </w:p>
    <w:p>
      <w:pPr>
        <w:spacing w:after="0" w:line="79" w:lineRule="exact"/>
        <w:rPr>
          <w:rFonts w:ascii="Arial" w:cs="Arial" w:eastAsia="Arial" w:hAnsi="Arial"/>
          <w:sz w:val="15"/>
          <w:szCs w:val="15"/>
          <w:color w:val="auto"/>
        </w:rPr>
      </w:pPr>
    </w:p>
    <w:p>
      <w:pPr>
        <w:ind w:left="2120" w:hanging="208"/>
        <w:spacing w:after="0"/>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Supporting Obligations with respect to or arising from the Disposition of such Borrower’s Accounts and Inventory;</w:t>
      </w:r>
    </w:p>
    <w:p>
      <w:pPr>
        <w:spacing w:after="0" w:line="79" w:lineRule="exact"/>
        <w:rPr>
          <w:rFonts w:ascii="Arial" w:cs="Arial" w:eastAsia="Arial" w:hAnsi="Arial"/>
          <w:sz w:val="15"/>
          <w:szCs w:val="15"/>
          <w:color w:val="auto"/>
        </w:rPr>
      </w:pPr>
    </w:p>
    <w:p>
      <w:pPr>
        <w:ind w:left="2080" w:hanging="168"/>
        <w:spacing w:after="0"/>
        <w:tabs>
          <w:tab w:leader="none" w:pos="20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Commercial Tort Claims relating to or arising from the foregoing Collateral;</w:t>
      </w:r>
    </w:p>
    <w:p>
      <w:pPr>
        <w:spacing w:after="0" w:line="79" w:lineRule="exact"/>
        <w:rPr>
          <w:rFonts w:ascii="Arial" w:cs="Arial" w:eastAsia="Arial" w:hAnsi="Arial"/>
          <w:sz w:val="15"/>
          <w:szCs w:val="15"/>
          <w:color w:val="auto"/>
        </w:rPr>
      </w:pPr>
    </w:p>
    <w:p>
      <w:pPr>
        <w:ind w:left="1920" w:right="260" w:hanging="8"/>
        <w:spacing w:after="0" w:line="259" w:lineRule="auto"/>
        <w:tabs>
          <w:tab w:leader="none" w:pos="2096"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books, records, and information relating to the foregoing Collateral, and all rights of access to such books, records, and information, and all property in which such books, records, and information are stored, recorded, and maintained;</w:t>
      </w:r>
    </w:p>
    <w:p>
      <w:pPr>
        <w:spacing w:after="0" w:line="51" w:lineRule="exact"/>
        <w:rPr>
          <w:rFonts w:ascii="Arial" w:cs="Arial" w:eastAsia="Arial" w:hAnsi="Arial"/>
          <w:sz w:val="15"/>
          <w:szCs w:val="15"/>
          <w:color w:val="auto"/>
        </w:rPr>
      </w:pPr>
    </w:p>
    <w:p>
      <w:pPr>
        <w:ind w:left="2120" w:hanging="208"/>
        <w:spacing w:after="0"/>
        <w:tabs>
          <w:tab w:leader="none" w:pos="212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Equipment and Fixtures;</w:t>
      </w:r>
    </w:p>
    <w:p>
      <w:pPr>
        <w:spacing w:after="0" w:line="79" w:lineRule="exact"/>
        <w:rPr>
          <w:rFonts w:ascii="Arial" w:cs="Arial" w:eastAsia="Arial" w:hAnsi="Arial"/>
          <w:sz w:val="15"/>
          <w:szCs w:val="15"/>
          <w:color w:val="auto"/>
        </w:rPr>
      </w:pPr>
    </w:p>
    <w:p>
      <w:pPr>
        <w:ind w:left="2080" w:hanging="168"/>
        <w:spacing w:after="0"/>
        <w:tabs>
          <w:tab w:leader="none" w:pos="20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Securities Accounts containing any cash Proceeds of any of the foregoing; and</w:t>
      </w:r>
    </w:p>
    <w:p>
      <w:pPr>
        <w:spacing w:after="0" w:line="79" w:lineRule="exact"/>
        <w:rPr>
          <w:rFonts w:ascii="Arial" w:cs="Arial" w:eastAsia="Arial" w:hAnsi="Arial"/>
          <w:sz w:val="15"/>
          <w:szCs w:val="15"/>
          <w:color w:val="auto"/>
        </w:rPr>
      </w:pPr>
    </w:p>
    <w:p>
      <w:pPr>
        <w:jc w:val="both"/>
        <w:ind w:left="1920" w:right="240" w:hanging="8"/>
        <w:spacing w:after="0" w:line="249" w:lineRule="auto"/>
        <w:tabs>
          <w:tab w:leader="none" w:pos="217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all Proceeds and products of each of the foregoing and all accessions to, substitutions and replacements for, and rents, profits and products of, each of the foregoing, and any and all proceeds of any insurance, indemnity, warranty or guaranty payable to such Borrower from time to time with respect to any of the foregoing.</w:t>
      </w:r>
    </w:p>
    <w:p>
      <w:pPr>
        <w:spacing w:after="0" w:line="135" w:lineRule="exact"/>
        <w:rPr>
          <w:sz w:val="20"/>
          <w:szCs w:val="20"/>
          <w:color w:val="auto"/>
        </w:rPr>
      </w:pPr>
    </w:p>
    <w:p>
      <w:pPr>
        <w:jc w:val="both"/>
        <w:ind w:firstLine="765"/>
        <w:spacing w:after="0" w:line="301" w:lineRule="auto"/>
        <w:rPr>
          <w:sz w:val="20"/>
          <w:szCs w:val="20"/>
          <w:color w:val="auto"/>
        </w:rPr>
      </w:pPr>
      <w:r>
        <w:rPr>
          <w:rFonts w:ascii="Arial" w:cs="Arial" w:eastAsia="Arial" w:hAnsi="Arial"/>
          <w:sz w:val="14"/>
          <w:szCs w:val="14"/>
          <w:b w:val="1"/>
          <w:bCs w:val="1"/>
          <w:color w:val="auto"/>
        </w:rPr>
        <w:t>8.2. E</w:t>
      </w:r>
      <w:r>
        <w:rPr>
          <w:rFonts w:ascii="Arial" w:cs="Arial" w:eastAsia="Arial" w:hAnsi="Arial"/>
          <w:sz w:val="9"/>
          <w:szCs w:val="9"/>
          <w:b w:val="1"/>
          <w:bCs w:val="1"/>
          <w:color w:val="auto"/>
        </w:rPr>
        <w:t>XTENT AND</w:t>
      </w:r>
      <w:r>
        <w:rPr>
          <w:rFonts w:ascii="Arial" w:cs="Arial" w:eastAsia="Arial" w:hAnsi="Arial"/>
          <w:sz w:val="14"/>
          <w:szCs w:val="14"/>
          <w:b w:val="1"/>
          <w:bCs w:val="1"/>
          <w:color w:val="auto"/>
        </w:rPr>
        <w:t xml:space="preserve"> D</w:t>
      </w:r>
      <w:r>
        <w:rPr>
          <w:rFonts w:ascii="Arial" w:cs="Arial" w:eastAsia="Arial" w:hAnsi="Arial"/>
          <w:sz w:val="9"/>
          <w:szCs w:val="9"/>
          <w:b w:val="1"/>
          <w:bCs w:val="1"/>
          <w:color w:val="auto"/>
        </w:rPr>
        <w:t>URATION OF</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ECURITY</w:t>
      </w:r>
      <w:r>
        <w:rPr>
          <w:rFonts w:ascii="Arial" w:cs="Arial" w:eastAsia="Arial" w:hAnsi="Arial"/>
          <w:sz w:val="14"/>
          <w:szCs w:val="14"/>
          <w:b w:val="1"/>
          <w:bCs w:val="1"/>
          <w:color w:val="auto"/>
        </w:rPr>
        <w:t xml:space="preserve"> I</w:t>
      </w:r>
      <w:r>
        <w:rPr>
          <w:rFonts w:ascii="Arial" w:cs="Arial" w:eastAsia="Arial" w:hAnsi="Arial"/>
          <w:sz w:val="9"/>
          <w:szCs w:val="9"/>
          <w:b w:val="1"/>
          <w:bCs w:val="1"/>
          <w:color w:val="auto"/>
        </w:rPr>
        <w:t>NTEREST</w:t>
      </w:r>
      <w:r>
        <w:rPr>
          <w:rFonts w:ascii="Arial" w:cs="Arial" w:eastAsia="Arial" w:hAnsi="Arial"/>
          <w:sz w:val="14"/>
          <w:szCs w:val="14"/>
          <w:b w:val="1"/>
          <w:bCs w:val="1"/>
          <w:color w:val="auto"/>
        </w:rPr>
        <w:t>; N</w:t>
      </w:r>
      <w:r>
        <w:rPr>
          <w:rFonts w:ascii="Arial" w:cs="Arial" w:eastAsia="Arial" w:hAnsi="Arial"/>
          <w:sz w:val="9"/>
          <w:szCs w:val="9"/>
          <w:b w:val="1"/>
          <w:bCs w:val="1"/>
          <w:color w:val="auto"/>
        </w:rPr>
        <w:t>OTICE</w:t>
      </w:r>
      <w:r>
        <w:rPr>
          <w:rFonts w:ascii="Arial" w:cs="Arial" w:eastAsia="Arial" w:hAnsi="Arial"/>
          <w:sz w:val="14"/>
          <w:szCs w:val="14"/>
          <w:color w:val="auto"/>
        </w:rPr>
        <w:t>.The security interest created and granted herein shall continue in full force and effect applicable to all Liabilities until</w:t>
      </w:r>
      <w:r>
        <w:rPr>
          <w:rFonts w:ascii="Arial" w:cs="Arial" w:eastAsia="Arial" w:hAnsi="Arial"/>
          <w:sz w:val="14"/>
          <w:szCs w:val="14"/>
          <w:b w:val="1"/>
          <w:bCs w:val="1"/>
          <w:color w:val="auto"/>
        </w:rPr>
        <w:t xml:space="preserve"> </w:t>
      </w:r>
      <w:r>
        <w:rPr>
          <w:rFonts w:ascii="Arial" w:cs="Arial" w:eastAsia="Arial" w:hAnsi="Arial"/>
          <w:sz w:val="14"/>
          <w:szCs w:val="14"/>
          <w:color w:val="auto"/>
        </w:rPr>
        <w:t>both (a) all Liabilities have been paid and/or satisfied in full and (b) the security interest created herein is specifically terminated in writing by a duly authorized officer of the Collateral Agent.</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9 - 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TTORNEY</w:t>
      </w: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-F</w:t>
      </w:r>
      <w:r>
        <w:rPr>
          <w:rFonts w:ascii="Arial" w:cs="Arial" w:eastAsia="Arial" w:hAnsi="Arial"/>
          <w:sz w:val="10"/>
          <w:szCs w:val="10"/>
          <w:b w:val="1"/>
          <w:bCs w:val="1"/>
          <w:color w:val="auto"/>
        </w:rPr>
        <w:t>ACT</w:t>
      </w:r>
      <w:r>
        <w:rPr>
          <w:rFonts w:ascii="Arial" w:cs="Arial" w:eastAsia="Arial" w:hAnsi="Arial"/>
          <w:sz w:val="15"/>
          <w:szCs w:val="15"/>
          <w:b w:val="1"/>
          <w:bCs w:val="1"/>
          <w:color w:val="auto"/>
        </w:rPr>
        <w:t>:</w:t>
      </w:r>
    </w:p>
    <w:p>
      <w:pPr>
        <w:spacing w:after="0" w:line="160" w:lineRule="exact"/>
        <w:rPr>
          <w:sz w:val="20"/>
          <w:szCs w:val="20"/>
          <w:color w:val="auto"/>
        </w:rPr>
      </w:pPr>
    </w:p>
    <w:p>
      <w:pPr>
        <w:jc w:val="both"/>
        <w:ind w:firstLine="765"/>
        <w:spacing w:after="0" w:line="247" w:lineRule="auto"/>
        <w:rPr>
          <w:sz w:val="20"/>
          <w:szCs w:val="20"/>
          <w:color w:val="auto"/>
        </w:rPr>
      </w:pPr>
      <w:r>
        <w:rPr>
          <w:rFonts w:ascii="Arial" w:cs="Arial" w:eastAsia="Arial" w:hAnsi="Arial"/>
          <w:sz w:val="15"/>
          <w:szCs w:val="15"/>
          <w:b w:val="1"/>
          <w:bCs w:val="1"/>
          <w:color w:val="auto"/>
        </w:rPr>
        <w:t>9.1. A</w:t>
      </w:r>
      <w:r>
        <w:rPr>
          <w:rFonts w:ascii="Arial" w:cs="Arial" w:eastAsia="Arial" w:hAnsi="Arial"/>
          <w:sz w:val="10"/>
          <w:szCs w:val="10"/>
          <w:b w:val="1"/>
          <w:bCs w:val="1"/>
          <w:color w:val="auto"/>
        </w:rPr>
        <w:t>PPOINTMENT AS</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TTORNEY</w:t>
      </w:r>
      <w:r>
        <w:rPr>
          <w:rFonts w:ascii="Arial" w:cs="Arial" w:eastAsia="Arial" w:hAnsi="Arial"/>
          <w:sz w:val="15"/>
          <w:szCs w:val="15"/>
          <w:b w:val="1"/>
          <w:bCs w:val="1"/>
          <w:color w:val="auto"/>
        </w:rPr>
        <w:t>-I</w:t>
      </w:r>
      <w:r>
        <w:rPr>
          <w:rFonts w:ascii="Arial" w:cs="Arial" w:eastAsia="Arial" w:hAnsi="Arial"/>
          <w:sz w:val="10"/>
          <w:szCs w:val="10"/>
          <w:b w:val="1"/>
          <w:bCs w:val="1"/>
          <w:color w:val="auto"/>
        </w:rPr>
        <w:t>N</w:t>
      </w:r>
      <w:r>
        <w:rPr>
          <w:rFonts w:ascii="Arial" w:cs="Arial" w:eastAsia="Arial" w:hAnsi="Arial"/>
          <w:sz w:val="15"/>
          <w:szCs w:val="15"/>
          <w:b w:val="1"/>
          <w:bCs w:val="1"/>
          <w:color w:val="auto"/>
        </w:rPr>
        <w:t>-F</w:t>
      </w:r>
      <w:r>
        <w:rPr>
          <w:rFonts w:ascii="Arial" w:cs="Arial" w:eastAsia="Arial" w:hAnsi="Arial"/>
          <w:sz w:val="10"/>
          <w:szCs w:val="10"/>
          <w:b w:val="1"/>
          <w:bCs w:val="1"/>
          <w:color w:val="auto"/>
        </w:rPr>
        <w:t>ACT</w:t>
      </w:r>
      <w:r>
        <w:rPr>
          <w:rFonts w:ascii="Arial" w:cs="Arial" w:eastAsia="Arial" w:hAnsi="Arial"/>
          <w:sz w:val="15"/>
          <w:szCs w:val="15"/>
          <w:color w:val="auto"/>
        </w:rPr>
        <w:t>. Each Borrower hereby irrevocably constitutes and appoints the Collateral Agent (acting through any of its officers or representatives) as</w:t>
      </w:r>
      <w:r>
        <w:rPr>
          <w:rFonts w:ascii="Arial" w:cs="Arial" w:eastAsia="Arial" w:hAnsi="Arial"/>
          <w:sz w:val="15"/>
          <w:szCs w:val="15"/>
          <w:b w:val="1"/>
          <w:bCs w:val="1"/>
          <w:color w:val="auto"/>
        </w:rPr>
        <w:t xml:space="preserve"> </w:t>
      </w:r>
      <w:r>
        <w:rPr>
          <w:rFonts w:ascii="Arial" w:cs="Arial" w:eastAsia="Arial" w:hAnsi="Arial"/>
          <w:sz w:val="15"/>
          <w:szCs w:val="15"/>
          <w:color w:val="auto"/>
        </w:rPr>
        <w:t>that Borrower’s true and lawful attorney, with full power of substitution, following the occurrence of an Event of Default, to convert the Collateral into cash at the sole risk, cost, and expense of that Borrower, but for the sole benefit of the Agents and the Term Lenders. The rights and powers granted the Collateral Agent by this appointment include but are not limited to the right and power to:</w:t>
      </w:r>
    </w:p>
    <w:p>
      <w:pPr>
        <w:spacing w:after="0" w:line="60" w:lineRule="exact"/>
        <w:rPr>
          <w:sz w:val="20"/>
          <w:szCs w:val="20"/>
          <w:color w:val="auto"/>
        </w:rPr>
      </w:pPr>
    </w:p>
    <w:p>
      <w:pPr>
        <w:ind w:left="1740" w:hanging="211"/>
        <w:spacing w:after="0"/>
        <w:tabs>
          <w:tab w:leader="none" w:pos="174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Prosecute, defend, compromise, or release any action relating to the Collateral.</w:t>
      </w:r>
    </w:p>
    <w:p>
      <w:pPr>
        <w:spacing w:after="0" w:line="79" w:lineRule="exact"/>
        <w:rPr>
          <w:rFonts w:ascii="Arial" w:cs="Arial" w:eastAsia="Arial" w:hAnsi="Arial"/>
          <w:sz w:val="15"/>
          <w:szCs w:val="15"/>
          <w:color w:val="auto"/>
        </w:rPr>
      </w:pPr>
    </w:p>
    <w:p>
      <w:pPr>
        <w:jc w:val="both"/>
        <w:ind w:firstLine="1529"/>
        <w:spacing w:after="0" w:line="245" w:lineRule="auto"/>
        <w:tabs>
          <w:tab w:leader="none" w:pos="174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Sign change of address forms to change the address to which each Borrower’s mail is to be sent to such address as the Collateral Agent shall designate; receive and open each Borrower’s mail; remove any Receivables Collateral and Proceeds of Collateral therefrom and turn over the balance of such mail either to the Borrowers’ Representative or to any trustee in bankruptcy or receiver of the Borrowers’ Representative, or other legal representative of a Borrower whom the Collateral Agent determines to be the appropriate person to whom to so turn over such mail.</w:t>
      </w:r>
    </w:p>
    <w:p>
      <w:pPr>
        <w:spacing w:after="0" w:line="142" w:lineRule="exact"/>
        <w:rPr>
          <w:rFonts w:ascii="Arial" w:cs="Arial" w:eastAsia="Arial" w:hAnsi="Arial"/>
          <w:sz w:val="15"/>
          <w:szCs w:val="15"/>
          <w:color w:val="auto"/>
        </w:rPr>
      </w:pPr>
    </w:p>
    <w:p>
      <w:pPr>
        <w:ind w:left="5660" w:hanging="86"/>
        <w:spacing w:after="0"/>
        <w:tabs>
          <w:tab w:leader="none" w:pos="566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49 -</w:t>
      </w:r>
    </w:p>
    <w:p>
      <w:pPr>
        <w:sectPr>
          <w:pgSz w:w="11900" w:h="16838" w:orient="portrait"/>
          <w:cols w:equalWidth="0" w:num="1">
            <w:col w:w="11460"/>
          </w:cols>
          <w:pgMar w:left="220" w:top="288" w:right="219" w:bottom="1440" w:gutter="0" w:footer="0" w:header="0"/>
        </w:sectPr>
      </w:pPr>
    </w:p>
    <w:bookmarkStart w:id="107" w:name="page108"/>
    <w:bookmarkEnd w:id="107"/>
    <w:p>
      <w:pPr>
        <w:jc w:val="both"/>
        <w:ind w:firstLine="1529"/>
        <w:spacing w:after="0" w:line="249" w:lineRule="auto"/>
        <w:tabs>
          <w:tab w:leader="none" w:pos="1735" w:val="left"/>
        </w:tabs>
        <w:numPr>
          <w:ilvl w:val="0"/>
          <w:numId w:val="143"/>
        </w:numPr>
        <w:rPr>
          <w:rFonts w:ascii="Arial" w:cs="Arial" w:eastAsia="Arial" w:hAnsi="Arial"/>
          <w:sz w:val="15"/>
          <w:szCs w:val="15"/>
          <w:color w:val="auto"/>
        </w:rPr>
      </w:pPr>
      <w:r>
        <w:rPr>
          <w:rFonts w:ascii="Arial" w:cs="Arial" w:eastAsia="Arial" w:hAnsi="Arial"/>
          <w:sz w:val="15"/>
          <w:szCs w:val="15"/>
          <w:color w:val="auto"/>
        </w:rPr>
        <w:t>Endorse the name of the relevant Borrower in favor of the Collateral Agent upon any and all checks, drafts, notes, acceptances, or other items or instruments; sign and endorse the name of the relevant Borrower on, and receive as secured party, any of the Collateral, any invoices, schedules of Collateral, freight or express receipts, or bills of lading, storage receipts, warehouse receipts, or other documents of title respectively relating to the Collateral.</w:t>
      </w:r>
    </w:p>
    <w:p>
      <w:pPr>
        <w:spacing w:after="0" w:line="58" w:lineRule="exact"/>
        <w:rPr>
          <w:rFonts w:ascii="Arial" w:cs="Arial" w:eastAsia="Arial" w:hAnsi="Arial"/>
          <w:sz w:val="15"/>
          <w:szCs w:val="15"/>
          <w:color w:val="auto"/>
        </w:rPr>
      </w:pPr>
    </w:p>
    <w:p>
      <w:pPr>
        <w:ind w:firstLine="1529"/>
        <w:spacing w:after="0" w:line="336" w:lineRule="auto"/>
        <w:tabs>
          <w:tab w:leader="none" w:pos="1738" w:val="left"/>
        </w:tabs>
        <w:numPr>
          <w:ilvl w:val="0"/>
          <w:numId w:val="143"/>
        </w:numPr>
        <w:rPr>
          <w:rFonts w:ascii="Arial" w:cs="Arial" w:eastAsia="Arial" w:hAnsi="Arial"/>
          <w:sz w:val="13"/>
          <w:szCs w:val="13"/>
          <w:color w:val="auto"/>
        </w:rPr>
      </w:pPr>
      <w:r>
        <w:rPr>
          <w:rFonts w:ascii="Arial" w:cs="Arial" w:eastAsia="Arial" w:hAnsi="Arial"/>
          <w:sz w:val="13"/>
          <w:szCs w:val="13"/>
          <w:color w:val="auto"/>
        </w:rPr>
        <w:t>Sign the name of the relevant Borrower on any notice to that Borrower’s Account Debtors or verification of the Receivables Collateral; sign the relevant Borrower’s name on any Proof of Claim in Bankruptcy against Account Debtors, and on notices of lien, claims of mechanic’s liens, or assignments or releases of mechanic’s liens securing the Accounts.</w:t>
      </w:r>
    </w:p>
    <w:p>
      <w:pPr>
        <w:spacing w:after="0" w:line="4" w:lineRule="exact"/>
        <w:rPr>
          <w:rFonts w:ascii="Arial" w:cs="Arial" w:eastAsia="Arial" w:hAnsi="Arial"/>
          <w:sz w:val="13"/>
          <w:szCs w:val="13"/>
          <w:color w:val="auto"/>
        </w:rPr>
      </w:pPr>
    </w:p>
    <w:p>
      <w:pPr>
        <w:ind w:left="1740" w:hanging="211"/>
        <w:spacing w:after="0"/>
        <w:tabs>
          <w:tab w:leader="none" w:pos="17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Take all such action as may be necessary to obtain the payment of any letter of credit and/or banker’s acceptance of which any Borrower is a beneficiary.</w:t>
      </w:r>
    </w:p>
    <w:p>
      <w:pPr>
        <w:spacing w:after="0" w:line="91" w:lineRule="exact"/>
        <w:rPr>
          <w:rFonts w:ascii="Arial" w:cs="Arial" w:eastAsia="Arial" w:hAnsi="Arial"/>
          <w:sz w:val="14"/>
          <w:szCs w:val="14"/>
          <w:color w:val="auto"/>
        </w:rPr>
      </w:pPr>
    </w:p>
    <w:p>
      <w:pPr>
        <w:ind w:left="1720" w:hanging="191"/>
        <w:spacing w:after="0"/>
        <w:tabs>
          <w:tab w:leader="none" w:pos="172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Repair, manufacture, assemble, complete, package, deliver, alter or supply goods, if any, necessary to fulfill in whole or in part the purchase order of any customer</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of each Borrower.</w:t>
      </w:r>
    </w:p>
    <w:p>
      <w:pPr>
        <w:spacing w:after="0" w:line="67" w:lineRule="exact"/>
        <w:rPr>
          <w:rFonts w:ascii="Arial" w:cs="Arial" w:eastAsia="Arial" w:hAnsi="Arial"/>
          <w:sz w:val="13"/>
          <w:szCs w:val="13"/>
          <w:color w:val="auto"/>
        </w:rPr>
      </w:pPr>
    </w:p>
    <w:p>
      <w:pPr>
        <w:ind w:left="1740" w:hanging="211"/>
        <w:spacing w:after="0"/>
        <w:tabs>
          <w:tab w:leader="none" w:pos="17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Use, license or transfer any or all General Intangibles of each Borrower.</w:t>
      </w:r>
    </w:p>
    <w:p>
      <w:pPr>
        <w:spacing w:after="0" w:line="156" w:lineRule="exact"/>
        <w:rPr>
          <w:sz w:val="20"/>
          <w:szCs w:val="20"/>
          <w:color w:val="auto"/>
        </w:rPr>
      </w:pPr>
    </w:p>
    <w:p>
      <w:pPr>
        <w:jc w:val="both"/>
        <w:ind w:firstLine="765"/>
        <w:spacing w:after="0" w:line="245" w:lineRule="auto"/>
        <w:rPr>
          <w:sz w:val="20"/>
          <w:szCs w:val="20"/>
          <w:color w:val="auto"/>
        </w:rPr>
      </w:pPr>
      <w:r>
        <w:rPr>
          <w:rFonts w:ascii="Arial" w:cs="Arial" w:eastAsia="Arial" w:hAnsi="Arial"/>
          <w:sz w:val="15"/>
          <w:szCs w:val="15"/>
          <w:b w:val="1"/>
          <w:bCs w:val="1"/>
          <w:color w:val="auto"/>
        </w:rPr>
        <w:t>9.2. 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BLIGATION TO</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CT</w:t>
      </w:r>
      <w:r>
        <w:rPr>
          <w:rFonts w:ascii="Arial" w:cs="Arial" w:eastAsia="Arial" w:hAnsi="Arial"/>
          <w:sz w:val="15"/>
          <w:szCs w:val="15"/>
          <w:b w:val="1"/>
          <w:bCs w:val="1"/>
          <w:color w:val="auto"/>
        </w:rPr>
        <w:t xml:space="preserve">. </w:t>
      </w:r>
      <w:r>
        <w:rPr>
          <w:rFonts w:ascii="Arial" w:cs="Arial" w:eastAsia="Arial" w:hAnsi="Arial"/>
          <w:sz w:val="15"/>
          <w:szCs w:val="15"/>
          <w:color w:val="auto"/>
        </w:rPr>
        <w:t>The Collateral Agent shall not be obligated to do any of the acts or to exercise any of the powers authorized by Section 9.1 herein, but if the Collateral</w:t>
      </w:r>
      <w:r>
        <w:rPr>
          <w:rFonts w:ascii="Arial" w:cs="Arial" w:eastAsia="Arial" w:hAnsi="Arial"/>
          <w:sz w:val="15"/>
          <w:szCs w:val="15"/>
          <w:b w:val="1"/>
          <w:bCs w:val="1"/>
          <w:color w:val="auto"/>
        </w:rPr>
        <w:t xml:space="preserve"> </w:t>
      </w:r>
      <w:r>
        <w:rPr>
          <w:rFonts w:ascii="Arial" w:cs="Arial" w:eastAsia="Arial" w:hAnsi="Arial"/>
          <w:sz w:val="15"/>
          <w:szCs w:val="15"/>
          <w:color w:val="auto"/>
        </w:rPr>
        <w:t>Agent elects to do any such act or to exercise any of such powers, it shall not be accountable for more than it actually receives as a result of such exercise of power, and shall not be responsible to any Borrower for any act or omission to act except for any act or omission to act as to which there is a final determination made in a judicial proceeding (in which proceeding the Collateral Agent has had an opportunity to be heard) which determination includes a specific finding that the subject act or omission to act had been grossly negligent or in actual bad faith or constituted willful misconduct.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10 - E</w:t>
      </w:r>
      <w:r>
        <w:rPr>
          <w:rFonts w:ascii="Arial" w:cs="Arial" w:eastAsia="Arial" w:hAnsi="Arial"/>
          <w:sz w:val="10"/>
          <w:szCs w:val="10"/>
          <w:b w:val="1"/>
          <w:bCs w:val="1"/>
          <w:color w:val="auto"/>
        </w:rPr>
        <w:t>VENTS OF</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EFAULT</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 xml:space="preserve">The occurrence of any event described in this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respectively shall constitute an </w:t>
      </w:r>
      <w:r>
        <w:rPr>
          <w:rFonts w:ascii="Arial" w:cs="Arial" w:eastAsia="Arial" w:hAnsi="Arial"/>
          <w:sz w:val="15"/>
          <w:szCs w:val="15"/>
          <w:b w:val="1"/>
          <w:bCs w:val="1"/>
          <w:color w:val="auto"/>
        </w:rPr>
        <w:t>“Event of Default”</w:t>
      </w:r>
      <w:r>
        <w:rPr>
          <w:rFonts w:ascii="Arial" w:cs="Arial" w:eastAsia="Arial" w:hAnsi="Arial"/>
          <w:sz w:val="15"/>
          <w:szCs w:val="15"/>
          <w:color w:val="auto"/>
        </w:rPr>
        <w:t xml:space="preserve"> herein.</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10.1. F</w:t>
      </w:r>
      <w:r>
        <w:rPr>
          <w:rFonts w:ascii="Arial" w:cs="Arial" w:eastAsia="Arial" w:hAnsi="Arial"/>
          <w:sz w:val="10"/>
          <w:szCs w:val="10"/>
          <w:b w:val="1"/>
          <w:bCs w:val="1"/>
          <w:color w:val="auto"/>
        </w:rPr>
        <w:t>AILURE 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AY THE</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b w:val="1"/>
          <w:bCs w:val="1"/>
          <w:color w:val="auto"/>
        </w:rPr>
        <w:t xml:space="preserve">. </w:t>
      </w:r>
      <w:r>
        <w:rPr>
          <w:rFonts w:ascii="Arial" w:cs="Arial" w:eastAsia="Arial" w:hAnsi="Arial"/>
          <w:sz w:val="15"/>
          <w:szCs w:val="15"/>
          <w:color w:val="auto"/>
        </w:rPr>
        <w:t>The failure by any Loan Party to pay when due any principal of, interest on, or fees in respect of, the Term Facility.</w:t>
      </w:r>
    </w:p>
    <w:p>
      <w:pPr>
        <w:spacing w:after="0" w:line="160"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10.2. F</w:t>
      </w:r>
      <w:r>
        <w:rPr>
          <w:rFonts w:ascii="Arial" w:cs="Arial" w:eastAsia="Arial" w:hAnsi="Arial"/>
          <w:sz w:val="10"/>
          <w:szCs w:val="10"/>
          <w:b w:val="1"/>
          <w:bCs w:val="1"/>
          <w:color w:val="auto"/>
        </w:rPr>
        <w:t>AILURE TO</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AKE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AYMENTS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failure by any Loan Party to pay within five (5) Business Days when due (or upon demand, if payable on demand) any payment</w:t>
      </w:r>
      <w:r>
        <w:rPr>
          <w:rFonts w:ascii="Arial" w:cs="Arial" w:eastAsia="Arial" w:hAnsi="Arial"/>
          <w:sz w:val="15"/>
          <w:szCs w:val="15"/>
          <w:b w:val="1"/>
          <w:bCs w:val="1"/>
          <w:color w:val="auto"/>
        </w:rPr>
        <w:t xml:space="preserve"> </w:t>
      </w:r>
      <w:r>
        <w:rPr>
          <w:rFonts w:ascii="Arial" w:cs="Arial" w:eastAsia="Arial" w:hAnsi="Arial"/>
          <w:sz w:val="15"/>
          <w:szCs w:val="15"/>
          <w:color w:val="auto"/>
        </w:rPr>
        <w:t>Liability other than any payment liability on account of the principal of, or interest on, or fees in respect of, the Term Facility.</w:t>
      </w:r>
    </w:p>
    <w:p>
      <w:pPr>
        <w:spacing w:after="0" w:line="123"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10.3. F</w:t>
      </w:r>
      <w:r>
        <w:rPr>
          <w:rFonts w:ascii="Arial" w:cs="Arial" w:eastAsia="Arial" w:hAnsi="Arial"/>
          <w:sz w:val="10"/>
          <w:szCs w:val="10"/>
          <w:b w:val="1"/>
          <w:bCs w:val="1"/>
          <w:color w:val="auto"/>
        </w:rPr>
        <w:t>AILURE 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ERFORM</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OVENANT OR</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IABILITY</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RACE</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ERIOD</w:t>
      </w:r>
      <w:r>
        <w:rPr>
          <w:rFonts w:ascii="Arial" w:cs="Arial" w:eastAsia="Arial" w:hAnsi="Arial"/>
          <w:sz w:val="15"/>
          <w:szCs w:val="15"/>
          <w:b w:val="1"/>
          <w:bCs w:val="1"/>
          <w:color w:val="auto"/>
        </w:rPr>
        <w:t xml:space="preserve">) . </w:t>
      </w:r>
      <w:r>
        <w:rPr>
          <w:rFonts w:ascii="Arial" w:cs="Arial" w:eastAsia="Arial" w:hAnsi="Arial"/>
          <w:sz w:val="15"/>
          <w:szCs w:val="15"/>
          <w:color w:val="auto"/>
        </w:rPr>
        <w:t>The failure by any Loan Party to promptly, punctually, faithfully and timely perform, discharge, or comply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any covenant or Liability not otherwise described in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10.2</w:t>
      </w:r>
      <w:r>
        <w:rPr>
          <w:rFonts w:ascii="Arial" w:cs="Arial" w:eastAsia="Arial" w:hAnsi="Arial"/>
          <w:sz w:val="15"/>
          <w:szCs w:val="15"/>
          <w:color w:val="auto"/>
        </w:rPr>
        <w:t xml:space="preserve"> hereof, and included in any of the following provisions hereof:</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gridSpan w:val="2"/>
          </w:tcPr>
          <w:p>
            <w:pPr>
              <w:spacing w:after="0"/>
              <w:rPr>
                <w:sz w:val="20"/>
                <w:szCs w:val="20"/>
                <w:color w:val="auto"/>
              </w:rPr>
            </w:pPr>
            <w:r>
              <w:rPr>
                <w:rFonts w:ascii="Arial" w:cs="Arial" w:eastAsia="Arial" w:hAnsi="Arial"/>
                <w:sz w:val="15"/>
                <w:szCs w:val="15"/>
                <w:color w:val="auto"/>
              </w:rPr>
              <w:t>Section</w:t>
            </w:r>
          </w:p>
        </w:tc>
        <w:tc>
          <w:tcPr>
            <w:tcW w:w="7960" w:type="dxa"/>
            <w:vAlign w:val="bottom"/>
            <w:gridSpan w:val="3"/>
          </w:tcPr>
          <w:p>
            <w:pPr>
              <w:ind w:left="840"/>
              <w:spacing w:after="0"/>
              <w:rPr>
                <w:sz w:val="20"/>
                <w:szCs w:val="20"/>
                <w:color w:val="auto"/>
              </w:rPr>
            </w:pPr>
            <w:r>
              <w:rPr>
                <w:rFonts w:ascii="Arial" w:cs="Arial" w:eastAsia="Arial" w:hAnsi="Arial"/>
                <w:sz w:val="15"/>
                <w:szCs w:val="15"/>
                <w:color w:val="auto"/>
              </w:rPr>
              <w:t>Relates to:</w:t>
            </w:r>
          </w:p>
        </w:tc>
      </w:tr>
      <w:tr>
        <w:trPr>
          <w:trHeight w:val="20"/>
        </w:trPr>
        <w:tc>
          <w:tcPr>
            <w:tcW w:w="4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169"/>
        </w:trPr>
        <w:tc>
          <w:tcPr>
            <w:tcW w:w="440" w:type="dxa"/>
            <w:vAlign w:val="bottom"/>
          </w:tcPr>
          <w:p>
            <w:pPr>
              <w:spacing w:after="0" w:line="169" w:lineRule="exact"/>
              <w:rPr>
                <w:sz w:val="20"/>
                <w:szCs w:val="20"/>
                <w:color w:val="auto"/>
              </w:rPr>
            </w:pPr>
            <w:r>
              <w:rPr>
                <w:rFonts w:ascii="Arial" w:cs="Arial" w:eastAsia="Arial" w:hAnsi="Arial"/>
                <w:sz w:val="15"/>
                <w:szCs w:val="15"/>
                <w:color w:val="auto"/>
              </w:rPr>
              <w:t>4.5</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120" w:type="dxa"/>
            <w:vAlign w:val="bottom"/>
            <w:gridSpan w:val="2"/>
          </w:tcPr>
          <w:p>
            <w:pPr>
              <w:spacing w:after="0" w:line="169" w:lineRule="exact"/>
              <w:rPr>
                <w:sz w:val="20"/>
                <w:szCs w:val="20"/>
                <w:color w:val="auto"/>
              </w:rPr>
            </w:pPr>
            <w:r>
              <w:rPr>
                <w:rFonts w:ascii="Arial" w:cs="Arial" w:eastAsia="Arial" w:hAnsi="Arial"/>
                <w:sz w:val="15"/>
                <w:szCs w:val="15"/>
                <w:color w:val="auto"/>
              </w:rPr>
              <w:t>Location of Collateral</w:t>
            </w:r>
          </w:p>
        </w:tc>
      </w:tr>
      <w:tr>
        <w:trPr>
          <w:trHeight w:val="171"/>
        </w:trPr>
        <w:tc>
          <w:tcPr>
            <w:tcW w:w="1380" w:type="dxa"/>
            <w:vAlign w:val="bottom"/>
            <w:gridSpan w:val="2"/>
          </w:tcPr>
          <w:p>
            <w:pPr>
              <w:spacing w:after="0" w:line="172" w:lineRule="exact"/>
              <w:rPr>
                <w:sz w:val="20"/>
                <w:szCs w:val="20"/>
                <w:color w:val="auto"/>
              </w:rPr>
            </w:pPr>
            <w:r>
              <w:rPr>
                <w:rFonts w:ascii="Arial" w:cs="Arial" w:eastAsia="Arial" w:hAnsi="Arial"/>
                <w:sz w:val="15"/>
                <w:szCs w:val="15"/>
                <w:color w:val="auto"/>
              </w:rPr>
              <w:t>4.7(a)</w:t>
            </w: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Title to Assets</w:t>
            </w:r>
          </w:p>
        </w:tc>
      </w:tr>
      <w:tr>
        <w:trPr>
          <w:trHeight w:val="171"/>
        </w:trPr>
        <w:tc>
          <w:tcPr>
            <w:tcW w:w="440" w:type="dxa"/>
            <w:vAlign w:val="bottom"/>
          </w:tcPr>
          <w:p>
            <w:pPr>
              <w:spacing w:after="0" w:line="172" w:lineRule="exact"/>
              <w:rPr>
                <w:sz w:val="20"/>
                <w:szCs w:val="20"/>
                <w:color w:val="auto"/>
              </w:rPr>
            </w:pPr>
            <w:r>
              <w:rPr>
                <w:rFonts w:ascii="Arial" w:cs="Arial" w:eastAsia="Arial" w:hAnsi="Arial"/>
                <w:sz w:val="15"/>
                <w:szCs w:val="15"/>
                <w:color w:val="auto"/>
              </w:rPr>
              <w:t>4.8</w:t>
            </w:r>
          </w:p>
        </w:tc>
        <w:tc>
          <w:tcPr>
            <w:tcW w:w="940" w:type="dxa"/>
            <w:vAlign w:val="bottom"/>
          </w:tcPr>
          <w:p>
            <w:pPr>
              <w:spacing w:after="0"/>
              <w:rPr>
                <w:sz w:val="14"/>
                <w:szCs w:val="14"/>
                <w:color w:val="auto"/>
              </w:rPr>
            </w:pP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Indebtedness</w:t>
            </w:r>
          </w:p>
        </w:tc>
      </w:tr>
      <w:tr>
        <w:trPr>
          <w:trHeight w:val="171"/>
        </w:trPr>
        <w:tc>
          <w:tcPr>
            <w:tcW w:w="440" w:type="dxa"/>
            <w:vAlign w:val="bottom"/>
          </w:tcPr>
          <w:p>
            <w:pPr>
              <w:spacing w:after="0" w:line="172" w:lineRule="exact"/>
              <w:rPr>
                <w:sz w:val="20"/>
                <w:szCs w:val="20"/>
                <w:color w:val="auto"/>
              </w:rPr>
            </w:pPr>
            <w:r>
              <w:rPr>
                <w:rFonts w:ascii="Arial" w:cs="Arial" w:eastAsia="Arial" w:hAnsi="Arial"/>
                <w:sz w:val="15"/>
                <w:szCs w:val="15"/>
                <w:color w:val="auto"/>
              </w:rPr>
              <w:t>4.9</w:t>
            </w:r>
          </w:p>
        </w:tc>
        <w:tc>
          <w:tcPr>
            <w:tcW w:w="940" w:type="dxa"/>
            <w:vAlign w:val="bottom"/>
          </w:tcPr>
          <w:p>
            <w:pPr>
              <w:spacing w:after="0"/>
              <w:rPr>
                <w:sz w:val="14"/>
                <w:szCs w:val="14"/>
                <w:color w:val="auto"/>
              </w:rPr>
            </w:pP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Insurance Policies</w:t>
            </w:r>
          </w:p>
        </w:tc>
      </w:tr>
      <w:tr>
        <w:trPr>
          <w:trHeight w:val="171"/>
        </w:trPr>
        <w:tc>
          <w:tcPr>
            <w:tcW w:w="440" w:type="dxa"/>
            <w:vAlign w:val="bottom"/>
          </w:tcPr>
          <w:p>
            <w:pPr>
              <w:spacing w:after="0" w:line="172" w:lineRule="exact"/>
              <w:rPr>
                <w:sz w:val="20"/>
                <w:szCs w:val="20"/>
                <w:color w:val="auto"/>
              </w:rPr>
            </w:pPr>
            <w:r>
              <w:rPr>
                <w:rFonts w:ascii="Arial" w:cs="Arial" w:eastAsia="Arial" w:hAnsi="Arial"/>
                <w:sz w:val="15"/>
                <w:szCs w:val="15"/>
                <w:color w:val="auto"/>
              </w:rPr>
              <w:t>4.20</w:t>
            </w:r>
          </w:p>
        </w:tc>
        <w:tc>
          <w:tcPr>
            <w:tcW w:w="940" w:type="dxa"/>
            <w:vAlign w:val="bottom"/>
          </w:tcPr>
          <w:p>
            <w:pPr>
              <w:spacing w:after="0"/>
              <w:rPr>
                <w:sz w:val="14"/>
                <w:szCs w:val="14"/>
                <w:color w:val="auto"/>
              </w:rPr>
            </w:pP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Dividends, Investments and Other Entity Actions</w:t>
            </w:r>
          </w:p>
        </w:tc>
      </w:tr>
      <w:tr>
        <w:trPr>
          <w:trHeight w:val="171"/>
        </w:trPr>
        <w:tc>
          <w:tcPr>
            <w:tcW w:w="440" w:type="dxa"/>
            <w:vAlign w:val="bottom"/>
          </w:tcPr>
          <w:p>
            <w:pPr>
              <w:spacing w:after="0" w:line="172" w:lineRule="exact"/>
              <w:rPr>
                <w:sz w:val="20"/>
                <w:szCs w:val="20"/>
                <w:color w:val="auto"/>
              </w:rPr>
            </w:pPr>
            <w:r>
              <w:rPr>
                <w:rFonts w:ascii="Arial" w:cs="Arial" w:eastAsia="Arial" w:hAnsi="Arial"/>
                <w:sz w:val="15"/>
                <w:szCs w:val="15"/>
                <w:color w:val="auto"/>
              </w:rPr>
              <w:t>4.26</w:t>
            </w:r>
          </w:p>
        </w:tc>
        <w:tc>
          <w:tcPr>
            <w:tcW w:w="940" w:type="dxa"/>
            <w:vAlign w:val="bottom"/>
          </w:tcPr>
          <w:p>
            <w:pPr>
              <w:spacing w:after="0"/>
              <w:rPr>
                <w:sz w:val="14"/>
                <w:szCs w:val="14"/>
                <w:color w:val="auto"/>
              </w:rPr>
            </w:pP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Affiliate Transactions</w:t>
            </w:r>
          </w:p>
        </w:tc>
      </w:tr>
      <w:tr>
        <w:trPr>
          <w:trHeight w:val="171"/>
        </w:trPr>
        <w:tc>
          <w:tcPr>
            <w:tcW w:w="440" w:type="dxa"/>
            <w:vAlign w:val="bottom"/>
          </w:tcPr>
          <w:p>
            <w:pPr>
              <w:spacing w:after="0" w:line="172" w:lineRule="exact"/>
              <w:rPr>
                <w:sz w:val="20"/>
                <w:szCs w:val="20"/>
                <w:color w:val="auto"/>
              </w:rPr>
            </w:pPr>
            <w:r>
              <w:rPr>
                <w:rFonts w:ascii="Arial" w:cs="Arial" w:eastAsia="Arial" w:hAnsi="Arial"/>
                <w:sz w:val="15"/>
                <w:szCs w:val="15"/>
                <w:color w:val="auto"/>
              </w:rPr>
              <w:t>4.27</w:t>
            </w:r>
          </w:p>
        </w:tc>
        <w:tc>
          <w:tcPr>
            <w:tcW w:w="940" w:type="dxa"/>
            <w:vAlign w:val="bottom"/>
          </w:tcPr>
          <w:p>
            <w:pPr>
              <w:spacing w:after="0"/>
              <w:rPr>
                <w:sz w:val="14"/>
                <w:szCs w:val="14"/>
                <w:color w:val="auto"/>
              </w:rPr>
            </w:pP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Further Assurances</w:t>
            </w:r>
          </w:p>
        </w:tc>
      </w:tr>
      <w:tr>
        <w:trPr>
          <w:trHeight w:val="171"/>
        </w:trPr>
        <w:tc>
          <w:tcPr>
            <w:tcW w:w="440" w:type="dxa"/>
            <w:vAlign w:val="bottom"/>
          </w:tcPr>
          <w:p>
            <w:pPr>
              <w:spacing w:after="0" w:line="172" w:lineRule="exact"/>
              <w:rPr>
                <w:sz w:val="20"/>
                <w:szCs w:val="20"/>
                <w:color w:val="auto"/>
              </w:rPr>
            </w:pPr>
            <w:r>
              <w:rPr>
                <w:rFonts w:ascii="Arial" w:cs="Arial" w:eastAsia="Arial" w:hAnsi="Arial"/>
                <w:sz w:val="15"/>
                <w:szCs w:val="15"/>
                <w:color w:val="auto"/>
              </w:rPr>
              <w:t>5.11</w:t>
            </w:r>
          </w:p>
        </w:tc>
        <w:tc>
          <w:tcPr>
            <w:tcW w:w="940" w:type="dxa"/>
            <w:vAlign w:val="bottom"/>
          </w:tcPr>
          <w:p>
            <w:pPr>
              <w:spacing w:after="0"/>
              <w:rPr>
                <w:sz w:val="14"/>
                <w:szCs w:val="14"/>
                <w:color w:val="auto"/>
              </w:rPr>
            </w:pP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Financial Covenant</w:t>
            </w:r>
          </w:p>
        </w:tc>
      </w:tr>
      <w:tr>
        <w:trPr>
          <w:trHeight w:val="171"/>
        </w:trPr>
        <w:tc>
          <w:tcPr>
            <w:tcW w:w="440" w:type="dxa"/>
            <w:vAlign w:val="bottom"/>
          </w:tcPr>
          <w:p>
            <w:pPr>
              <w:spacing w:after="0" w:line="172" w:lineRule="exact"/>
              <w:rPr>
                <w:sz w:val="20"/>
                <w:szCs w:val="20"/>
                <w:color w:val="auto"/>
              </w:rPr>
            </w:pPr>
            <w:r>
              <w:rPr>
                <w:rFonts w:ascii="Arial" w:cs="Arial" w:eastAsia="Arial" w:hAnsi="Arial"/>
                <w:sz w:val="15"/>
                <w:szCs w:val="15"/>
                <w:color w:val="auto"/>
              </w:rPr>
              <w:t>5.12</w:t>
            </w:r>
          </w:p>
        </w:tc>
        <w:tc>
          <w:tcPr>
            <w:tcW w:w="940" w:type="dxa"/>
            <w:vAlign w:val="bottom"/>
          </w:tcPr>
          <w:p>
            <w:pPr>
              <w:spacing w:after="0"/>
              <w:rPr>
                <w:sz w:val="14"/>
                <w:szCs w:val="14"/>
                <w:color w:val="auto"/>
              </w:rPr>
            </w:pP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Term Loan Push Down Reserve</w:t>
            </w:r>
          </w:p>
        </w:tc>
      </w:tr>
      <w:tr>
        <w:trPr>
          <w:trHeight w:val="171"/>
        </w:trPr>
        <w:tc>
          <w:tcPr>
            <w:tcW w:w="440" w:type="dxa"/>
            <w:vAlign w:val="bottom"/>
          </w:tcPr>
          <w:p>
            <w:pPr>
              <w:spacing w:after="0" w:line="172" w:lineRule="exact"/>
              <w:rPr>
                <w:sz w:val="20"/>
                <w:szCs w:val="20"/>
                <w:color w:val="auto"/>
              </w:rPr>
            </w:pPr>
            <w:r>
              <w:rPr>
                <w:rFonts w:ascii="Arial" w:cs="Arial" w:eastAsia="Arial" w:hAnsi="Arial"/>
                <w:sz w:val="15"/>
                <w:szCs w:val="15"/>
                <w:color w:val="auto"/>
              </w:rPr>
              <w:t>6.1</w:t>
            </w:r>
          </w:p>
        </w:tc>
        <w:tc>
          <w:tcPr>
            <w:tcW w:w="940" w:type="dxa"/>
            <w:vAlign w:val="bottom"/>
          </w:tcPr>
          <w:p>
            <w:pPr>
              <w:spacing w:after="0"/>
              <w:rPr>
                <w:sz w:val="14"/>
                <w:szCs w:val="14"/>
                <w:color w:val="auto"/>
              </w:rPr>
            </w:pPr>
          </w:p>
        </w:tc>
        <w:tc>
          <w:tcPr>
            <w:tcW w:w="7960" w:type="dxa"/>
            <w:vAlign w:val="bottom"/>
            <w:gridSpan w:val="3"/>
          </w:tcPr>
          <w:p>
            <w:pPr>
              <w:ind w:left="840"/>
              <w:spacing w:after="0" w:line="172" w:lineRule="exact"/>
              <w:rPr>
                <w:sz w:val="20"/>
                <w:szCs w:val="20"/>
                <w:color w:val="auto"/>
              </w:rPr>
            </w:pPr>
            <w:r>
              <w:rPr>
                <w:rFonts w:ascii="Arial" w:cs="Arial" w:eastAsia="Arial" w:hAnsi="Arial"/>
                <w:sz w:val="15"/>
                <w:szCs w:val="15"/>
                <w:color w:val="auto"/>
              </w:rPr>
              <w:t>Use of Inventory Collateral</w:t>
            </w:r>
          </w:p>
        </w:tc>
      </w:tr>
      <w:tr>
        <w:trPr>
          <w:trHeight w:val="188"/>
        </w:trPr>
        <w:tc>
          <w:tcPr>
            <w:tcW w:w="1380" w:type="dxa"/>
            <w:vAlign w:val="bottom"/>
            <w:gridSpan w:val="2"/>
          </w:tcPr>
          <w:p>
            <w:pPr>
              <w:spacing w:after="0"/>
              <w:rPr>
                <w:sz w:val="20"/>
                <w:szCs w:val="20"/>
                <w:color w:val="auto"/>
              </w:rPr>
            </w:pPr>
            <w:r>
              <w:rPr>
                <w:rFonts w:ascii="Arial" w:cs="Arial" w:eastAsia="Arial" w:hAnsi="Arial"/>
                <w:sz w:val="15"/>
                <w:szCs w:val="15"/>
                <w:color w:val="auto"/>
              </w:rPr>
              <w:t>Article 7</w:t>
            </w:r>
          </w:p>
        </w:tc>
        <w:tc>
          <w:tcPr>
            <w:tcW w:w="7960" w:type="dxa"/>
            <w:vAlign w:val="bottom"/>
            <w:gridSpan w:val="3"/>
          </w:tcPr>
          <w:p>
            <w:pPr>
              <w:ind w:left="840"/>
              <w:spacing w:after="0"/>
              <w:rPr>
                <w:sz w:val="20"/>
                <w:szCs w:val="20"/>
                <w:color w:val="auto"/>
              </w:rPr>
            </w:pPr>
            <w:r>
              <w:rPr>
                <w:rFonts w:ascii="Arial" w:cs="Arial" w:eastAsia="Arial" w:hAnsi="Arial"/>
                <w:sz w:val="15"/>
                <w:szCs w:val="15"/>
                <w:color w:val="auto"/>
                <w:w w:val="89"/>
              </w:rPr>
              <w:t>Cash Management (except if the failure to comply is as a result of force majeure or through no fault of the Loan Parties)</w:t>
            </w:r>
          </w:p>
        </w:tc>
      </w:tr>
      <w:tr>
        <w:trPr>
          <w:trHeight w:val="333"/>
        </w:trPr>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960" w:type="dxa"/>
            <w:vAlign w:val="bottom"/>
            <w:gridSpan w:val="3"/>
          </w:tcPr>
          <w:p>
            <w:pPr>
              <w:jc w:val="right"/>
              <w:ind w:right="3440"/>
              <w:spacing w:after="0"/>
              <w:rPr>
                <w:sz w:val="20"/>
                <w:szCs w:val="20"/>
                <w:color w:val="auto"/>
              </w:rPr>
            </w:pPr>
            <w:r>
              <w:rPr>
                <w:rFonts w:ascii="Arial" w:cs="Arial" w:eastAsia="Arial" w:hAnsi="Arial"/>
                <w:sz w:val="15"/>
                <w:szCs w:val="15"/>
                <w:color w:val="auto"/>
              </w:rPr>
              <w:t>- 50 -</w:t>
            </w:r>
          </w:p>
        </w:tc>
      </w:tr>
    </w:tbl>
    <w:p>
      <w:pPr>
        <w:sectPr>
          <w:pgSz w:w="11900" w:h="16838" w:orient="portrait"/>
          <w:cols w:equalWidth="0" w:num="1">
            <w:col w:w="11460"/>
          </w:cols>
          <w:pgMar w:left="220" w:top="208" w:right="219" w:bottom="1440" w:gutter="0" w:footer="0" w:header="0"/>
        </w:sectPr>
      </w:pPr>
    </w:p>
    <w:bookmarkStart w:id="108" w:name="page109"/>
    <w:bookmarkEnd w:id="108"/>
    <w:p>
      <w:pPr>
        <w:jc w:val="both"/>
        <w:ind w:firstLine="765"/>
        <w:spacing w:after="0" w:line="265" w:lineRule="auto"/>
        <w:rPr>
          <w:sz w:val="20"/>
          <w:szCs w:val="20"/>
          <w:color w:val="auto"/>
        </w:rPr>
      </w:pPr>
      <w:r>
        <w:rPr>
          <w:rFonts w:ascii="Arial" w:cs="Arial" w:eastAsia="Arial" w:hAnsi="Arial"/>
          <w:sz w:val="15"/>
          <w:szCs w:val="15"/>
          <w:b w:val="1"/>
          <w:bCs w:val="1"/>
          <w:color w:val="auto"/>
        </w:rPr>
        <w:t>10.4. F</w:t>
      </w:r>
      <w:r>
        <w:rPr>
          <w:rFonts w:ascii="Arial" w:cs="Arial" w:eastAsia="Arial" w:hAnsi="Arial"/>
          <w:sz w:val="10"/>
          <w:szCs w:val="10"/>
          <w:b w:val="1"/>
          <w:bCs w:val="1"/>
          <w:color w:val="auto"/>
        </w:rPr>
        <w:t>INANCIAL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EPORTING</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EQUIREMENTS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failure by any Loan Party to promptly, punctually, faithfully and timely perform, discharge, or comply with the financial reporting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requirements included in </w:t>
      </w:r>
      <w:r>
        <w:rPr>
          <w:rFonts w:ascii="Arial" w:cs="Arial" w:eastAsia="Arial" w:hAnsi="Arial"/>
          <w:sz w:val="15"/>
          <w:szCs w:val="15"/>
          <w:u w:val="single" w:color="auto"/>
          <w:color w:val="auto"/>
        </w:rPr>
        <w:t>Article 5</w:t>
      </w:r>
      <w:r>
        <w:rPr>
          <w:rFonts w:ascii="Arial" w:cs="Arial" w:eastAsia="Arial" w:hAnsi="Arial"/>
          <w:sz w:val="15"/>
          <w:szCs w:val="15"/>
          <w:color w:val="auto"/>
        </w:rPr>
        <w:t>, subject, however, to the following limited number of grace periods applicable to certain of those requirements:</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8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REPORT / STATEMENT</w:t>
            </w: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REQUIRED BY SECTION</w:t>
            </w:r>
          </w:p>
        </w:tc>
        <w:tc>
          <w:tcPr>
            <w:tcW w:w="2300" w:type="dxa"/>
            <w:vAlign w:val="bottom"/>
            <w:tcBorders>
              <w:top w:val="single" w:sz="8" w:color="auto"/>
              <w:right w:val="single" w:sz="8" w:color="auto"/>
            </w:tcBorders>
          </w:tcPr>
          <w:p>
            <w:pPr>
              <w:spacing w:after="0"/>
              <w:rPr>
                <w:sz w:val="20"/>
                <w:szCs w:val="20"/>
                <w:color w:val="auto"/>
              </w:rPr>
            </w:pPr>
            <w:r>
              <w:rPr>
                <w:rFonts w:ascii="Arial" w:cs="Arial" w:eastAsia="Arial" w:hAnsi="Arial"/>
                <w:sz w:val="15"/>
                <w:szCs w:val="15"/>
                <w:color w:val="auto"/>
              </w:rPr>
              <w:t>GRACE PERIOD</w:t>
            </w:r>
          </w:p>
        </w:tc>
        <w:tc>
          <w:tcPr>
            <w:tcW w:w="3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NUMBER OF GRACE PERIODS</w:t>
            </w:r>
          </w:p>
        </w:tc>
      </w:tr>
      <w:tr>
        <w:trPr>
          <w:trHeight w:val="64"/>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78"/>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Borrowing Base Certificates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5.4</w:t>
            </w:r>
          </w:p>
        </w:tc>
        <w:tc>
          <w:tcPr>
            <w:tcW w:w="23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One Business Day</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Three per Fiscal Quarter</w:t>
            </w:r>
          </w:p>
        </w:tc>
      </w:tr>
      <w:tr>
        <w:trPr>
          <w:trHeight w:val="64"/>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78"/>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Monthly Reports (30 Days)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86"/>
              </w:rPr>
              <w:t>5.5</w:t>
            </w:r>
          </w:p>
        </w:tc>
        <w:tc>
          <w:tcPr>
            <w:tcW w:w="230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Three Business Days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5"/>
                <w:szCs w:val="15"/>
                <w:color w:val="auto"/>
              </w:rPr>
              <w:t>Three in any 12 months</w:t>
            </w:r>
          </w:p>
        </w:tc>
      </w:tr>
      <w:tr>
        <w:trPr>
          <w:trHeight w:val="64"/>
        </w:trPr>
        <w:tc>
          <w:tcPr>
            <w:tcW w:w="2880" w:type="dxa"/>
            <w:vAlign w:val="bottom"/>
            <w:tcBorders>
              <w:left w:val="single" w:sz="8" w:color="auto"/>
              <w:bottom w:val="single" w:sz="8" w:color="auto"/>
              <w:right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230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96"/>
        </w:trPr>
        <w:tc>
          <w:tcPr>
            <w:tcW w:w="2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Compliance Certificates</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5.8</w:t>
            </w:r>
          </w:p>
        </w:tc>
        <w:tc>
          <w:tcPr>
            <w:tcW w:w="23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Three Business Days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Three in any 12 months</w:t>
            </w:r>
          </w:p>
        </w:tc>
      </w:tr>
      <w:tr>
        <w:trPr>
          <w:trHeight w:val="56"/>
        </w:trPr>
        <w:tc>
          <w:tcPr>
            <w:tcW w:w="288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145"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10.5. F</w:t>
      </w:r>
      <w:r>
        <w:rPr>
          <w:rFonts w:ascii="Arial" w:cs="Arial" w:eastAsia="Arial" w:hAnsi="Arial"/>
          <w:sz w:val="10"/>
          <w:szCs w:val="10"/>
          <w:b w:val="1"/>
          <w:bCs w:val="1"/>
          <w:color w:val="auto"/>
        </w:rPr>
        <w:t>AILURE 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ERFORM</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OVENANT OR</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IABILITY</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RACE</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ERIOD</w:t>
      </w:r>
      <w:r>
        <w:rPr>
          <w:rFonts w:ascii="Arial" w:cs="Arial" w:eastAsia="Arial" w:hAnsi="Arial"/>
          <w:sz w:val="15"/>
          <w:szCs w:val="15"/>
          <w:b w:val="1"/>
          <w:bCs w:val="1"/>
          <w:color w:val="auto"/>
        </w:rPr>
        <w:t xml:space="preserve">). </w:t>
      </w:r>
      <w:r>
        <w:rPr>
          <w:rFonts w:ascii="Arial" w:cs="Arial" w:eastAsia="Arial" w:hAnsi="Arial"/>
          <w:sz w:val="15"/>
          <w:szCs w:val="15"/>
          <w:color w:val="auto"/>
        </w:rPr>
        <w:t>The failure by any Loan Party, within fifteen (15) days following the earlier of any Loan Party’s knowledge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 breach of any covenant or Liability not described in any of </w:t>
      </w:r>
      <w:r>
        <w:rPr>
          <w:rFonts w:ascii="Arial" w:cs="Arial" w:eastAsia="Arial" w:hAnsi="Arial"/>
          <w:sz w:val="15"/>
          <w:szCs w:val="15"/>
          <w:u w:val="single" w:color="auto"/>
          <w:color w:val="auto"/>
        </w:rPr>
        <w:t>Sections 10.1</w:t>
      </w:r>
      <w:r>
        <w:rPr>
          <w:rFonts w:ascii="Arial" w:cs="Arial" w:eastAsia="Arial" w:hAnsi="Arial"/>
          <w:sz w:val="15"/>
          <w:szCs w:val="15"/>
          <w:color w:val="auto"/>
        </w:rPr>
        <w:t xml:space="preserve">, </w:t>
      </w:r>
      <w:r>
        <w:rPr>
          <w:rFonts w:ascii="Arial" w:cs="Arial" w:eastAsia="Arial" w:hAnsi="Arial"/>
          <w:sz w:val="15"/>
          <w:szCs w:val="15"/>
          <w:u w:val="single" w:color="auto"/>
          <w:color w:val="auto"/>
        </w:rPr>
        <w:t>10.2</w:t>
      </w:r>
      <w:r>
        <w:rPr>
          <w:rFonts w:ascii="Arial" w:cs="Arial" w:eastAsia="Arial" w:hAnsi="Arial"/>
          <w:sz w:val="15"/>
          <w:szCs w:val="15"/>
          <w:color w:val="auto"/>
        </w:rPr>
        <w:t xml:space="preserve">, </w:t>
      </w:r>
      <w:r>
        <w:rPr>
          <w:rFonts w:ascii="Arial" w:cs="Arial" w:eastAsia="Arial" w:hAnsi="Arial"/>
          <w:sz w:val="15"/>
          <w:szCs w:val="15"/>
          <w:u w:val="single" w:color="auto"/>
          <w:color w:val="auto"/>
        </w:rPr>
        <w:t>10.3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10.4</w:t>
      </w:r>
      <w:r>
        <w:rPr>
          <w:rFonts w:ascii="Arial" w:cs="Arial" w:eastAsia="Arial" w:hAnsi="Arial"/>
          <w:sz w:val="15"/>
          <w:szCs w:val="15"/>
          <w:color w:val="auto"/>
        </w:rPr>
        <w:t>, or of the Borrowers’ Representative’s receipt of written notice from the Administrative Agent of the breach of any such covenants or Liabilities.</w:t>
      </w:r>
    </w:p>
    <w:p>
      <w:pPr>
        <w:spacing w:after="0" w:line="135"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10.6. M</w:t>
      </w:r>
      <w:r>
        <w:rPr>
          <w:rFonts w:ascii="Arial" w:cs="Arial" w:eastAsia="Arial" w:hAnsi="Arial"/>
          <w:sz w:val="10"/>
          <w:szCs w:val="10"/>
          <w:b w:val="1"/>
          <w:bCs w:val="1"/>
          <w:color w:val="auto"/>
        </w:rPr>
        <w:t>ISREPRESENTATION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determination by the Administrative Agent that any representation or warranty at any time made by any Loan Party to any Agent or any Term Lender</w:t>
      </w:r>
      <w:r>
        <w:rPr>
          <w:rFonts w:ascii="Arial" w:cs="Arial" w:eastAsia="Arial" w:hAnsi="Arial"/>
          <w:sz w:val="15"/>
          <w:szCs w:val="15"/>
          <w:b w:val="1"/>
          <w:bCs w:val="1"/>
          <w:color w:val="auto"/>
        </w:rPr>
        <w:t xml:space="preserve"> </w:t>
      </w:r>
      <w:r>
        <w:rPr>
          <w:rFonts w:ascii="Arial" w:cs="Arial" w:eastAsia="Arial" w:hAnsi="Arial"/>
          <w:sz w:val="15"/>
          <w:szCs w:val="15"/>
          <w:color w:val="auto"/>
        </w:rPr>
        <w:t>was not true or complete in all material respects when given.</w:t>
      </w:r>
    </w:p>
    <w:p>
      <w:pPr>
        <w:spacing w:after="0" w:line="123"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10.7. A</w:t>
      </w:r>
      <w:r>
        <w:rPr>
          <w:rFonts w:ascii="Arial" w:cs="Arial" w:eastAsia="Arial" w:hAnsi="Arial"/>
          <w:sz w:val="10"/>
          <w:szCs w:val="10"/>
          <w:b w:val="1"/>
          <w:bCs w:val="1"/>
          <w:color w:val="auto"/>
        </w:rPr>
        <w:t>CCELERATION OF</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EBT</w:t>
      </w:r>
      <w:r>
        <w:rPr>
          <w:rFonts w:ascii="Arial" w:cs="Arial" w:eastAsia="Arial" w:hAnsi="Arial"/>
          <w:sz w:val="15"/>
          <w:szCs w:val="15"/>
          <w:b w:val="1"/>
          <w:bCs w:val="1"/>
          <w:color w:val="auto"/>
        </w:rPr>
        <w:t>; B</w:t>
      </w:r>
      <w:r>
        <w:rPr>
          <w:rFonts w:ascii="Arial" w:cs="Arial" w:eastAsia="Arial" w:hAnsi="Arial"/>
          <w:sz w:val="10"/>
          <w:szCs w:val="10"/>
          <w:b w:val="1"/>
          <w:bCs w:val="1"/>
          <w:color w:val="auto"/>
        </w:rPr>
        <w:t>REACH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EASE</w:t>
      </w:r>
      <w:r>
        <w:rPr>
          <w:rFonts w:ascii="Arial" w:cs="Arial" w:eastAsia="Arial" w:hAnsi="Arial"/>
          <w:sz w:val="15"/>
          <w:szCs w:val="15"/>
          <w:b w:val="1"/>
          <w:bCs w:val="1"/>
          <w:color w:val="auto"/>
        </w:rPr>
        <w:t xml:space="preserve">. </w:t>
      </w:r>
      <w:r>
        <w:rPr>
          <w:rFonts w:ascii="Arial" w:cs="Arial" w:eastAsia="Arial" w:hAnsi="Arial"/>
          <w:sz w:val="15"/>
          <w:szCs w:val="15"/>
          <w:color w:val="auto"/>
        </w:rPr>
        <w:t>The occurrence of any event such that any Indebtedness of any Loan Party in excess of $5,000,000.00 to any creditor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than the Agent or any Term Lender could be accelerated or, without the consent of a Loan Party, Leases with aggregate monthly rents of at least $1,000,000.00 could be terminated prior to the stated termination date thereof (whether or not the subject creditor or lessor takes any action on account of such occurrence).</w:t>
      </w:r>
    </w:p>
    <w:p>
      <w:pPr>
        <w:spacing w:after="0" w:line="135" w:lineRule="exact"/>
        <w:rPr>
          <w:sz w:val="20"/>
          <w:szCs w:val="20"/>
          <w:color w:val="auto"/>
        </w:rPr>
      </w:pPr>
    </w:p>
    <w:p>
      <w:pPr>
        <w:jc w:val="both"/>
        <w:ind w:firstLine="765"/>
        <w:spacing w:after="0" w:line="247" w:lineRule="auto"/>
        <w:rPr>
          <w:sz w:val="20"/>
          <w:szCs w:val="20"/>
          <w:color w:val="auto"/>
        </w:rPr>
      </w:pPr>
      <w:r>
        <w:rPr>
          <w:rFonts w:ascii="Arial" w:cs="Arial" w:eastAsia="Arial" w:hAnsi="Arial"/>
          <w:sz w:val="15"/>
          <w:szCs w:val="15"/>
          <w:b w:val="1"/>
          <w:bCs w:val="1"/>
          <w:color w:val="auto"/>
        </w:rPr>
        <w:t>10.8. D</w:t>
      </w:r>
      <w:r>
        <w:rPr>
          <w:rFonts w:ascii="Arial" w:cs="Arial" w:eastAsia="Arial" w:hAnsi="Arial"/>
          <w:sz w:val="10"/>
          <w:szCs w:val="10"/>
          <w:b w:val="1"/>
          <w:bCs w:val="1"/>
          <w:color w:val="auto"/>
        </w:rPr>
        <w:t>EFAULT</w:t>
      </w:r>
      <w:r>
        <w:rPr>
          <w:rFonts w:ascii="Arial" w:cs="Arial" w:eastAsia="Arial" w:hAnsi="Arial"/>
          <w:sz w:val="15"/>
          <w:szCs w:val="15"/>
          <w:b w:val="1"/>
          <w:bCs w:val="1"/>
          <w:color w:val="auto"/>
        </w:rPr>
        <w:t xml:space="preserve"> U</w:t>
      </w:r>
      <w:r>
        <w:rPr>
          <w:rFonts w:ascii="Arial" w:cs="Arial" w:eastAsia="Arial" w:hAnsi="Arial"/>
          <w:sz w:val="10"/>
          <w:szCs w:val="10"/>
          <w:b w:val="1"/>
          <w:bCs w:val="1"/>
          <w:color w:val="auto"/>
        </w:rPr>
        <w:t>NDER</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occurrence of any breach or default under any agreement between the Agent or any Term Lender and any Loan Party or instrument</w:t>
      </w:r>
      <w:r>
        <w:rPr>
          <w:rFonts w:ascii="Arial" w:cs="Arial" w:eastAsia="Arial" w:hAnsi="Arial"/>
          <w:sz w:val="15"/>
          <w:szCs w:val="15"/>
          <w:b w:val="1"/>
          <w:bCs w:val="1"/>
          <w:color w:val="auto"/>
        </w:rPr>
        <w:t xml:space="preserve"> </w:t>
      </w:r>
      <w:r>
        <w:rPr>
          <w:rFonts w:ascii="Arial" w:cs="Arial" w:eastAsia="Arial" w:hAnsi="Arial"/>
          <w:sz w:val="15"/>
          <w:szCs w:val="15"/>
          <w:color w:val="auto"/>
        </w:rPr>
        <w:t>or paper given the Agent or any Term Lender by Any Loan Party not constituting a Loan Document, whether such agreement, instrument, or paper now exists or hereafter arises, with respect to Indebtedness in excess of $5,000,000.00 (notwithstanding that the Agent or the subject Term Lender may not have exercised its rights upon default under any such other agreement, instrument or paper).</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10.9. U</w:t>
      </w:r>
      <w:r>
        <w:rPr>
          <w:rFonts w:ascii="Arial" w:cs="Arial" w:eastAsia="Arial" w:hAnsi="Arial"/>
          <w:sz w:val="10"/>
          <w:szCs w:val="10"/>
          <w:b w:val="1"/>
          <w:bCs w:val="1"/>
          <w:color w:val="auto"/>
        </w:rPr>
        <w:t>NINSURED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ASUALTY</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OSS</w:t>
      </w:r>
      <w:r>
        <w:rPr>
          <w:rFonts w:ascii="Arial" w:cs="Arial" w:eastAsia="Arial" w:hAnsi="Arial"/>
          <w:sz w:val="15"/>
          <w:szCs w:val="15"/>
          <w:color w:val="auto"/>
        </w:rPr>
        <w:t>. The occurrence of any uninsured loss, theft, damage, or destruction of or to any material portion of the Collateral.</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10.10. A</w:t>
      </w:r>
      <w:r>
        <w:rPr>
          <w:rFonts w:ascii="Arial" w:cs="Arial" w:eastAsia="Arial" w:hAnsi="Arial"/>
          <w:sz w:val="10"/>
          <w:szCs w:val="10"/>
          <w:b w:val="1"/>
          <w:bCs w:val="1"/>
          <w:color w:val="auto"/>
        </w:rPr>
        <w:t>TTACHMENT</w:t>
      </w:r>
      <w:r>
        <w:rPr>
          <w:rFonts w:ascii="Arial" w:cs="Arial" w:eastAsia="Arial" w:hAnsi="Arial"/>
          <w:sz w:val="15"/>
          <w:szCs w:val="15"/>
          <w:b w:val="1"/>
          <w:bCs w:val="1"/>
          <w:color w:val="auto"/>
        </w:rPr>
        <w:t>; J</w:t>
      </w:r>
      <w:r>
        <w:rPr>
          <w:rFonts w:ascii="Arial" w:cs="Arial" w:eastAsia="Arial" w:hAnsi="Arial"/>
          <w:sz w:val="10"/>
          <w:szCs w:val="10"/>
          <w:b w:val="1"/>
          <w:bCs w:val="1"/>
          <w:color w:val="auto"/>
        </w:rPr>
        <w:t>UDGMENT</w:t>
      </w:r>
      <w:r>
        <w:rPr>
          <w:rFonts w:ascii="Arial" w:cs="Arial" w:eastAsia="Arial" w:hAnsi="Arial"/>
          <w:sz w:val="15"/>
          <w:szCs w:val="15"/>
          <w:b w:val="1"/>
          <w:bCs w:val="1"/>
          <w:color w:val="auto"/>
        </w:rPr>
        <w:t>; R</w:t>
      </w:r>
      <w:r>
        <w:rPr>
          <w:rFonts w:ascii="Arial" w:cs="Arial" w:eastAsia="Arial" w:hAnsi="Arial"/>
          <w:sz w:val="10"/>
          <w:szCs w:val="10"/>
          <w:b w:val="1"/>
          <w:bCs w:val="1"/>
          <w:color w:val="auto"/>
        </w:rPr>
        <w:t>ESTRAINT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USINESS</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336" w:lineRule="auto"/>
        <w:tabs>
          <w:tab w:leader="none" w:pos="1731"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service of process upon any Agent or any Term Lender or any Participant of a court order or order of any other applicable governmental authority attaching, by trustee, mesne, or other process, any funds of any Loan Party on deposit with, or assets of any Loan Party in the possession of, that Agent or that Term Lender or such Participant.</w:t>
      </w:r>
    </w:p>
    <w:p>
      <w:pPr>
        <w:spacing w:after="0" w:line="4" w:lineRule="exact"/>
        <w:rPr>
          <w:rFonts w:ascii="Arial" w:cs="Arial" w:eastAsia="Arial" w:hAnsi="Arial"/>
          <w:sz w:val="13"/>
          <w:szCs w:val="13"/>
          <w:color w:val="auto"/>
        </w:rPr>
      </w:pPr>
    </w:p>
    <w:p>
      <w:pPr>
        <w:ind w:firstLine="1529"/>
        <w:spacing w:after="0" w:line="259" w:lineRule="auto"/>
        <w:tabs>
          <w:tab w:leader="none" w:pos="1742"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entry of judgments against any Loan Party, to the extent not covered by insurance (subject to a reasonable deductible) aggregating more than $750,000, which judgments are not satisfied (if a money judgment) or appealed from (with execution or similar process stayed) within thirty (30) days of entry.</w:t>
      </w:r>
    </w:p>
    <w:p>
      <w:pPr>
        <w:spacing w:after="0" w:line="51" w:lineRule="exact"/>
        <w:rPr>
          <w:rFonts w:ascii="Arial" w:cs="Arial" w:eastAsia="Arial" w:hAnsi="Arial"/>
          <w:sz w:val="15"/>
          <w:szCs w:val="15"/>
          <w:color w:val="auto"/>
        </w:rPr>
      </w:pPr>
    </w:p>
    <w:p>
      <w:pPr>
        <w:ind w:firstLine="1529"/>
        <w:spacing w:after="0" w:line="259" w:lineRule="auto"/>
        <w:tabs>
          <w:tab w:leader="none" w:pos="1732"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entry of any order or the imposition of any other process having the force of law, the effect of which is to restrain in any material way the conduct by any Loan Party of its business in the ordinary course.</w:t>
      </w:r>
    </w:p>
    <w:p>
      <w:pPr>
        <w:spacing w:after="0" w:line="128" w:lineRule="exact"/>
        <w:rPr>
          <w:sz w:val="20"/>
          <w:szCs w:val="20"/>
          <w:color w:val="auto"/>
        </w:rPr>
      </w:pPr>
    </w:p>
    <w:p>
      <w:pPr>
        <w:jc w:val="both"/>
        <w:ind w:firstLine="765"/>
        <w:spacing w:after="0" w:line="247" w:lineRule="auto"/>
        <w:rPr>
          <w:sz w:val="20"/>
          <w:szCs w:val="20"/>
          <w:color w:val="auto"/>
        </w:rPr>
      </w:pPr>
      <w:r>
        <w:rPr>
          <w:rFonts w:ascii="Arial" w:cs="Arial" w:eastAsia="Arial" w:hAnsi="Arial"/>
          <w:sz w:val="15"/>
          <w:szCs w:val="15"/>
          <w:b w:val="1"/>
          <w:bCs w:val="1"/>
          <w:color w:val="auto"/>
        </w:rPr>
        <w:t>10.11. I</w:t>
      </w:r>
      <w:r>
        <w:rPr>
          <w:rFonts w:ascii="Arial" w:cs="Arial" w:eastAsia="Arial" w:hAnsi="Arial"/>
          <w:sz w:val="10"/>
          <w:szCs w:val="10"/>
          <w:b w:val="1"/>
          <w:bCs w:val="1"/>
          <w:color w:val="auto"/>
        </w:rPr>
        <w:t>NDICTMENT</w:t>
      </w:r>
      <w:r>
        <w:rPr>
          <w:rFonts w:ascii="Arial" w:cs="Arial" w:eastAsia="Arial" w:hAnsi="Arial"/>
          <w:sz w:val="15"/>
          <w:szCs w:val="15"/>
          <w:b w:val="1"/>
          <w:bCs w:val="1"/>
          <w:color w:val="auto"/>
        </w:rPr>
        <w:t xml:space="preserve"> - F</w:t>
      </w:r>
      <w:r>
        <w:rPr>
          <w:rFonts w:ascii="Arial" w:cs="Arial" w:eastAsia="Arial" w:hAnsi="Arial"/>
          <w:sz w:val="10"/>
          <w:szCs w:val="10"/>
          <w:b w:val="1"/>
          <w:bCs w:val="1"/>
          <w:color w:val="auto"/>
        </w:rPr>
        <w:t>ORFEITURE</w:t>
      </w:r>
      <w:r>
        <w:rPr>
          <w:rFonts w:ascii="Arial" w:cs="Arial" w:eastAsia="Arial" w:hAnsi="Arial"/>
          <w:sz w:val="15"/>
          <w:szCs w:val="15"/>
          <w:b w:val="1"/>
          <w:bCs w:val="1"/>
          <w:color w:val="auto"/>
        </w:rPr>
        <w:t xml:space="preserve">. </w:t>
      </w:r>
      <w:r>
        <w:rPr>
          <w:rFonts w:ascii="Arial" w:cs="Arial" w:eastAsia="Arial" w:hAnsi="Arial"/>
          <w:sz w:val="15"/>
          <w:szCs w:val="15"/>
          <w:color w:val="auto"/>
        </w:rPr>
        <w:t>The indictment of, or institution of any legal process or proceeding against, any Loan Party, under any federal, state, municipal, and other civil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criminal statute, rule, regulation, order, or other requirement having the force of law where the relief, penalties, or remedies sought or available include the forfeiture of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part of the property of that Loan Party and/or the imposition of any stay or other order, the effect of which could be to restrain in any material way the conduct by any Loan Party of its business in the ordinary course.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- 51 -</w:t>
      </w:r>
    </w:p>
    <w:p>
      <w:pPr>
        <w:sectPr>
          <w:pgSz w:w="11900" w:h="16838" w:orient="portrait"/>
          <w:cols w:equalWidth="0" w:num="1">
            <w:col w:w="11460"/>
          </w:cols>
          <w:pgMar w:left="220" w:top="284" w:right="219" w:bottom="1440" w:gutter="0" w:footer="0" w:header="0"/>
        </w:sectPr>
      </w:pPr>
    </w:p>
    <w:bookmarkStart w:id="109" w:name="page110"/>
    <w:bookmarkEnd w:id="109"/>
    <w:p>
      <w:pPr>
        <w:ind w:left="760"/>
        <w:spacing w:after="0"/>
        <w:rPr>
          <w:sz w:val="20"/>
          <w:szCs w:val="20"/>
          <w:color w:val="auto"/>
        </w:rPr>
      </w:pPr>
      <w:r>
        <w:rPr>
          <w:rFonts w:ascii="Arial" w:cs="Arial" w:eastAsia="Arial" w:hAnsi="Arial"/>
          <w:sz w:val="15"/>
          <w:szCs w:val="15"/>
          <w:b w:val="1"/>
          <w:bCs w:val="1"/>
          <w:color w:val="auto"/>
        </w:rPr>
        <w:t>10.12. C</w:t>
      </w:r>
      <w:r>
        <w:rPr>
          <w:rFonts w:ascii="Arial" w:cs="Arial" w:eastAsia="Arial" w:hAnsi="Arial"/>
          <w:sz w:val="10"/>
          <w:szCs w:val="10"/>
          <w:b w:val="1"/>
          <w:bCs w:val="1"/>
          <w:color w:val="auto"/>
        </w:rPr>
        <w:t>HALLENGE TO</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OAN</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OCUMENTS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9" w:lineRule="auto"/>
        <w:tabs>
          <w:tab w:leader="none" w:pos="1734"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Any challenge by or on behalf of the Borrowers’ Representative, any Loan Party to the validity of any Loan Document or the applicability or enforceability of any Loan Document strictly in accordance with the subject Loan Document’s terms or which seeks to void, avoid, limit, or otherwise adversely affect any security interest created by or in any Loan Document or any payment made pursuant thereto.</w:t>
      </w:r>
    </w:p>
    <w:p>
      <w:pPr>
        <w:spacing w:after="0" w:line="58" w:lineRule="exact"/>
        <w:rPr>
          <w:rFonts w:ascii="Arial" w:cs="Arial" w:eastAsia="Arial" w:hAnsi="Arial"/>
          <w:sz w:val="15"/>
          <w:szCs w:val="15"/>
          <w:color w:val="auto"/>
        </w:rPr>
      </w:pPr>
    </w:p>
    <w:p>
      <w:pPr>
        <w:ind w:firstLine="1529"/>
        <w:spacing w:after="0" w:line="295" w:lineRule="auto"/>
        <w:tabs>
          <w:tab w:leader="none" w:pos="1749"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Any determination by any court or any other judicial or government authority that any Loan Document is not enforceable strictly in accordance with the subject Loan Document’s terms or which voids, avoids, limits, or otherwise adversely affects any security interest created by any Loan Document or any payment made pursuant thereto.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10.13. C</w:t>
      </w:r>
      <w:r>
        <w:rPr>
          <w:rFonts w:ascii="Arial" w:cs="Arial" w:eastAsia="Arial" w:hAnsi="Arial"/>
          <w:sz w:val="10"/>
          <w:szCs w:val="10"/>
          <w:b w:val="1"/>
          <w:bCs w:val="1"/>
          <w:color w:val="auto"/>
        </w:rPr>
        <w:t>HANGE</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ONTROL</w:t>
      </w:r>
      <w:r>
        <w:rPr>
          <w:rFonts w:ascii="Arial" w:cs="Arial" w:eastAsia="Arial" w:hAnsi="Arial"/>
          <w:sz w:val="15"/>
          <w:szCs w:val="15"/>
          <w:b w:val="1"/>
          <w:bCs w:val="1"/>
          <w:color w:val="auto"/>
        </w:rPr>
        <w:t xml:space="preserve">. </w:t>
      </w:r>
      <w:r>
        <w:rPr>
          <w:rFonts w:ascii="Arial" w:cs="Arial" w:eastAsia="Arial" w:hAnsi="Arial"/>
          <w:sz w:val="15"/>
          <w:szCs w:val="15"/>
          <w:color w:val="auto"/>
        </w:rPr>
        <w:t>Any Change in Control.</w:t>
      </w:r>
    </w:p>
    <w:p>
      <w:pPr>
        <w:spacing w:after="0" w:line="160" w:lineRule="exact"/>
        <w:rPr>
          <w:sz w:val="20"/>
          <w:szCs w:val="20"/>
          <w:color w:val="auto"/>
        </w:rPr>
      </w:pPr>
    </w:p>
    <w:p>
      <w:pPr>
        <w:jc w:val="both"/>
        <w:ind w:firstLine="765"/>
        <w:spacing w:after="0" w:line="243" w:lineRule="auto"/>
        <w:rPr>
          <w:sz w:val="20"/>
          <w:szCs w:val="20"/>
          <w:color w:val="auto"/>
        </w:rPr>
      </w:pPr>
      <w:r>
        <w:rPr>
          <w:rFonts w:ascii="Arial" w:cs="Arial" w:eastAsia="Arial" w:hAnsi="Arial"/>
          <w:sz w:val="15"/>
          <w:szCs w:val="15"/>
          <w:b w:val="1"/>
          <w:bCs w:val="1"/>
          <w:color w:val="auto"/>
        </w:rPr>
        <w:t>10.14. B</w:t>
      </w:r>
      <w:r>
        <w:rPr>
          <w:rFonts w:ascii="Arial" w:cs="Arial" w:eastAsia="Arial" w:hAnsi="Arial"/>
          <w:sz w:val="10"/>
          <w:szCs w:val="10"/>
          <w:b w:val="1"/>
          <w:bCs w:val="1"/>
          <w:color w:val="auto"/>
        </w:rPr>
        <w:t>USINESS</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AILURE</w:t>
      </w:r>
      <w:r>
        <w:rPr>
          <w:rFonts w:ascii="Arial" w:cs="Arial" w:eastAsia="Arial" w:hAnsi="Arial"/>
          <w:sz w:val="15"/>
          <w:szCs w:val="15"/>
          <w:b w:val="1"/>
          <w:bCs w:val="1"/>
          <w:color w:val="auto"/>
        </w:rPr>
        <w:t xml:space="preserve">. </w:t>
      </w:r>
      <w:r>
        <w:rPr>
          <w:rFonts w:ascii="Arial" w:cs="Arial" w:eastAsia="Arial" w:hAnsi="Arial"/>
          <w:sz w:val="15"/>
          <w:szCs w:val="15"/>
          <w:color w:val="auto"/>
        </w:rPr>
        <w:t>Any act by, against or relating to any Loan Party, or its property or assets, which act constitutes the determination by any Loan Party to initiate or</w:t>
      </w:r>
      <w:r>
        <w:rPr>
          <w:rFonts w:ascii="Arial" w:cs="Arial" w:eastAsia="Arial" w:hAnsi="Arial"/>
          <w:sz w:val="15"/>
          <w:szCs w:val="15"/>
          <w:b w:val="1"/>
          <w:bCs w:val="1"/>
          <w:color w:val="auto"/>
        </w:rPr>
        <w:t xml:space="preserve"> </w:t>
      </w:r>
      <w:r>
        <w:rPr>
          <w:rFonts w:ascii="Arial" w:cs="Arial" w:eastAsia="Arial" w:hAnsi="Arial"/>
          <w:sz w:val="15"/>
          <w:szCs w:val="15"/>
          <w:color w:val="auto"/>
        </w:rPr>
        <w:t>acquiesce to: a program of partial or total self-liquidation; an application for, consent to, or sufferance of the appointment of a receiver, trustee, or other person, pursuant to court action or otherwise, with respect to all or any part of any Loan Party’s property; the granting of any trust mortgage or execution of an assignment for the benefit of the creditors of any Loan Party; any other voluntary or involuntary liquidation or extension of debt agreement for any Loan Party; the offering by, or entering into by, any Loan Party of any composition, extension, or any other arrangement seeking relief from or extension of the debts of any Loan Party; or the initiation of any judicial or non-judicial proceeding or agreement by, against, or including any Loan Party which seeks or intends to accomplish a reorganization or arrangement with creditors; and/or the initiation by or on behalf of any Loan Party of the liquidation or winding up of all or any part of any Loan Party’s business or operations.</w:t>
      </w:r>
    </w:p>
    <w:p>
      <w:pPr>
        <w:spacing w:after="0" w:line="139" w:lineRule="exact"/>
        <w:rPr>
          <w:sz w:val="20"/>
          <w:szCs w:val="20"/>
          <w:color w:val="auto"/>
        </w:rPr>
      </w:pPr>
    </w:p>
    <w:p>
      <w:pPr>
        <w:jc w:val="both"/>
        <w:ind w:firstLine="765"/>
        <w:spacing w:after="0" w:line="264" w:lineRule="auto"/>
        <w:rPr>
          <w:sz w:val="20"/>
          <w:szCs w:val="20"/>
          <w:color w:val="auto"/>
        </w:rPr>
      </w:pPr>
      <w:r>
        <w:rPr>
          <w:rFonts w:ascii="Arial" w:cs="Arial" w:eastAsia="Arial" w:hAnsi="Arial"/>
          <w:sz w:val="14"/>
          <w:szCs w:val="14"/>
          <w:b w:val="1"/>
          <w:bCs w:val="1"/>
          <w:color w:val="auto"/>
        </w:rPr>
        <w:t>10.15. B</w:t>
      </w:r>
      <w:r>
        <w:rPr>
          <w:rFonts w:ascii="Arial" w:cs="Arial" w:eastAsia="Arial" w:hAnsi="Arial"/>
          <w:sz w:val="9"/>
          <w:szCs w:val="9"/>
          <w:b w:val="1"/>
          <w:bCs w:val="1"/>
          <w:color w:val="auto"/>
        </w:rPr>
        <w:t>ANKRUPTCY</w:t>
      </w:r>
      <w:r>
        <w:rPr>
          <w:rFonts w:ascii="Arial" w:cs="Arial" w:eastAsia="Arial" w:hAnsi="Arial"/>
          <w:sz w:val="14"/>
          <w:szCs w:val="14"/>
          <w:b w:val="1"/>
          <w:bCs w:val="1"/>
          <w:color w:val="auto"/>
        </w:rPr>
        <w:t xml:space="preserve">. </w:t>
      </w:r>
      <w:r>
        <w:rPr>
          <w:rFonts w:ascii="Arial" w:cs="Arial" w:eastAsia="Arial" w:hAnsi="Arial"/>
          <w:sz w:val="14"/>
          <w:szCs w:val="14"/>
          <w:color w:val="auto"/>
        </w:rPr>
        <w:t>The failure by any Loan Party to generally pay the debts of that Loan Party as they mature; adjudication of bankruptcy or insolvency relative to any Loan</w:t>
      </w:r>
      <w:r>
        <w:rPr>
          <w:rFonts w:ascii="Arial" w:cs="Arial" w:eastAsia="Arial" w:hAnsi="Arial"/>
          <w:sz w:val="14"/>
          <w:szCs w:val="14"/>
          <w:b w:val="1"/>
          <w:bCs w:val="1"/>
          <w:color w:val="auto"/>
        </w:rPr>
        <w:t xml:space="preserve"> </w:t>
      </w:r>
      <w:r>
        <w:rPr>
          <w:rFonts w:ascii="Arial" w:cs="Arial" w:eastAsia="Arial" w:hAnsi="Arial"/>
          <w:sz w:val="14"/>
          <w:szCs w:val="14"/>
          <w:color w:val="auto"/>
        </w:rPr>
        <w:t>Party; the entry of an order for relief or similar order with respect to any Loan Party in any proceeding pursuant to the Bankruptcy Code or any other federal bankruptcy law; the filing of any complaint, application, or petition by any Loan Party initiating any matter in which any Loan Party is or may be granted any relief from the debts of that Loan Party pursuant to the Bankruptcy Code or any other insolvency statute or procedure; the filing of any complaint, application, or petition against any Loan Party initiating any matter in which that Loan Party is or may be granted any relief from the debts of that Loan Party pursuant to the Bankruptcy Code or any other insolvency statute or procedure, which complaint, application, or petition is not timely contested in good faith by that Loan Party by appropriate proceedings or, if so contested, is not dismissed within ninety (90) days of when filed.</w:t>
      </w:r>
    </w:p>
    <w:p>
      <w:pPr>
        <w:spacing w:after="0" w:line="127" w:lineRule="exact"/>
        <w:rPr>
          <w:sz w:val="20"/>
          <w:szCs w:val="20"/>
          <w:color w:val="auto"/>
        </w:rPr>
      </w:pPr>
    </w:p>
    <w:p>
      <w:pPr>
        <w:jc w:val="both"/>
        <w:ind w:firstLine="765"/>
        <w:spacing w:after="0" w:line="278" w:lineRule="auto"/>
        <w:rPr>
          <w:sz w:val="20"/>
          <w:szCs w:val="20"/>
          <w:color w:val="auto"/>
        </w:rPr>
      </w:pPr>
      <w:r>
        <w:rPr>
          <w:rFonts w:ascii="Arial" w:cs="Arial" w:eastAsia="Arial" w:hAnsi="Arial"/>
          <w:sz w:val="14"/>
          <w:szCs w:val="14"/>
          <w:b w:val="1"/>
          <w:bCs w:val="1"/>
          <w:color w:val="auto"/>
        </w:rPr>
        <w:t>10.16. T</w:t>
      </w:r>
      <w:r>
        <w:rPr>
          <w:rFonts w:ascii="Arial" w:cs="Arial" w:eastAsia="Arial" w:hAnsi="Arial"/>
          <w:sz w:val="9"/>
          <w:szCs w:val="9"/>
          <w:b w:val="1"/>
          <w:bCs w:val="1"/>
          <w:color w:val="auto"/>
        </w:rPr>
        <w:t>ERMINATION OF</w:t>
      </w:r>
      <w:r>
        <w:rPr>
          <w:rFonts w:ascii="Arial" w:cs="Arial" w:eastAsia="Arial" w:hAnsi="Arial"/>
          <w:sz w:val="14"/>
          <w:szCs w:val="14"/>
          <w:b w:val="1"/>
          <w:bCs w:val="1"/>
          <w:color w:val="auto"/>
        </w:rPr>
        <w:t xml:space="preserve"> B</w:t>
      </w:r>
      <w:r>
        <w:rPr>
          <w:rFonts w:ascii="Arial" w:cs="Arial" w:eastAsia="Arial" w:hAnsi="Arial"/>
          <w:sz w:val="9"/>
          <w:szCs w:val="9"/>
          <w:b w:val="1"/>
          <w:bCs w:val="1"/>
          <w:color w:val="auto"/>
        </w:rPr>
        <w:t>USINESS</w:t>
      </w:r>
      <w:r>
        <w:rPr>
          <w:rFonts w:ascii="Arial" w:cs="Arial" w:eastAsia="Arial" w:hAnsi="Arial"/>
          <w:sz w:val="14"/>
          <w:szCs w:val="14"/>
          <w:b w:val="1"/>
          <w:bCs w:val="1"/>
          <w:color w:val="auto"/>
        </w:rPr>
        <w:t xml:space="preserve">. </w:t>
      </w:r>
      <w:r>
        <w:rPr>
          <w:rFonts w:ascii="Arial" w:cs="Arial" w:eastAsia="Arial" w:hAnsi="Arial"/>
          <w:sz w:val="14"/>
          <w:szCs w:val="14"/>
          <w:color w:val="auto"/>
        </w:rPr>
        <w:t>Unless subject to the prior written consent of the Agent, the determination of the Loan Parties, whether by vote of the Loan Parties’ board of</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directors or otherwise to: suspend the operation of the Loan Parties’ business in the ordinary course, liquidate all or a material portion of the Loan Parties’ assets or Stores, or employ an agent or other third party to conduct any so-called store closing, store liquidation or “Going-Out-Of-Business” sales (other than in connection with a Permitted Asset Disposition).</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10.17. P</w:t>
      </w:r>
      <w:r>
        <w:rPr>
          <w:rFonts w:ascii="Arial" w:cs="Arial" w:eastAsia="Arial" w:hAnsi="Arial"/>
          <w:sz w:val="9"/>
          <w:szCs w:val="9"/>
          <w:b w:val="1"/>
          <w:bCs w:val="1"/>
          <w:color w:val="auto"/>
        </w:rPr>
        <w:t>AYMENT OF</w:t>
      </w:r>
      <w:r>
        <w:rPr>
          <w:rFonts w:ascii="Arial" w:cs="Arial" w:eastAsia="Arial" w:hAnsi="Arial"/>
          <w:sz w:val="14"/>
          <w:szCs w:val="14"/>
          <w:b w:val="1"/>
          <w:bCs w:val="1"/>
          <w:color w:val="auto"/>
        </w:rPr>
        <w:t xml:space="preserve"> O</w:t>
      </w:r>
      <w:r>
        <w:rPr>
          <w:rFonts w:ascii="Arial" w:cs="Arial" w:eastAsia="Arial" w:hAnsi="Arial"/>
          <w:sz w:val="9"/>
          <w:szCs w:val="9"/>
          <w:b w:val="1"/>
          <w:bCs w:val="1"/>
          <w:color w:val="auto"/>
        </w:rPr>
        <w:t>THER</w:t>
      </w:r>
      <w:r>
        <w:rPr>
          <w:rFonts w:ascii="Arial" w:cs="Arial" w:eastAsia="Arial" w:hAnsi="Arial"/>
          <w:sz w:val="14"/>
          <w:szCs w:val="14"/>
          <w:b w:val="1"/>
          <w:bCs w:val="1"/>
          <w:color w:val="auto"/>
        </w:rPr>
        <w:t xml:space="preserve"> I</w:t>
      </w:r>
      <w:r>
        <w:rPr>
          <w:rFonts w:ascii="Arial" w:cs="Arial" w:eastAsia="Arial" w:hAnsi="Arial"/>
          <w:sz w:val="9"/>
          <w:szCs w:val="9"/>
          <w:b w:val="1"/>
          <w:bCs w:val="1"/>
          <w:color w:val="auto"/>
        </w:rPr>
        <w:t>NDEBTEDNESS</w:t>
      </w:r>
      <w:r>
        <w:rPr>
          <w:rFonts w:ascii="Arial" w:cs="Arial" w:eastAsia="Arial" w:hAnsi="Arial"/>
          <w:sz w:val="14"/>
          <w:szCs w:val="14"/>
          <w:b w:val="1"/>
          <w:bCs w:val="1"/>
          <w:color w:val="auto"/>
        </w:rPr>
        <w:t xml:space="preserve">. </w:t>
      </w:r>
      <w:r>
        <w:rPr>
          <w:rFonts w:ascii="Arial" w:cs="Arial" w:eastAsia="Arial" w:hAnsi="Arial"/>
          <w:sz w:val="14"/>
          <w:szCs w:val="14"/>
          <w:color w:val="auto"/>
        </w:rPr>
        <w:t>The Loan Parties shall prepay or discharge any Indebtedness prior to its maturity date except as expressly permitted hereunder.</w:t>
      </w:r>
    </w:p>
    <w:p>
      <w:pPr>
        <w:spacing w:after="0" w:line="172"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10.18. D</w:t>
      </w:r>
      <w:r>
        <w:rPr>
          <w:rFonts w:ascii="Arial" w:cs="Arial" w:eastAsia="Arial" w:hAnsi="Arial"/>
          <w:sz w:val="10"/>
          <w:szCs w:val="10"/>
          <w:b w:val="1"/>
          <w:bCs w:val="1"/>
          <w:color w:val="auto"/>
        </w:rPr>
        <w:t>EFAULT BY</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UARANTOR</w:t>
      </w:r>
      <w:r>
        <w:rPr>
          <w:rFonts w:ascii="Arial" w:cs="Arial" w:eastAsia="Arial" w:hAnsi="Arial"/>
          <w:sz w:val="15"/>
          <w:szCs w:val="15"/>
          <w:b w:val="1"/>
          <w:bCs w:val="1"/>
          <w:color w:val="auto"/>
        </w:rPr>
        <w:t>; T</w:t>
      </w:r>
      <w:r>
        <w:rPr>
          <w:rFonts w:ascii="Arial" w:cs="Arial" w:eastAsia="Arial" w:hAnsi="Arial"/>
          <w:sz w:val="10"/>
          <w:szCs w:val="10"/>
          <w:b w:val="1"/>
          <w:bCs w:val="1"/>
          <w:color w:val="auto"/>
        </w:rPr>
        <w:t>ERMINATION OF</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UARANTY</w:t>
      </w:r>
      <w:r>
        <w:rPr>
          <w:rFonts w:ascii="Arial" w:cs="Arial" w:eastAsia="Arial" w:hAnsi="Arial"/>
          <w:sz w:val="15"/>
          <w:szCs w:val="15"/>
          <w:b w:val="1"/>
          <w:bCs w:val="1"/>
          <w:color w:val="auto"/>
        </w:rPr>
        <w:t xml:space="preserve">. </w:t>
      </w:r>
      <w:r>
        <w:rPr>
          <w:rFonts w:ascii="Arial" w:cs="Arial" w:eastAsia="Arial" w:hAnsi="Arial"/>
          <w:sz w:val="15"/>
          <w:szCs w:val="15"/>
          <w:color w:val="auto"/>
        </w:rPr>
        <w:t>The occurrence of any Guarantor Default and/or the termination or attempted termination of any Guaranty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by any Person.</w:t>
      </w:r>
    </w:p>
    <w:p>
      <w:pPr>
        <w:spacing w:after="0" w:line="123"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10.19. M</w:t>
      </w:r>
      <w:r>
        <w:rPr>
          <w:rFonts w:ascii="Arial" w:cs="Arial" w:eastAsia="Arial" w:hAnsi="Arial"/>
          <w:sz w:val="10"/>
          <w:szCs w:val="10"/>
          <w:b w:val="1"/>
          <w:bCs w:val="1"/>
          <w:color w:val="auto"/>
        </w:rPr>
        <w:t>ATERIAL</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DVERSE</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HANGE</w:t>
      </w:r>
      <w:r>
        <w:rPr>
          <w:rFonts w:ascii="Arial" w:cs="Arial" w:eastAsia="Arial" w:hAnsi="Arial"/>
          <w:sz w:val="15"/>
          <w:szCs w:val="15"/>
          <w:b w:val="1"/>
          <w:bCs w:val="1"/>
          <w:color w:val="auto"/>
        </w:rPr>
        <w:t xml:space="preserve">. </w:t>
      </w:r>
      <w:r>
        <w:rPr>
          <w:rFonts w:ascii="Arial" w:cs="Arial" w:eastAsia="Arial" w:hAnsi="Arial"/>
          <w:sz w:val="15"/>
          <w:szCs w:val="15"/>
          <w:color w:val="auto"/>
        </w:rPr>
        <w:t>An event shall have occurred or failed to occur, which occurrence or failure is or could have a materially adverse effect upon the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 of Casual Male and its Subsidiaries when compared with such financial condition as of August 2, 2014.</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11 - R</w:t>
      </w:r>
      <w:r>
        <w:rPr>
          <w:rFonts w:ascii="Arial" w:cs="Arial" w:eastAsia="Arial" w:hAnsi="Arial"/>
          <w:sz w:val="10"/>
          <w:szCs w:val="10"/>
          <w:b w:val="1"/>
          <w:bCs w:val="1"/>
          <w:color w:val="auto"/>
        </w:rPr>
        <w:t>IGHTS AND</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EMEDIES</w:t>
      </w:r>
      <w:r>
        <w:rPr>
          <w:rFonts w:ascii="Arial" w:cs="Arial" w:eastAsia="Arial" w:hAnsi="Arial"/>
          <w:sz w:val="15"/>
          <w:szCs w:val="15"/>
          <w:b w:val="1"/>
          <w:bCs w:val="1"/>
          <w:color w:val="auto"/>
        </w:rPr>
        <w:t xml:space="preserve"> U</w:t>
      </w:r>
      <w:r>
        <w:rPr>
          <w:rFonts w:ascii="Arial" w:cs="Arial" w:eastAsia="Arial" w:hAnsi="Arial"/>
          <w:sz w:val="10"/>
          <w:szCs w:val="10"/>
          <w:b w:val="1"/>
          <w:bCs w:val="1"/>
          <w:color w:val="auto"/>
        </w:rPr>
        <w:t>PON</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EFAULT</w:t>
      </w:r>
      <w:r>
        <w:rPr>
          <w:rFonts w:ascii="Arial" w:cs="Arial" w:eastAsia="Arial" w:hAnsi="Arial"/>
          <w:sz w:val="15"/>
          <w:szCs w:val="15"/>
          <w:b w:val="1"/>
          <w:bCs w:val="1"/>
          <w:color w:val="auto"/>
        </w:rPr>
        <w:t>:</w:t>
      </w:r>
    </w:p>
    <w:p>
      <w:pPr>
        <w:spacing w:after="0" w:line="160" w:lineRule="exact"/>
        <w:rPr>
          <w:sz w:val="20"/>
          <w:szCs w:val="20"/>
          <w:color w:val="auto"/>
        </w:rPr>
      </w:pPr>
    </w:p>
    <w:p>
      <w:pPr>
        <w:jc w:val="both"/>
        <w:ind w:firstLine="765"/>
        <w:spacing w:after="0" w:line="301" w:lineRule="auto"/>
        <w:rPr>
          <w:sz w:val="20"/>
          <w:szCs w:val="20"/>
          <w:color w:val="auto"/>
        </w:rPr>
      </w:pPr>
      <w:r>
        <w:rPr>
          <w:rFonts w:ascii="Arial" w:cs="Arial" w:eastAsia="Arial" w:hAnsi="Arial"/>
          <w:sz w:val="14"/>
          <w:szCs w:val="14"/>
          <w:b w:val="1"/>
          <w:bCs w:val="1"/>
          <w:color w:val="auto"/>
        </w:rPr>
        <w:t>11.1. A</w:t>
      </w:r>
      <w:r>
        <w:rPr>
          <w:rFonts w:ascii="Arial" w:cs="Arial" w:eastAsia="Arial" w:hAnsi="Arial"/>
          <w:sz w:val="9"/>
          <w:szCs w:val="9"/>
          <w:b w:val="1"/>
          <w:bCs w:val="1"/>
          <w:color w:val="auto"/>
        </w:rPr>
        <w:t>CCELERATION</w:t>
      </w:r>
      <w:r>
        <w:rPr>
          <w:rFonts w:ascii="Arial" w:cs="Arial" w:eastAsia="Arial" w:hAnsi="Arial"/>
          <w:sz w:val="14"/>
          <w:szCs w:val="14"/>
          <w:b w:val="1"/>
          <w:bCs w:val="1"/>
          <w:color w:val="auto"/>
        </w:rPr>
        <w:t xml:space="preserve">. </w:t>
      </w:r>
      <w:r>
        <w:rPr>
          <w:rFonts w:ascii="Arial" w:cs="Arial" w:eastAsia="Arial" w:hAnsi="Arial"/>
          <w:sz w:val="14"/>
          <w:szCs w:val="14"/>
          <w:color w:val="auto"/>
        </w:rPr>
        <w:t>Upon the occurrence of any Event of Default, the Administrative Agent may (and on the issuance of Acceleration Notice(s) requisite to the causing of</w:t>
      </w:r>
      <w:r>
        <w:rPr>
          <w:rFonts w:ascii="Arial" w:cs="Arial" w:eastAsia="Arial" w:hAnsi="Arial"/>
          <w:sz w:val="14"/>
          <w:szCs w:val="14"/>
          <w:b w:val="1"/>
          <w:bCs w:val="1"/>
          <w:color w:val="auto"/>
        </w:rPr>
        <w:t xml:space="preserve"> </w:t>
      </w:r>
      <w:r>
        <w:rPr>
          <w:rFonts w:ascii="Arial" w:cs="Arial" w:eastAsia="Arial" w:hAnsi="Arial"/>
          <w:sz w:val="14"/>
          <w:szCs w:val="14"/>
          <w:color w:val="auto"/>
        </w:rPr>
        <w:t>Acceleration, the Administrative Agent shall) declare all Indebtedness of the Loan Parties to the Term Lenders to be immediately due and payable and may exercise all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- 52 -</w:t>
      </w:r>
    </w:p>
    <w:p>
      <w:pPr>
        <w:sectPr>
          <w:pgSz w:w="11900" w:h="16838" w:orient="portrait"/>
          <w:cols w:equalWidth="0" w:num="1">
            <w:col w:w="11460"/>
          </w:cols>
          <w:pgMar w:left="220" w:top="284" w:right="219" w:bottom="1440" w:gutter="0" w:footer="0" w:header="0"/>
        </w:sectPr>
      </w:pPr>
    </w:p>
    <w:bookmarkStart w:id="110" w:name="page111"/>
    <w:bookmarkEnd w:id="110"/>
    <w:p>
      <w:pPr>
        <w:spacing w:after="0" w:line="259" w:lineRule="auto"/>
        <w:rPr>
          <w:sz w:val="20"/>
          <w:szCs w:val="20"/>
          <w:color w:val="auto"/>
        </w:rPr>
      </w:pPr>
      <w:r>
        <w:rPr>
          <w:rFonts w:ascii="Arial" w:cs="Arial" w:eastAsia="Arial" w:hAnsi="Arial"/>
          <w:sz w:val="15"/>
          <w:szCs w:val="15"/>
          <w:color w:val="auto"/>
        </w:rPr>
        <w:t>Administrative Agent’s Rights and Remedies (and the Collateral Agent may likewise exercise all of its rights and remedies upon default) as the Administrative Agent from time to time thereafter determines as appropriate.</w:t>
      </w:r>
    </w:p>
    <w:p>
      <w:pPr>
        <w:spacing w:after="0" w:line="128" w:lineRule="exact"/>
        <w:rPr>
          <w:sz w:val="20"/>
          <w:szCs w:val="20"/>
          <w:color w:val="auto"/>
        </w:rPr>
      </w:pPr>
    </w:p>
    <w:p>
      <w:pPr>
        <w:ind w:firstLine="765"/>
        <w:spacing w:after="0" w:line="265" w:lineRule="auto"/>
        <w:rPr>
          <w:sz w:val="20"/>
          <w:szCs w:val="20"/>
          <w:color w:val="auto"/>
        </w:rPr>
      </w:pPr>
      <w:r>
        <w:rPr>
          <w:rFonts w:ascii="Arial" w:cs="Arial" w:eastAsia="Arial" w:hAnsi="Arial"/>
          <w:sz w:val="15"/>
          <w:szCs w:val="15"/>
          <w:b w:val="1"/>
          <w:bCs w:val="1"/>
          <w:color w:val="auto"/>
        </w:rPr>
        <w:t>11.2. R</w:t>
      </w:r>
      <w:r>
        <w:rPr>
          <w:rFonts w:ascii="Arial" w:cs="Arial" w:eastAsia="Arial" w:hAnsi="Arial"/>
          <w:sz w:val="10"/>
          <w:szCs w:val="10"/>
          <w:b w:val="1"/>
          <w:bCs w:val="1"/>
          <w:color w:val="auto"/>
        </w:rPr>
        <w:t>IGHTS OF</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NFORCEMENT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Collateral Agent shall have all of the rights and remedies of a secured party upon default under the UCC, in addition to which the Collateral</w:t>
      </w:r>
      <w:r>
        <w:rPr>
          <w:rFonts w:ascii="Arial" w:cs="Arial" w:eastAsia="Arial" w:hAnsi="Arial"/>
          <w:sz w:val="15"/>
          <w:szCs w:val="15"/>
          <w:b w:val="1"/>
          <w:bCs w:val="1"/>
          <w:color w:val="auto"/>
        </w:rPr>
        <w:t xml:space="preserve"> </w:t>
      </w:r>
      <w:r>
        <w:rPr>
          <w:rFonts w:ascii="Arial" w:cs="Arial" w:eastAsia="Arial" w:hAnsi="Arial"/>
          <w:sz w:val="15"/>
          <w:szCs w:val="15"/>
          <w:color w:val="auto"/>
        </w:rPr>
        <w:t>Agent shall have all and each of the following rights and remedies:</w:t>
      </w:r>
    </w:p>
    <w:p>
      <w:pPr>
        <w:spacing w:after="0" w:line="47" w:lineRule="exact"/>
        <w:rPr>
          <w:sz w:val="20"/>
          <w:szCs w:val="20"/>
          <w:color w:val="auto"/>
        </w:rPr>
      </w:pPr>
    </w:p>
    <w:p>
      <w:pPr>
        <w:ind w:firstLine="1529"/>
        <w:spacing w:after="0" w:line="259" w:lineRule="auto"/>
        <w:tabs>
          <w:tab w:leader="none" w:pos="174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give notice to any bank at which any DDA or Blocked Account is maintained and in which Proceeds of Collateral are deposited, to turn over such Proceeds directly to the Collateral Agent.</w:t>
      </w:r>
    </w:p>
    <w:p>
      <w:pPr>
        <w:spacing w:after="0" w:line="51" w:lineRule="exact"/>
        <w:rPr>
          <w:rFonts w:ascii="Arial" w:cs="Arial" w:eastAsia="Arial" w:hAnsi="Arial"/>
          <w:sz w:val="15"/>
          <w:szCs w:val="15"/>
          <w:color w:val="auto"/>
        </w:rPr>
      </w:pPr>
    </w:p>
    <w:p>
      <w:pPr>
        <w:ind w:firstLine="1529"/>
        <w:spacing w:after="0" w:line="259" w:lineRule="auto"/>
        <w:tabs>
          <w:tab w:leader="none" w:pos="1741"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give notice to any customs broker, freight forwarder, consolidator or other carrier of any of the Loan Parties to follow the instructions of the Collateral Agent as provided in any written agreement or undertaking of such broker in favor of the Collateral Agent.</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collect the Receivables Collateral with or without the taking of possession of any of the Collateral.</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take possession of all or any portion of the Collateral.</w:t>
      </w:r>
    </w:p>
    <w:p>
      <w:pPr>
        <w:spacing w:after="0" w:line="79" w:lineRule="exact"/>
        <w:rPr>
          <w:rFonts w:ascii="Arial" w:cs="Arial" w:eastAsia="Arial" w:hAnsi="Arial"/>
          <w:sz w:val="15"/>
          <w:szCs w:val="15"/>
          <w:color w:val="auto"/>
        </w:rPr>
      </w:pPr>
    </w:p>
    <w:p>
      <w:pPr>
        <w:ind w:firstLine="1529"/>
        <w:spacing w:after="0" w:line="259" w:lineRule="auto"/>
        <w:tabs>
          <w:tab w:leader="none" w:pos="1738"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sell, lease, or otherwise dispose of any or all of the Collateral, in its then condition or following such preparation or processing as the Collateral Agent deems advisable and with or without the taking of possession of any of the Collateral.</w:t>
      </w:r>
    </w:p>
    <w:p>
      <w:pPr>
        <w:spacing w:after="0" w:line="51" w:lineRule="exact"/>
        <w:rPr>
          <w:rFonts w:ascii="Arial" w:cs="Arial" w:eastAsia="Arial" w:hAnsi="Arial"/>
          <w:sz w:val="15"/>
          <w:szCs w:val="15"/>
          <w:color w:val="auto"/>
        </w:rPr>
      </w:pPr>
    </w:p>
    <w:p>
      <w:pPr>
        <w:ind w:left="1720" w:hanging="191"/>
        <w:spacing w:after="0"/>
        <w:tabs>
          <w:tab w:leader="none" w:pos="172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Subject to the terms of Store Leases and provisions of applicable law, to conduct one or more going out of business sales which include the sale or other disposition</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of the Collateral.</w:t>
      </w:r>
    </w:p>
    <w:p>
      <w:pPr>
        <w:spacing w:after="0" w:line="67" w:lineRule="exact"/>
        <w:rPr>
          <w:rFonts w:ascii="Arial" w:cs="Arial" w:eastAsia="Arial" w:hAnsi="Arial"/>
          <w:sz w:val="13"/>
          <w:szCs w:val="13"/>
          <w:color w:val="auto"/>
        </w:rPr>
      </w:pPr>
    </w:p>
    <w:p>
      <w:pPr>
        <w:ind w:left="1740" w:hanging="211"/>
        <w:spacing w:after="0"/>
        <w:tabs>
          <w:tab w:leader="none" w:pos="17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apply the Receivables Collateral or the Proceeds of the Collateral towards (but not necessarily in complete satisfaction of) the Liabilities.</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To exercise all or any of the rights, remedies, powers, privileges, and discretions under all or any of the Loan Documents.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11.3. S</w:t>
      </w:r>
      <w:r>
        <w:rPr>
          <w:rFonts w:ascii="Arial" w:cs="Arial" w:eastAsia="Arial" w:hAnsi="Arial"/>
          <w:sz w:val="10"/>
          <w:szCs w:val="10"/>
          <w:b w:val="1"/>
          <w:bCs w:val="1"/>
          <w:color w:val="auto"/>
        </w:rPr>
        <w:t>ALE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3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Any sale or other disposition of the Collateral may be at public or private sale upon such terms and in such manner as the Collateral Agent deems advisable, having due regard to compliance with any statute or regulation which might affect, limit, or apply to the Collateral Agent’s disposition of the Collateral.</w:t>
      </w:r>
    </w:p>
    <w:p>
      <w:pPr>
        <w:spacing w:after="0" w:line="51" w:lineRule="exact"/>
        <w:rPr>
          <w:rFonts w:ascii="Arial" w:cs="Arial" w:eastAsia="Arial" w:hAnsi="Arial"/>
          <w:sz w:val="15"/>
          <w:szCs w:val="15"/>
          <w:color w:val="auto"/>
        </w:rPr>
      </w:pPr>
    </w:p>
    <w:p>
      <w:pPr>
        <w:jc w:val="both"/>
        <w:ind w:firstLine="1529"/>
        <w:spacing w:after="0" w:line="261" w:lineRule="auto"/>
        <w:tabs>
          <w:tab w:leader="none" w:pos="1758"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Collateral Agent, in the exercise of the Collateral Agent’s rights and remedies upon default, may, subject to the terms of Store Leases and provisions of applicable law, conduct, or may require the Loan Parties to conduct, one or more going out of business sales, in the Collateral Agent’s own right or by one or more agents and contractors. Subject to the terms of Store Leases such sale(s) may be conducted upon any premises owned, leased, or occupied by any Loan Party. Subject to applicable law, the Collateral Agent and any such agent or contractor, in conjunction with any such sale, may augment the Inventory with other goods (all of which other goods shall remain the sole property of the Collateral Agent or such agent or contractor). The Borrowers shall have no responsibility or liability for any such augmented inventory. Any amounts realized from the sale of such goods which constitute augmentations to the Inventory (net of an allocable share of the costs and reasonable expenses incurred in their disposition) shall be the sole property of the Collateral Agent or such agent or contractor and neither any Loan Party nor any Person claiming under or in right of any Loan Party shall have any interest therein. The proceeds of any such going out of business sale which is conducted by a Loan Party at the request of the Collateral Agent shall be first applied to the direct costs of such sale.</w:t>
      </w:r>
    </w:p>
    <w:p>
      <w:pPr>
        <w:spacing w:after="0" w:line="51" w:lineRule="exact"/>
        <w:rPr>
          <w:rFonts w:ascii="Arial" w:cs="Arial" w:eastAsia="Arial" w:hAnsi="Arial"/>
          <w:sz w:val="14"/>
          <w:szCs w:val="14"/>
          <w:color w:val="auto"/>
        </w:rPr>
      </w:pPr>
    </w:p>
    <w:p>
      <w:pPr>
        <w:jc w:val="both"/>
        <w:ind w:firstLine="1529"/>
        <w:spacing w:after="0" w:line="243" w:lineRule="auto"/>
        <w:tabs>
          <w:tab w:leader="none" w:pos="1737" w:val="left"/>
        </w:tabs>
        <w:numPr>
          <w:ilvl w:val="0"/>
          <w:numId w:val="147"/>
        </w:numPr>
        <w:rPr>
          <w:rFonts w:ascii="Arial" w:cs="Arial" w:eastAsia="Arial" w:hAnsi="Arial"/>
          <w:sz w:val="15"/>
          <w:szCs w:val="15"/>
          <w:color w:val="auto"/>
        </w:rPr>
      </w:pPr>
      <w:r>
        <w:rPr>
          <w:rFonts w:ascii="Arial" w:cs="Arial" w:eastAsia="Arial" w:hAnsi="Arial"/>
          <w:sz w:val="15"/>
          <w:szCs w:val="15"/>
          <w:color w:val="auto"/>
        </w:rPr>
        <w:t>Unless the Collateral is perishable or threatens to decline speedily in value, or is of a type customarily sold on a recognized market (in which event the Collateral Agent shall provide the Borrowers’ Representative such notice as may be practicable under the circumstances), the Collateral Agent shall give the Borrowers’ Representative at least ten (10) days’ prior written notice of the date, time, and place of any proposed public sale, and of the date after which any private sale or other disposition of the Collateral may be made. Each Borrower agrees that such written notice shall satisfy all requirements for notice to that Borrower which are imposed under the UCC or other applicable law with respect to the exercise of the Collateral Agent’s rights and remedies upon default.</w:t>
      </w:r>
    </w:p>
    <w:p>
      <w:pPr>
        <w:spacing w:after="0" w:line="64" w:lineRule="exact"/>
        <w:rPr>
          <w:rFonts w:ascii="Arial" w:cs="Arial" w:eastAsia="Arial" w:hAnsi="Arial"/>
          <w:sz w:val="15"/>
          <w:szCs w:val="15"/>
          <w:color w:val="auto"/>
        </w:rPr>
      </w:pPr>
    </w:p>
    <w:p>
      <w:pPr>
        <w:ind w:left="1740" w:hanging="211"/>
        <w:spacing w:after="0"/>
        <w:tabs>
          <w:tab w:leader="none" w:pos="17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Collateral Agent, the Administrative Agent, and any Term Lender may purchase the Collateral, or any portion of it at any sale held under this Article.</w:t>
      </w:r>
    </w:p>
    <w:p>
      <w:pPr>
        <w:spacing w:after="0" w:line="171" w:lineRule="exact"/>
        <w:rPr>
          <w:rFonts w:ascii="Arial" w:cs="Arial" w:eastAsia="Arial" w:hAnsi="Arial"/>
          <w:sz w:val="14"/>
          <w:szCs w:val="14"/>
          <w:color w:val="auto"/>
        </w:rPr>
      </w:pPr>
    </w:p>
    <w:p>
      <w:pPr>
        <w:ind w:left="5660" w:hanging="86"/>
        <w:spacing w:after="0"/>
        <w:tabs>
          <w:tab w:leader="none" w:pos="5660" w:val="left"/>
        </w:tabs>
        <w:numPr>
          <w:ilvl w:val="1"/>
          <w:numId w:val="147"/>
        </w:numPr>
        <w:rPr>
          <w:rFonts w:ascii="Arial" w:cs="Arial" w:eastAsia="Arial" w:hAnsi="Arial"/>
          <w:sz w:val="15"/>
          <w:szCs w:val="15"/>
          <w:color w:val="auto"/>
        </w:rPr>
      </w:pPr>
      <w:r>
        <w:rPr>
          <w:rFonts w:ascii="Arial" w:cs="Arial" w:eastAsia="Arial" w:hAnsi="Arial"/>
          <w:sz w:val="15"/>
          <w:szCs w:val="15"/>
          <w:color w:val="auto"/>
        </w:rPr>
        <w:t>53 -</w:t>
      </w:r>
    </w:p>
    <w:p>
      <w:pPr>
        <w:sectPr>
          <w:pgSz w:w="11900" w:h="16838" w:orient="portrait"/>
          <w:cols w:equalWidth="0" w:num="1">
            <w:col w:w="11460"/>
          </w:cols>
          <w:pgMar w:left="220" w:top="288" w:right="219" w:bottom="1440" w:gutter="0" w:footer="0" w:header="0"/>
        </w:sectPr>
      </w:pPr>
    </w:p>
    <w:bookmarkStart w:id="111" w:name="page112"/>
    <w:bookmarkEnd w:id="111"/>
    <w:p>
      <w:pPr>
        <w:ind w:firstLine="1529"/>
        <w:spacing w:after="0" w:line="259" w:lineRule="auto"/>
        <w:tabs>
          <w:tab w:leader="none" w:pos="1729" w:val="left"/>
        </w:tabs>
        <w:numPr>
          <w:ilvl w:val="0"/>
          <w:numId w:val="148"/>
        </w:numPr>
        <w:rPr>
          <w:rFonts w:ascii="Arial" w:cs="Arial" w:eastAsia="Arial" w:hAnsi="Arial"/>
          <w:sz w:val="15"/>
          <w:szCs w:val="15"/>
          <w:color w:val="auto"/>
        </w:rPr>
      </w:pPr>
      <w:r>
        <w:rPr>
          <w:rFonts w:ascii="Arial" w:cs="Arial" w:eastAsia="Arial" w:hAnsi="Arial"/>
          <w:sz w:val="15"/>
          <w:szCs w:val="15"/>
          <w:color w:val="auto"/>
        </w:rPr>
        <w:t>If any of the Collateral is sold, leased, or otherwise disposed of by the Collateral Agent on credit, the Liabilities shall not be deemed to have been reduced as a result thereof unless and until payment is finally received thereon by the Collateral Agent.</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13" w:val="left"/>
        </w:tabs>
        <w:numPr>
          <w:ilvl w:val="0"/>
          <w:numId w:val="148"/>
        </w:numPr>
        <w:rPr>
          <w:rFonts w:ascii="Arial" w:cs="Arial" w:eastAsia="Arial" w:hAnsi="Arial"/>
          <w:sz w:val="15"/>
          <w:szCs w:val="15"/>
          <w:color w:val="auto"/>
        </w:rPr>
      </w:pPr>
      <w:r>
        <w:rPr>
          <w:rFonts w:ascii="Arial" w:cs="Arial" w:eastAsia="Arial" w:hAnsi="Arial"/>
          <w:sz w:val="15"/>
          <w:szCs w:val="15"/>
          <w:color w:val="auto"/>
        </w:rPr>
        <w:t xml:space="preserve">The Collateral Agent shall turn over to the Administrative Agent the proceeds of the exercise by the Collateral Agent of its rights and remedies under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The Administrative Agent shall apply the proceeds of the Collateral Agent’s exercise of its rights and remedies upon default pursuant to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in accordance with </w:t>
      </w:r>
      <w:r>
        <w:rPr>
          <w:rFonts w:ascii="Arial" w:cs="Arial" w:eastAsia="Arial" w:hAnsi="Arial"/>
          <w:sz w:val="15"/>
          <w:szCs w:val="15"/>
          <w:u w:val="single" w:color="auto"/>
          <w:color w:val="auto"/>
        </w:rPr>
        <w:t>Sections 13.5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13.6</w:t>
      </w:r>
      <w:r>
        <w:rPr>
          <w:rFonts w:ascii="Arial" w:cs="Arial" w:eastAsia="Arial" w:hAnsi="Arial"/>
          <w:sz w:val="15"/>
          <w:szCs w:val="15"/>
          <w:color w:val="auto"/>
        </w:rPr>
        <w:t>.</w:t>
      </w:r>
    </w:p>
    <w:p>
      <w:pPr>
        <w:spacing w:after="0" w:line="135" w:lineRule="exact"/>
        <w:rPr>
          <w:sz w:val="20"/>
          <w:szCs w:val="20"/>
          <w:color w:val="auto"/>
        </w:rPr>
      </w:pPr>
    </w:p>
    <w:p>
      <w:pPr>
        <w:jc w:val="both"/>
        <w:ind w:firstLine="765"/>
        <w:spacing w:after="0" w:line="243" w:lineRule="auto"/>
        <w:rPr>
          <w:sz w:val="20"/>
          <w:szCs w:val="20"/>
          <w:color w:val="auto"/>
        </w:rPr>
      </w:pPr>
      <w:r>
        <w:rPr>
          <w:rFonts w:ascii="Arial" w:cs="Arial" w:eastAsia="Arial" w:hAnsi="Arial"/>
          <w:sz w:val="15"/>
          <w:szCs w:val="15"/>
          <w:b w:val="1"/>
          <w:bCs w:val="1"/>
          <w:color w:val="auto"/>
        </w:rPr>
        <w:t>11.4. O</w:t>
      </w:r>
      <w:r>
        <w:rPr>
          <w:rFonts w:ascii="Arial" w:cs="Arial" w:eastAsia="Arial" w:hAnsi="Arial"/>
          <w:sz w:val="10"/>
          <w:szCs w:val="10"/>
          <w:b w:val="1"/>
          <w:bCs w:val="1"/>
          <w:color w:val="auto"/>
        </w:rPr>
        <w:t>CCUPATION OF</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USINESS</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OCATION</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the Collateral Agent’s exercise of the Collateral Agent’s rights under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11</w:t>
      </w:r>
      <w:r>
        <w:rPr>
          <w:rFonts w:ascii="Arial" w:cs="Arial" w:eastAsia="Arial" w:hAnsi="Arial"/>
          <w:sz w:val="15"/>
          <w:szCs w:val="15"/>
          <w:color w:val="auto"/>
        </w:rPr>
        <w:t>, the Collateral Agent may enter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upon, occupy, and use any premises owned or occupied by each Loan Party, and may exclude each Loan Party from such premises or portion thereof as may have been so entered upon, occupied, or used by the Collateral Agent. The Collateral Agent shall not be required to remove any of the Collateral from any such premises upon the Collateral Agent’s taking possession thereof, and may render any Collateral unusable to the Loan Parties. In no event shall the Collateral Agent be liable to any Loan Party for use or occupancy by the Collateral Agent of any premises pursuant to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nor for any charge (such as wages for any Loan Party’s employees and utilities) incurred in connection with the Collateral Agent’s exercise of the Collateral Agent’s Rights and Remedies.</w:t>
      </w:r>
    </w:p>
    <w:p>
      <w:pPr>
        <w:spacing w:after="0" w:line="142" w:lineRule="exact"/>
        <w:rPr>
          <w:sz w:val="20"/>
          <w:szCs w:val="20"/>
          <w:color w:val="auto"/>
        </w:rPr>
      </w:pPr>
    </w:p>
    <w:p>
      <w:pPr>
        <w:jc w:val="both"/>
        <w:ind w:firstLine="765"/>
        <w:spacing w:after="0" w:line="247" w:lineRule="auto"/>
        <w:rPr>
          <w:sz w:val="20"/>
          <w:szCs w:val="20"/>
          <w:color w:val="auto"/>
        </w:rPr>
      </w:pPr>
      <w:r>
        <w:rPr>
          <w:rFonts w:ascii="Arial" w:cs="Arial" w:eastAsia="Arial" w:hAnsi="Arial"/>
          <w:sz w:val="15"/>
          <w:szCs w:val="15"/>
          <w:b w:val="1"/>
          <w:bCs w:val="1"/>
          <w:color w:val="auto"/>
        </w:rPr>
        <w:t>11.5. G</w:t>
      </w:r>
      <w:r>
        <w:rPr>
          <w:rFonts w:ascii="Arial" w:cs="Arial" w:eastAsia="Arial" w:hAnsi="Arial"/>
          <w:sz w:val="10"/>
          <w:szCs w:val="10"/>
          <w:b w:val="1"/>
          <w:bCs w:val="1"/>
          <w:color w:val="auto"/>
        </w:rPr>
        <w:t>RANT OF</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ONEXCLUSIVE</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ICENSE</w:t>
      </w:r>
      <w:r>
        <w:rPr>
          <w:rFonts w:ascii="Arial" w:cs="Arial" w:eastAsia="Arial" w:hAnsi="Arial"/>
          <w:sz w:val="15"/>
          <w:szCs w:val="15"/>
          <w:b w:val="1"/>
          <w:bCs w:val="1"/>
          <w:color w:val="auto"/>
        </w:rPr>
        <w:t xml:space="preserve">. </w:t>
      </w:r>
      <w:r>
        <w:rPr>
          <w:rFonts w:ascii="Arial" w:cs="Arial" w:eastAsia="Arial" w:hAnsi="Arial"/>
          <w:sz w:val="15"/>
          <w:szCs w:val="15"/>
          <w:color w:val="auto"/>
        </w:rPr>
        <w:t>Except to the extent prohibited by a Borrower’s contractual obligations, which prohibition has been disclosed to the Administrative Agent,</w:t>
      </w:r>
      <w:r>
        <w:rPr>
          <w:rFonts w:ascii="Arial" w:cs="Arial" w:eastAsia="Arial" w:hAnsi="Arial"/>
          <w:sz w:val="15"/>
          <w:szCs w:val="15"/>
          <w:b w:val="1"/>
          <w:bCs w:val="1"/>
          <w:color w:val="auto"/>
        </w:rPr>
        <w:t xml:space="preserve"> </w:t>
      </w:r>
      <w:r>
        <w:rPr>
          <w:rFonts w:ascii="Arial" w:cs="Arial" w:eastAsia="Arial" w:hAnsi="Arial"/>
          <w:sz w:val="15"/>
          <w:szCs w:val="15"/>
          <w:color w:val="auto"/>
        </w:rPr>
        <w:t>each Borrower hereby grants to the Collateral Agent a royalty free, nonexclusive and irrevocable license to use, apply, and affix any trademark, trade name, logo, or the like in which any Borrower now or hereafter has rights, such license being with respect to the Collateral Agent’s exercise of the rights hereunder including, without limitation, in connection with any completion of the manufacture of Inventory or sale or other disposition of Inventory.</w:t>
      </w:r>
    </w:p>
    <w:p>
      <w:pPr>
        <w:spacing w:after="0" w:line="137"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11.6. A</w:t>
      </w:r>
      <w:r>
        <w:rPr>
          <w:rFonts w:ascii="Arial" w:cs="Arial" w:eastAsia="Arial" w:hAnsi="Arial"/>
          <w:sz w:val="10"/>
          <w:szCs w:val="10"/>
          <w:b w:val="1"/>
          <w:bCs w:val="1"/>
          <w:color w:val="auto"/>
        </w:rPr>
        <w:t>SSEMBLY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b w:val="1"/>
          <w:bCs w:val="1"/>
          <w:color w:val="auto"/>
        </w:rPr>
        <w:t xml:space="preserve">. </w:t>
      </w:r>
      <w:r>
        <w:rPr>
          <w:rFonts w:ascii="Arial" w:cs="Arial" w:eastAsia="Arial" w:hAnsi="Arial"/>
          <w:sz w:val="15"/>
          <w:szCs w:val="15"/>
          <w:color w:val="auto"/>
        </w:rPr>
        <w:t>The Collateral Agent may require any Borrower to assemble the Collateral and make it available to the Collateral Agent at the Loan Parties’ sole</w:t>
      </w:r>
      <w:r>
        <w:rPr>
          <w:rFonts w:ascii="Arial" w:cs="Arial" w:eastAsia="Arial" w:hAnsi="Arial"/>
          <w:sz w:val="15"/>
          <w:szCs w:val="15"/>
          <w:b w:val="1"/>
          <w:bCs w:val="1"/>
          <w:color w:val="auto"/>
        </w:rPr>
        <w:t xml:space="preserve"> </w:t>
      </w:r>
      <w:r>
        <w:rPr>
          <w:rFonts w:ascii="Arial" w:cs="Arial" w:eastAsia="Arial" w:hAnsi="Arial"/>
          <w:sz w:val="15"/>
          <w:szCs w:val="15"/>
          <w:color w:val="auto"/>
        </w:rPr>
        <w:t>risk and expense at a place or places which are reasonably convenient to both the Collateral Agent and the Borrowers’ Representative.</w:t>
      </w:r>
    </w:p>
    <w:p>
      <w:pPr>
        <w:spacing w:after="0" w:line="123" w:lineRule="exact"/>
        <w:rPr>
          <w:sz w:val="20"/>
          <w:szCs w:val="20"/>
          <w:color w:val="auto"/>
        </w:rPr>
      </w:pPr>
    </w:p>
    <w:p>
      <w:pPr>
        <w:jc w:val="both"/>
        <w:ind w:firstLine="765"/>
        <w:spacing w:after="0" w:line="242" w:lineRule="auto"/>
        <w:rPr>
          <w:sz w:val="20"/>
          <w:szCs w:val="20"/>
          <w:color w:val="auto"/>
        </w:rPr>
      </w:pPr>
      <w:r>
        <w:rPr>
          <w:rFonts w:ascii="Arial" w:cs="Arial" w:eastAsia="Arial" w:hAnsi="Arial"/>
          <w:sz w:val="15"/>
          <w:szCs w:val="15"/>
          <w:b w:val="1"/>
          <w:bCs w:val="1"/>
          <w:color w:val="auto"/>
        </w:rPr>
        <w:t>11.7. R</w:t>
      </w:r>
      <w:r>
        <w:rPr>
          <w:rFonts w:ascii="Arial" w:cs="Arial" w:eastAsia="Arial" w:hAnsi="Arial"/>
          <w:sz w:val="10"/>
          <w:szCs w:val="10"/>
          <w:b w:val="1"/>
          <w:bCs w:val="1"/>
          <w:color w:val="auto"/>
        </w:rPr>
        <w:t>IGHTS AND</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EMEDIES</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rights, remedies, powers, privileges, and discretions of the Administrative Agent hereunder (herein, the</w:t>
      </w:r>
      <w:r>
        <w:rPr>
          <w:rFonts w:ascii="Arial" w:cs="Arial" w:eastAsia="Arial" w:hAnsi="Arial"/>
          <w:sz w:val="15"/>
          <w:szCs w:val="15"/>
          <w:b w:val="1"/>
          <w:bCs w:val="1"/>
          <w:color w:val="auto"/>
        </w:rPr>
        <w:t xml:space="preserve"> “Agents’ Rights and Remedies”</w:t>
      </w:r>
      <w:r>
        <w:rPr>
          <w:rFonts w:ascii="Arial" w:cs="Arial" w:eastAsia="Arial" w:hAnsi="Arial"/>
          <w:sz w:val="15"/>
          <w:szCs w:val="15"/>
          <w:color w:val="auto"/>
        </w:rPr>
        <w:t>)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cumulative and not exclusive of any rights or remedies which it would otherwise have. No delay or omission by an Agent in exercising or enforcing any of the Agents’ Rights and Remedies shall operate as, or constitute, a waiver thereof. No waiver by an Agent of any Event of Default or of any default under any other agreement shall operate as a waiver of any other default hereunder or under any other agreement. No single or partial exercise of any of the Agents’ Rights or Remedies, and no express or implied agreement or transaction of whatever nature entered into between any Agent and any person, at any time, shall preclude the other or further exercise of the Agents’ Rights and Remedies. No waiver by any Agent of any of the Agents’ Rights and Remedies on any one occasion shall be deemed a waiver on any subsequent occasion, nor shall it be deemed a continuing waiver. The Agents’ Rights and Remedies may be exercised at such time or times and in such order of preference as the Agents may determine. The Agents’ Rights and Remedies may be exercised without resort or regard to any other source of satisfaction of the Liabilities.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12 - L</w:t>
      </w:r>
      <w:r>
        <w:rPr>
          <w:rFonts w:ascii="Arial" w:cs="Arial" w:eastAsia="Arial" w:hAnsi="Arial"/>
          <w:sz w:val="10"/>
          <w:szCs w:val="10"/>
          <w:b w:val="1"/>
          <w:bCs w:val="1"/>
          <w:color w:val="auto"/>
        </w:rPr>
        <w:t>OAN</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UNDINGS AND</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ISTRIBUTIONS</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12.1. F</w:t>
      </w:r>
      <w:r>
        <w:rPr>
          <w:rFonts w:ascii="Arial" w:cs="Arial" w:eastAsia="Arial" w:hAnsi="Arial"/>
          <w:sz w:val="10"/>
          <w:szCs w:val="10"/>
          <w:b w:val="1"/>
          <w:bCs w:val="1"/>
          <w:color w:val="auto"/>
        </w:rPr>
        <w:t>UNDING</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ROCEDURES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9" w:lineRule="auto"/>
        <w:tabs>
          <w:tab w:leader="none" w:pos="1739"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The Administrative Agent shall advise each Term Lender, no later than 3:00 PM on the date on which any Term Loan is requested, that such Term Loan is to be made. Such advice, in each instance, may be by telephone or facsimile transmission; </w:t>
      </w:r>
      <w:r>
        <w:rPr>
          <w:rFonts w:ascii="Arial" w:cs="Arial" w:eastAsia="Arial" w:hAnsi="Arial"/>
          <w:sz w:val="15"/>
          <w:szCs w:val="15"/>
          <w:u w:val="single" w:color="auto"/>
          <w:color w:val="auto"/>
        </w:rPr>
        <w:t>provided that</w:t>
      </w:r>
      <w:r>
        <w:rPr>
          <w:rFonts w:ascii="Arial" w:cs="Arial" w:eastAsia="Arial" w:hAnsi="Arial"/>
          <w:sz w:val="15"/>
          <w:szCs w:val="15"/>
          <w:color w:val="auto"/>
        </w:rPr>
        <w:t>, if such advice is by telephone, it shall be confirmed in writing. Advice of a Term Loan shall include the amount of and interest rate applicable to the subject Term Loan.</w:t>
      </w:r>
    </w:p>
    <w:p>
      <w:pPr>
        <w:spacing w:after="0" w:line="58" w:lineRule="exact"/>
        <w:rPr>
          <w:rFonts w:ascii="Arial" w:cs="Arial" w:eastAsia="Arial" w:hAnsi="Arial"/>
          <w:sz w:val="15"/>
          <w:szCs w:val="15"/>
          <w:color w:val="auto"/>
        </w:rPr>
      </w:pPr>
    </w:p>
    <w:p>
      <w:pPr>
        <w:ind w:firstLine="1529"/>
        <w:spacing w:after="0" w:line="259" w:lineRule="auto"/>
        <w:tabs>
          <w:tab w:leader="none" w:pos="173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Subject to that Term Lender’s Term Dollar Commitment, each Term Lender, by no later than the end of business on the day on which the subject Term Loan is to be made, shall Transfer that Term Lender’s Term Percentage Commitment of the subject Term Loan to the Administrative Agent.</w:t>
      </w:r>
    </w:p>
    <w:p>
      <w:pPr>
        <w:spacing w:after="0" w:line="131" w:lineRule="exact"/>
        <w:rPr>
          <w:rFonts w:ascii="Arial" w:cs="Arial" w:eastAsia="Arial" w:hAnsi="Arial"/>
          <w:sz w:val="15"/>
          <w:szCs w:val="15"/>
          <w:color w:val="auto"/>
        </w:rPr>
      </w:pPr>
    </w:p>
    <w:p>
      <w:pPr>
        <w:ind w:left="5660" w:hanging="86"/>
        <w:spacing w:after="0"/>
        <w:tabs>
          <w:tab w:leader="none" w:pos="5660" w:val="left"/>
        </w:tabs>
        <w:numPr>
          <w:ilvl w:val="1"/>
          <w:numId w:val="149"/>
        </w:numPr>
        <w:rPr>
          <w:rFonts w:ascii="Arial" w:cs="Arial" w:eastAsia="Arial" w:hAnsi="Arial"/>
          <w:sz w:val="15"/>
          <w:szCs w:val="15"/>
          <w:color w:val="auto"/>
        </w:rPr>
      </w:pPr>
      <w:r>
        <w:rPr>
          <w:rFonts w:ascii="Arial" w:cs="Arial" w:eastAsia="Arial" w:hAnsi="Arial"/>
          <w:sz w:val="15"/>
          <w:szCs w:val="15"/>
          <w:color w:val="auto"/>
        </w:rPr>
        <w:t>54 -</w:t>
      </w:r>
    </w:p>
    <w:p>
      <w:pPr>
        <w:sectPr>
          <w:pgSz w:w="11900" w:h="16838" w:orient="portrait"/>
          <w:cols w:equalWidth="0" w:num="1">
            <w:col w:w="11460"/>
          </w:cols>
          <w:pgMar w:left="220" w:top="208" w:right="219" w:bottom="1440" w:gutter="0" w:footer="0" w:header="0"/>
        </w:sectPr>
      </w:pPr>
    </w:p>
    <w:bookmarkStart w:id="112" w:name="page113"/>
    <w:bookmarkEnd w:id="112"/>
    <w:p>
      <w:pPr>
        <w:ind w:left="760"/>
        <w:spacing w:after="0"/>
        <w:rPr>
          <w:sz w:val="20"/>
          <w:szCs w:val="20"/>
          <w:color w:val="auto"/>
        </w:rPr>
      </w:pPr>
      <w:r>
        <w:rPr>
          <w:rFonts w:ascii="Arial" w:cs="Arial" w:eastAsia="Arial" w:hAnsi="Arial"/>
          <w:sz w:val="15"/>
          <w:szCs w:val="15"/>
          <w:b w:val="1"/>
          <w:bCs w:val="1"/>
          <w:color w:val="auto"/>
        </w:rPr>
        <w:t>12.2. R</w:t>
      </w:r>
      <w:r>
        <w:rPr>
          <w:rFonts w:ascii="Arial" w:cs="Arial" w:eastAsia="Arial" w:hAnsi="Arial"/>
          <w:sz w:val="10"/>
          <w:szCs w:val="10"/>
          <w:b w:val="1"/>
          <w:bCs w:val="1"/>
          <w:color w:val="auto"/>
        </w:rPr>
        <w:t>ESERVED</w:t>
      </w:r>
      <w:r>
        <w:rPr>
          <w:rFonts w:ascii="Arial" w:cs="Arial" w:eastAsia="Arial" w:hAnsi="Arial"/>
          <w:sz w:val="15"/>
          <w:szCs w:val="15"/>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12.3. R</w:t>
      </w:r>
      <w:r>
        <w:rPr>
          <w:rFonts w:ascii="Arial" w:cs="Arial" w:eastAsia="Arial" w:hAnsi="Arial"/>
          <w:sz w:val="10"/>
          <w:szCs w:val="10"/>
          <w:b w:val="1"/>
          <w:bCs w:val="1"/>
          <w:color w:val="auto"/>
        </w:rPr>
        <w:t>ESERVED</w:t>
      </w:r>
    </w:p>
    <w:p>
      <w:pPr>
        <w:spacing w:after="0" w:line="160" w:lineRule="exact"/>
        <w:rPr>
          <w:sz w:val="20"/>
          <w:szCs w:val="20"/>
          <w:color w:val="auto"/>
        </w:rPr>
      </w:pPr>
    </w:p>
    <w:p>
      <w:pPr>
        <w:ind w:firstLine="765"/>
        <w:spacing w:after="0" w:line="265" w:lineRule="auto"/>
        <w:rPr>
          <w:sz w:val="20"/>
          <w:szCs w:val="20"/>
          <w:color w:val="auto"/>
        </w:rPr>
      </w:pPr>
      <w:r>
        <w:rPr>
          <w:rFonts w:ascii="Arial" w:cs="Arial" w:eastAsia="Arial" w:hAnsi="Arial"/>
          <w:sz w:val="15"/>
          <w:szCs w:val="15"/>
          <w:b w:val="1"/>
          <w:bCs w:val="1"/>
          <w:color w:val="auto"/>
        </w:rPr>
        <w:t>12.4. O</w:t>
      </w:r>
      <w:r>
        <w:rPr>
          <w:rFonts w:ascii="Arial" w:cs="Arial" w:eastAsia="Arial" w:hAnsi="Arial"/>
          <w:sz w:val="10"/>
          <w:szCs w:val="10"/>
          <w:b w:val="1"/>
          <w:bCs w:val="1"/>
          <w:color w:val="auto"/>
        </w:rPr>
        <w:t>RDINARY</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OURSE</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ISTRIBUTIONS</w:t>
      </w:r>
      <w:r>
        <w:rPr>
          <w:rFonts w:ascii="Arial" w:cs="Arial" w:eastAsia="Arial" w:hAnsi="Arial"/>
          <w:sz w:val="15"/>
          <w:szCs w:val="15"/>
          <w:b w:val="1"/>
          <w:bCs w:val="1"/>
          <w:color w:val="auto"/>
        </w:rPr>
        <w:t>: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b w:val="1"/>
          <w:bCs w:val="1"/>
          <w:color w:val="auto"/>
        </w:rPr>
        <w:t xml:space="preserve">. </w:t>
      </w:r>
      <w:r>
        <w:rPr>
          <w:rFonts w:ascii="Arial" w:cs="Arial" w:eastAsia="Arial" w:hAnsi="Arial"/>
          <w:sz w:val="15"/>
          <w:szCs w:val="15"/>
          <w:color w:val="auto"/>
        </w:rPr>
        <w:t>(This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12.4</w:t>
      </w:r>
      <w:r>
        <w:rPr>
          <w:rFonts w:ascii="Arial" w:cs="Arial" w:eastAsia="Arial" w:hAnsi="Arial"/>
          <w:sz w:val="15"/>
          <w:szCs w:val="15"/>
          <w:b w:val="1"/>
          <w:bCs w:val="1"/>
          <w:color w:val="auto"/>
        </w:rPr>
        <w:t xml:space="preserve"> </w:t>
      </w:r>
      <w:r>
        <w:rPr>
          <w:rFonts w:ascii="Arial" w:cs="Arial" w:eastAsia="Arial" w:hAnsi="Arial"/>
          <w:sz w:val="15"/>
          <w:szCs w:val="15"/>
          <w:color w:val="auto"/>
        </w:rPr>
        <w:t>applies unless the provisions of</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13.5</w:t>
      </w:r>
      <w:r>
        <w:rPr>
          <w:rFonts w:ascii="Arial" w:cs="Arial" w:eastAsia="Arial" w:hAnsi="Arial"/>
          <w:sz w:val="15"/>
          <w:szCs w:val="15"/>
          <w:b w:val="1"/>
          <w:bCs w:val="1"/>
          <w:color w:val="auto"/>
        </w:rPr>
        <w:t xml:space="preserve"> </w:t>
      </w:r>
      <w:r>
        <w:rPr>
          <w:rFonts w:ascii="Arial" w:cs="Arial" w:eastAsia="Arial" w:hAnsi="Arial"/>
          <w:sz w:val="15"/>
          <w:szCs w:val="15"/>
          <w:color w:val="auto"/>
        </w:rPr>
        <w:t>(which relates to distributions in the event of a Liquidation)</w:t>
      </w:r>
      <w:r>
        <w:rPr>
          <w:rFonts w:ascii="Arial" w:cs="Arial" w:eastAsia="Arial" w:hAnsi="Arial"/>
          <w:sz w:val="15"/>
          <w:szCs w:val="15"/>
          <w:b w:val="1"/>
          <w:bCs w:val="1"/>
          <w:color w:val="auto"/>
        </w:rPr>
        <w:t xml:space="preserve"> </w:t>
      </w:r>
      <w:r>
        <w:rPr>
          <w:rFonts w:ascii="Arial" w:cs="Arial" w:eastAsia="Arial" w:hAnsi="Arial"/>
          <w:sz w:val="15"/>
          <w:szCs w:val="15"/>
          <w:color w:val="auto"/>
        </w:rPr>
        <w:t>become operative).</w:t>
      </w:r>
    </w:p>
    <w:p>
      <w:pPr>
        <w:spacing w:after="0" w:line="47" w:lineRule="exact"/>
        <w:rPr>
          <w:sz w:val="20"/>
          <w:szCs w:val="20"/>
          <w:color w:val="auto"/>
        </w:rPr>
      </w:pPr>
    </w:p>
    <w:p>
      <w:pPr>
        <w:ind w:firstLine="1529"/>
        <w:spacing w:after="0" w:line="259" w:lineRule="auto"/>
        <w:tabs>
          <w:tab w:leader="none" w:pos="174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Weekly, on such day as may be set from time to time by the Administrative Agent (or more frequently at the Administrative Agent’s option), the Administrative Agent and each Term Lender shall settle up on amounts in collected funds received in the Term Loan Priority Account.</w:t>
      </w:r>
    </w:p>
    <w:p>
      <w:pPr>
        <w:spacing w:after="0" w:line="51" w:lineRule="exact"/>
        <w:rPr>
          <w:rFonts w:ascii="Arial" w:cs="Arial" w:eastAsia="Arial" w:hAnsi="Arial"/>
          <w:sz w:val="15"/>
          <w:szCs w:val="15"/>
          <w:color w:val="auto"/>
        </w:rPr>
      </w:pPr>
    </w:p>
    <w:p>
      <w:pPr>
        <w:jc w:val="both"/>
        <w:ind w:firstLine="1529"/>
        <w:spacing w:after="0" w:line="263" w:lineRule="auto"/>
        <w:tabs>
          <w:tab w:leader="none" w:pos="175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 xml:space="preserve">The Administrative Agent shall distribute to each Term Lender such Person’s respective Pro-Rata share of interest payments on the Term Loans when actually received and collected by the Administrative Agent (excluding the one Business Day for settlement provided for in </w:t>
      </w:r>
      <w:r>
        <w:rPr>
          <w:rFonts w:ascii="Arial" w:cs="Arial" w:eastAsia="Arial" w:hAnsi="Arial"/>
          <w:sz w:val="14"/>
          <w:szCs w:val="14"/>
          <w:u w:val="single" w:color="auto"/>
          <w:color w:val="auto"/>
        </w:rPr>
        <w:t>Section 7.5(a)</w:t>
      </w:r>
      <w:r>
        <w:rPr>
          <w:rFonts w:ascii="Arial" w:cs="Arial" w:eastAsia="Arial" w:hAnsi="Arial"/>
          <w:sz w:val="14"/>
          <w:szCs w:val="14"/>
          <w:color w:val="auto"/>
        </w:rPr>
        <w:t xml:space="preserve"> which shall be for the account of the Administrative Agent only). For purposes of calculating interest due to a Term Lender, that Term Lender shall be entitled to receive interest on the actual amount contributed by that Term Lender towards the principal balance of the Term Loans outstanding during the applicable period covered by the interest payment made by the Loan Parties. Any net principal reductions to the Term Loans received by the Administrative Agent in accordance with the Loan Documents during such period shall not reduce such actual amount so contributed, for purposes of calculation of interest due to that Term Lender, until the Administrative Agent has distributed to that Term Lender its Pro-Rata share thereof.</w:t>
      </w:r>
    </w:p>
    <w:p>
      <w:pPr>
        <w:spacing w:after="0" w:line="50" w:lineRule="exact"/>
        <w:rPr>
          <w:rFonts w:ascii="Arial" w:cs="Arial" w:eastAsia="Arial" w:hAnsi="Arial"/>
          <w:sz w:val="14"/>
          <w:szCs w:val="14"/>
          <w:color w:val="auto"/>
        </w:rPr>
      </w:pPr>
    </w:p>
    <w:p>
      <w:pPr>
        <w:jc w:val="both"/>
        <w:ind w:firstLine="1529"/>
        <w:spacing w:after="0" w:line="249" w:lineRule="auto"/>
        <w:tabs>
          <w:tab w:leader="none" w:pos="1748" w:val="left"/>
        </w:tabs>
        <w:numPr>
          <w:ilvl w:val="0"/>
          <w:numId w:val="150"/>
        </w:numPr>
        <w:rPr>
          <w:rFonts w:ascii="Arial" w:cs="Arial" w:eastAsia="Arial" w:hAnsi="Arial"/>
          <w:sz w:val="15"/>
          <w:szCs w:val="15"/>
          <w:color w:val="auto"/>
        </w:rPr>
      </w:pPr>
      <w:r>
        <w:rPr>
          <w:rFonts w:ascii="Arial" w:cs="Arial" w:eastAsia="Arial" w:hAnsi="Arial"/>
          <w:sz w:val="15"/>
          <w:szCs w:val="15"/>
          <w:color w:val="auto"/>
        </w:rPr>
        <w:t>Any amount received by the Administrative Agent or the Collateral Agent as reimbursement for any cost or expense (including without limitation, reasonable attorneys’ fees) shall be distributed by the Administrative Agent to that Person which is entitled to such reimbursement as provided in this Agreement (and if such Person(s) is (are) the Term Lenders, Pro-Rata determined as of the date on which the expense, in respect of which such reimbursement is being made, was incurred).</w:t>
      </w:r>
    </w:p>
    <w:p>
      <w:pPr>
        <w:spacing w:after="0" w:line="58" w:lineRule="exact"/>
        <w:rPr>
          <w:rFonts w:ascii="Arial" w:cs="Arial" w:eastAsia="Arial" w:hAnsi="Arial"/>
          <w:sz w:val="15"/>
          <w:szCs w:val="15"/>
          <w:color w:val="auto"/>
        </w:rPr>
      </w:pPr>
    </w:p>
    <w:p>
      <w:pPr>
        <w:ind w:firstLine="1529"/>
        <w:spacing w:after="0" w:line="259" w:lineRule="auto"/>
        <w:tabs>
          <w:tab w:leader="none" w:pos="1739"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Each distribution pursuant to this </w:t>
      </w:r>
      <w:r>
        <w:rPr>
          <w:rFonts w:ascii="Arial" w:cs="Arial" w:eastAsia="Arial" w:hAnsi="Arial"/>
          <w:sz w:val="15"/>
          <w:szCs w:val="15"/>
          <w:u w:val="single" w:color="auto"/>
          <w:color w:val="auto"/>
        </w:rPr>
        <w:t>Section 12.4</w:t>
      </w:r>
      <w:r>
        <w:rPr>
          <w:rFonts w:ascii="Arial" w:cs="Arial" w:eastAsia="Arial" w:hAnsi="Arial"/>
          <w:sz w:val="15"/>
          <w:szCs w:val="15"/>
          <w:color w:val="auto"/>
        </w:rPr>
        <w:t xml:space="preserve"> is subject to </w:t>
      </w:r>
      <w:r>
        <w:rPr>
          <w:rFonts w:ascii="Arial" w:cs="Arial" w:eastAsia="Arial" w:hAnsi="Arial"/>
          <w:sz w:val="15"/>
          <w:szCs w:val="15"/>
          <w:u w:val="single" w:color="auto"/>
          <w:color w:val="auto"/>
        </w:rPr>
        <w:t>Section 12.3(c)</w:t>
      </w:r>
      <w:r>
        <w:rPr>
          <w:rFonts w:ascii="Arial" w:cs="Arial" w:eastAsia="Arial" w:hAnsi="Arial"/>
          <w:sz w:val="15"/>
          <w:szCs w:val="15"/>
          <w:color w:val="auto"/>
        </w:rPr>
        <w:t>, above (which relates to the effect of the failure of any Term Lender to have Transferred to the Administrative Agent any amount which that Term Lender is then obligated to so Transfer pursuant to the within Agreement).</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13 - A</w:t>
      </w:r>
      <w:r>
        <w:rPr>
          <w:rFonts w:ascii="Arial" w:cs="Arial" w:eastAsia="Arial" w:hAnsi="Arial"/>
          <w:sz w:val="10"/>
          <w:szCs w:val="10"/>
          <w:b w:val="1"/>
          <w:bCs w:val="1"/>
          <w:color w:val="auto"/>
        </w:rPr>
        <w:t>CCELERATION AND</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13.1. A</w:t>
      </w:r>
      <w:r>
        <w:rPr>
          <w:rFonts w:ascii="Arial" w:cs="Arial" w:eastAsia="Arial" w:hAnsi="Arial"/>
          <w:sz w:val="10"/>
          <w:szCs w:val="10"/>
          <w:b w:val="1"/>
          <w:bCs w:val="1"/>
          <w:color w:val="auto"/>
        </w:rPr>
        <w:t>CCELERATION</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OTICES</w:t>
      </w:r>
      <w:r>
        <w:rPr>
          <w:rFonts w:ascii="Arial" w:cs="Arial" w:eastAsia="Arial" w:hAnsi="Arial"/>
          <w:sz w:val="15"/>
          <w:szCs w:val="15"/>
          <w:color w:val="auto"/>
        </w:rPr>
        <w:t>.</w:t>
      </w:r>
    </w:p>
    <w:p>
      <w:pPr>
        <w:spacing w:after="0" w:line="84" w:lineRule="exact"/>
        <w:rPr>
          <w:sz w:val="20"/>
          <w:szCs w:val="20"/>
          <w:color w:val="auto"/>
        </w:rPr>
      </w:pPr>
    </w:p>
    <w:p>
      <w:pPr>
        <w:ind w:left="1740" w:hanging="211"/>
        <w:spacing w:after="0"/>
        <w:tabs>
          <w:tab w:leader="none" w:pos="174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Administrative Agent may give the Collateral Agent and Term Lenders an Acceleration Notice at any time following the occurrence of an Event of Default.</w:t>
      </w:r>
    </w:p>
    <w:p>
      <w:pPr>
        <w:spacing w:after="0" w:line="102" w:lineRule="exact"/>
        <w:rPr>
          <w:rFonts w:ascii="Arial" w:cs="Arial" w:eastAsia="Arial" w:hAnsi="Arial"/>
          <w:sz w:val="13"/>
          <w:szCs w:val="13"/>
          <w:color w:val="auto"/>
        </w:rPr>
      </w:pPr>
    </w:p>
    <w:p>
      <w:pPr>
        <w:ind w:firstLine="1529"/>
        <w:spacing w:after="0" w:line="259" w:lineRule="auto"/>
        <w:tabs>
          <w:tab w:leader="none" w:pos="1747"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Majority Term Lenders may give the Administrative Agent an Acceleration Notice at any time following the occurrence of an Event of Default. Such notice may be by multiple counterparts.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13.2. A</w:t>
      </w:r>
      <w:r>
        <w:rPr>
          <w:rFonts w:ascii="Arial" w:cs="Arial" w:eastAsia="Arial" w:hAnsi="Arial"/>
          <w:sz w:val="9"/>
          <w:szCs w:val="9"/>
          <w:b w:val="1"/>
          <w:bCs w:val="1"/>
          <w:color w:val="auto"/>
        </w:rPr>
        <w:t>CCELERATION</w:t>
      </w:r>
      <w:r>
        <w:rPr>
          <w:rFonts w:ascii="Arial" w:cs="Arial" w:eastAsia="Arial" w:hAnsi="Arial"/>
          <w:sz w:val="14"/>
          <w:szCs w:val="14"/>
          <w:b w:val="1"/>
          <w:bCs w:val="1"/>
          <w:color w:val="auto"/>
        </w:rPr>
        <w:t xml:space="preserve">. </w:t>
      </w:r>
      <w:r>
        <w:rPr>
          <w:rFonts w:ascii="Arial" w:cs="Arial" w:eastAsia="Arial" w:hAnsi="Arial"/>
          <w:sz w:val="14"/>
          <w:szCs w:val="14"/>
          <w:color w:val="auto"/>
        </w:rPr>
        <w:t>Unless stayed by judicial or statutory process, the Administrative Agent shall Accelerate the Liabilities within a commercially reasonable time following:</w:t>
      </w:r>
    </w:p>
    <w:p>
      <w:pPr>
        <w:spacing w:after="0" w:line="95" w:lineRule="exact"/>
        <w:rPr>
          <w:sz w:val="20"/>
          <w:szCs w:val="20"/>
          <w:color w:val="auto"/>
        </w:rPr>
      </w:pPr>
    </w:p>
    <w:p>
      <w:pPr>
        <w:ind w:left="1740" w:hanging="211"/>
        <w:spacing w:after="0"/>
        <w:tabs>
          <w:tab w:leader="none" w:pos="174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 xml:space="preserve">The Administrative Agent’s giving of an Acceleration Notice to the Collateral Agent and the Term Lenders as provided in </w:t>
      </w:r>
      <w:r>
        <w:rPr>
          <w:rFonts w:ascii="Arial" w:cs="Arial" w:eastAsia="Arial" w:hAnsi="Arial"/>
          <w:sz w:val="15"/>
          <w:szCs w:val="15"/>
          <w:u w:val="single" w:color="auto"/>
          <w:color w:val="auto"/>
        </w:rPr>
        <w:t>Section 13.1(a)</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 xml:space="preserve">The Administrative Agent’s receipt of an Acceleration Notice from the Majority Term Lenders, in compliance with </w:t>
      </w:r>
      <w:r>
        <w:rPr>
          <w:rFonts w:ascii="Arial" w:cs="Arial" w:eastAsia="Arial" w:hAnsi="Arial"/>
          <w:sz w:val="15"/>
          <w:szCs w:val="15"/>
          <w:u w:val="single" w:color="auto"/>
          <w:color w:val="auto"/>
        </w:rPr>
        <w:t>Section 13.1(b)</w:t>
      </w:r>
      <w:r>
        <w:rPr>
          <w:rFonts w:ascii="Arial" w:cs="Arial" w:eastAsia="Arial" w:hAnsi="Arial"/>
          <w:sz w:val="15"/>
          <w:szCs w:val="15"/>
          <w:color w:val="auto"/>
        </w:rPr>
        <w:t>.</w:t>
      </w:r>
    </w:p>
    <w:p>
      <w:pPr>
        <w:spacing w:after="0" w:line="156" w:lineRule="exact"/>
        <w:rPr>
          <w:sz w:val="20"/>
          <w:szCs w:val="20"/>
          <w:color w:val="auto"/>
        </w:rPr>
      </w:pPr>
    </w:p>
    <w:p>
      <w:pPr>
        <w:ind w:firstLine="765"/>
        <w:spacing w:after="0" w:line="265" w:lineRule="auto"/>
        <w:rPr>
          <w:sz w:val="20"/>
          <w:szCs w:val="20"/>
          <w:color w:val="auto"/>
        </w:rPr>
      </w:pPr>
      <w:r>
        <w:rPr>
          <w:rFonts w:ascii="Arial" w:cs="Arial" w:eastAsia="Arial" w:hAnsi="Arial"/>
          <w:sz w:val="15"/>
          <w:szCs w:val="15"/>
          <w:b w:val="1"/>
          <w:bCs w:val="1"/>
          <w:color w:val="auto"/>
        </w:rPr>
        <w:t>13.3. I</w:t>
      </w:r>
      <w:r>
        <w:rPr>
          <w:rFonts w:ascii="Arial" w:cs="Arial" w:eastAsia="Arial" w:hAnsi="Arial"/>
          <w:sz w:val="10"/>
          <w:szCs w:val="10"/>
          <w:b w:val="1"/>
          <w:bCs w:val="1"/>
          <w:color w:val="auto"/>
        </w:rPr>
        <w:t>NITIATION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5"/>
          <w:szCs w:val="15"/>
          <w:b w:val="1"/>
          <w:bCs w:val="1"/>
          <w:color w:val="auto"/>
        </w:rPr>
        <w:t xml:space="preserve">. </w:t>
      </w:r>
      <w:r>
        <w:rPr>
          <w:rFonts w:ascii="Arial" w:cs="Arial" w:eastAsia="Arial" w:hAnsi="Arial"/>
          <w:sz w:val="15"/>
          <w:szCs w:val="15"/>
          <w:color w:val="auto"/>
        </w:rPr>
        <w:t>Unless stayed by judicial or statutory process, a Liquidation shall be initiated by the Collateral Agent within a commercially reasonable time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Acceleration of the Liabilities.</w:t>
      </w:r>
    </w:p>
    <w:p>
      <w:pPr>
        <w:spacing w:after="0" w:line="123" w:lineRule="exact"/>
        <w:rPr>
          <w:sz w:val="20"/>
          <w:szCs w:val="20"/>
          <w:color w:val="auto"/>
        </w:rPr>
      </w:pPr>
    </w:p>
    <w:p>
      <w:pPr>
        <w:ind w:firstLine="765"/>
        <w:spacing w:after="0" w:line="301" w:lineRule="auto"/>
        <w:rPr>
          <w:sz w:val="20"/>
          <w:szCs w:val="20"/>
          <w:color w:val="auto"/>
        </w:rPr>
      </w:pPr>
      <w:r>
        <w:rPr>
          <w:rFonts w:ascii="Arial" w:cs="Arial" w:eastAsia="Arial" w:hAnsi="Arial"/>
          <w:sz w:val="14"/>
          <w:szCs w:val="14"/>
          <w:b w:val="1"/>
          <w:bCs w:val="1"/>
          <w:color w:val="auto"/>
        </w:rPr>
        <w:t>13.4. A</w:t>
      </w:r>
      <w:r>
        <w:rPr>
          <w:rFonts w:ascii="Arial" w:cs="Arial" w:eastAsia="Arial" w:hAnsi="Arial"/>
          <w:sz w:val="9"/>
          <w:szCs w:val="9"/>
          <w:b w:val="1"/>
          <w:bCs w:val="1"/>
          <w:color w:val="auto"/>
        </w:rPr>
        <w:t>CTIONS</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T AND</w:t>
      </w:r>
      <w:r>
        <w:rPr>
          <w:rFonts w:ascii="Arial" w:cs="Arial" w:eastAsia="Arial" w:hAnsi="Arial"/>
          <w:sz w:val="14"/>
          <w:szCs w:val="14"/>
          <w:b w:val="1"/>
          <w:bCs w:val="1"/>
          <w:color w:val="auto"/>
        </w:rPr>
        <w:t xml:space="preserve"> F</w:t>
      </w:r>
      <w:r>
        <w:rPr>
          <w:rFonts w:ascii="Arial" w:cs="Arial" w:eastAsia="Arial" w:hAnsi="Arial"/>
          <w:sz w:val="9"/>
          <w:szCs w:val="9"/>
          <w:b w:val="1"/>
          <w:bCs w:val="1"/>
          <w:color w:val="auto"/>
        </w:rPr>
        <w:t>OLLOWING</w:t>
      </w:r>
      <w:r>
        <w:rPr>
          <w:rFonts w:ascii="Arial" w:cs="Arial" w:eastAsia="Arial" w:hAnsi="Arial"/>
          <w:sz w:val="14"/>
          <w:szCs w:val="14"/>
          <w:b w:val="1"/>
          <w:bCs w:val="1"/>
          <w:color w:val="auto"/>
        </w:rPr>
        <w:t xml:space="preserve"> I</w:t>
      </w:r>
      <w:r>
        <w:rPr>
          <w:rFonts w:ascii="Arial" w:cs="Arial" w:eastAsia="Arial" w:hAnsi="Arial"/>
          <w:sz w:val="9"/>
          <w:szCs w:val="9"/>
          <w:b w:val="1"/>
          <w:bCs w:val="1"/>
          <w:color w:val="auto"/>
        </w:rPr>
        <w:t>NITIATION OF</w:t>
      </w:r>
      <w:r>
        <w:rPr>
          <w:rFonts w:ascii="Arial" w:cs="Arial" w:eastAsia="Arial" w:hAnsi="Arial"/>
          <w:sz w:val="14"/>
          <w:szCs w:val="14"/>
          <w:b w:val="1"/>
          <w:bCs w:val="1"/>
          <w:color w:val="auto"/>
        </w:rPr>
        <w:t xml:space="preserve"> L</w:t>
      </w:r>
      <w:r>
        <w:rPr>
          <w:rFonts w:ascii="Arial" w:cs="Arial" w:eastAsia="Arial" w:hAnsi="Arial"/>
          <w:sz w:val="9"/>
          <w:szCs w:val="9"/>
          <w:b w:val="1"/>
          <w:bCs w:val="1"/>
          <w:color w:val="auto"/>
        </w:rPr>
        <w:t>IQUIDATION</w:t>
      </w:r>
      <w:r>
        <w:rPr>
          <w:rFonts w:ascii="Arial" w:cs="Arial" w:eastAsia="Arial" w:hAnsi="Arial"/>
          <w:sz w:val="14"/>
          <w:szCs w:val="14"/>
          <w:color w:val="auto"/>
        </w:rPr>
        <w:t>.At the initiation of a Liquidation the Administrative Agent and the Term Lenders shall “net out” each Term Lender’s</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 contributions towards the Term Loans, so that each Term Lender holds that Term Lender’s Term Percentage Commitment of the Term Loans and advances.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- 55 -</w:t>
      </w:r>
    </w:p>
    <w:p>
      <w:pPr>
        <w:sectPr>
          <w:pgSz w:w="11900" w:h="16838" w:orient="portrait"/>
          <w:cols w:equalWidth="0" w:num="1">
            <w:col w:w="11460"/>
          </w:cols>
          <w:pgMar w:left="220" w:top="284" w:right="219" w:bottom="1440" w:gutter="0" w:footer="0" w:header="0"/>
        </w:sectPr>
      </w:pPr>
    </w:p>
    <w:bookmarkStart w:id="113" w:name="page114"/>
    <w:bookmarkEnd w:id="113"/>
    <w:p>
      <w:pPr>
        <w:ind w:left="760"/>
        <w:spacing w:after="0"/>
        <w:rPr>
          <w:sz w:val="20"/>
          <w:szCs w:val="20"/>
          <w:color w:val="auto"/>
        </w:rPr>
      </w:pPr>
      <w:r>
        <w:rPr>
          <w:rFonts w:ascii="Arial" w:cs="Arial" w:eastAsia="Arial" w:hAnsi="Arial"/>
          <w:sz w:val="15"/>
          <w:szCs w:val="15"/>
          <w:b w:val="1"/>
          <w:bCs w:val="1"/>
          <w:color w:val="auto"/>
        </w:rPr>
        <w:t>13.5. D</w:t>
      </w:r>
      <w:r>
        <w:rPr>
          <w:rFonts w:ascii="Arial" w:cs="Arial" w:eastAsia="Arial" w:hAnsi="Arial"/>
          <w:sz w:val="10"/>
          <w:szCs w:val="10"/>
          <w:b w:val="1"/>
          <w:bCs w:val="1"/>
          <w:color w:val="auto"/>
        </w:rPr>
        <w:t>ISTRIBUTION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ROCEEDS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9" w:lineRule="auto"/>
        <w:tabs>
          <w:tab w:leader="none" w:pos="17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Collateral Agent may establish one or more reasonably funded reserve accounts into which proceeds of the conduct of any Liquidation may be deposited in anticipation of future expenses which may be incurred by any Agent in the exercise of rights as a secured creditor of the Loan Parties and prior claims which the Agents anticipate may need to be paid.</w:t>
      </w:r>
    </w:p>
    <w:p>
      <w:pPr>
        <w:spacing w:after="0" w:line="58" w:lineRule="exact"/>
        <w:rPr>
          <w:rFonts w:ascii="Arial" w:cs="Arial" w:eastAsia="Arial" w:hAnsi="Arial"/>
          <w:sz w:val="15"/>
          <w:szCs w:val="15"/>
          <w:color w:val="auto"/>
        </w:rPr>
      </w:pPr>
    </w:p>
    <w:p>
      <w:pPr>
        <w:ind w:left="1740" w:hanging="211"/>
        <w:spacing w:after="0"/>
        <w:tabs>
          <w:tab w:leader="none" w:pos="17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Collateral Agent shall distribute the proceeds of any Liquidation to the Administrative Agent.</w:t>
      </w:r>
    </w:p>
    <w:p>
      <w:pPr>
        <w:spacing w:after="0" w:line="79" w:lineRule="exact"/>
        <w:rPr>
          <w:rFonts w:ascii="Arial" w:cs="Arial" w:eastAsia="Arial" w:hAnsi="Arial"/>
          <w:sz w:val="15"/>
          <w:szCs w:val="15"/>
          <w:color w:val="auto"/>
        </w:rPr>
      </w:pPr>
    </w:p>
    <w:p>
      <w:pPr>
        <w:ind w:firstLine="1529"/>
        <w:spacing w:after="0" w:line="259" w:lineRule="auto"/>
        <w:tabs>
          <w:tab w:leader="none" w:pos="17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 xml:space="preserve">The Administrative Agent shall distribute the net proceeds of Liquidation, as distributed to the Administrative Agent by the Collateral Agent pursuant to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13.5(b)</w:t>
      </w:r>
      <w:r>
        <w:rPr>
          <w:rFonts w:ascii="Arial" w:cs="Arial" w:eastAsia="Arial" w:hAnsi="Arial"/>
          <w:sz w:val="15"/>
          <w:szCs w:val="15"/>
          <w:color w:val="auto"/>
        </w:rPr>
        <w:t xml:space="preserve">, in accordance with the relative priorities set forth in </w:t>
      </w:r>
      <w:r>
        <w:rPr>
          <w:rFonts w:ascii="Arial" w:cs="Arial" w:eastAsia="Arial" w:hAnsi="Arial"/>
          <w:sz w:val="15"/>
          <w:szCs w:val="15"/>
          <w:u w:val="single" w:color="auto"/>
          <w:color w:val="auto"/>
        </w:rPr>
        <w:t>Section 13.6</w:t>
      </w:r>
      <w:r>
        <w:rPr>
          <w:rFonts w:ascii="Arial" w:cs="Arial" w:eastAsia="Arial" w:hAnsi="Arial"/>
          <w:sz w:val="15"/>
          <w:szCs w:val="15"/>
          <w:color w:val="auto"/>
        </w:rPr>
        <w:t>.</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42" w:val="left"/>
        </w:tabs>
        <w:numPr>
          <w:ilvl w:val="0"/>
          <w:numId w:val="153"/>
        </w:numPr>
        <w:rPr>
          <w:rFonts w:ascii="Arial" w:cs="Arial" w:eastAsia="Arial" w:hAnsi="Arial"/>
          <w:sz w:val="15"/>
          <w:szCs w:val="15"/>
          <w:color w:val="auto"/>
        </w:rPr>
      </w:pPr>
      <w:r>
        <w:rPr>
          <w:rFonts w:ascii="Arial" w:cs="Arial" w:eastAsia="Arial" w:hAnsi="Arial"/>
          <w:sz w:val="15"/>
          <w:szCs w:val="15"/>
          <w:color w:val="auto"/>
        </w:rPr>
        <w:t>Each Term Lender, on the written request of the Administrative Agent and/or any Nominee, not more frequently than once each month, shall reimburse the Agents and/or any Nominee, Pro-Rata, for any cost or expense reasonably incurred by the Agents and/or the Nominee in the conduct of a Liquidation, which amount is not covered out of current proceeds of the Liquidation, which reimbursement shall be paid over to and distributed by the Administrative Agent.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13.6. R</w:t>
      </w:r>
      <w:r>
        <w:rPr>
          <w:rFonts w:ascii="Arial" w:cs="Arial" w:eastAsia="Arial" w:hAnsi="Arial"/>
          <w:sz w:val="10"/>
          <w:szCs w:val="10"/>
          <w:b w:val="1"/>
          <w:bCs w:val="1"/>
          <w:color w:val="auto"/>
        </w:rPr>
        <w:t>ELATIVE</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RIORITIES</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ROCEEDS OF</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IQUIDATION</w:t>
      </w:r>
      <w:r>
        <w:rPr>
          <w:rFonts w:ascii="Arial" w:cs="Arial" w:eastAsia="Arial" w:hAnsi="Arial"/>
          <w:sz w:val="15"/>
          <w:szCs w:val="15"/>
          <w:b w:val="1"/>
          <w:bCs w:val="1"/>
          <w:color w:val="auto"/>
        </w:rPr>
        <w:t xml:space="preserve">. </w:t>
      </w:r>
      <w:r>
        <w:rPr>
          <w:rFonts w:ascii="Arial" w:cs="Arial" w:eastAsia="Arial" w:hAnsi="Arial"/>
          <w:sz w:val="15"/>
          <w:szCs w:val="15"/>
          <w:color w:val="auto"/>
        </w:rPr>
        <w:t>All distributions of proceeds of a Liquidation shall be applied by the Administrative Agent in the following order:</w:t>
      </w:r>
    </w:p>
    <w:p>
      <w:pPr>
        <w:spacing w:after="0" w:line="84" w:lineRule="exact"/>
        <w:rPr>
          <w:sz w:val="20"/>
          <w:szCs w:val="20"/>
          <w:color w:val="auto"/>
        </w:rPr>
      </w:pPr>
    </w:p>
    <w:p>
      <w:pPr>
        <w:ind w:firstLine="1529"/>
        <w:spacing w:after="0" w:line="259" w:lineRule="auto"/>
        <w:tabs>
          <w:tab w:leader="none" w:pos="1729"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First</w:t>
      </w:r>
      <w:r>
        <w:rPr>
          <w:rFonts w:ascii="Arial" w:cs="Arial" w:eastAsia="Arial" w:hAnsi="Arial"/>
          <w:sz w:val="15"/>
          <w:szCs w:val="15"/>
          <w:color w:val="auto"/>
        </w:rPr>
        <w:t>, to payment of that portion of the Liabilities constituting fees, indemnities, Costs of Collection and other amounts (including fees, charges and disbursements of counsel to the Administrative Agent and the Collateral Agent) payable to the Administrative Agent and the Collateral Agent, each in its capacity as such;</w:t>
      </w:r>
    </w:p>
    <w:p>
      <w:pPr>
        <w:spacing w:after="0" w:line="51" w:lineRule="exact"/>
        <w:rPr>
          <w:rFonts w:ascii="Arial" w:cs="Arial" w:eastAsia="Arial" w:hAnsi="Arial"/>
          <w:sz w:val="15"/>
          <w:szCs w:val="15"/>
          <w:color w:val="auto"/>
        </w:rPr>
      </w:pPr>
    </w:p>
    <w:p>
      <w:pPr>
        <w:ind w:firstLine="1529"/>
        <w:spacing w:after="0" w:line="295" w:lineRule="auto"/>
        <w:tabs>
          <w:tab w:leader="none" w:pos="1758"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Second</w:t>
      </w:r>
      <w:r>
        <w:rPr>
          <w:rFonts w:ascii="Arial" w:cs="Arial" w:eastAsia="Arial" w:hAnsi="Arial"/>
          <w:sz w:val="14"/>
          <w:szCs w:val="14"/>
          <w:color w:val="auto"/>
        </w:rPr>
        <w:t xml:space="preserve">, to payment of that portion of the Liabilities constituting indemnities, Costs of Collection, and other amounts (other than principal, interest and fees) payable to the Term Lenders (including Costs of Collection to the respective Term Lenders), Pro-Rata in proportion to the amounts described in this clause </w:t>
      </w:r>
      <w:r>
        <w:rPr>
          <w:rFonts w:ascii="Arial" w:cs="Arial" w:eastAsia="Arial" w:hAnsi="Arial"/>
          <w:sz w:val="14"/>
          <w:szCs w:val="14"/>
          <w:u w:val="single" w:color="auto"/>
          <w:color w:val="auto"/>
        </w:rPr>
        <w:t>Second</w:t>
      </w:r>
      <w:r>
        <w:rPr>
          <w:rFonts w:ascii="Arial" w:cs="Arial" w:eastAsia="Arial" w:hAnsi="Arial"/>
          <w:sz w:val="14"/>
          <w:szCs w:val="14"/>
          <w:color w:val="auto"/>
        </w:rPr>
        <w:t xml:space="preserve"> payable to them;</w:t>
      </w:r>
    </w:p>
    <w:p>
      <w:pPr>
        <w:spacing w:after="0" w:line="27" w:lineRule="exact"/>
        <w:rPr>
          <w:rFonts w:ascii="Arial" w:cs="Arial" w:eastAsia="Arial" w:hAnsi="Arial"/>
          <w:sz w:val="14"/>
          <w:szCs w:val="14"/>
          <w:color w:val="auto"/>
        </w:rPr>
      </w:pPr>
    </w:p>
    <w:p>
      <w:pPr>
        <w:ind w:firstLine="1529"/>
        <w:spacing w:after="0" w:line="259" w:lineRule="auto"/>
        <w:tabs>
          <w:tab w:leader="none" w:pos="1729"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Third</w:t>
      </w:r>
      <w:r>
        <w:rPr>
          <w:rFonts w:ascii="Arial" w:cs="Arial" w:eastAsia="Arial" w:hAnsi="Arial"/>
          <w:sz w:val="15"/>
          <w:szCs w:val="15"/>
          <w:color w:val="auto"/>
        </w:rPr>
        <w:t xml:space="preserve">, to payment of that portion of the Liabilities constituting accrued and unpaid interest on the Term Loans and other Obligations, and fees, Pro-Rata among the Term Lenders in proportion to the respective amounts described in this clause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payable to them;</w:t>
      </w:r>
    </w:p>
    <w:p>
      <w:pPr>
        <w:spacing w:after="0" w:line="51" w:lineRule="exact"/>
        <w:rPr>
          <w:rFonts w:ascii="Arial" w:cs="Arial" w:eastAsia="Arial" w:hAnsi="Arial"/>
          <w:sz w:val="15"/>
          <w:szCs w:val="15"/>
          <w:color w:val="auto"/>
        </w:rPr>
      </w:pPr>
    </w:p>
    <w:p>
      <w:pPr>
        <w:ind w:firstLine="1529"/>
        <w:spacing w:after="0" w:line="259" w:lineRule="auto"/>
        <w:tabs>
          <w:tab w:leader="none" w:pos="1758"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xml:space="preserve">, to payment of that portion of the Liabilities constituting unpaid principal of the Term Loans, Pro-Rata among the Term Lenders in proportion to the respective amounts described in this clause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held by them;</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Fifth</w:t>
      </w:r>
      <w:r>
        <w:rPr>
          <w:rFonts w:ascii="Arial" w:cs="Arial" w:eastAsia="Arial" w:hAnsi="Arial"/>
          <w:sz w:val="13"/>
          <w:szCs w:val="13"/>
          <w:color w:val="auto"/>
        </w:rPr>
        <w:t xml:space="preserve">, to payment of all other Liabilities, Pro-Rata among the Term Lenders in proportion to the respective amounts described in this clause </w:t>
      </w:r>
      <w:r>
        <w:rPr>
          <w:rFonts w:ascii="Arial" w:cs="Arial" w:eastAsia="Arial" w:hAnsi="Arial"/>
          <w:sz w:val="13"/>
          <w:szCs w:val="13"/>
          <w:u w:val="single" w:color="auto"/>
          <w:color w:val="auto"/>
        </w:rPr>
        <w:t>Fifth</w:t>
      </w:r>
      <w:r>
        <w:rPr>
          <w:rFonts w:ascii="Arial" w:cs="Arial" w:eastAsia="Arial" w:hAnsi="Arial"/>
          <w:sz w:val="13"/>
          <w:szCs w:val="13"/>
          <w:color w:val="auto"/>
        </w:rPr>
        <w:t xml:space="preserve"> held by them; and</w:t>
      </w:r>
    </w:p>
    <w:p>
      <w:pPr>
        <w:spacing w:after="0" w:line="102" w:lineRule="exact"/>
        <w:rPr>
          <w:rFonts w:ascii="Arial" w:cs="Arial" w:eastAsia="Arial" w:hAnsi="Arial"/>
          <w:sz w:val="13"/>
          <w:szCs w:val="13"/>
          <w:color w:val="auto"/>
        </w:rPr>
      </w:pPr>
    </w:p>
    <w:p>
      <w:pPr>
        <w:ind w:left="1720" w:hanging="191"/>
        <w:spacing w:after="0"/>
        <w:tabs>
          <w:tab w:leader="none" w:pos="1720"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Last</w:t>
      </w:r>
      <w:r>
        <w:rPr>
          <w:rFonts w:ascii="Arial" w:cs="Arial" w:eastAsia="Arial" w:hAnsi="Arial"/>
          <w:sz w:val="14"/>
          <w:szCs w:val="14"/>
          <w:color w:val="auto"/>
        </w:rPr>
        <w:t>, the balance, if any, after all of the Liabilities have been indefeasibly paid in full, to the Loan Parties or as otherwise required by Applicable Law.</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14 - T</w:t>
      </w:r>
      <w:r>
        <w:rPr>
          <w:rFonts w:ascii="Arial" w:cs="Arial" w:eastAsia="Arial" w:hAnsi="Arial"/>
          <w:sz w:val="10"/>
          <w:szCs w:val="10"/>
          <w:b w:val="1"/>
          <w:bCs w:val="1"/>
          <w:color w:val="auto"/>
        </w:rPr>
        <w:t>HE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14.1. A</w:t>
      </w:r>
      <w:r>
        <w:rPr>
          <w:rFonts w:ascii="Arial" w:cs="Arial" w:eastAsia="Arial" w:hAnsi="Arial"/>
          <w:sz w:val="10"/>
          <w:szCs w:val="10"/>
          <w:b w:val="1"/>
          <w:bCs w:val="1"/>
          <w:color w:val="auto"/>
        </w:rPr>
        <w:t>PPOINTMENT OF THE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color w:val="auto"/>
        </w:rPr>
        <w:t>.</w:t>
      </w:r>
    </w:p>
    <w:p>
      <w:pPr>
        <w:spacing w:after="0" w:line="84" w:lineRule="exact"/>
        <w:rPr>
          <w:sz w:val="20"/>
          <w:szCs w:val="20"/>
          <w:color w:val="auto"/>
        </w:rPr>
      </w:pPr>
    </w:p>
    <w:p>
      <w:pPr>
        <w:ind w:left="1740" w:hanging="211"/>
        <w:spacing w:after="0"/>
        <w:tabs>
          <w:tab w:leader="none" w:pos="174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Each Term Lender appoints and designates Wells Fargo as the “Administrative Agent” hereunder and under the Loan Documents.</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Each Term Lender appoints and designates Wells Fargo as the “Collateral Agent” hereunder and under the Loan Documents.</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Each Term Lender authorizes each Agent:</w:t>
      </w:r>
    </w:p>
    <w:p>
      <w:pPr>
        <w:spacing w:after="0" w:line="79" w:lineRule="exact"/>
        <w:rPr>
          <w:rFonts w:ascii="Arial" w:cs="Arial" w:eastAsia="Arial" w:hAnsi="Arial"/>
          <w:sz w:val="15"/>
          <w:szCs w:val="15"/>
          <w:color w:val="auto"/>
        </w:rPr>
      </w:pPr>
    </w:p>
    <w:p>
      <w:pPr>
        <w:ind w:left="2360" w:hanging="168"/>
        <w:spacing w:after="0"/>
        <w:tabs>
          <w:tab w:leader="none" w:pos="236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To execute those of the Loan Documents and all other instruments relating thereto to which that Agent is a party.</w:t>
      </w:r>
    </w:p>
    <w:p>
      <w:pPr>
        <w:spacing w:after="0" w:line="79" w:lineRule="exact"/>
        <w:rPr>
          <w:rFonts w:ascii="Arial" w:cs="Arial" w:eastAsia="Arial" w:hAnsi="Arial"/>
          <w:sz w:val="15"/>
          <w:szCs w:val="15"/>
          <w:color w:val="auto"/>
        </w:rPr>
      </w:pPr>
    </w:p>
    <w:p>
      <w:pPr>
        <w:ind w:left="760" w:firstLine="1432"/>
        <w:spacing w:after="0" w:line="259" w:lineRule="auto"/>
        <w:tabs>
          <w:tab w:leader="none" w:pos="2412" w:val="left"/>
        </w:tabs>
        <w:numPr>
          <w:ilvl w:val="1"/>
          <w:numId w:val="155"/>
        </w:numPr>
        <w:rPr>
          <w:rFonts w:ascii="Arial" w:cs="Arial" w:eastAsia="Arial" w:hAnsi="Arial"/>
          <w:sz w:val="15"/>
          <w:szCs w:val="15"/>
          <w:color w:val="auto"/>
        </w:rPr>
      </w:pPr>
      <w:r>
        <w:rPr>
          <w:rFonts w:ascii="Arial" w:cs="Arial" w:eastAsia="Arial" w:hAnsi="Arial"/>
          <w:sz w:val="15"/>
          <w:szCs w:val="15"/>
          <w:color w:val="auto"/>
        </w:rPr>
        <w:t>To take such action on behalf of the Term Lenders and to exercise all such powers as are expressly delegated to that Agent hereunder and in the Loan Documents and all related documents, together with such other powers as are reasonably incident thereto.</w:t>
      </w:r>
    </w:p>
    <w:p>
      <w:pPr>
        <w:spacing w:after="0" w:line="131" w:lineRule="exact"/>
        <w:rPr>
          <w:rFonts w:ascii="Arial" w:cs="Arial" w:eastAsia="Arial" w:hAnsi="Arial"/>
          <w:sz w:val="15"/>
          <w:szCs w:val="15"/>
          <w:color w:val="auto"/>
        </w:rPr>
      </w:pPr>
    </w:p>
    <w:p>
      <w:pPr>
        <w:ind w:left="5660" w:hanging="86"/>
        <w:spacing w:after="0"/>
        <w:tabs>
          <w:tab w:leader="none" w:pos="5660" w:val="left"/>
        </w:tabs>
        <w:numPr>
          <w:ilvl w:val="2"/>
          <w:numId w:val="155"/>
        </w:numPr>
        <w:rPr>
          <w:rFonts w:ascii="Arial" w:cs="Arial" w:eastAsia="Arial" w:hAnsi="Arial"/>
          <w:sz w:val="15"/>
          <w:szCs w:val="15"/>
          <w:color w:val="auto"/>
        </w:rPr>
      </w:pPr>
      <w:r>
        <w:rPr>
          <w:rFonts w:ascii="Arial" w:cs="Arial" w:eastAsia="Arial" w:hAnsi="Arial"/>
          <w:sz w:val="15"/>
          <w:szCs w:val="15"/>
          <w:color w:val="auto"/>
        </w:rPr>
        <w:t>56 -</w:t>
      </w:r>
    </w:p>
    <w:p>
      <w:pPr>
        <w:sectPr>
          <w:pgSz w:w="11900" w:h="16838" w:orient="portrait"/>
          <w:cols w:equalWidth="0" w:num="1">
            <w:col w:w="11460"/>
          </w:cols>
          <w:pgMar w:left="220" w:top="284" w:right="219" w:bottom="1440" w:gutter="0" w:footer="0" w:header="0"/>
        </w:sectPr>
      </w:pPr>
    </w:p>
    <w:bookmarkStart w:id="114" w:name="page115"/>
    <w:bookmarkEnd w:id="114"/>
    <w:p>
      <w:pPr>
        <w:ind w:left="760"/>
        <w:spacing w:after="0"/>
        <w:rPr>
          <w:sz w:val="20"/>
          <w:szCs w:val="20"/>
          <w:color w:val="auto"/>
        </w:rPr>
      </w:pPr>
      <w:r>
        <w:rPr>
          <w:rFonts w:ascii="Arial" w:cs="Arial" w:eastAsia="Arial" w:hAnsi="Arial"/>
          <w:sz w:val="15"/>
          <w:szCs w:val="15"/>
          <w:b w:val="1"/>
          <w:bCs w:val="1"/>
          <w:color w:val="auto"/>
        </w:rPr>
        <w:t>14.2. R</w:t>
      </w:r>
      <w:r>
        <w:rPr>
          <w:rFonts w:ascii="Arial" w:cs="Arial" w:eastAsia="Arial" w:hAnsi="Arial"/>
          <w:sz w:val="10"/>
          <w:szCs w:val="10"/>
          <w:b w:val="1"/>
          <w:bCs w:val="1"/>
          <w:color w:val="auto"/>
        </w:rPr>
        <w:t>ESPONSIBILITIES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9" w:lineRule="auto"/>
        <w:tabs>
          <w:tab w:leader="none" w:pos="1731"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Administrative Agent shall have principal responsibilities for and primary authority for the administration of the Term Facility contemplated by this Agreement and for all matters for which the Collateral Agent is not responsible. In all instances where the allocation of responsibility and authority, as between the Collateral Agent and the Administrative Agent is in doubt, the Administrative Agent shall be vested with such responsibility and authority.</w:t>
      </w:r>
    </w:p>
    <w:p>
      <w:pPr>
        <w:spacing w:after="0" w:line="58" w:lineRule="exact"/>
        <w:rPr>
          <w:rFonts w:ascii="Arial" w:cs="Arial" w:eastAsia="Arial" w:hAnsi="Arial"/>
          <w:sz w:val="15"/>
          <w:szCs w:val="15"/>
          <w:color w:val="auto"/>
        </w:rPr>
      </w:pPr>
    </w:p>
    <w:p>
      <w:pPr>
        <w:ind w:left="1740" w:hanging="211"/>
        <w:spacing w:after="0"/>
        <w:tabs>
          <w:tab w:leader="none" w:pos="174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The Collateral Agent shall have principal responsibilities for and primary authority for the conduct of the Liquidation and the distribution of the proceeds of such</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Liquidation.</w:t>
      </w:r>
    </w:p>
    <w:p>
      <w:pPr>
        <w:spacing w:after="0" w:line="67" w:lineRule="exact"/>
        <w:rPr>
          <w:rFonts w:ascii="Arial" w:cs="Arial" w:eastAsia="Arial" w:hAnsi="Arial"/>
          <w:sz w:val="13"/>
          <w:szCs w:val="13"/>
          <w:color w:val="auto"/>
        </w:rPr>
      </w:pPr>
    </w:p>
    <w:p>
      <w:pPr>
        <w:ind w:left="1740" w:hanging="211"/>
        <w:spacing w:after="0"/>
        <w:tabs>
          <w:tab w:leader="none" w:pos="174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Neither Agent shall have any duties or responsibilities to, or any fiduciary relationship with, any Term Lender except for those expressly set forth in this Agreement.</w:t>
      </w:r>
    </w:p>
    <w:p>
      <w:pPr>
        <w:spacing w:after="0" w:line="102" w:lineRule="exact"/>
        <w:rPr>
          <w:rFonts w:ascii="Arial" w:cs="Arial" w:eastAsia="Arial" w:hAnsi="Arial"/>
          <w:sz w:val="13"/>
          <w:szCs w:val="13"/>
          <w:color w:val="auto"/>
        </w:rPr>
      </w:pPr>
    </w:p>
    <w:p>
      <w:pPr>
        <w:ind w:left="1740" w:hanging="211"/>
        <w:spacing w:after="0"/>
        <w:tabs>
          <w:tab w:leader="none" w:pos="17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Neither Agent nor any of its Affiliates shall be responsible to any Term Lender for any of the following:</w:t>
      </w:r>
    </w:p>
    <w:p>
      <w:pPr>
        <w:spacing w:after="0" w:line="79" w:lineRule="exact"/>
        <w:rPr>
          <w:rFonts w:ascii="Arial" w:cs="Arial" w:eastAsia="Arial" w:hAnsi="Arial"/>
          <w:sz w:val="15"/>
          <w:szCs w:val="15"/>
          <w:color w:val="auto"/>
        </w:rPr>
      </w:pPr>
    </w:p>
    <w:p>
      <w:pPr>
        <w:ind w:left="2360" w:hanging="168"/>
        <w:spacing w:after="0"/>
        <w:tabs>
          <w:tab w:leader="none" w:pos="236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Any recitals, statements, representations or warranties made by any Loan Party or any other Person.</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1"/>
          <w:numId w:val="156"/>
        </w:numPr>
        <w:rPr>
          <w:rFonts w:ascii="Arial" w:cs="Arial" w:eastAsia="Arial" w:hAnsi="Arial"/>
          <w:sz w:val="14"/>
          <w:szCs w:val="14"/>
          <w:color w:val="auto"/>
        </w:rPr>
      </w:pPr>
      <w:r>
        <w:rPr>
          <w:rFonts w:ascii="Arial" w:cs="Arial" w:eastAsia="Arial" w:hAnsi="Arial"/>
          <w:sz w:val="14"/>
          <w:szCs w:val="14"/>
          <w:color w:val="auto"/>
        </w:rPr>
        <w:t>Any appraisals or other assessments of the assets of any Loan Party or of any other Person responsible for or on account of the Liabilities.</w:t>
      </w:r>
    </w:p>
    <w:p>
      <w:pPr>
        <w:spacing w:after="0" w:line="91" w:lineRule="exact"/>
        <w:rPr>
          <w:rFonts w:ascii="Arial" w:cs="Arial" w:eastAsia="Arial" w:hAnsi="Arial"/>
          <w:sz w:val="14"/>
          <w:szCs w:val="14"/>
          <w:color w:val="auto"/>
        </w:rPr>
      </w:pPr>
    </w:p>
    <w:p>
      <w:pPr>
        <w:ind w:left="760" w:firstLine="1432"/>
        <w:spacing w:after="0" w:line="259" w:lineRule="auto"/>
        <w:tabs>
          <w:tab w:leader="none" w:pos="2467" w:val="left"/>
        </w:tabs>
        <w:numPr>
          <w:ilvl w:val="1"/>
          <w:numId w:val="156"/>
        </w:numPr>
        <w:rPr>
          <w:rFonts w:ascii="Arial" w:cs="Arial" w:eastAsia="Arial" w:hAnsi="Arial"/>
          <w:sz w:val="15"/>
          <w:szCs w:val="15"/>
          <w:color w:val="auto"/>
        </w:rPr>
      </w:pPr>
      <w:r>
        <w:rPr>
          <w:rFonts w:ascii="Arial" w:cs="Arial" w:eastAsia="Arial" w:hAnsi="Arial"/>
          <w:sz w:val="15"/>
          <w:szCs w:val="15"/>
          <w:color w:val="auto"/>
        </w:rPr>
        <w:t>The value, validity, effectiveness, genuineness, enforceability, or sufficiency of the Loan Agreement, the Loan Documents or any other document referred to or provided for therein.</w:t>
      </w:r>
    </w:p>
    <w:p>
      <w:pPr>
        <w:spacing w:after="0" w:line="51" w:lineRule="exact"/>
        <w:rPr>
          <w:rFonts w:ascii="Arial" w:cs="Arial" w:eastAsia="Arial" w:hAnsi="Arial"/>
          <w:sz w:val="15"/>
          <w:szCs w:val="15"/>
          <w:color w:val="auto"/>
        </w:rPr>
      </w:pPr>
    </w:p>
    <w:p>
      <w:pPr>
        <w:ind w:left="2440" w:hanging="248"/>
        <w:spacing w:after="0"/>
        <w:tabs>
          <w:tab w:leader="none" w:pos="24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Any failure by any Loan Party or any other Person (other than the subject Agent) to perform its obligations under the Loan Documents.</w:t>
      </w:r>
    </w:p>
    <w:p>
      <w:pPr>
        <w:spacing w:after="0" w:line="79" w:lineRule="exact"/>
        <w:rPr>
          <w:rFonts w:ascii="Arial" w:cs="Arial" w:eastAsia="Arial" w:hAnsi="Arial"/>
          <w:sz w:val="15"/>
          <w:szCs w:val="15"/>
          <w:color w:val="auto"/>
        </w:rPr>
      </w:pPr>
    </w:p>
    <w:p>
      <w:pPr>
        <w:jc w:val="both"/>
        <w:ind w:firstLine="1529"/>
        <w:spacing w:after="0" w:line="249" w:lineRule="auto"/>
        <w:tabs>
          <w:tab w:leader="none" w:pos="1756" w:val="left"/>
        </w:tabs>
        <w:numPr>
          <w:ilvl w:val="0"/>
          <w:numId w:val="156"/>
        </w:numPr>
        <w:rPr>
          <w:rFonts w:ascii="Arial" w:cs="Arial" w:eastAsia="Arial" w:hAnsi="Arial"/>
          <w:sz w:val="15"/>
          <w:szCs w:val="15"/>
          <w:color w:val="auto"/>
        </w:rPr>
      </w:pPr>
      <w:r>
        <w:rPr>
          <w:rFonts w:ascii="Arial" w:cs="Arial" w:eastAsia="Arial" w:hAnsi="Arial"/>
          <w:sz w:val="15"/>
          <w:szCs w:val="15"/>
          <w:color w:val="auto"/>
        </w:rPr>
        <w:t>Each Agent may employ attorneys, accountants, and other professionals and agents and attorneys-in-fact and shall not be responsible for the negligence or misconduct of any such attorneys, accountants, and other professionals or agents or attorneys-in-fact selected by the subject Agent with reasonable care. No such attorney, accountant, other professional, agent, or attorney-in-fact shall be responsible for any action taken or omitted to be taken by any other such Person.</w:t>
      </w:r>
    </w:p>
    <w:p>
      <w:pPr>
        <w:spacing w:after="0" w:line="58" w:lineRule="exact"/>
        <w:rPr>
          <w:rFonts w:ascii="Arial" w:cs="Arial" w:eastAsia="Arial" w:hAnsi="Arial"/>
          <w:sz w:val="15"/>
          <w:szCs w:val="15"/>
          <w:color w:val="auto"/>
        </w:rPr>
      </w:pPr>
    </w:p>
    <w:p>
      <w:pPr>
        <w:jc w:val="both"/>
        <w:ind w:firstLine="1529"/>
        <w:spacing w:after="0" w:line="245" w:lineRule="auto"/>
        <w:tabs>
          <w:tab w:leader="none" w:pos="1716"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Neither Agent, nor any of its directors, officers, or employees shall be responsible for any action taken or omitted to be taken or omitted to be taken by any other of them in connection herewith in reliance upon advice of their respective counsel nor, in any other event except for any action taken or omitted to be taken as to which a final judicial determination has been or is made (in a proceeding in which such Person has had an opportunity to be heard) that such Person had acted in a grossly negligent manner, in actual bad faith, or in willful misconduct.</w:t>
      </w:r>
    </w:p>
    <w:p>
      <w:pPr>
        <w:spacing w:after="0" w:line="62" w:lineRule="exact"/>
        <w:rPr>
          <w:rFonts w:ascii="Arial" w:cs="Arial" w:eastAsia="Arial" w:hAnsi="Arial"/>
          <w:sz w:val="15"/>
          <w:szCs w:val="15"/>
          <w:color w:val="auto"/>
        </w:rPr>
      </w:pPr>
    </w:p>
    <w:p>
      <w:pPr>
        <w:ind w:left="1740" w:hanging="211"/>
        <w:spacing w:after="0"/>
        <w:tabs>
          <w:tab w:leader="none" w:pos="17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Neither Agent shall have any responsibility in any event for more funds than that Agent actually receives and collects.</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 Agents, in their separate capacities as Term Lenders, shall have the same rights and powers hereunder as any other Term Lender.</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14.3. C</w:t>
      </w:r>
      <w:r>
        <w:rPr>
          <w:rFonts w:ascii="Arial" w:cs="Arial" w:eastAsia="Arial" w:hAnsi="Arial"/>
          <w:sz w:val="10"/>
          <w:szCs w:val="10"/>
          <w:b w:val="1"/>
          <w:bCs w:val="1"/>
          <w:color w:val="auto"/>
        </w:rPr>
        <w:t>ONCERNING</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ISTRIBUTIONS</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Y THE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95" w:lineRule="auto"/>
        <w:tabs>
          <w:tab w:leader="none" w:pos="1747" w:val="left"/>
        </w:tabs>
        <w:numPr>
          <w:ilvl w:val="0"/>
          <w:numId w:val="157"/>
        </w:numPr>
        <w:rPr>
          <w:rFonts w:ascii="Arial" w:cs="Arial" w:eastAsia="Arial" w:hAnsi="Arial"/>
          <w:sz w:val="14"/>
          <w:szCs w:val="14"/>
          <w:color w:val="auto"/>
        </w:rPr>
      </w:pPr>
      <w:r>
        <w:rPr>
          <w:rFonts w:ascii="Arial" w:cs="Arial" w:eastAsia="Arial" w:hAnsi="Arial"/>
          <w:sz w:val="14"/>
          <w:szCs w:val="14"/>
          <w:color w:val="auto"/>
        </w:rPr>
        <w:t>Each Agent, in that Agent’s reasonable discretion based upon that Agent’s determination of the likelihood that additional payments will be received, expenses incurred, and/or claims made by third parties to all or a portion of such proceeds, may delay the distribution of any payment received on account of the Liabilities.</w:t>
      </w:r>
    </w:p>
    <w:p>
      <w:pPr>
        <w:spacing w:after="0" w:line="27" w:lineRule="exact"/>
        <w:rPr>
          <w:rFonts w:ascii="Arial" w:cs="Arial" w:eastAsia="Arial" w:hAnsi="Arial"/>
          <w:sz w:val="14"/>
          <w:szCs w:val="14"/>
          <w:color w:val="auto"/>
        </w:rPr>
      </w:pPr>
    </w:p>
    <w:p>
      <w:pPr>
        <w:jc w:val="both"/>
        <w:ind w:firstLine="1529"/>
        <w:spacing w:after="0" w:line="275" w:lineRule="auto"/>
        <w:tabs>
          <w:tab w:leader="none" w:pos="1742" w:val="left"/>
        </w:tabs>
        <w:numPr>
          <w:ilvl w:val="0"/>
          <w:numId w:val="157"/>
        </w:numPr>
        <w:rPr>
          <w:rFonts w:ascii="Arial" w:cs="Arial" w:eastAsia="Arial" w:hAnsi="Arial"/>
          <w:sz w:val="14"/>
          <w:szCs w:val="14"/>
          <w:color w:val="auto"/>
        </w:rPr>
      </w:pPr>
      <w:r>
        <w:rPr>
          <w:rFonts w:ascii="Arial" w:cs="Arial" w:eastAsia="Arial" w:hAnsi="Arial"/>
          <w:sz w:val="14"/>
          <w:szCs w:val="14"/>
          <w:color w:val="auto"/>
        </w:rPr>
        <w:t>Each Agent may disburse funds prior to determining that the sums which that Agent expects to receive have been finally and unconditionally paid to that Agent. If and to the extent that Agent does disburse funds and it later becomes apparent that the Agent did not then receive a payment in an amount equal to the sum paid out, then any Term Lender to whom the Agent made the funds available, on demand from the Agent, shall refund to the Administrative Agent the sum paid to that person.</w:t>
      </w:r>
    </w:p>
    <w:p>
      <w:pPr>
        <w:spacing w:after="0" w:line="41" w:lineRule="exact"/>
        <w:rPr>
          <w:rFonts w:ascii="Arial" w:cs="Arial" w:eastAsia="Arial" w:hAnsi="Arial"/>
          <w:sz w:val="14"/>
          <w:szCs w:val="14"/>
          <w:color w:val="auto"/>
        </w:rPr>
      </w:pPr>
    </w:p>
    <w:p>
      <w:pPr>
        <w:ind w:firstLine="1529"/>
        <w:spacing w:after="0" w:line="295" w:lineRule="auto"/>
        <w:tabs>
          <w:tab w:leader="none" w:pos="173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If, in the opinion of an Agent, the distribution of any amount received by that Agent might involve that Agent in liability, or might be prohibited hereby, or might be questioned by any Person, then that Agent may refrain from making distribution until that Agent’s right to make distribution has been adjudicated by a court of competent jurisdiction.</w:t>
      </w:r>
    </w:p>
    <w:p>
      <w:pPr>
        <w:spacing w:after="0" w:line="108" w:lineRule="exact"/>
        <w:rPr>
          <w:rFonts w:ascii="Arial" w:cs="Arial" w:eastAsia="Arial" w:hAnsi="Arial"/>
          <w:sz w:val="14"/>
          <w:szCs w:val="14"/>
          <w:color w:val="auto"/>
        </w:rPr>
      </w:pPr>
    </w:p>
    <w:p>
      <w:pPr>
        <w:ind w:left="5660" w:hanging="86"/>
        <w:spacing w:after="0"/>
        <w:tabs>
          <w:tab w:leader="none" w:pos="5660" w:val="left"/>
        </w:tabs>
        <w:numPr>
          <w:ilvl w:val="1"/>
          <w:numId w:val="157"/>
        </w:numPr>
        <w:rPr>
          <w:rFonts w:ascii="Arial" w:cs="Arial" w:eastAsia="Arial" w:hAnsi="Arial"/>
          <w:sz w:val="15"/>
          <w:szCs w:val="15"/>
          <w:color w:val="auto"/>
        </w:rPr>
      </w:pPr>
      <w:r>
        <w:rPr>
          <w:rFonts w:ascii="Arial" w:cs="Arial" w:eastAsia="Arial" w:hAnsi="Arial"/>
          <w:sz w:val="15"/>
          <w:szCs w:val="15"/>
          <w:color w:val="auto"/>
        </w:rPr>
        <w:t>57 -</w:t>
      </w:r>
    </w:p>
    <w:p>
      <w:pPr>
        <w:sectPr>
          <w:pgSz w:w="11900" w:h="16838" w:orient="portrait"/>
          <w:cols w:equalWidth="0" w:num="1">
            <w:col w:w="11460"/>
          </w:cols>
          <w:pgMar w:left="220" w:top="284" w:right="219" w:bottom="1440" w:gutter="0" w:footer="0" w:header="0"/>
        </w:sectPr>
      </w:pPr>
    </w:p>
    <w:bookmarkStart w:id="115" w:name="page116"/>
    <w:bookmarkEnd w:id="115"/>
    <w:p>
      <w:pPr>
        <w:jc w:val="both"/>
        <w:ind w:firstLine="1529"/>
        <w:spacing w:after="0" w:line="249" w:lineRule="auto"/>
        <w:tabs>
          <w:tab w:leader="none" w:pos="1746" w:val="left"/>
        </w:tabs>
        <w:numPr>
          <w:ilvl w:val="0"/>
          <w:numId w:val="158"/>
        </w:numPr>
        <w:rPr>
          <w:rFonts w:ascii="Arial" w:cs="Arial" w:eastAsia="Arial" w:hAnsi="Arial"/>
          <w:sz w:val="15"/>
          <w:szCs w:val="15"/>
          <w:color w:val="auto"/>
        </w:rPr>
      </w:pPr>
      <w:r>
        <w:rPr>
          <w:rFonts w:ascii="Arial" w:cs="Arial" w:eastAsia="Arial" w:hAnsi="Arial"/>
          <w:sz w:val="15"/>
          <w:szCs w:val="15"/>
          <w:color w:val="auto"/>
        </w:rPr>
        <w:t xml:space="preserve">The proceeds of any Term Lender’s exercise of any right of, or in the nature of, set-off shall be deemed, </w:t>
      </w:r>
      <w:r>
        <w:rPr>
          <w:rFonts w:ascii="Arial" w:cs="Arial" w:eastAsia="Arial" w:hAnsi="Arial"/>
          <w:sz w:val="15"/>
          <w:szCs w:val="15"/>
          <w:i w:val="1"/>
          <w:iCs w:val="1"/>
          <w:color w:val="auto"/>
        </w:rPr>
        <w:t>First,</w:t>
      </w:r>
      <w:r>
        <w:rPr>
          <w:rFonts w:ascii="Arial" w:cs="Arial" w:eastAsia="Arial" w:hAnsi="Arial"/>
          <w:sz w:val="15"/>
          <w:szCs w:val="15"/>
          <w:color w:val="auto"/>
        </w:rPr>
        <w:t xml:space="preserve"> to the extent that a Term Lender is entitled to any distribution hereunder, to constitute such distribution and </w:t>
      </w:r>
      <w:r>
        <w:rPr>
          <w:rFonts w:ascii="Arial" w:cs="Arial" w:eastAsia="Arial" w:hAnsi="Arial"/>
          <w:sz w:val="15"/>
          <w:szCs w:val="15"/>
          <w:i w:val="1"/>
          <w:iCs w:val="1"/>
          <w:color w:val="auto"/>
        </w:rPr>
        <w:t>Second,</w:t>
      </w:r>
      <w:r>
        <w:rPr>
          <w:rFonts w:ascii="Arial" w:cs="Arial" w:eastAsia="Arial" w:hAnsi="Arial"/>
          <w:sz w:val="15"/>
          <w:szCs w:val="15"/>
          <w:color w:val="auto"/>
        </w:rPr>
        <w:t xml:space="preserve"> shall be shared with the other Term Lenders as if distributed pursuant to (and shall be deemed as distributions under)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13.6</w:t>
      </w: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ind w:firstLine="1529"/>
        <w:spacing w:after="0" w:line="259" w:lineRule="auto"/>
        <w:tabs>
          <w:tab w:leader="none" w:pos="1736" w:val="left"/>
        </w:tabs>
        <w:numPr>
          <w:ilvl w:val="0"/>
          <w:numId w:val="158"/>
        </w:numPr>
        <w:rPr>
          <w:rFonts w:ascii="Arial" w:cs="Arial" w:eastAsia="Arial" w:hAnsi="Arial"/>
          <w:sz w:val="15"/>
          <w:szCs w:val="15"/>
          <w:color w:val="auto"/>
        </w:rPr>
      </w:pPr>
      <w:r>
        <w:rPr>
          <w:rFonts w:ascii="Arial" w:cs="Arial" w:eastAsia="Arial" w:hAnsi="Arial"/>
          <w:sz w:val="15"/>
          <w:szCs w:val="15"/>
          <w:color w:val="auto"/>
        </w:rPr>
        <w:t>Each Term Lender recognizes that the crediting of the Loan Parties with the “proceeds” of any transaction in which a Post Foreclosure Asset is acquired is a non-cash transaction and that, in consequence, no distribution of such “proceeds” will be made by the Administrative Agent to any Term Lender.</w:t>
      </w:r>
    </w:p>
    <w:p>
      <w:pPr>
        <w:spacing w:after="0" w:line="51" w:lineRule="exact"/>
        <w:rPr>
          <w:rFonts w:ascii="Arial" w:cs="Arial" w:eastAsia="Arial" w:hAnsi="Arial"/>
          <w:sz w:val="15"/>
          <w:szCs w:val="15"/>
          <w:color w:val="auto"/>
        </w:rPr>
      </w:pPr>
    </w:p>
    <w:p>
      <w:pPr>
        <w:jc w:val="both"/>
        <w:ind w:firstLine="1529"/>
        <w:spacing w:after="0" w:line="275" w:lineRule="auto"/>
        <w:tabs>
          <w:tab w:leader="none" w:pos="1735" w:val="left"/>
        </w:tabs>
        <w:numPr>
          <w:ilvl w:val="0"/>
          <w:numId w:val="158"/>
        </w:numPr>
        <w:rPr>
          <w:rFonts w:ascii="Arial" w:cs="Arial" w:eastAsia="Arial" w:hAnsi="Arial"/>
          <w:sz w:val="14"/>
          <w:szCs w:val="14"/>
          <w:color w:val="auto"/>
        </w:rPr>
      </w:pPr>
      <w:r>
        <w:rPr>
          <w:rFonts w:ascii="Arial" w:cs="Arial" w:eastAsia="Arial" w:hAnsi="Arial"/>
          <w:sz w:val="14"/>
          <w:szCs w:val="14"/>
          <w:color w:val="auto"/>
        </w:rPr>
        <w:t>In the event that (x) a court of competent jurisdiction shall adjudge that any amount received and distributed by the Administrative Agent is to be repaid or disgorged or (y) the Majority Term Lenders determine to effect such repayment or disgorgement, then each Term Lender to which any such distribution shall have been made shall repay, to the Agent which had made such distribution, that Term Lender’s Pro-Rata share of the amount so adjudged or determined to be repaid or disgorged.</w:t>
      </w:r>
    </w:p>
    <w:p>
      <w:pPr>
        <w:spacing w:after="0" w:line="118" w:lineRule="exact"/>
        <w:rPr>
          <w:sz w:val="20"/>
          <w:szCs w:val="20"/>
          <w:color w:val="auto"/>
        </w:rPr>
      </w:pPr>
    </w:p>
    <w:p>
      <w:pPr>
        <w:jc w:val="both"/>
        <w:ind w:firstLine="765"/>
        <w:spacing w:after="0" w:line="247" w:lineRule="auto"/>
        <w:rPr>
          <w:sz w:val="20"/>
          <w:szCs w:val="20"/>
          <w:color w:val="auto"/>
        </w:rPr>
      </w:pPr>
      <w:r>
        <w:rPr>
          <w:rFonts w:ascii="Arial" w:cs="Arial" w:eastAsia="Arial" w:hAnsi="Arial"/>
          <w:sz w:val="15"/>
          <w:szCs w:val="15"/>
          <w:b w:val="1"/>
          <w:bCs w:val="1"/>
          <w:color w:val="auto"/>
        </w:rPr>
        <w:t>14.4. D</w:t>
      </w:r>
      <w:r>
        <w:rPr>
          <w:rFonts w:ascii="Arial" w:cs="Arial" w:eastAsia="Arial" w:hAnsi="Arial"/>
          <w:sz w:val="10"/>
          <w:szCs w:val="10"/>
          <w:b w:val="1"/>
          <w:bCs w:val="1"/>
          <w:color w:val="auto"/>
        </w:rPr>
        <w:t>ISPUTE</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ESOLUTION</w:t>
      </w:r>
      <w:r>
        <w:rPr>
          <w:rFonts w:ascii="Arial" w:cs="Arial" w:eastAsia="Arial" w:hAnsi="Arial"/>
          <w:sz w:val="15"/>
          <w:szCs w:val="15"/>
          <w:b w:val="1"/>
          <w:bCs w:val="1"/>
          <w:color w:val="auto"/>
        </w:rPr>
        <w:t xml:space="preserve">. </w:t>
      </w:r>
      <w:r>
        <w:rPr>
          <w:rFonts w:ascii="Arial" w:cs="Arial" w:eastAsia="Arial" w:hAnsi="Arial"/>
          <w:sz w:val="15"/>
          <w:szCs w:val="15"/>
          <w:color w:val="auto"/>
        </w:rPr>
        <w:t>Any dispute among the Term Lenders and/or any Agent concerning the interpretation, administration, or enforcement of the financing arrangements</w:t>
      </w:r>
      <w:r>
        <w:rPr>
          <w:rFonts w:ascii="Arial" w:cs="Arial" w:eastAsia="Arial" w:hAnsi="Arial"/>
          <w:sz w:val="15"/>
          <w:szCs w:val="15"/>
          <w:b w:val="1"/>
          <w:bCs w:val="1"/>
          <w:color w:val="auto"/>
        </w:rPr>
        <w:t xml:space="preserve"> </w:t>
      </w:r>
      <w:r>
        <w:rPr>
          <w:rFonts w:ascii="Arial" w:cs="Arial" w:eastAsia="Arial" w:hAnsi="Arial"/>
          <w:sz w:val="15"/>
          <w:szCs w:val="15"/>
          <w:color w:val="auto"/>
        </w:rPr>
        <w:t>contemplated by this or any other Loan Document or the interpretation or administration of this or any other Loan Document which cannot be resolved amicably shall be resolved in the United States District Court for the District of Massachusetts, or in a court of The Commonwealth of Massachusetts sitting in Suffolk County, to the jurisdiction of which courts each Term Lender hereby submits.</w:t>
      </w:r>
    </w:p>
    <w:p>
      <w:pPr>
        <w:spacing w:after="0" w:line="137"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14.5. D</w:t>
      </w:r>
      <w:r>
        <w:rPr>
          <w:rFonts w:ascii="Arial" w:cs="Arial" w:eastAsia="Arial" w:hAnsi="Arial"/>
          <w:sz w:val="10"/>
          <w:szCs w:val="10"/>
          <w:b w:val="1"/>
          <w:bCs w:val="1"/>
          <w:color w:val="auto"/>
        </w:rPr>
        <w:t>ISTRIBUTIONS OF</w:t>
      </w:r>
      <w:r>
        <w:rPr>
          <w:rFonts w:ascii="Arial" w:cs="Arial" w:eastAsia="Arial" w:hAnsi="Arial"/>
          <w:sz w:val="15"/>
          <w:szCs w:val="15"/>
          <w:b w:val="1"/>
          <w:bCs w:val="1"/>
          <w:color w:val="auto"/>
        </w:rPr>
        <w:t xml:space="preserve"> N</w:t>
      </w:r>
      <w:r>
        <w:rPr>
          <w:rFonts w:ascii="Arial" w:cs="Arial" w:eastAsia="Arial" w:hAnsi="Arial"/>
          <w:sz w:val="10"/>
          <w:szCs w:val="10"/>
          <w:b w:val="1"/>
          <w:bCs w:val="1"/>
          <w:color w:val="auto"/>
        </w:rPr>
        <w:t>OTICES AND OF</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OCUMENTS</w:t>
      </w:r>
      <w:r>
        <w:rPr>
          <w:rFonts w:ascii="Arial" w:cs="Arial" w:eastAsia="Arial" w:hAnsi="Arial"/>
          <w:sz w:val="15"/>
          <w:szCs w:val="15"/>
          <w:b w:val="1"/>
          <w:bCs w:val="1"/>
          <w:color w:val="auto"/>
        </w:rPr>
        <w:t xml:space="preserve">. </w:t>
      </w:r>
      <w:r>
        <w:rPr>
          <w:rFonts w:ascii="Arial" w:cs="Arial" w:eastAsia="Arial" w:hAnsi="Arial"/>
          <w:sz w:val="15"/>
          <w:szCs w:val="15"/>
          <w:color w:val="auto"/>
        </w:rPr>
        <w:t>The Administrative Agent will forward to each Term Lender, promptly after the Administrative Agent’s receipt thereof, a copy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each notice or other document furnished to the Administrative Agent pursuant to this Agreement, including monthly, quarterly, and annual financial statements received from the Borrowers’ Representative pursuant to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of this Agreement, other than any of the following:</w:t>
      </w:r>
    </w:p>
    <w:p>
      <w:pPr>
        <w:spacing w:after="0" w:line="58" w:lineRule="exact"/>
        <w:rPr>
          <w:sz w:val="20"/>
          <w:szCs w:val="20"/>
          <w:color w:val="auto"/>
        </w:rPr>
      </w:pPr>
    </w:p>
    <w:p>
      <w:pPr>
        <w:ind w:left="1740" w:hanging="211"/>
        <w:spacing w:after="0"/>
        <w:tabs>
          <w:tab w:leader="none" w:pos="17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Routine communications associated with requests for Term Loans.</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Routine or nonmaterial communications.</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Any notice or document required by any of the Loan Documents to be furnished directly to the Term Lenders by the Borrowers’ Representative.</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Any notice or document of which the Administrative Agent has knowledge that such notice or document had been forwarded to the Term Lenders other than by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Administrative Agent.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14.6. C</w:t>
      </w:r>
      <w:r>
        <w:rPr>
          <w:rFonts w:ascii="Arial" w:cs="Arial" w:eastAsia="Arial" w:hAnsi="Arial"/>
          <w:sz w:val="10"/>
          <w:szCs w:val="10"/>
          <w:b w:val="1"/>
          <w:bCs w:val="1"/>
          <w:color w:val="auto"/>
        </w:rPr>
        <w:t>ONFIDENTIAL</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NFORMATION</w:t>
      </w:r>
      <w:r>
        <w:rPr>
          <w:rFonts w:ascii="Arial" w:cs="Arial" w:eastAsia="Arial" w:hAnsi="Arial"/>
          <w:sz w:val="15"/>
          <w:szCs w:val="15"/>
          <w:color w:val="auto"/>
        </w:rPr>
        <w:t>.</w:t>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(a) Each Term Lender will maintain, as confidential (other than to their respective attorneys, agents, accountants, Participants and prospective Participants) all of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following:</w:t>
      </w:r>
    </w:p>
    <w:p>
      <w:pPr>
        <w:spacing w:after="0" w:line="68" w:lineRule="exact"/>
        <w:rPr>
          <w:sz w:val="20"/>
          <w:szCs w:val="20"/>
          <w:color w:val="auto"/>
        </w:rPr>
      </w:pPr>
    </w:p>
    <w:p>
      <w:pPr>
        <w:ind w:left="760" w:firstLine="1432"/>
        <w:spacing w:after="0" w:line="259" w:lineRule="auto"/>
        <w:tabs>
          <w:tab w:leader="none" w:pos="2375" w:val="left"/>
        </w:tabs>
        <w:numPr>
          <w:ilvl w:val="1"/>
          <w:numId w:val="160"/>
        </w:numPr>
        <w:rPr>
          <w:rFonts w:ascii="Arial" w:cs="Arial" w:eastAsia="Arial" w:hAnsi="Arial"/>
          <w:sz w:val="15"/>
          <w:szCs w:val="15"/>
          <w:color w:val="auto"/>
        </w:rPr>
      </w:pPr>
      <w:r>
        <w:rPr>
          <w:rFonts w:ascii="Arial" w:cs="Arial" w:eastAsia="Arial" w:hAnsi="Arial"/>
          <w:sz w:val="15"/>
          <w:szCs w:val="15"/>
          <w:color w:val="auto"/>
        </w:rPr>
        <w:t>Proprietary approaches, techniques, and methods of analysis which are applied by the Administrative Agent in the administration of the Term Facility contemplated by this Agreement.</w:t>
      </w:r>
    </w:p>
    <w:p>
      <w:pPr>
        <w:spacing w:after="0" w:line="51" w:lineRule="exact"/>
        <w:rPr>
          <w:rFonts w:ascii="Arial" w:cs="Arial" w:eastAsia="Arial" w:hAnsi="Arial"/>
          <w:sz w:val="15"/>
          <w:szCs w:val="15"/>
          <w:color w:val="auto"/>
        </w:rPr>
      </w:pPr>
    </w:p>
    <w:p>
      <w:pPr>
        <w:ind w:left="2420" w:hanging="228"/>
        <w:spacing w:after="0"/>
        <w:tabs>
          <w:tab w:leader="none" w:pos="2420" w:val="left"/>
        </w:tabs>
        <w:numPr>
          <w:ilvl w:val="1"/>
          <w:numId w:val="160"/>
        </w:numPr>
        <w:rPr>
          <w:rFonts w:ascii="Arial" w:cs="Arial" w:eastAsia="Arial" w:hAnsi="Arial"/>
          <w:sz w:val="13"/>
          <w:szCs w:val="13"/>
          <w:color w:val="auto"/>
        </w:rPr>
      </w:pPr>
      <w:r>
        <w:rPr>
          <w:rFonts w:ascii="Arial" w:cs="Arial" w:eastAsia="Arial" w:hAnsi="Arial"/>
          <w:sz w:val="13"/>
          <w:szCs w:val="13"/>
          <w:color w:val="auto"/>
        </w:rPr>
        <w:t>Proprietary forms and formats utilized by the Administrative Agent in providing reports to the Term Lenders pursuant hereto, which forms or formats</w:t>
      </w:r>
    </w:p>
    <w:p>
      <w:pPr>
        <w:spacing w:after="0" w:line="33"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5"/>
          <w:szCs w:val="15"/>
          <w:color w:val="auto"/>
        </w:rPr>
        <w:t>are not of general currency.</w:t>
      </w:r>
    </w:p>
    <w:p>
      <w:pPr>
        <w:spacing w:after="0" w:line="67" w:lineRule="exact"/>
        <w:rPr>
          <w:rFonts w:ascii="Arial" w:cs="Arial" w:eastAsia="Arial" w:hAnsi="Arial"/>
          <w:sz w:val="13"/>
          <w:szCs w:val="13"/>
          <w:color w:val="auto"/>
        </w:rPr>
      </w:pPr>
    </w:p>
    <w:p>
      <w:pPr>
        <w:ind w:left="760" w:firstLine="1432"/>
        <w:spacing w:after="0" w:line="259" w:lineRule="auto"/>
        <w:tabs>
          <w:tab w:leader="none" w:pos="2445" w:val="left"/>
        </w:tabs>
        <w:numPr>
          <w:ilvl w:val="1"/>
          <w:numId w:val="160"/>
        </w:numPr>
        <w:rPr>
          <w:rFonts w:ascii="Arial" w:cs="Arial" w:eastAsia="Arial" w:hAnsi="Arial"/>
          <w:sz w:val="15"/>
          <w:szCs w:val="15"/>
          <w:color w:val="auto"/>
        </w:rPr>
      </w:pPr>
      <w:r>
        <w:rPr>
          <w:rFonts w:ascii="Arial" w:cs="Arial" w:eastAsia="Arial" w:hAnsi="Arial"/>
          <w:sz w:val="15"/>
          <w:szCs w:val="15"/>
          <w:color w:val="auto"/>
        </w:rPr>
        <w:t>Confidential information provided by any Loan Party pursuant to the Loan Documents, other than any information which becomes known to the general public through sources other than that Term Lender.</w:t>
      </w:r>
    </w:p>
    <w:p>
      <w:pPr>
        <w:spacing w:after="0" w:line="51" w:lineRule="exact"/>
        <w:rPr>
          <w:rFonts w:ascii="Arial" w:cs="Arial" w:eastAsia="Arial" w:hAnsi="Arial"/>
          <w:sz w:val="15"/>
          <w:szCs w:val="15"/>
          <w:color w:val="auto"/>
        </w:rPr>
      </w:pPr>
    </w:p>
    <w:p>
      <w:pPr>
        <w:jc w:val="both"/>
        <w:ind w:firstLine="1529"/>
        <w:spacing w:after="0" w:line="242" w:lineRule="auto"/>
        <w:tabs>
          <w:tab w:leader="none" w:pos="175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 xml:space="preserve">Nothing included herein shall prohibit the disclosure of any such information: (i) as may be required to be provided by Applicable Law or by any subpoena or similar legal process or by regulatory authorities having jurisdiction over any party to this Agreement; (ii) to its Affiliates and to its and its Affiliates’ respective partners, directors, officers, employees, agents, funding sources, attorneys, advisors and representatives (it being understood that the Persons to whom such disclosure is made will be informed of the confidential nature of such information and instructed to keep such information confidential); (iii) to any other party hereto; (iv) in connection with the exercise of any remedies hereunder or under any other Loan Document or any action or proceeding relating to this Agreement or any other Loan Document or the enforcement of rights hereunder or thereunder; (v) subject to an agreement containing provisions substantially the same as those of this </w:t>
      </w:r>
      <w:r>
        <w:rPr>
          <w:rFonts w:ascii="Arial" w:cs="Arial" w:eastAsia="Arial" w:hAnsi="Arial"/>
          <w:sz w:val="15"/>
          <w:szCs w:val="15"/>
          <w:u w:val="single" w:color="auto"/>
          <w:color w:val="auto"/>
        </w:rPr>
        <w:t>Section 14.6</w:t>
      </w:r>
      <w:r>
        <w:rPr>
          <w:rFonts w:ascii="Arial" w:cs="Arial" w:eastAsia="Arial" w:hAnsi="Arial"/>
          <w:sz w:val="15"/>
          <w:szCs w:val="15"/>
          <w:color w:val="auto"/>
        </w:rPr>
        <w:t>, to (A) any assignee of or Participant in, or any bona fide prospective assignee of or Participant in, any of its rights or obligations under this Agreement or (B) any actual or</w:t>
      </w:r>
    </w:p>
    <w:p>
      <w:pPr>
        <w:spacing w:after="0" w:line="144" w:lineRule="exact"/>
        <w:rPr>
          <w:rFonts w:ascii="Arial" w:cs="Arial" w:eastAsia="Arial" w:hAnsi="Arial"/>
          <w:sz w:val="15"/>
          <w:szCs w:val="15"/>
          <w:color w:val="auto"/>
        </w:rPr>
      </w:pPr>
    </w:p>
    <w:p>
      <w:pPr>
        <w:ind w:left="5660" w:hanging="86"/>
        <w:spacing w:after="0"/>
        <w:tabs>
          <w:tab w:leader="none" w:pos="5660" w:val="left"/>
        </w:tabs>
        <w:numPr>
          <w:ilvl w:val="2"/>
          <w:numId w:val="161"/>
        </w:numPr>
        <w:rPr>
          <w:rFonts w:ascii="Arial" w:cs="Arial" w:eastAsia="Arial" w:hAnsi="Arial"/>
          <w:sz w:val="15"/>
          <w:szCs w:val="15"/>
          <w:color w:val="auto"/>
        </w:rPr>
      </w:pPr>
      <w:r>
        <w:rPr>
          <w:rFonts w:ascii="Arial" w:cs="Arial" w:eastAsia="Arial" w:hAnsi="Arial"/>
          <w:sz w:val="15"/>
          <w:szCs w:val="15"/>
          <w:color w:val="auto"/>
        </w:rPr>
        <w:t>58 -</w:t>
      </w:r>
    </w:p>
    <w:p>
      <w:pPr>
        <w:sectPr>
          <w:pgSz w:w="11900" w:h="16838" w:orient="portrait"/>
          <w:cols w:equalWidth="0" w:num="1">
            <w:col w:w="11460"/>
          </w:cols>
          <w:pgMar w:left="220" w:top="208" w:right="219" w:bottom="1440" w:gutter="0" w:footer="0" w:header="0"/>
        </w:sectPr>
      </w:pPr>
    </w:p>
    <w:bookmarkStart w:id="116" w:name="page117"/>
    <w:bookmarkEnd w:id="116"/>
    <w:p>
      <w:pPr>
        <w:jc w:val="both"/>
        <w:spacing w:after="0" w:line="243" w:lineRule="auto"/>
        <w:rPr>
          <w:sz w:val="20"/>
          <w:szCs w:val="20"/>
          <w:color w:val="auto"/>
        </w:rPr>
      </w:pPr>
      <w:r>
        <w:rPr>
          <w:rFonts w:ascii="Arial" w:cs="Arial" w:eastAsia="Arial" w:hAnsi="Arial"/>
          <w:sz w:val="15"/>
          <w:szCs w:val="15"/>
          <w:color w:val="auto"/>
        </w:rPr>
        <w:t xml:space="preserve">prospective counterparty (or its advisors) to any swap or derivative transaction relating to any Loan Party and its obligations; (vi) with the consent of the Borrowers’ Representative; or (vii) to the extent such information (A) becomes publicly available other than as a result of a breach of this </w:t>
      </w:r>
      <w:r>
        <w:rPr>
          <w:rFonts w:ascii="Arial" w:cs="Arial" w:eastAsia="Arial" w:hAnsi="Arial"/>
          <w:sz w:val="15"/>
          <w:szCs w:val="15"/>
          <w:u w:val="single" w:color="auto"/>
          <w:color w:val="auto"/>
        </w:rPr>
        <w:t>Section 14.6</w:t>
      </w:r>
      <w:r>
        <w:rPr>
          <w:rFonts w:ascii="Arial" w:cs="Arial" w:eastAsia="Arial" w:hAnsi="Arial"/>
          <w:sz w:val="15"/>
          <w:szCs w:val="15"/>
          <w:color w:val="auto"/>
        </w:rPr>
        <w:t xml:space="preserve"> or (B) becomes available to any Secured Party or any of their respective Affiliates on a nonconfidential basis from a source other than the Loan Parties and other than as a result of a breach of this </w:t>
      </w:r>
      <w:r>
        <w:rPr>
          <w:rFonts w:ascii="Arial" w:cs="Arial" w:eastAsia="Arial" w:hAnsi="Arial"/>
          <w:sz w:val="15"/>
          <w:szCs w:val="15"/>
          <w:u w:val="single" w:color="auto"/>
          <w:color w:val="auto"/>
        </w:rPr>
        <w:t>Section 14.6</w:t>
      </w:r>
      <w:r>
        <w:rPr>
          <w:rFonts w:ascii="Arial" w:cs="Arial" w:eastAsia="Arial" w:hAnsi="Arial"/>
          <w:sz w:val="15"/>
          <w:szCs w:val="15"/>
          <w:color w:val="auto"/>
        </w:rPr>
        <w:t xml:space="preserve">. Any Person required to maintain the confidentiality of information as provided in this </w:t>
      </w:r>
      <w:r>
        <w:rPr>
          <w:rFonts w:ascii="Arial" w:cs="Arial" w:eastAsia="Arial" w:hAnsi="Arial"/>
          <w:sz w:val="15"/>
          <w:szCs w:val="15"/>
          <w:u w:val="single" w:color="auto"/>
          <w:color w:val="auto"/>
        </w:rPr>
        <w:t>Section 14.6</w:t>
      </w:r>
      <w:r>
        <w:rPr>
          <w:rFonts w:ascii="Arial" w:cs="Arial" w:eastAsia="Arial" w:hAnsi="Arial"/>
          <w:sz w:val="15"/>
          <w:szCs w:val="15"/>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41" w:lineRule="exact"/>
        <w:rPr>
          <w:sz w:val="20"/>
          <w:szCs w:val="20"/>
          <w:color w:val="auto"/>
        </w:rPr>
      </w:pPr>
    </w:p>
    <w:p>
      <w:pPr>
        <w:jc w:val="both"/>
        <w:ind w:firstLine="765"/>
        <w:spacing w:after="0" w:line="245" w:lineRule="auto"/>
        <w:rPr>
          <w:sz w:val="20"/>
          <w:szCs w:val="20"/>
          <w:color w:val="auto"/>
        </w:rPr>
      </w:pPr>
      <w:r>
        <w:rPr>
          <w:rFonts w:ascii="Arial" w:cs="Arial" w:eastAsia="Arial" w:hAnsi="Arial"/>
          <w:sz w:val="15"/>
          <w:szCs w:val="15"/>
          <w:b w:val="1"/>
          <w:bCs w:val="1"/>
          <w:color w:val="auto"/>
        </w:rPr>
        <w:t>14.7. R</w:t>
      </w:r>
      <w:r>
        <w:rPr>
          <w:rFonts w:ascii="Arial" w:cs="Arial" w:eastAsia="Arial" w:hAnsi="Arial"/>
          <w:sz w:val="10"/>
          <w:szCs w:val="10"/>
          <w:b w:val="1"/>
          <w:bCs w:val="1"/>
          <w:color w:val="auto"/>
        </w:rPr>
        <w:t>ELIANCE</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Y</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b w:val="1"/>
          <w:bCs w:val="1"/>
          <w:color w:val="auto"/>
        </w:rPr>
        <w:t xml:space="preserve">. </w:t>
      </w:r>
      <w:r>
        <w:rPr>
          <w:rFonts w:ascii="Arial" w:cs="Arial" w:eastAsia="Arial" w:hAnsi="Arial"/>
          <w:sz w:val="15"/>
          <w:szCs w:val="15"/>
          <w:color w:val="auto"/>
        </w:rPr>
        <w:t>Each Agent shall be entitled to rely upon any certificate, notice or other document (including any cable, telegram, telex, or facsimile) reasonably</w:t>
      </w:r>
      <w:r>
        <w:rPr>
          <w:rFonts w:ascii="Arial" w:cs="Arial" w:eastAsia="Arial" w:hAnsi="Arial"/>
          <w:sz w:val="15"/>
          <w:szCs w:val="15"/>
          <w:b w:val="1"/>
          <w:bCs w:val="1"/>
          <w:color w:val="auto"/>
        </w:rPr>
        <w:t xml:space="preserve"> </w:t>
      </w:r>
      <w:r>
        <w:rPr>
          <w:rFonts w:ascii="Arial" w:cs="Arial" w:eastAsia="Arial" w:hAnsi="Arial"/>
          <w:sz w:val="15"/>
          <w:szCs w:val="15"/>
          <w:color w:val="auto"/>
        </w:rPr>
        <w:t>believed by that Agent to be genuine and correct and to have been signed or sent by or on behalf of the proper person or persons, and upon advice and statements of attorneys, accountants and other experts selected by that Agent. As to any matters not expressly provided for in this Agreement, any Loan Document, or in any other document referred to therein, that Agent shall in all events be fully protected in acting, or in refraining from acting, in accordance with the applicable Consent required by this Agreement. Instructions given with the requisite Consent shall be binding on all Term Lenders.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14.8. N</w:t>
      </w:r>
      <w:r>
        <w:rPr>
          <w:rFonts w:ascii="Arial" w:cs="Arial" w:eastAsia="Arial" w:hAnsi="Arial"/>
          <w:sz w:val="10"/>
          <w:szCs w:val="10"/>
          <w:b w:val="1"/>
          <w:bCs w:val="1"/>
          <w:color w:val="auto"/>
        </w:rPr>
        <w:t>ON</w:t>
      </w:r>
      <w:r>
        <w:rPr>
          <w:rFonts w:ascii="Arial" w:cs="Arial" w:eastAsia="Arial" w:hAnsi="Arial"/>
          <w:sz w:val="15"/>
          <w:szCs w:val="15"/>
          <w:b w:val="1"/>
          <w:bCs w:val="1"/>
          <w:color w:val="auto"/>
        </w:rPr>
        <w:t>-R</w:t>
      </w:r>
      <w:r>
        <w:rPr>
          <w:rFonts w:ascii="Arial" w:cs="Arial" w:eastAsia="Arial" w:hAnsi="Arial"/>
          <w:sz w:val="10"/>
          <w:szCs w:val="10"/>
          <w:b w:val="1"/>
          <w:bCs w:val="1"/>
          <w:color w:val="auto"/>
        </w:rPr>
        <w:t>ELIANCE ON</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 AND</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THER</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color w:val="auto"/>
        </w:rPr>
        <w:t>.</w:t>
      </w:r>
    </w:p>
    <w:p>
      <w:pPr>
        <w:spacing w:after="0" w:line="84" w:lineRule="exact"/>
        <w:rPr>
          <w:sz w:val="20"/>
          <w:szCs w:val="20"/>
          <w:color w:val="auto"/>
        </w:rPr>
      </w:pPr>
    </w:p>
    <w:p>
      <w:pPr>
        <w:ind w:left="1740" w:hanging="211"/>
        <w:spacing w:after="0"/>
        <w:tabs>
          <w:tab w:leader="none" w:pos="174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Each Term Lender represents to all other Term Lenders and to the Agents that such Term Lender:</w:t>
      </w:r>
    </w:p>
    <w:p>
      <w:pPr>
        <w:spacing w:after="0" w:line="79" w:lineRule="exact"/>
        <w:rPr>
          <w:rFonts w:ascii="Arial" w:cs="Arial" w:eastAsia="Arial" w:hAnsi="Arial"/>
          <w:sz w:val="15"/>
          <w:szCs w:val="15"/>
          <w:color w:val="auto"/>
        </w:rPr>
      </w:pPr>
    </w:p>
    <w:p>
      <w:pPr>
        <w:jc w:val="both"/>
        <w:ind w:left="760" w:firstLine="1432"/>
        <w:spacing w:after="0" w:line="249" w:lineRule="auto"/>
        <w:tabs>
          <w:tab w:leader="none" w:pos="2391" w:val="left"/>
        </w:tabs>
        <w:numPr>
          <w:ilvl w:val="1"/>
          <w:numId w:val="162"/>
        </w:numPr>
        <w:rPr>
          <w:rFonts w:ascii="Arial" w:cs="Arial" w:eastAsia="Arial" w:hAnsi="Arial"/>
          <w:sz w:val="15"/>
          <w:szCs w:val="15"/>
          <w:color w:val="auto"/>
        </w:rPr>
      </w:pPr>
      <w:r>
        <w:rPr>
          <w:rFonts w:ascii="Arial" w:cs="Arial" w:eastAsia="Arial" w:hAnsi="Arial"/>
          <w:sz w:val="15"/>
          <w:szCs w:val="15"/>
          <w:color w:val="auto"/>
        </w:rPr>
        <w:t>Independently and without reliance on any representation or act by any Agent or by any other Term Lender, and based on such documents and information as that Term Lender has deemed appropriate, has made such Term Lender’s own appraisal of the financial condition and affairs of the Loan Parties and decision to enter into this Agreement.</w:t>
      </w:r>
    </w:p>
    <w:p>
      <w:pPr>
        <w:spacing w:after="0" w:line="58" w:lineRule="exact"/>
        <w:rPr>
          <w:rFonts w:ascii="Arial" w:cs="Arial" w:eastAsia="Arial" w:hAnsi="Arial"/>
          <w:sz w:val="15"/>
          <w:szCs w:val="15"/>
          <w:color w:val="auto"/>
        </w:rPr>
      </w:pPr>
    </w:p>
    <w:p>
      <w:pPr>
        <w:ind w:left="760" w:firstLine="1432"/>
        <w:spacing w:after="0" w:line="259" w:lineRule="auto"/>
        <w:tabs>
          <w:tab w:leader="none" w:pos="2423" w:val="left"/>
        </w:tabs>
        <w:numPr>
          <w:ilvl w:val="1"/>
          <w:numId w:val="162"/>
        </w:numPr>
        <w:rPr>
          <w:rFonts w:ascii="Arial" w:cs="Arial" w:eastAsia="Arial" w:hAnsi="Arial"/>
          <w:sz w:val="15"/>
          <w:szCs w:val="15"/>
          <w:color w:val="auto"/>
        </w:rPr>
      </w:pPr>
      <w:r>
        <w:rPr>
          <w:rFonts w:ascii="Arial" w:cs="Arial" w:eastAsia="Arial" w:hAnsi="Arial"/>
          <w:sz w:val="15"/>
          <w:szCs w:val="15"/>
          <w:color w:val="auto"/>
        </w:rPr>
        <w:t>Has relied upon that Term Lender’s review of the Loan Documents by that Term Lender and by counsel to that Term Lender as that Term Lender deemed appropriate under the circumstances.</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45" w:val="left"/>
        </w:tabs>
        <w:numPr>
          <w:ilvl w:val="0"/>
          <w:numId w:val="162"/>
        </w:numPr>
        <w:rPr>
          <w:rFonts w:ascii="Arial" w:cs="Arial" w:eastAsia="Arial" w:hAnsi="Arial"/>
          <w:sz w:val="15"/>
          <w:szCs w:val="15"/>
          <w:color w:val="auto"/>
        </w:rPr>
      </w:pPr>
      <w:r>
        <w:rPr>
          <w:rFonts w:ascii="Arial" w:cs="Arial" w:eastAsia="Arial" w:hAnsi="Arial"/>
          <w:sz w:val="15"/>
          <w:szCs w:val="15"/>
          <w:color w:val="auto"/>
        </w:rPr>
        <w:t>Each Term Lender agrees that such Term Lender, independently and without reliance upon any Agent or any other Term Lender, and based upon such documents and information as such Term Lender shall deem appropriate at the time, will continue to make such Term Lender’s own appraisals of the financial condition and affairs of the Loan Parties when determining whether to take or not to take any discretionary action under this Agreement.</w:t>
      </w:r>
    </w:p>
    <w:p>
      <w:pPr>
        <w:spacing w:after="0" w:line="58" w:lineRule="exact"/>
        <w:rPr>
          <w:rFonts w:ascii="Arial" w:cs="Arial" w:eastAsia="Arial" w:hAnsi="Arial"/>
          <w:sz w:val="15"/>
          <w:szCs w:val="15"/>
          <w:color w:val="auto"/>
        </w:rPr>
      </w:pPr>
    </w:p>
    <w:p>
      <w:pPr>
        <w:ind w:left="1740" w:hanging="211"/>
        <w:spacing w:after="0"/>
        <w:tabs>
          <w:tab w:leader="none" w:pos="17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Neither Agent in the discharge of that Agent’s duties hereunder, shall be required to make inquiry of, or to inspect the properties or books of, any Person.</w:t>
      </w:r>
    </w:p>
    <w:p>
      <w:pPr>
        <w:spacing w:after="0" w:line="91" w:lineRule="exact"/>
        <w:rPr>
          <w:rFonts w:ascii="Arial" w:cs="Arial" w:eastAsia="Arial" w:hAnsi="Arial"/>
          <w:sz w:val="14"/>
          <w:szCs w:val="14"/>
          <w:color w:val="auto"/>
        </w:rPr>
      </w:pPr>
    </w:p>
    <w:p>
      <w:pPr>
        <w:jc w:val="both"/>
        <w:ind w:firstLine="1529"/>
        <w:spacing w:after="0" w:line="249" w:lineRule="auto"/>
        <w:tabs>
          <w:tab w:leader="none" w:pos="1745" w:val="left"/>
        </w:tabs>
        <w:numPr>
          <w:ilvl w:val="0"/>
          <w:numId w:val="162"/>
        </w:numPr>
        <w:rPr>
          <w:rFonts w:ascii="Arial" w:cs="Arial" w:eastAsia="Arial" w:hAnsi="Arial"/>
          <w:sz w:val="15"/>
          <w:szCs w:val="15"/>
          <w:color w:val="auto"/>
        </w:rPr>
      </w:pPr>
      <w:r>
        <w:rPr>
          <w:rFonts w:ascii="Arial" w:cs="Arial" w:eastAsia="Arial" w:hAnsi="Arial"/>
          <w:sz w:val="15"/>
          <w:szCs w:val="15"/>
          <w:color w:val="auto"/>
        </w:rPr>
        <w:t xml:space="preserve">Except for notices, reports, and other documents and information expressly required to be furnished to the Term Lenders by the Administrative Agent pursuant to </w:t>
      </w:r>
      <w:r>
        <w:rPr>
          <w:rFonts w:ascii="Arial" w:cs="Arial" w:eastAsia="Arial" w:hAnsi="Arial"/>
          <w:sz w:val="15"/>
          <w:szCs w:val="15"/>
          <w:u w:val="single" w:color="auto"/>
          <w:color w:val="auto"/>
        </w:rPr>
        <w:t>Section 14.5</w:t>
      </w:r>
      <w:r>
        <w:rPr>
          <w:rFonts w:ascii="Arial" w:cs="Arial" w:eastAsia="Arial" w:hAnsi="Arial"/>
          <w:sz w:val="15"/>
          <w:szCs w:val="15"/>
          <w:color w:val="auto"/>
        </w:rPr>
        <w:t>, the Agents shall not have any affirmative duty or responsibility to provide any Term Lender with any credit or other information concerning any Person, which information may come into the possession of Agents or any Affiliate of an Agent.</w:t>
      </w:r>
    </w:p>
    <w:p>
      <w:pPr>
        <w:spacing w:after="0" w:line="135" w:lineRule="exact"/>
        <w:rPr>
          <w:sz w:val="20"/>
          <w:szCs w:val="20"/>
          <w:color w:val="auto"/>
        </w:rPr>
      </w:pPr>
    </w:p>
    <w:p>
      <w:pPr>
        <w:jc w:val="both"/>
        <w:ind w:firstLine="765"/>
        <w:spacing w:after="0" w:line="263" w:lineRule="auto"/>
        <w:rPr>
          <w:sz w:val="20"/>
          <w:szCs w:val="20"/>
          <w:color w:val="auto"/>
        </w:rPr>
      </w:pPr>
      <w:r>
        <w:rPr>
          <w:rFonts w:ascii="Arial" w:cs="Arial" w:eastAsia="Arial" w:hAnsi="Arial"/>
          <w:sz w:val="14"/>
          <w:szCs w:val="14"/>
          <w:b w:val="1"/>
          <w:bCs w:val="1"/>
          <w:color w:val="auto"/>
        </w:rPr>
        <w:t>14.9. I</w:t>
      </w:r>
      <w:r>
        <w:rPr>
          <w:rFonts w:ascii="Arial" w:cs="Arial" w:eastAsia="Arial" w:hAnsi="Arial"/>
          <w:sz w:val="9"/>
          <w:szCs w:val="9"/>
          <w:b w:val="1"/>
          <w:bCs w:val="1"/>
          <w:color w:val="auto"/>
        </w:rPr>
        <w:t>NDEMNIFICATION</w:t>
      </w:r>
      <w:r>
        <w:rPr>
          <w:rFonts w:ascii="Arial" w:cs="Arial" w:eastAsia="Arial" w:hAnsi="Arial"/>
          <w:sz w:val="14"/>
          <w:szCs w:val="14"/>
          <w:color w:val="auto"/>
        </w:rPr>
        <w:t>. Without limiting the liabilities of the Loan Parties under any this or any of the other Loan Documents, each Term Lender shall indemnify each Agent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extent not reimbursed by the Loan Parties), Pro-Rata, for any and all liabilities, obligations, losses, damages, penalties, actions, judgments, suits, costs, expenses or disbursements of any kind or nature whatsoever (including reasonable attorneys’ fees and expenses and other out-of-pocket expenditures) which may at any time be imposed on, incurred by, or asserted against that Agent and in any way relating to or arising out of this Agreement or any other Loan Document or any documents contemplated by or referred to therein or the transactions contemplated thereby or the enforcement of any of terms hereof or thereof or of any such other documents;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no Term Lender shall be liable for any of the foregoing to the extent that any of the foregoing arises from any action taken or omitted to be taken by the subject Agent as to which a final judicial determination has been or is made (in a proceeding in which the subject Agent has had an opportunity to be heard) that the subject Agent had acted in a grossly negligent manner, in actual bad faith, or in willful misconduct.</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14.10. R</w:t>
      </w:r>
      <w:r>
        <w:rPr>
          <w:rFonts w:ascii="Arial" w:cs="Arial" w:eastAsia="Arial" w:hAnsi="Arial"/>
          <w:sz w:val="10"/>
          <w:szCs w:val="10"/>
          <w:b w:val="1"/>
          <w:bCs w:val="1"/>
          <w:color w:val="auto"/>
        </w:rPr>
        <w:t>ESIGNATION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39" w:val="left"/>
        </w:tabs>
        <w:numPr>
          <w:ilvl w:val="0"/>
          <w:numId w:val="163"/>
        </w:numPr>
        <w:rPr>
          <w:rFonts w:ascii="Arial" w:cs="Arial" w:eastAsia="Arial" w:hAnsi="Arial"/>
          <w:sz w:val="15"/>
          <w:szCs w:val="15"/>
          <w:color w:val="auto"/>
        </w:rPr>
      </w:pPr>
      <w:r>
        <w:rPr>
          <w:rFonts w:ascii="Arial" w:cs="Arial" w:eastAsia="Arial" w:hAnsi="Arial"/>
          <w:sz w:val="15"/>
          <w:szCs w:val="15"/>
          <w:color w:val="auto"/>
        </w:rPr>
        <w:t>An Agent may resign at any time by giving 60 days’ prior written notice thereof to the Term Lenders and to the other Agent. Upon receipt of any such notice of resignation, the Majority Term Lenders shall have the right to</w:t>
      </w:r>
    </w:p>
    <w:p>
      <w:pPr>
        <w:spacing w:after="0" w:line="131" w:lineRule="exact"/>
        <w:rPr>
          <w:rFonts w:ascii="Arial" w:cs="Arial" w:eastAsia="Arial" w:hAnsi="Arial"/>
          <w:sz w:val="15"/>
          <w:szCs w:val="15"/>
          <w:color w:val="auto"/>
        </w:rPr>
      </w:pPr>
    </w:p>
    <w:p>
      <w:pPr>
        <w:ind w:left="5660" w:hanging="86"/>
        <w:spacing w:after="0"/>
        <w:tabs>
          <w:tab w:leader="none" w:pos="5660" w:val="left"/>
        </w:tabs>
        <w:numPr>
          <w:ilvl w:val="1"/>
          <w:numId w:val="163"/>
        </w:numPr>
        <w:rPr>
          <w:rFonts w:ascii="Arial" w:cs="Arial" w:eastAsia="Arial" w:hAnsi="Arial"/>
          <w:sz w:val="15"/>
          <w:szCs w:val="15"/>
          <w:color w:val="auto"/>
        </w:rPr>
      </w:pPr>
      <w:r>
        <w:rPr>
          <w:rFonts w:ascii="Arial" w:cs="Arial" w:eastAsia="Arial" w:hAnsi="Arial"/>
          <w:sz w:val="15"/>
          <w:szCs w:val="15"/>
          <w:color w:val="auto"/>
        </w:rPr>
        <w:t>59 -</w:t>
      </w:r>
    </w:p>
    <w:p>
      <w:pPr>
        <w:sectPr>
          <w:pgSz w:w="11900" w:h="16838" w:orient="portrait"/>
          <w:cols w:equalWidth="0" w:num="1">
            <w:col w:w="11460"/>
          </w:cols>
          <w:pgMar w:left="220" w:top="208" w:right="219" w:bottom="1440" w:gutter="0" w:footer="0" w:header="0"/>
        </w:sectPr>
      </w:pPr>
    </w:p>
    <w:bookmarkStart w:id="117" w:name="page118"/>
    <w:bookmarkEnd w:id="117"/>
    <w:p>
      <w:pPr>
        <w:jc w:val="both"/>
        <w:spacing w:after="0" w:line="265" w:lineRule="auto"/>
        <w:rPr>
          <w:sz w:val="20"/>
          <w:szCs w:val="20"/>
          <w:color w:val="auto"/>
        </w:rPr>
      </w:pPr>
      <w:r>
        <w:rPr>
          <w:rFonts w:ascii="Arial" w:cs="Arial" w:eastAsia="Arial" w:hAnsi="Arial"/>
          <w:sz w:val="14"/>
          <w:szCs w:val="14"/>
          <w:color w:val="auto"/>
        </w:rPr>
        <w:t>appoint a successor to such Agent (and if no Event of Default has occurred, with the consent of the Borrowers’ Representative, not to be unreasonably withheld and, in any event, deemed given by the Borrowers’ Representative if no written objection is provided by the Borrowers’ Representative to the (resigning) Agent within seven (7) Business Days’ notice of such proposed appointment). If a successor Agent shall not have been so appointed and accepted such appointment within 30 days after the giving of notice by the resigning Agent, then the resigning Agent may appoint a successor Agent, which shall be a financial institution having a combined capital and surplus in excess of $500,000,000.00. The consent of the Borrowers’ Representative otherwise required by this Section 14.10(a) shall not be required if an Event of Default has occurred.</w:t>
      </w:r>
    </w:p>
    <w:p>
      <w:pPr>
        <w:spacing w:after="0" w:line="49" w:lineRule="exact"/>
        <w:rPr>
          <w:sz w:val="20"/>
          <w:szCs w:val="20"/>
          <w:color w:val="auto"/>
        </w:rPr>
      </w:pPr>
    </w:p>
    <w:p>
      <w:pPr>
        <w:jc w:val="both"/>
        <w:ind w:firstLine="1529"/>
        <w:spacing w:after="0" w:line="268" w:lineRule="auto"/>
        <w:tabs>
          <w:tab w:leader="none" w:pos="1744" w:val="left"/>
        </w:tabs>
        <w:numPr>
          <w:ilvl w:val="0"/>
          <w:numId w:val="164"/>
        </w:numPr>
        <w:rPr>
          <w:rFonts w:ascii="Arial" w:cs="Arial" w:eastAsia="Arial" w:hAnsi="Arial"/>
          <w:sz w:val="14"/>
          <w:szCs w:val="14"/>
          <w:color w:val="auto"/>
        </w:rPr>
      </w:pPr>
      <w:r>
        <w:rPr>
          <w:rFonts w:ascii="Arial" w:cs="Arial" w:eastAsia="Arial" w:hAnsi="Arial"/>
          <w:sz w:val="14"/>
          <w:szCs w:val="14"/>
          <w:color w:val="auto"/>
        </w:rPr>
        <w:t>Upon the acceptance of any appointment as an Agent hereunder by a successor Agent, such successor shall thereupon succeed to, and become vested with, all the rights, powers, privileges, and duties of the (resigning) Agent so replaced, and the (resigning) Agent shall be discharged from the (resigning) Agent’s duties and obligations hereunder, other than on account of any responsibility for any action taken or omitted to be taken by the (resigning) Agent as to which a final judicial determination has been or is made (in a proceeding in which the (resigning) Person has had an opportunity to be heard) that such Person had acted in a grossly negligent manner or in bad faith.</w:t>
      </w:r>
    </w:p>
    <w:p>
      <w:pPr>
        <w:spacing w:after="0" w:line="47" w:lineRule="exact"/>
        <w:rPr>
          <w:rFonts w:ascii="Arial" w:cs="Arial" w:eastAsia="Arial" w:hAnsi="Arial"/>
          <w:sz w:val="14"/>
          <w:szCs w:val="14"/>
          <w:color w:val="auto"/>
        </w:rPr>
      </w:pPr>
    </w:p>
    <w:p>
      <w:pPr>
        <w:ind w:firstLine="1529"/>
        <w:spacing w:after="0" w:line="259" w:lineRule="auto"/>
        <w:tabs>
          <w:tab w:leader="none" w:pos="1733"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After any retiring Agent’s resignation, the provisions of this Agreement and of all other Loan Documents shall continue in effect for the retiring Person’s benefit in respect of any actions taken or omitted to be taken by it while it was acting as an Agent.</w:t>
      </w:r>
    </w:p>
    <w:p>
      <w:pPr>
        <w:spacing w:after="0" w:line="128" w:lineRule="exact"/>
        <w:rPr>
          <w:sz w:val="20"/>
          <w:szCs w:val="20"/>
          <w:color w:val="auto"/>
        </w:rPr>
      </w:pPr>
    </w:p>
    <w:p>
      <w:pPr>
        <w:jc w:val="both"/>
        <w:ind w:firstLine="765"/>
        <w:spacing w:after="0" w:line="283" w:lineRule="auto"/>
        <w:rPr>
          <w:sz w:val="20"/>
          <w:szCs w:val="20"/>
          <w:color w:val="auto"/>
        </w:rPr>
      </w:pPr>
      <w:r>
        <w:rPr>
          <w:rFonts w:ascii="Arial" w:cs="Arial" w:eastAsia="Arial" w:hAnsi="Arial"/>
          <w:sz w:val="13"/>
          <w:szCs w:val="13"/>
          <w:b w:val="1"/>
          <w:bCs w:val="1"/>
          <w:color w:val="auto"/>
        </w:rPr>
        <w:t>14.11. I</w:t>
      </w:r>
      <w:r>
        <w:rPr>
          <w:rFonts w:ascii="Arial" w:cs="Arial" w:eastAsia="Arial" w:hAnsi="Arial"/>
          <w:sz w:val="9"/>
          <w:szCs w:val="9"/>
          <w:b w:val="1"/>
          <w:bCs w:val="1"/>
          <w:color w:val="auto"/>
        </w:rPr>
        <w:t>NTERCREDITOR</w:t>
      </w:r>
      <w:r>
        <w:rPr>
          <w:rFonts w:ascii="Arial" w:cs="Arial" w:eastAsia="Arial" w:hAnsi="Arial"/>
          <w:sz w:val="13"/>
          <w:szCs w:val="13"/>
          <w:b w:val="1"/>
          <w:bCs w:val="1"/>
          <w:color w:val="auto"/>
        </w:rPr>
        <w:t xml:space="preserve"> A</w:t>
      </w:r>
      <w:r>
        <w:rPr>
          <w:rFonts w:ascii="Arial" w:cs="Arial" w:eastAsia="Arial" w:hAnsi="Arial"/>
          <w:sz w:val="9"/>
          <w:szCs w:val="9"/>
          <w:b w:val="1"/>
          <w:bCs w:val="1"/>
          <w:color w:val="auto"/>
        </w:rPr>
        <w:t>GREEMENT</w:t>
      </w:r>
      <w:r>
        <w:rPr>
          <w:rFonts w:ascii="Arial" w:cs="Arial" w:eastAsia="Arial" w:hAnsi="Arial"/>
          <w:sz w:val="13"/>
          <w:szCs w:val="13"/>
          <w:color w:val="auto"/>
        </w:rPr>
        <w:t>. The Administrative Agent is authorized to enter into the Intercreditor Agreement, and the parties hereto acknowledge that the Intercreditor</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is binding upon them. Each Term Lender (a) hereby consents to the subordination of the Encumbrances on the Collateral other than the Term Loan Priority Collateral securing the Liabilities on the terms set forth in the Intercreditor Agreement, (b) hereby agrees that it will be bound by and will take no actions contrary to the provisions of the Intercreditor Agreement and</w:t>
      </w:r>
    </w:p>
    <w:p>
      <w:pPr>
        <w:spacing w:after="0" w:line="1" w:lineRule="exact"/>
        <w:rPr>
          <w:sz w:val="20"/>
          <w:szCs w:val="20"/>
          <w:color w:val="auto"/>
        </w:rPr>
      </w:pPr>
    </w:p>
    <w:p>
      <w:pPr>
        <w:jc w:val="both"/>
        <w:ind w:firstLine="1"/>
        <w:spacing w:after="0"/>
        <w:tabs>
          <w:tab w:leader="none" w:pos="202" w:val="left"/>
        </w:tabs>
        <w:numPr>
          <w:ilvl w:val="0"/>
          <w:numId w:val="165"/>
        </w:numPr>
        <w:rPr>
          <w:rFonts w:ascii="Arial" w:cs="Arial" w:eastAsia="Arial" w:hAnsi="Arial"/>
          <w:sz w:val="15"/>
          <w:szCs w:val="15"/>
          <w:color w:val="auto"/>
        </w:rPr>
      </w:pPr>
      <w:r>
        <w:rPr>
          <w:rFonts w:ascii="Arial" w:cs="Arial" w:eastAsia="Arial" w:hAnsi="Arial"/>
          <w:sz w:val="15"/>
          <w:szCs w:val="15"/>
          <w:color w:val="auto"/>
        </w:rPr>
        <w:t>hereby authorizes and instructs the Administrative Agent to enter into the Intercreditor Agreement and to subject the Encumbrances on the Collateral securing the Liabilities to the provisions thereof. The foregoing provisions are intended as an inducement to the Term Lenders to extend credit to the Borrowers and such Term Lenders are intended third-party beneficiaries of such provisions and the provisions of the Intercreditor Agreement.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15 - A</w:t>
      </w:r>
      <w:r>
        <w:rPr>
          <w:rFonts w:ascii="Arial" w:cs="Arial" w:eastAsia="Arial" w:hAnsi="Arial"/>
          <w:sz w:val="10"/>
          <w:szCs w:val="10"/>
          <w:b w:val="1"/>
          <w:bCs w:val="1"/>
          <w:color w:val="auto"/>
        </w:rPr>
        <w:t>CTION</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Y</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ONSENTS</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MENDMENTS</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AIVERS</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15.1. A</w:t>
      </w:r>
      <w:r>
        <w:rPr>
          <w:rFonts w:ascii="Arial" w:cs="Arial" w:eastAsia="Arial" w:hAnsi="Arial"/>
          <w:sz w:val="10"/>
          <w:szCs w:val="10"/>
          <w:b w:val="1"/>
          <w:bCs w:val="1"/>
          <w:color w:val="auto"/>
        </w:rPr>
        <w:t>DMINISTRATION OF</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b w:val="1"/>
          <w:bCs w:val="1"/>
          <w:color w:val="auto"/>
        </w:rPr>
        <w:t>.</w:t>
      </w:r>
    </w:p>
    <w:p>
      <w:pPr>
        <w:spacing w:after="0" w:line="84" w:lineRule="exact"/>
        <w:rPr>
          <w:sz w:val="20"/>
          <w:szCs w:val="20"/>
          <w:color w:val="auto"/>
        </w:rPr>
      </w:pPr>
    </w:p>
    <w:p>
      <w:pPr>
        <w:jc w:val="both"/>
        <w:ind w:firstLine="1529"/>
        <w:spacing w:after="0" w:line="275" w:lineRule="auto"/>
        <w:tabs>
          <w:tab w:leader="none" w:pos="1758" w:val="left"/>
        </w:tabs>
        <w:numPr>
          <w:ilvl w:val="0"/>
          <w:numId w:val="166"/>
        </w:numPr>
        <w:rPr>
          <w:rFonts w:ascii="Arial" w:cs="Arial" w:eastAsia="Arial" w:hAnsi="Arial"/>
          <w:sz w:val="14"/>
          <w:szCs w:val="14"/>
          <w:color w:val="auto"/>
        </w:rPr>
      </w:pPr>
      <w:r>
        <w:rPr>
          <w:rFonts w:ascii="Arial" w:cs="Arial" w:eastAsia="Arial" w:hAnsi="Arial"/>
          <w:sz w:val="14"/>
          <w:szCs w:val="14"/>
          <w:color w:val="auto"/>
        </w:rPr>
        <w:t xml:space="preserve">Except as otherwise specifically provided in this Agreement, each Agent may take any action with respect to the Term Facility contemplated by the Loan Documents as that Agent determines to be appropriate within their respective areas of responsibility and authority, as set forth in </w:t>
      </w:r>
      <w:r>
        <w:rPr>
          <w:rFonts w:ascii="Arial" w:cs="Arial" w:eastAsia="Arial" w:hAnsi="Arial"/>
          <w:sz w:val="14"/>
          <w:szCs w:val="14"/>
          <w:u w:val="single" w:color="auto"/>
          <w:color w:val="auto"/>
        </w:rPr>
        <w:t>Sections 14.2(a)</w:t>
      </w:r>
      <w:r>
        <w:rPr>
          <w:rFonts w:ascii="Arial" w:cs="Arial" w:eastAsia="Arial" w:hAnsi="Arial"/>
          <w:sz w:val="14"/>
          <w:szCs w:val="14"/>
          <w:color w:val="auto"/>
        </w:rPr>
        <w:t xml:space="preserve"> and 14.2(b);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neither Agent is under any affirmative obligation to take any action which it is not required by this Agreement or the Loan Documents specifically to so take.</w:t>
      </w:r>
    </w:p>
    <w:p>
      <w:pPr>
        <w:spacing w:after="0" w:line="41" w:lineRule="exact"/>
        <w:rPr>
          <w:rFonts w:ascii="Arial" w:cs="Arial" w:eastAsia="Arial" w:hAnsi="Arial"/>
          <w:sz w:val="14"/>
          <w:szCs w:val="14"/>
          <w:color w:val="auto"/>
        </w:rPr>
      </w:pPr>
    </w:p>
    <w:p>
      <w:pPr>
        <w:jc w:val="both"/>
        <w:ind w:firstLine="1529"/>
        <w:spacing w:after="0" w:line="249" w:lineRule="auto"/>
        <w:tabs>
          <w:tab w:leader="none" w:pos="1744" w:val="left"/>
        </w:tabs>
        <w:numPr>
          <w:ilvl w:val="0"/>
          <w:numId w:val="166"/>
        </w:numPr>
        <w:rPr>
          <w:rFonts w:ascii="Arial" w:cs="Arial" w:eastAsia="Arial" w:hAnsi="Arial"/>
          <w:sz w:val="15"/>
          <w:szCs w:val="15"/>
          <w:color w:val="auto"/>
        </w:rPr>
      </w:pPr>
      <w:r>
        <w:rPr>
          <w:rFonts w:ascii="Arial" w:cs="Arial" w:eastAsia="Arial" w:hAnsi="Arial"/>
          <w:sz w:val="15"/>
          <w:szCs w:val="15"/>
          <w:color w:val="auto"/>
        </w:rPr>
        <w:t xml:space="preserve">Except as specifically provided in </w:t>
      </w:r>
      <w:r>
        <w:rPr>
          <w:rFonts w:ascii="Arial" w:cs="Arial" w:eastAsia="Arial" w:hAnsi="Arial"/>
          <w:sz w:val="15"/>
          <w:szCs w:val="15"/>
          <w:u w:val="single" w:color="auto"/>
          <w:color w:val="auto"/>
        </w:rPr>
        <w:t>Sections 15.2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15.3</w:t>
      </w:r>
      <w:r>
        <w:rPr>
          <w:rFonts w:ascii="Arial" w:cs="Arial" w:eastAsia="Arial" w:hAnsi="Arial"/>
          <w:sz w:val="15"/>
          <w:szCs w:val="15"/>
          <w:color w:val="auto"/>
        </w:rPr>
        <w:t xml:space="preserve"> of this Agreement, whenever a Loan Document or this Agreement provides that action may be taken or omitted to be taken in an Agent’s discretion or reasonable discretion, as applicable, that Agent shall have the sole right to take, or refrain from taking, such action without, and notwithstanding, any vote of the Term Lenders.</w:t>
      </w:r>
    </w:p>
    <w:p>
      <w:pPr>
        <w:spacing w:after="0" w:line="58" w:lineRule="exact"/>
        <w:rPr>
          <w:rFonts w:ascii="Arial" w:cs="Arial" w:eastAsia="Arial" w:hAnsi="Arial"/>
          <w:sz w:val="15"/>
          <w:szCs w:val="15"/>
          <w:color w:val="auto"/>
        </w:rPr>
      </w:pPr>
    </w:p>
    <w:p>
      <w:pPr>
        <w:ind w:firstLine="1529"/>
        <w:spacing w:after="0" w:line="259" w:lineRule="auto"/>
        <w:tabs>
          <w:tab w:leader="none" w:pos="1734" w:val="left"/>
        </w:tabs>
        <w:numPr>
          <w:ilvl w:val="0"/>
          <w:numId w:val="166"/>
        </w:numPr>
        <w:rPr>
          <w:rFonts w:ascii="Arial" w:cs="Arial" w:eastAsia="Arial" w:hAnsi="Arial"/>
          <w:sz w:val="15"/>
          <w:szCs w:val="15"/>
          <w:color w:val="auto"/>
        </w:rPr>
      </w:pPr>
      <w:r>
        <w:rPr>
          <w:rFonts w:ascii="Arial" w:cs="Arial" w:eastAsia="Arial" w:hAnsi="Arial"/>
          <w:sz w:val="15"/>
          <w:szCs w:val="15"/>
          <w:color w:val="auto"/>
        </w:rPr>
        <w:t xml:space="preserve">The rights granted to the Term Lenders in </w:t>
      </w:r>
      <w:r>
        <w:rPr>
          <w:rFonts w:ascii="Arial" w:cs="Arial" w:eastAsia="Arial" w:hAnsi="Arial"/>
          <w:sz w:val="15"/>
          <w:szCs w:val="15"/>
          <w:u w:val="single" w:color="auto"/>
          <w:color w:val="auto"/>
        </w:rPr>
        <w:t>Sections 15.2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15.3</w:t>
      </w:r>
      <w:r>
        <w:rPr>
          <w:rFonts w:ascii="Arial" w:cs="Arial" w:eastAsia="Arial" w:hAnsi="Arial"/>
          <w:sz w:val="15"/>
          <w:szCs w:val="15"/>
          <w:color w:val="auto"/>
        </w:rPr>
        <w:t xml:space="preserve"> shall not otherwise limit or impair any Agent’s exercise of its discretion or reasonable discretion, as applicable,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5657215</wp:posOffset>
            </wp:positionH>
            <wp:positionV relativeFrom="paragraph">
              <wp:posOffset>-784860</wp:posOffset>
            </wp:positionV>
            <wp:extent cx="29718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7180" cy="635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-784860</wp:posOffset>
            </wp:positionV>
            <wp:extent cx="2984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845" cy="6350"/>
                    </a:xfrm>
                    <a:prstGeom prst="rect">
                      <a:avLst/>
                    </a:prstGeom>
                    <a:noFill/>
                  </pic:spPr>
                </pic:pic>
              </a:graphicData>
            </a:graphic>
          </wp:anchor>
        </w:drawing>
      </w:r>
    </w:p>
    <w:p>
      <w:pPr>
        <w:spacing w:after="0" w:line="108"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15.2. A</w:t>
      </w:r>
      <w:r>
        <w:rPr>
          <w:rFonts w:ascii="Arial" w:cs="Arial" w:eastAsia="Arial" w:hAnsi="Arial"/>
          <w:sz w:val="10"/>
          <w:szCs w:val="10"/>
          <w:b w:val="1"/>
          <w:bCs w:val="1"/>
          <w:color w:val="auto"/>
        </w:rPr>
        <w:t>CTIONS</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EQUIRING OR</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N</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IRECTION OF</w:t>
      </w:r>
      <w:r>
        <w:rPr>
          <w:rFonts w:ascii="Arial" w:cs="Arial" w:eastAsia="Arial" w:hAnsi="Arial"/>
          <w:sz w:val="15"/>
          <w:szCs w:val="15"/>
          <w:b w:val="1"/>
          <w:bCs w:val="1"/>
          <w:color w:val="auto"/>
        </w:rPr>
        <w:t xml:space="preserve"> M</w:t>
      </w:r>
      <w:r>
        <w:rPr>
          <w:rFonts w:ascii="Arial" w:cs="Arial" w:eastAsia="Arial" w:hAnsi="Arial"/>
          <w:sz w:val="10"/>
          <w:szCs w:val="10"/>
          <w:b w:val="1"/>
          <w:bCs w:val="1"/>
          <w:color w:val="auto"/>
        </w:rPr>
        <w:t>AJORITY</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provided in this Agreement, the Consent or direction of the Majority Term Lenders is</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for any amendment, waiver, or modification of any Loan Document. Without limiting the foregoing, if an Event of Default has occurred and not been duly waived, the Majority Term Lenders may:</w:t>
      </w:r>
    </w:p>
    <w:p>
      <w:pPr>
        <w:spacing w:after="0" w:line="58" w:lineRule="exact"/>
        <w:rPr>
          <w:sz w:val="20"/>
          <w:szCs w:val="20"/>
          <w:color w:val="auto"/>
        </w:rPr>
      </w:pPr>
    </w:p>
    <w:p>
      <w:pPr>
        <w:ind w:left="1740" w:hanging="211"/>
        <w:spacing w:after="0"/>
        <w:tabs>
          <w:tab w:leader="none" w:pos="174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Give the Administrative Agent an Acceleration Notice in accordance with </w:t>
      </w:r>
      <w:r>
        <w:rPr>
          <w:rFonts w:ascii="Arial" w:cs="Arial" w:eastAsia="Arial" w:hAnsi="Arial"/>
          <w:sz w:val="15"/>
          <w:szCs w:val="15"/>
          <w:u w:val="single" w:color="auto"/>
          <w:color w:val="auto"/>
        </w:rPr>
        <w:t>Section 13.1(b)</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Direct the Administrative Agent to increase the rate of interest to the default rate of interest as provided in </w:t>
      </w:r>
      <w:r>
        <w:rPr>
          <w:rFonts w:ascii="Arial" w:cs="Arial" w:eastAsia="Arial" w:hAnsi="Arial"/>
          <w:sz w:val="15"/>
          <w:szCs w:val="15"/>
          <w:u w:val="single" w:color="auto"/>
          <w:color w:val="auto"/>
        </w:rPr>
        <w:t>Section 2.12(c)</w:t>
      </w:r>
      <w:r>
        <w:rPr>
          <w:rFonts w:ascii="Arial" w:cs="Arial" w:eastAsia="Arial" w:hAnsi="Arial"/>
          <w:sz w:val="15"/>
          <w:szCs w:val="15"/>
          <w:color w:val="auto"/>
        </w:rPr>
        <w:t xml:space="preserve"> of this Agreement.</w:t>
      </w:r>
    </w:p>
    <w:p>
      <w:pPr>
        <w:spacing w:after="0" w:line="160" w:lineRule="exact"/>
        <w:rPr>
          <w:rFonts w:ascii="Arial" w:cs="Arial" w:eastAsia="Arial" w:hAnsi="Arial"/>
          <w:sz w:val="15"/>
          <w:szCs w:val="15"/>
          <w:color w:val="auto"/>
        </w:rPr>
      </w:pPr>
    </w:p>
    <w:p>
      <w:pPr>
        <w:ind w:left="5660" w:hanging="86"/>
        <w:spacing w:after="0"/>
        <w:tabs>
          <w:tab w:leader="none" w:pos="5660" w:val="left"/>
        </w:tabs>
        <w:numPr>
          <w:ilvl w:val="1"/>
          <w:numId w:val="167"/>
        </w:numPr>
        <w:rPr>
          <w:rFonts w:ascii="Arial" w:cs="Arial" w:eastAsia="Arial" w:hAnsi="Arial"/>
          <w:sz w:val="15"/>
          <w:szCs w:val="15"/>
          <w:color w:val="auto"/>
        </w:rPr>
      </w:pPr>
      <w:r>
        <w:rPr>
          <w:rFonts w:ascii="Arial" w:cs="Arial" w:eastAsia="Arial" w:hAnsi="Arial"/>
          <w:sz w:val="15"/>
          <w:szCs w:val="15"/>
          <w:color w:val="auto"/>
        </w:rPr>
        <w:t>60 -</w:t>
      </w:r>
    </w:p>
    <w:p>
      <w:pPr>
        <w:sectPr>
          <w:pgSz w:w="11900" w:h="16838" w:orient="portrait"/>
          <w:cols w:equalWidth="0" w:num="1">
            <w:col w:w="11460"/>
          </w:cols>
          <w:pgMar w:left="220" w:top="208" w:right="219" w:bottom="1440" w:gutter="0" w:footer="0" w:header="0"/>
        </w:sectPr>
      </w:pPr>
    </w:p>
    <w:bookmarkStart w:id="118" w:name="page119"/>
    <w:bookmarkEnd w:id="118"/>
    <w:p>
      <w:pPr>
        <w:ind w:left="760"/>
        <w:spacing w:after="0"/>
        <w:rPr>
          <w:sz w:val="20"/>
          <w:szCs w:val="20"/>
          <w:color w:val="auto"/>
        </w:rPr>
      </w:pPr>
      <w:r>
        <w:rPr>
          <w:rFonts w:ascii="Arial" w:cs="Arial" w:eastAsia="Arial" w:hAnsi="Arial"/>
          <w:sz w:val="14"/>
          <w:szCs w:val="14"/>
          <w:b w:val="1"/>
          <w:bCs w:val="1"/>
          <w:color w:val="auto"/>
        </w:rPr>
        <w:t>15.3. A</w:t>
      </w:r>
      <w:r>
        <w:rPr>
          <w:rFonts w:ascii="Arial" w:cs="Arial" w:eastAsia="Arial" w:hAnsi="Arial"/>
          <w:sz w:val="9"/>
          <w:szCs w:val="9"/>
          <w:b w:val="1"/>
          <w:bCs w:val="1"/>
          <w:color w:val="auto"/>
        </w:rPr>
        <w:t>CTION</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EQUIRING</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ERTAIN</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ONSENT</w:t>
      </w:r>
      <w:r>
        <w:rPr>
          <w:rFonts w:ascii="Arial" w:cs="Arial" w:eastAsia="Arial" w:hAnsi="Arial"/>
          <w:sz w:val="14"/>
          <w:szCs w:val="14"/>
          <w:color w:val="auto"/>
        </w:rPr>
        <w:t>. No amendment or waiver of any provision of this Agreement or any other Loan Document, and no Consent to any departure by any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Loan Party therefrom, shall:</w:t>
      </w:r>
    </w:p>
    <w:p>
      <w:pPr>
        <w:spacing w:after="0" w:line="68" w:lineRule="exact"/>
        <w:rPr>
          <w:sz w:val="20"/>
          <w:szCs w:val="20"/>
          <w:color w:val="auto"/>
        </w:rPr>
      </w:pPr>
    </w:p>
    <w:p>
      <w:pPr>
        <w:ind w:firstLine="1529"/>
        <w:spacing w:after="0" w:line="259" w:lineRule="auto"/>
        <w:tabs>
          <w:tab w:leader="none" w:pos="1732" w:val="left"/>
        </w:tabs>
        <w:numPr>
          <w:ilvl w:val="0"/>
          <w:numId w:val="168"/>
        </w:numPr>
        <w:rPr>
          <w:rFonts w:ascii="Arial" w:cs="Arial" w:eastAsia="Arial" w:hAnsi="Arial"/>
          <w:sz w:val="15"/>
          <w:szCs w:val="15"/>
          <w:color w:val="auto"/>
        </w:rPr>
      </w:pPr>
      <w:r>
        <w:rPr>
          <w:rFonts w:ascii="Arial" w:cs="Arial" w:eastAsia="Arial" w:hAnsi="Arial"/>
          <w:sz w:val="15"/>
          <w:szCs w:val="15"/>
          <w:color w:val="auto"/>
        </w:rPr>
        <w:t>extend or increase the Term Dollar Commitment of any Term Lender (or reinstate any Term Dollar Commitment previously terminated pursuant to this Agreement) without the written Consent of such Term Lender;</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56"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as to any Term Lender, postpone any date fixed by this Agreement or any other Loan Document for any scheduled payment (including the Maturity Date) of principal, interest, fees or other amounts due hereunder or under any of the other Loan Documents without the written Consent of such Term Lender, without the written Consent of such Term Lender;</w:t>
      </w:r>
    </w:p>
    <w:p>
      <w:pPr>
        <w:spacing w:after="0" w:line="58" w:lineRule="exact"/>
        <w:rPr>
          <w:rFonts w:ascii="Arial" w:cs="Arial" w:eastAsia="Arial" w:hAnsi="Arial"/>
          <w:sz w:val="15"/>
          <w:szCs w:val="15"/>
          <w:color w:val="auto"/>
        </w:rPr>
      </w:pPr>
    </w:p>
    <w:p>
      <w:pPr>
        <w:jc w:val="both"/>
        <w:ind w:firstLine="1529"/>
        <w:spacing w:after="0" w:line="275" w:lineRule="auto"/>
        <w:tabs>
          <w:tab w:leader="none" w:pos="1739" w:val="left"/>
        </w:tabs>
        <w:numPr>
          <w:ilvl w:val="0"/>
          <w:numId w:val="168"/>
        </w:numPr>
        <w:rPr>
          <w:rFonts w:ascii="Arial" w:cs="Arial" w:eastAsia="Arial" w:hAnsi="Arial"/>
          <w:sz w:val="14"/>
          <w:szCs w:val="14"/>
          <w:color w:val="auto"/>
        </w:rPr>
      </w:pPr>
      <w:r>
        <w:rPr>
          <w:rFonts w:ascii="Arial" w:cs="Arial" w:eastAsia="Arial" w:hAnsi="Arial"/>
          <w:sz w:val="14"/>
          <w:szCs w:val="14"/>
          <w:color w:val="auto"/>
        </w:rPr>
        <w:t xml:space="preserve">as to any Term Lender, reduce the principal of, or the rate of interest specified herein on, any Term Loan, or (subject to clause (iii) of the proviso to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15.3</w:t>
      </w:r>
      <w:r>
        <w:rPr>
          <w:rFonts w:ascii="Arial" w:cs="Arial" w:eastAsia="Arial" w:hAnsi="Arial"/>
          <w:sz w:val="14"/>
          <w:szCs w:val="14"/>
          <w:color w:val="auto"/>
        </w:rPr>
        <w:t xml:space="preserve">) any fees or other amounts payable hereunder or under any other Loan Document, without the written Consent of such Term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only the Consent of the Majority Term Lenders shall be necessary (i) to amend </w:t>
      </w:r>
      <w:r>
        <w:rPr>
          <w:rFonts w:ascii="Arial" w:cs="Arial" w:eastAsia="Arial" w:hAnsi="Arial"/>
          <w:sz w:val="14"/>
          <w:szCs w:val="14"/>
          <w:u w:val="single" w:color="auto"/>
          <w:color w:val="auto"/>
        </w:rPr>
        <w:t>Section 2.12(c)</w:t>
      </w:r>
      <w:r>
        <w:rPr>
          <w:rFonts w:ascii="Arial" w:cs="Arial" w:eastAsia="Arial" w:hAnsi="Arial"/>
          <w:sz w:val="14"/>
          <w:szCs w:val="14"/>
          <w:color w:val="auto"/>
        </w:rPr>
        <w:t xml:space="preserve"> or to waive any obligation of the Borrowers to pay interest at the rate set forth in </w:t>
      </w:r>
      <w:r>
        <w:rPr>
          <w:rFonts w:ascii="Arial" w:cs="Arial" w:eastAsia="Arial" w:hAnsi="Arial"/>
          <w:sz w:val="14"/>
          <w:szCs w:val="14"/>
          <w:u w:val="single" w:color="auto"/>
          <w:color w:val="auto"/>
        </w:rPr>
        <w:t>Section 2.12(c)</w:t>
      </w: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firstLine="1529"/>
        <w:spacing w:after="0" w:line="259" w:lineRule="auto"/>
        <w:tabs>
          <w:tab w:leader="none" w:pos="1743"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as to any Term Lender, change </w:t>
      </w:r>
      <w:r>
        <w:rPr>
          <w:rFonts w:ascii="Arial" w:cs="Arial" w:eastAsia="Arial" w:hAnsi="Arial"/>
          <w:sz w:val="15"/>
          <w:szCs w:val="15"/>
          <w:u w:val="single" w:color="auto"/>
          <w:color w:val="auto"/>
        </w:rPr>
        <w:t>Section 12.4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13.5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13.6</w:t>
      </w:r>
      <w:r>
        <w:rPr>
          <w:rFonts w:ascii="Arial" w:cs="Arial" w:eastAsia="Arial" w:hAnsi="Arial"/>
          <w:sz w:val="15"/>
          <w:szCs w:val="15"/>
          <w:color w:val="auto"/>
        </w:rPr>
        <w:t xml:space="preserve"> in a manner that would alter the Pro-Rata sharing of payments required thereby without the written Consent of such Term Lender;</w:t>
      </w:r>
    </w:p>
    <w:p>
      <w:pPr>
        <w:spacing w:after="0" w:line="51" w:lineRule="exact"/>
        <w:rPr>
          <w:rFonts w:ascii="Arial" w:cs="Arial" w:eastAsia="Arial" w:hAnsi="Arial"/>
          <w:sz w:val="15"/>
          <w:szCs w:val="15"/>
          <w:color w:val="auto"/>
        </w:rPr>
      </w:pPr>
    </w:p>
    <w:p>
      <w:pPr>
        <w:ind w:firstLine="1529"/>
        <w:spacing w:after="0" w:line="295" w:lineRule="auto"/>
        <w:tabs>
          <w:tab w:leader="none" w:pos="1733" w:val="left"/>
        </w:tabs>
        <w:numPr>
          <w:ilvl w:val="0"/>
          <w:numId w:val="168"/>
        </w:numPr>
        <w:rPr>
          <w:rFonts w:ascii="Arial" w:cs="Arial" w:eastAsia="Arial" w:hAnsi="Arial"/>
          <w:sz w:val="14"/>
          <w:szCs w:val="14"/>
          <w:color w:val="auto"/>
        </w:rPr>
      </w:pPr>
      <w:r>
        <w:rPr>
          <w:rFonts w:ascii="Arial" w:cs="Arial" w:eastAsia="Arial" w:hAnsi="Arial"/>
          <w:sz w:val="14"/>
          <w:szCs w:val="14"/>
          <w:color w:val="auto"/>
        </w:rPr>
        <w:t xml:space="preserve">change any provision of this </w:t>
      </w:r>
      <w:r>
        <w:rPr>
          <w:rFonts w:ascii="Arial" w:cs="Arial" w:eastAsia="Arial" w:hAnsi="Arial"/>
          <w:sz w:val="14"/>
          <w:szCs w:val="14"/>
          <w:u w:val="single" w:color="auto"/>
          <w:color w:val="auto"/>
        </w:rPr>
        <w:t>Section 15.3</w:t>
      </w:r>
      <w:r>
        <w:rPr>
          <w:rFonts w:ascii="Arial" w:cs="Arial" w:eastAsia="Arial" w:hAnsi="Arial"/>
          <w:sz w:val="14"/>
          <w:szCs w:val="14"/>
          <w:color w:val="auto"/>
        </w:rPr>
        <w:t xml:space="preserve"> or the definition of “Majority Term Lenders” or any other provision hereof specifying the number or percentage of Term Lenders required to amend, waive or otherwise modify any rights hereunder or make any determination or grant any consent hereunder, without Unanimous Consent;</w:t>
      </w:r>
    </w:p>
    <w:p>
      <w:pPr>
        <w:spacing w:after="0" w:line="27" w:lineRule="exact"/>
        <w:rPr>
          <w:rFonts w:ascii="Arial" w:cs="Arial" w:eastAsia="Arial" w:hAnsi="Arial"/>
          <w:sz w:val="14"/>
          <w:szCs w:val="14"/>
          <w:color w:val="auto"/>
        </w:rPr>
      </w:pPr>
    </w:p>
    <w:p>
      <w:pPr>
        <w:ind w:left="1720" w:hanging="191"/>
        <w:spacing w:after="0"/>
        <w:tabs>
          <w:tab w:leader="none" w:pos="17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except as expressly permitted hereunder or under any other Loan Document, release, or limit the liability of, any Loan Party without the Unanimous Consent;</w:t>
      </w:r>
    </w:p>
    <w:p>
      <w:pPr>
        <w:spacing w:after="0" w:line="91" w:lineRule="exact"/>
        <w:rPr>
          <w:rFonts w:ascii="Arial" w:cs="Arial" w:eastAsia="Arial" w:hAnsi="Arial"/>
          <w:sz w:val="14"/>
          <w:szCs w:val="14"/>
          <w:color w:val="auto"/>
        </w:rPr>
      </w:pPr>
    </w:p>
    <w:p>
      <w:pPr>
        <w:ind w:firstLine="1529"/>
        <w:spacing w:after="0" w:line="259" w:lineRule="auto"/>
        <w:tabs>
          <w:tab w:leader="none" w:pos="1745"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except for Permitted Asset Dispositions (or as otherwise provided in </w:t>
      </w:r>
      <w:r>
        <w:rPr>
          <w:rFonts w:ascii="Arial" w:cs="Arial" w:eastAsia="Arial" w:hAnsi="Arial"/>
          <w:sz w:val="15"/>
          <w:szCs w:val="15"/>
          <w:u w:val="single" w:color="auto"/>
          <w:color w:val="auto"/>
        </w:rPr>
        <w:t>Section 4.14(d)</w:t>
      </w:r>
      <w:r>
        <w:rPr>
          <w:rFonts w:ascii="Arial" w:cs="Arial" w:eastAsia="Arial" w:hAnsi="Arial"/>
          <w:sz w:val="15"/>
          <w:szCs w:val="15"/>
          <w:color w:val="auto"/>
        </w:rPr>
        <w:t>) or to facilitate a Liquidation, release all or substantially all of the Collateral from the Encumbrances of the Loan Documents without Unanimous Consent;</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68"/>
        </w:numPr>
        <w:rPr>
          <w:rFonts w:ascii="Arial" w:cs="Arial" w:eastAsia="Arial" w:hAnsi="Arial"/>
          <w:sz w:val="15"/>
          <w:szCs w:val="15"/>
          <w:color w:val="auto"/>
        </w:rPr>
      </w:pPr>
      <w:r>
        <w:rPr>
          <w:rFonts w:ascii="Arial" w:cs="Arial" w:eastAsia="Arial" w:hAnsi="Arial"/>
          <w:sz w:val="15"/>
          <w:szCs w:val="15"/>
          <w:color w:val="auto"/>
        </w:rPr>
        <w:t>increase the Term Commitments without Unanimous Consent;</w:t>
      </w:r>
    </w:p>
    <w:p>
      <w:pPr>
        <w:spacing w:after="0" w:line="79" w:lineRule="exact"/>
        <w:rPr>
          <w:rFonts w:ascii="Arial" w:cs="Arial" w:eastAsia="Arial" w:hAnsi="Arial"/>
          <w:sz w:val="15"/>
          <w:szCs w:val="15"/>
          <w:color w:val="auto"/>
        </w:rPr>
      </w:pPr>
    </w:p>
    <w:p>
      <w:pPr>
        <w:jc w:val="both"/>
        <w:ind w:firstLine="1529"/>
        <w:spacing w:after="0" w:line="245" w:lineRule="auto"/>
        <w:tabs>
          <w:tab w:leader="none" w:pos="1727" w:val="left"/>
        </w:tabs>
        <w:numPr>
          <w:ilvl w:val="0"/>
          <w:numId w:val="168"/>
        </w:numPr>
        <w:rPr>
          <w:rFonts w:ascii="Arial" w:cs="Arial" w:eastAsia="Arial" w:hAnsi="Arial"/>
          <w:sz w:val="15"/>
          <w:szCs w:val="15"/>
          <w:color w:val="auto"/>
        </w:rPr>
      </w:pPr>
      <w:r>
        <w:rPr>
          <w:rFonts w:ascii="Arial" w:cs="Arial" w:eastAsia="Arial" w:hAnsi="Arial"/>
          <w:sz w:val="15"/>
          <w:szCs w:val="15"/>
          <w:color w:val="auto"/>
        </w:rPr>
        <w:t xml:space="preserve">change the definition of the term “Borrowing Base” or any component definition thereof if, as a result thereof, the amounts available to be borrowed by the Borrowers would be increased without Unanimous Consent;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foregoing shall not (i) limit the discretion of the Administrative Agent to change, establish or eliminate any Reserves or (ii) prevent the Administrative Agent, in its administration of the Term Facility, from restoring any component of Borrowing Base which had been lowered by the Administrative Agent back to the value of such component, as stated in this Agreement or to an intermediate value; and</w:t>
      </w:r>
    </w:p>
    <w:p>
      <w:pPr>
        <w:spacing w:after="0" w:line="62" w:lineRule="exact"/>
        <w:rPr>
          <w:rFonts w:ascii="Arial" w:cs="Arial" w:eastAsia="Arial" w:hAnsi="Arial"/>
          <w:sz w:val="15"/>
          <w:szCs w:val="15"/>
          <w:color w:val="auto"/>
        </w:rPr>
      </w:pPr>
    </w:p>
    <w:p>
      <w:pPr>
        <w:ind w:firstLine="1529"/>
        <w:spacing w:after="0" w:line="259" w:lineRule="auto"/>
        <w:tabs>
          <w:tab w:leader="none" w:pos="1719" w:val="left"/>
        </w:tabs>
        <w:numPr>
          <w:ilvl w:val="0"/>
          <w:numId w:val="168"/>
        </w:numPr>
        <w:rPr>
          <w:rFonts w:ascii="Arial" w:cs="Arial" w:eastAsia="Arial" w:hAnsi="Arial"/>
          <w:sz w:val="15"/>
          <w:szCs w:val="15"/>
          <w:color w:val="auto"/>
        </w:rPr>
      </w:pPr>
      <w:r>
        <w:rPr>
          <w:rFonts w:ascii="Arial" w:cs="Arial" w:eastAsia="Arial" w:hAnsi="Arial"/>
          <w:sz w:val="15"/>
          <w:szCs w:val="15"/>
          <w:color w:val="auto"/>
        </w:rPr>
        <w:t>except as expressly permitted herein or in any other Loan Document, subordinate the Liabilities hereunder or the Encumbrances granted hereunder or under the other Loan Documents, to any other Indebtedness or Encumbrance, as the case may be without Unanimous Consent;</w:t>
      </w:r>
    </w:p>
    <w:p>
      <w:pPr>
        <w:spacing w:after="0" w:line="13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(i) no amendment, waiver or Consent shall, unless in writing and signed by the Administrative Agent in addition to the Term Lenders required above, affect the rights or duties of the Administrative Agent under this Agreement or any other Loan Document; (ii) no amendment, waiver or Consent shall, unless in writing and signed by the Collateral Agent in addition to the Term Lenders required above, affect the rights or duties of the Collateral Agent under this Agreement or any other Loan Document, and (iii) the Fee Letter may be amended, or rights or privileges thereunder waived, in a writing executed only by the parties thereto.</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15.4. M</w:t>
      </w:r>
      <w:r>
        <w:rPr>
          <w:rFonts w:ascii="Arial" w:cs="Arial" w:eastAsia="Arial" w:hAnsi="Arial"/>
          <w:sz w:val="10"/>
          <w:szCs w:val="10"/>
          <w:b w:val="1"/>
          <w:bCs w:val="1"/>
          <w:color w:val="auto"/>
        </w:rPr>
        <w:t>ISCELLANEOUS</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CTIONS</w:t>
      </w:r>
      <w:r>
        <w:rPr>
          <w:rFonts w:ascii="Arial" w:cs="Arial" w:eastAsia="Arial" w:hAnsi="Arial"/>
          <w:sz w:val="15"/>
          <w:szCs w:val="15"/>
          <w:color w:val="auto"/>
        </w:rPr>
        <w:t>.</w:t>
      </w:r>
    </w:p>
    <w:p>
      <w:pPr>
        <w:spacing w:after="0" w:line="84" w:lineRule="exact"/>
        <w:rPr>
          <w:sz w:val="20"/>
          <w:szCs w:val="20"/>
          <w:color w:val="auto"/>
        </w:rPr>
      </w:pPr>
    </w:p>
    <w:p>
      <w:pPr>
        <w:ind w:left="1740" w:hanging="211"/>
        <w:spacing w:after="0"/>
        <w:tabs>
          <w:tab w:leader="none" w:pos="174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Notwithstanding any other provision of this Agreement, no single Term Lender independently may exercise any right of action or enforcement against or with</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respect to any Loan Party.</w:t>
      </w:r>
    </w:p>
    <w:p>
      <w:pPr>
        <w:spacing w:after="0" w:line="67" w:lineRule="exact"/>
        <w:rPr>
          <w:rFonts w:ascii="Arial" w:cs="Arial" w:eastAsia="Arial" w:hAnsi="Arial"/>
          <w:sz w:val="14"/>
          <w:szCs w:val="14"/>
          <w:color w:val="auto"/>
        </w:rPr>
      </w:pPr>
    </w:p>
    <w:p>
      <w:pPr>
        <w:ind w:left="1740" w:hanging="211"/>
        <w:spacing w:after="0"/>
        <w:tabs>
          <w:tab w:leader="none" w:pos="174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Each Agent shall be fully justified in failing or refusing to take action under this Agreement or any Loan Document on behalf of any Term Lender unless that Agent</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shall first:</w:t>
      </w:r>
    </w:p>
    <w:p>
      <w:pPr>
        <w:spacing w:after="0" w:line="67" w:lineRule="exact"/>
        <w:rPr>
          <w:rFonts w:ascii="Arial" w:cs="Arial" w:eastAsia="Arial" w:hAnsi="Arial"/>
          <w:sz w:val="13"/>
          <w:szCs w:val="13"/>
          <w:color w:val="auto"/>
        </w:rPr>
      </w:pPr>
    </w:p>
    <w:p>
      <w:pPr>
        <w:ind w:left="2360" w:hanging="168"/>
        <w:spacing w:after="0"/>
        <w:tabs>
          <w:tab w:leader="none" w:pos="236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receive such clear, unambiguous, written instructions as that Agent deems appropriate; and</w:t>
      </w:r>
    </w:p>
    <w:p>
      <w:pPr>
        <w:spacing w:after="0" w:line="160" w:lineRule="exact"/>
        <w:rPr>
          <w:rFonts w:ascii="Arial" w:cs="Arial" w:eastAsia="Arial" w:hAnsi="Arial"/>
          <w:sz w:val="15"/>
          <w:szCs w:val="15"/>
          <w:color w:val="auto"/>
        </w:rPr>
      </w:pPr>
    </w:p>
    <w:p>
      <w:pPr>
        <w:ind w:left="5660" w:hanging="86"/>
        <w:spacing w:after="0"/>
        <w:tabs>
          <w:tab w:leader="none" w:pos="5660" w:val="left"/>
        </w:tabs>
        <w:numPr>
          <w:ilvl w:val="2"/>
          <w:numId w:val="169"/>
        </w:numPr>
        <w:rPr>
          <w:rFonts w:ascii="Arial" w:cs="Arial" w:eastAsia="Arial" w:hAnsi="Arial"/>
          <w:sz w:val="15"/>
          <w:szCs w:val="15"/>
          <w:color w:val="auto"/>
        </w:rPr>
      </w:pPr>
      <w:r>
        <w:rPr>
          <w:rFonts w:ascii="Arial" w:cs="Arial" w:eastAsia="Arial" w:hAnsi="Arial"/>
          <w:sz w:val="15"/>
          <w:szCs w:val="15"/>
          <w:color w:val="auto"/>
        </w:rPr>
        <w:t>61 -</w:t>
      </w:r>
    </w:p>
    <w:p>
      <w:pPr>
        <w:sectPr>
          <w:pgSz w:w="11900" w:h="16838" w:orient="portrait"/>
          <w:cols w:equalWidth="0" w:num="1">
            <w:col w:w="11460"/>
          </w:cols>
          <w:pgMar w:left="220" w:top="284" w:right="219" w:bottom="1440" w:gutter="0" w:footer="0" w:header="0"/>
        </w:sectPr>
      </w:pPr>
    </w:p>
    <w:bookmarkStart w:id="119" w:name="page120"/>
    <w:bookmarkEnd w:id="119"/>
    <w:p>
      <w:pPr>
        <w:ind w:left="760" w:firstLine="1432"/>
        <w:spacing w:after="0" w:line="259" w:lineRule="auto"/>
        <w:tabs>
          <w:tab w:leader="none" w:pos="2406" w:val="left"/>
        </w:tabs>
        <w:numPr>
          <w:ilvl w:val="1"/>
          <w:numId w:val="170"/>
        </w:numPr>
        <w:rPr>
          <w:rFonts w:ascii="Arial" w:cs="Arial" w:eastAsia="Arial" w:hAnsi="Arial"/>
          <w:sz w:val="15"/>
          <w:szCs w:val="15"/>
          <w:color w:val="auto"/>
        </w:rPr>
      </w:pPr>
      <w:r>
        <w:rPr>
          <w:rFonts w:ascii="Arial" w:cs="Arial" w:eastAsia="Arial" w:hAnsi="Arial"/>
          <w:sz w:val="15"/>
          <w:szCs w:val="15"/>
          <w:color w:val="auto"/>
        </w:rPr>
        <w:t>be indemnified to that Agent’s satisfaction by the Term Lenders against any and all liability and expense which may be incurred by that Agent by reason of taking or continuing to take any such action, unless such action had been grossly negligent, in willful misconduct, or in bad faith.</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46" w:val="left"/>
        </w:tabs>
        <w:numPr>
          <w:ilvl w:val="0"/>
          <w:numId w:val="171"/>
        </w:numPr>
        <w:rPr>
          <w:rFonts w:ascii="Arial" w:cs="Arial" w:eastAsia="Arial" w:hAnsi="Arial"/>
          <w:sz w:val="15"/>
          <w:szCs w:val="15"/>
          <w:color w:val="auto"/>
        </w:rPr>
      </w:pPr>
      <w:r>
        <w:rPr>
          <w:rFonts w:ascii="Arial" w:cs="Arial" w:eastAsia="Arial" w:hAnsi="Arial"/>
          <w:sz w:val="15"/>
          <w:szCs w:val="15"/>
          <w:color w:val="auto"/>
        </w:rPr>
        <w:t>Each Agent may establish reasonable procedures for the providing of direction and instructions from the Term Lenders to that Agent, including its reliance on multiple counterparts, facsimile transmissions, and time limits within which such direction and instructions must be received in order to be included in a determination of whether the requisite Term Lenders have provided their direction, Consent, or instructions.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15.5. A</w:t>
      </w:r>
      <w:r>
        <w:rPr>
          <w:rFonts w:ascii="Arial" w:cs="Arial" w:eastAsia="Arial" w:hAnsi="Arial"/>
          <w:sz w:val="10"/>
          <w:szCs w:val="10"/>
          <w:b w:val="1"/>
          <w:bCs w:val="1"/>
          <w:color w:val="auto"/>
        </w:rPr>
        <w:t>CTIONS</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EQUIRING</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ORROWERS</w:t>
      </w:r>
      <w:r>
        <w:rPr>
          <w:rFonts w:ascii="Arial" w:cs="Arial" w:eastAsia="Arial" w:hAnsi="Arial"/>
          <w:sz w:val="15"/>
          <w:szCs w:val="15"/>
          <w:b w:val="1"/>
          <w:bCs w:val="1"/>
          <w:color w:val="auto"/>
        </w:rPr>
        <w:t>’ R</w:t>
      </w:r>
      <w:r>
        <w:rPr>
          <w:rFonts w:ascii="Arial" w:cs="Arial" w:eastAsia="Arial" w:hAnsi="Arial"/>
          <w:sz w:val="10"/>
          <w:szCs w:val="10"/>
          <w:b w:val="1"/>
          <w:bCs w:val="1"/>
          <w:color w:val="auto"/>
        </w:rPr>
        <w:t>EPRESENTATIVE</w:t>
      </w:r>
      <w:r>
        <w:rPr>
          <w:rFonts w:ascii="Arial" w:cs="Arial" w:eastAsia="Arial" w:hAnsi="Arial"/>
          <w:sz w:val="15"/>
          <w:szCs w:val="15"/>
          <w:b w:val="1"/>
          <w:bCs w:val="1"/>
          <w:color w:val="auto"/>
        </w:rPr>
        <w:t>’</w:t>
      </w:r>
      <w:r>
        <w:rPr>
          <w:rFonts w:ascii="Arial" w:cs="Arial" w:eastAsia="Arial" w:hAnsi="Arial"/>
          <w:sz w:val="10"/>
          <w:szCs w:val="10"/>
          <w:b w:val="1"/>
          <w:bCs w:val="1"/>
          <w:color w:val="auto"/>
        </w:rPr>
        <w:t>S</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ONSENT</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4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 xml:space="preserve">The Borrowers’ Representative’s consent is required for any amendment of this Agreement, except that </w:t>
      </w:r>
      <w:r>
        <w:rPr>
          <w:rFonts w:ascii="Arial" w:cs="Arial" w:eastAsia="Arial" w:hAnsi="Arial"/>
          <w:sz w:val="15"/>
          <w:szCs w:val="15"/>
          <w:u w:val="single" w:color="auto"/>
          <w:color w:val="auto"/>
        </w:rPr>
        <w:t>Articles 12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15</w:t>
      </w:r>
      <w:r>
        <w:rPr>
          <w:rFonts w:ascii="Arial" w:cs="Arial" w:eastAsia="Arial" w:hAnsi="Arial"/>
          <w:sz w:val="15"/>
          <w:szCs w:val="15"/>
          <w:color w:val="auto"/>
        </w:rPr>
        <w:t xml:space="preserve"> of this Agreement may be amended without the consent of the Borrowers’ Representative.</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45" w:val="left"/>
        </w:tabs>
        <w:numPr>
          <w:ilvl w:val="0"/>
          <w:numId w:val="172"/>
        </w:numPr>
        <w:rPr>
          <w:rFonts w:ascii="Arial" w:cs="Arial" w:eastAsia="Arial" w:hAnsi="Arial"/>
          <w:sz w:val="15"/>
          <w:szCs w:val="15"/>
          <w:color w:val="auto"/>
        </w:rPr>
      </w:pPr>
      <w:r>
        <w:rPr>
          <w:rFonts w:ascii="Arial" w:cs="Arial" w:eastAsia="Arial" w:hAnsi="Arial"/>
          <w:sz w:val="15"/>
          <w:szCs w:val="15"/>
          <w:color w:val="auto"/>
        </w:rPr>
        <w:t xml:space="preserve">The Borrowers’ Representative’s consent to the amendment of those provisions referenced in </w:t>
      </w:r>
      <w:r>
        <w:rPr>
          <w:rFonts w:ascii="Arial" w:cs="Arial" w:eastAsia="Arial" w:hAnsi="Arial"/>
          <w:sz w:val="15"/>
          <w:szCs w:val="15"/>
          <w:u w:val="single" w:color="auto"/>
          <w:color w:val="auto"/>
        </w:rPr>
        <w:t>Section 15.5(a) (i)</w:t>
      </w:r>
      <w:r>
        <w:rPr>
          <w:rFonts w:ascii="Arial" w:cs="Arial" w:eastAsia="Arial" w:hAnsi="Arial"/>
          <w:sz w:val="15"/>
          <w:szCs w:val="15"/>
          <w:color w:val="auto"/>
        </w:rPr>
        <w:t xml:space="preserve"> shall be deemed given unless written objection is made, within seven (7) Business Days following the Administrative Agent’s giving notice to the Borrowers’ Representative of the proposed amendment, and (ii) shall not be required following the occurrence of any Event of Default.</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15.6. N</w:t>
      </w:r>
      <w:r>
        <w:rPr>
          <w:rFonts w:ascii="Arial" w:cs="Arial" w:eastAsia="Arial" w:hAnsi="Arial"/>
          <w:sz w:val="10"/>
          <w:szCs w:val="10"/>
          <w:b w:val="1"/>
          <w:bCs w:val="1"/>
          <w:color w:val="auto"/>
        </w:rPr>
        <w:t>ONCONSENTING</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w:t>
      </w:r>
      <w:r>
        <w:rPr>
          <w:rFonts w:ascii="Arial" w:cs="Arial" w:eastAsia="Arial" w:hAnsi="Arial"/>
          <w:sz w:val="15"/>
          <w:szCs w:val="15"/>
          <w:color w:val="auto"/>
        </w:rPr>
        <w:t>.</w:t>
      </w:r>
    </w:p>
    <w:p>
      <w:pPr>
        <w:spacing w:after="0" w:line="80" w:lineRule="exact"/>
        <w:rPr>
          <w:sz w:val="20"/>
          <w:szCs w:val="20"/>
          <w:color w:val="auto"/>
        </w:rPr>
      </w:pPr>
    </w:p>
    <w:p>
      <w:pPr>
        <w:jc w:val="both"/>
        <w:ind w:firstLine="1529"/>
        <w:spacing w:after="0" w:line="247" w:lineRule="auto"/>
        <w:tabs>
          <w:tab w:leader="none" w:pos="173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In the event that a Term Lender (in this </w:t>
      </w:r>
      <w:r>
        <w:rPr>
          <w:rFonts w:ascii="Arial" w:cs="Arial" w:eastAsia="Arial" w:hAnsi="Arial"/>
          <w:sz w:val="15"/>
          <w:szCs w:val="15"/>
          <w:u w:val="single" w:color="auto"/>
          <w:color w:val="auto"/>
        </w:rPr>
        <w:t>Section 15.6</w:t>
      </w:r>
      <w:r>
        <w:rPr>
          <w:rFonts w:ascii="Arial" w:cs="Arial" w:eastAsia="Arial" w:hAnsi="Arial"/>
          <w:sz w:val="15"/>
          <w:szCs w:val="15"/>
          <w:color w:val="auto"/>
        </w:rPr>
        <w:t xml:space="preserve">, a </w:t>
      </w:r>
      <w:r>
        <w:rPr>
          <w:rFonts w:ascii="Arial" w:cs="Arial" w:eastAsia="Arial" w:hAnsi="Arial"/>
          <w:sz w:val="15"/>
          <w:szCs w:val="15"/>
          <w:b w:val="1"/>
          <w:bCs w:val="1"/>
          <w:color w:val="auto"/>
        </w:rPr>
        <w:t>“NonConsenting Term Lender”</w:t>
      </w:r>
      <w:r>
        <w:rPr>
          <w:rFonts w:ascii="Arial" w:cs="Arial" w:eastAsia="Arial" w:hAnsi="Arial"/>
          <w:sz w:val="15"/>
          <w:szCs w:val="15"/>
          <w:color w:val="auto"/>
        </w:rPr>
        <w:t xml:space="preserve">) does not provide its Consent to a proposal by the Administrative Agent to take action which requires Unanimous Consent and that has been approved by the Majority Term Lenders, then the Borrowers’ Representative may require the assignment, without recourse and in accordance with the procedures outlined in </w:t>
      </w:r>
      <w:r>
        <w:rPr>
          <w:rFonts w:ascii="Arial" w:cs="Arial" w:eastAsia="Arial" w:hAnsi="Arial"/>
          <w:sz w:val="15"/>
          <w:szCs w:val="15"/>
          <w:u w:val="single" w:color="auto"/>
          <w:color w:val="auto"/>
        </w:rPr>
        <w:t>Section 16.1</w:t>
      </w:r>
      <w:r>
        <w:rPr>
          <w:rFonts w:ascii="Arial" w:cs="Arial" w:eastAsia="Arial" w:hAnsi="Arial"/>
          <w:sz w:val="15"/>
          <w:szCs w:val="15"/>
          <w:color w:val="auto"/>
        </w:rPr>
        <w:t>, below, of the NonConsenting Term Lender’s Term Dollar Commitment hereunder to one or more Eligible Assignees on five (5) days’ written notice to the Administrative Agent and to the NonConsenting Term Lender.</w:t>
      </w:r>
    </w:p>
    <w:p>
      <w:pPr>
        <w:spacing w:after="0" w:line="60" w:lineRule="exact"/>
        <w:rPr>
          <w:rFonts w:ascii="Arial" w:cs="Arial" w:eastAsia="Arial" w:hAnsi="Arial"/>
          <w:sz w:val="15"/>
          <w:szCs w:val="15"/>
          <w:color w:val="auto"/>
        </w:rPr>
      </w:pPr>
    </w:p>
    <w:p>
      <w:pPr>
        <w:ind w:firstLine="1529"/>
        <w:spacing w:after="0" w:line="295" w:lineRule="auto"/>
        <w:tabs>
          <w:tab w:leader="none" w:pos="1763" w:val="left"/>
        </w:tabs>
        <w:numPr>
          <w:ilvl w:val="0"/>
          <w:numId w:val="173"/>
        </w:numPr>
        <w:rPr>
          <w:rFonts w:ascii="Arial" w:cs="Arial" w:eastAsia="Arial" w:hAnsi="Arial"/>
          <w:sz w:val="14"/>
          <w:szCs w:val="14"/>
          <w:color w:val="auto"/>
        </w:rPr>
      </w:pPr>
      <w:r>
        <w:rPr>
          <w:rFonts w:ascii="Arial" w:cs="Arial" w:eastAsia="Arial" w:hAnsi="Arial"/>
          <w:sz w:val="14"/>
          <w:szCs w:val="14"/>
          <w:color w:val="auto"/>
        </w:rPr>
        <w:t>At the end of such five (5) days, and provided that the NonConsenting Term Lender delivers the Term Note (or a lost note affidavit containing customary indemnification provisions) held by the NonConsenting Term Lender to the Administrative Agent, the Borrowers shall transfer the following to the NonConsenting Term Lender:</w:t>
      </w:r>
    </w:p>
    <w:p>
      <w:pPr>
        <w:spacing w:after="0" w:line="27" w:lineRule="exact"/>
        <w:rPr>
          <w:rFonts w:ascii="Arial" w:cs="Arial" w:eastAsia="Arial" w:hAnsi="Arial"/>
          <w:sz w:val="14"/>
          <w:szCs w:val="14"/>
          <w:color w:val="auto"/>
        </w:rPr>
      </w:pPr>
    </w:p>
    <w:p>
      <w:pPr>
        <w:ind w:left="2360" w:hanging="168"/>
        <w:spacing w:after="0"/>
        <w:tabs>
          <w:tab w:leader="none" w:pos="236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Such NonConsenting Term Lender’s Pro-Rata share of the principal and interest of the Term Loans to the date of such assignment.</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All fees distributable hereunder to the NonConsenting Term Lender to the date of such assignment.</w:t>
      </w:r>
    </w:p>
    <w:p>
      <w:pPr>
        <w:spacing w:after="0" w:line="79" w:lineRule="exact"/>
        <w:rPr>
          <w:rFonts w:ascii="Arial" w:cs="Arial" w:eastAsia="Arial" w:hAnsi="Arial"/>
          <w:sz w:val="15"/>
          <w:szCs w:val="15"/>
          <w:color w:val="auto"/>
        </w:rPr>
      </w:pPr>
    </w:p>
    <w:p>
      <w:pPr>
        <w:ind w:left="2460" w:hanging="268"/>
        <w:spacing w:after="0"/>
        <w:tabs>
          <w:tab w:leader="none" w:pos="246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Any out-of-pocket costs and expenses for which the NonConsenting Term Lender is entitled to reimbursement from the Loan Parties.</w:t>
      </w:r>
    </w:p>
    <w:p>
      <w:pPr>
        <w:spacing w:after="0" w:line="79" w:lineRule="exact"/>
        <w:rPr>
          <w:rFonts w:ascii="Arial" w:cs="Arial" w:eastAsia="Arial" w:hAnsi="Arial"/>
          <w:sz w:val="15"/>
          <w:szCs w:val="15"/>
          <w:color w:val="auto"/>
        </w:rPr>
      </w:pPr>
    </w:p>
    <w:p>
      <w:pPr>
        <w:ind w:firstLine="1529"/>
        <w:spacing w:after="0" w:line="259" w:lineRule="auto"/>
        <w:tabs>
          <w:tab w:leader="none" w:pos="1754"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In the event that the NonConsenting Term Lender fails to deliver to the Administrative Agent the Term Note (or a lost note affidavit containing customary indemnification provisions) held by the NonConsenting Term Lender as provided in </w:t>
      </w:r>
      <w:r>
        <w:rPr>
          <w:rFonts w:ascii="Arial" w:cs="Arial" w:eastAsia="Arial" w:hAnsi="Arial"/>
          <w:sz w:val="15"/>
          <w:szCs w:val="15"/>
          <w:u w:val="single" w:color="auto"/>
          <w:color w:val="auto"/>
        </w:rPr>
        <w:t>Section 15.6(b)</w:t>
      </w:r>
      <w:r>
        <w:rPr>
          <w:rFonts w:ascii="Arial" w:cs="Arial" w:eastAsia="Arial" w:hAnsi="Arial"/>
          <w:sz w:val="15"/>
          <w:szCs w:val="15"/>
          <w:color w:val="auto"/>
        </w:rPr>
        <w:t>, then:</w:t>
      </w:r>
    </w:p>
    <w:p>
      <w:pPr>
        <w:spacing w:after="0" w:line="51" w:lineRule="exact"/>
        <w:rPr>
          <w:rFonts w:ascii="Arial" w:cs="Arial" w:eastAsia="Arial" w:hAnsi="Arial"/>
          <w:sz w:val="15"/>
          <w:szCs w:val="15"/>
          <w:color w:val="auto"/>
        </w:rPr>
      </w:pPr>
    </w:p>
    <w:p>
      <w:pPr>
        <w:jc w:val="both"/>
        <w:ind w:left="760" w:firstLine="1432"/>
        <w:spacing w:after="0" w:line="249" w:lineRule="auto"/>
        <w:tabs>
          <w:tab w:leader="none" w:pos="2401" w:val="left"/>
        </w:tabs>
        <w:numPr>
          <w:ilvl w:val="1"/>
          <w:numId w:val="173"/>
        </w:numPr>
        <w:rPr>
          <w:rFonts w:ascii="Arial" w:cs="Arial" w:eastAsia="Arial" w:hAnsi="Arial"/>
          <w:sz w:val="15"/>
          <w:szCs w:val="15"/>
          <w:color w:val="auto"/>
        </w:rPr>
      </w:pPr>
      <w:r>
        <w:rPr>
          <w:rFonts w:ascii="Arial" w:cs="Arial" w:eastAsia="Arial" w:hAnsi="Arial"/>
          <w:sz w:val="15"/>
          <w:szCs w:val="15"/>
          <w:color w:val="auto"/>
        </w:rPr>
        <w:t>The amount otherwise to be transferred to the NonConsenting Term Lender shall be transferred to the Administrative Agent and held by the Administrative Agent, without interest, to be turned over to the NonConsenting Term Lender upon delivery of the Term Note (or a lost note affidavit containing customary indemnification provisions) held by that NonConsenting Term Lender.</w:t>
      </w:r>
    </w:p>
    <w:p>
      <w:pPr>
        <w:spacing w:after="0" w:line="58" w:lineRule="exact"/>
        <w:rPr>
          <w:rFonts w:ascii="Arial" w:cs="Arial" w:eastAsia="Arial" w:hAnsi="Arial"/>
          <w:sz w:val="15"/>
          <w:szCs w:val="15"/>
          <w:color w:val="auto"/>
        </w:rPr>
      </w:pPr>
    </w:p>
    <w:p>
      <w:pPr>
        <w:ind w:left="2400" w:hanging="208"/>
        <w:spacing w:after="0"/>
        <w:tabs>
          <w:tab w:leader="none" w:pos="240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The Term Note held by the NonConsenting Term Lender shall have no force or effect whatsoever.</w:t>
      </w:r>
    </w:p>
    <w:p>
      <w:pPr>
        <w:spacing w:after="0" w:line="79" w:lineRule="exact"/>
        <w:rPr>
          <w:rFonts w:ascii="Arial" w:cs="Arial" w:eastAsia="Arial" w:hAnsi="Arial"/>
          <w:sz w:val="15"/>
          <w:szCs w:val="15"/>
          <w:color w:val="auto"/>
        </w:rPr>
      </w:pPr>
    </w:p>
    <w:p>
      <w:pPr>
        <w:ind w:left="2460" w:hanging="268"/>
        <w:spacing w:after="0"/>
        <w:tabs>
          <w:tab w:leader="none" w:pos="246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The NonConsenting Term Lender shall cease to be a “Term Lender”.</w:t>
      </w:r>
    </w:p>
    <w:p>
      <w:pPr>
        <w:spacing w:after="0" w:line="79" w:lineRule="exact"/>
        <w:rPr>
          <w:rFonts w:ascii="Arial" w:cs="Arial" w:eastAsia="Arial" w:hAnsi="Arial"/>
          <w:sz w:val="15"/>
          <w:szCs w:val="15"/>
          <w:color w:val="auto"/>
        </w:rPr>
      </w:pPr>
    </w:p>
    <w:p>
      <w:pPr>
        <w:ind w:left="760" w:firstLine="1432"/>
        <w:spacing w:after="0" w:line="259" w:lineRule="auto"/>
        <w:tabs>
          <w:tab w:leader="none" w:pos="2445" w:val="left"/>
        </w:tabs>
        <w:numPr>
          <w:ilvl w:val="1"/>
          <w:numId w:val="173"/>
        </w:numPr>
        <w:rPr>
          <w:rFonts w:ascii="Arial" w:cs="Arial" w:eastAsia="Arial" w:hAnsi="Arial"/>
          <w:sz w:val="15"/>
          <w:szCs w:val="15"/>
          <w:color w:val="auto"/>
        </w:rPr>
      </w:pPr>
      <w:r>
        <w:rPr>
          <w:rFonts w:ascii="Arial" w:cs="Arial" w:eastAsia="Arial" w:hAnsi="Arial"/>
          <w:sz w:val="15"/>
          <w:szCs w:val="15"/>
          <w:color w:val="auto"/>
        </w:rPr>
        <w:t>The Eligible Assignee(s) to whom the NonConsenting Term Lender’s Term Dollar Commitment hereunder has been assigned shall have succeeded to all rights and become subject to all of the obligations of the NonConsenting Term Lender as a “Term Lender”.</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16 - A</w:t>
      </w:r>
      <w:r>
        <w:rPr>
          <w:rFonts w:ascii="Arial" w:cs="Arial" w:eastAsia="Arial" w:hAnsi="Arial"/>
          <w:sz w:val="10"/>
          <w:szCs w:val="10"/>
          <w:b w:val="1"/>
          <w:bCs w:val="1"/>
          <w:color w:val="auto"/>
        </w:rPr>
        <w:t>SSIGNMENTS</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Y</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- 62 -</w:t>
      </w:r>
    </w:p>
    <w:p>
      <w:pPr>
        <w:sectPr>
          <w:pgSz w:w="11900" w:h="16838" w:orient="portrait"/>
          <w:cols w:equalWidth="0" w:num="1">
            <w:col w:w="11460"/>
          </w:cols>
          <w:pgMar w:left="220" w:top="207" w:right="219" w:bottom="1440" w:gutter="0" w:footer="0" w:header="0"/>
        </w:sectPr>
      </w:pPr>
    </w:p>
    <w:bookmarkStart w:id="120" w:name="page121"/>
    <w:bookmarkEnd w:id="120"/>
    <w:p>
      <w:pPr>
        <w:ind w:left="760"/>
        <w:spacing w:after="0"/>
        <w:rPr>
          <w:sz w:val="20"/>
          <w:szCs w:val="20"/>
          <w:color w:val="auto"/>
        </w:rPr>
      </w:pPr>
      <w:r>
        <w:rPr>
          <w:rFonts w:ascii="Arial" w:cs="Arial" w:eastAsia="Arial" w:hAnsi="Arial"/>
          <w:sz w:val="15"/>
          <w:szCs w:val="15"/>
          <w:b w:val="1"/>
          <w:bCs w:val="1"/>
          <w:color w:val="auto"/>
        </w:rPr>
        <w:t>16.1. A</w:t>
      </w:r>
      <w:r>
        <w:rPr>
          <w:rFonts w:ascii="Arial" w:cs="Arial" w:eastAsia="Arial" w:hAnsi="Arial"/>
          <w:sz w:val="10"/>
          <w:szCs w:val="10"/>
          <w:b w:val="1"/>
          <w:bCs w:val="1"/>
          <w:color w:val="auto"/>
        </w:rPr>
        <w:t>SSIGNMENTS AND</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SSUMPTIONS</w:t>
      </w:r>
      <w:r>
        <w:rPr>
          <w:rFonts w:ascii="Arial" w:cs="Arial" w:eastAsia="Arial" w:hAnsi="Arial"/>
          <w:sz w:val="15"/>
          <w:szCs w:val="15"/>
          <w:color w:val="auto"/>
        </w:rPr>
        <w:t>.</w:t>
      </w:r>
    </w:p>
    <w:p>
      <w:pPr>
        <w:spacing w:after="0" w:line="160" w:lineRule="exact"/>
        <w:rPr>
          <w:sz w:val="20"/>
          <w:szCs w:val="20"/>
          <w:color w:val="auto"/>
        </w:rPr>
      </w:pPr>
    </w:p>
    <w:p>
      <w:pPr>
        <w:jc w:val="both"/>
        <w:ind w:firstLine="765"/>
        <w:spacing w:after="0" w:line="278" w:lineRule="auto"/>
        <w:rPr>
          <w:sz w:val="20"/>
          <w:szCs w:val="20"/>
          <w:color w:val="auto"/>
        </w:rPr>
      </w:pPr>
      <w:r>
        <w:rPr>
          <w:rFonts w:ascii="Arial" w:cs="Arial" w:eastAsia="Arial" w:hAnsi="Arial"/>
          <w:sz w:val="14"/>
          <w:szCs w:val="14"/>
          <w:color w:val="auto"/>
        </w:rPr>
        <w:t xml:space="preserve">Except as provided herein, each Term Lender (in this </w:t>
      </w:r>
      <w:r>
        <w:rPr>
          <w:rFonts w:ascii="Arial" w:cs="Arial" w:eastAsia="Arial" w:hAnsi="Arial"/>
          <w:sz w:val="14"/>
          <w:szCs w:val="14"/>
          <w:u w:val="single" w:color="auto"/>
          <w:color w:val="auto"/>
        </w:rPr>
        <w:t>Section 16.1</w:t>
      </w:r>
      <w:r>
        <w:rPr>
          <w:rFonts w:ascii="Arial" w:cs="Arial" w:eastAsia="Arial" w:hAnsi="Arial"/>
          <w:sz w:val="14"/>
          <w:szCs w:val="14"/>
          <w:color w:val="auto"/>
        </w:rPr>
        <w:t xml:space="preserve">, an </w:t>
      </w:r>
      <w:r>
        <w:rPr>
          <w:rFonts w:ascii="Arial" w:cs="Arial" w:eastAsia="Arial" w:hAnsi="Arial"/>
          <w:sz w:val="14"/>
          <w:szCs w:val="14"/>
          <w:b w:val="1"/>
          <w:bCs w:val="1"/>
          <w:color w:val="auto"/>
        </w:rPr>
        <w:t>“Assigning Term Lender”</w:t>
      </w:r>
      <w:r>
        <w:rPr>
          <w:rFonts w:ascii="Arial" w:cs="Arial" w:eastAsia="Arial" w:hAnsi="Arial"/>
          <w:sz w:val="14"/>
          <w:szCs w:val="14"/>
          <w:color w:val="auto"/>
        </w:rPr>
        <w:t xml:space="preserve">) may assign to one or more Eligible Assignees (in this </w:t>
      </w:r>
      <w:r>
        <w:rPr>
          <w:rFonts w:ascii="Arial" w:cs="Arial" w:eastAsia="Arial" w:hAnsi="Arial"/>
          <w:sz w:val="14"/>
          <w:szCs w:val="14"/>
          <w:u w:val="single" w:color="auto"/>
          <w:color w:val="auto"/>
        </w:rPr>
        <w:t>Section 16.1,</w:t>
      </w:r>
      <w:r>
        <w:rPr>
          <w:rFonts w:ascii="Arial" w:cs="Arial" w:eastAsia="Arial" w:hAnsi="Arial"/>
          <w:sz w:val="14"/>
          <w:szCs w:val="14"/>
          <w:color w:val="auto"/>
        </w:rPr>
        <w:t xml:space="preserve"> each an </w:t>
      </w:r>
      <w:r>
        <w:rPr>
          <w:rFonts w:ascii="Arial" w:cs="Arial" w:eastAsia="Arial" w:hAnsi="Arial"/>
          <w:sz w:val="14"/>
          <w:szCs w:val="14"/>
          <w:b w:val="1"/>
          <w:bCs w:val="1"/>
          <w:color w:val="auto"/>
        </w:rPr>
        <w:t>“Assignee Term Lender”</w:t>
      </w:r>
      <w:r>
        <w:rPr>
          <w:rFonts w:ascii="Arial" w:cs="Arial" w:eastAsia="Arial" w:hAnsi="Arial"/>
          <w:sz w:val="14"/>
          <w:szCs w:val="14"/>
          <w:color w:val="auto"/>
        </w:rPr>
        <w:t>) all or a portion of that Term Lender’s interests, rights and obligations under this Agreement and the Loan Documents (including all or a portion of its Term Dollar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Commitment) and the same portion of the Term Loans at the time owing to it, and of the Term Note held by the Assigning Term Lender, </w:t>
      </w:r>
      <w:r>
        <w:rPr>
          <w:rFonts w:ascii="Arial" w:cs="Arial" w:eastAsia="Arial" w:hAnsi="Arial"/>
          <w:sz w:val="14"/>
          <w:szCs w:val="14"/>
          <w:u w:val="single" w:color="auto"/>
          <w:color w:val="auto"/>
        </w:rPr>
        <w:t>provided that</w:t>
      </w:r>
      <w:r>
        <w:rPr>
          <w:rFonts w:ascii="Arial" w:cs="Arial" w:eastAsia="Arial" w:hAnsi="Arial"/>
          <w:sz w:val="14"/>
          <w:szCs w:val="14"/>
          <w:color w:val="auto"/>
        </w:rPr>
        <w:t>:</w:t>
      </w:r>
    </w:p>
    <w:p>
      <w:pPr>
        <w:spacing w:after="0" w:line="40" w:lineRule="exact"/>
        <w:rPr>
          <w:sz w:val="20"/>
          <w:szCs w:val="20"/>
          <w:color w:val="auto"/>
        </w:rPr>
      </w:pPr>
    </w:p>
    <w:p>
      <w:pPr>
        <w:ind w:firstLine="1529"/>
        <w:spacing w:after="0" w:line="259" w:lineRule="auto"/>
        <w:tabs>
          <w:tab w:leader="none" w:pos="172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Unless such assignment is to a Person that is a Term Lender, an Affiliate of a Term Lender or an Approved Fund, the Administrative Agent shall have given its prior written consent to such assignment.</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Each such assignment shall be of a constant, and not a varying, percentage of all the Assigning Term Lender’s rights and obligations under this Agreement.</w:t>
      </w:r>
    </w:p>
    <w:p>
      <w:pPr>
        <w:spacing w:after="0" w:line="91" w:lineRule="exact"/>
        <w:rPr>
          <w:rFonts w:ascii="Arial" w:cs="Arial" w:eastAsia="Arial" w:hAnsi="Arial"/>
          <w:sz w:val="14"/>
          <w:szCs w:val="14"/>
          <w:color w:val="auto"/>
        </w:rPr>
      </w:pPr>
    </w:p>
    <w:p>
      <w:pPr>
        <w:ind w:left="1740" w:hanging="211"/>
        <w:spacing w:after="0"/>
        <w:tabs>
          <w:tab w:leader="none" w:pos="174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Reserved.</w:t>
      </w:r>
    </w:p>
    <w:p>
      <w:pPr>
        <w:spacing w:after="0" w:line="79" w:lineRule="exact"/>
        <w:rPr>
          <w:rFonts w:ascii="Arial" w:cs="Arial" w:eastAsia="Arial" w:hAnsi="Arial"/>
          <w:sz w:val="15"/>
          <w:szCs w:val="15"/>
          <w:color w:val="auto"/>
        </w:rPr>
      </w:pPr>
    </w:p>
    <w:p>
      <w:pPr>
        <w:jc w:val="both"/>
        <w:ind w:firstLine="1529"/>
        <w:spacing w:after="0" w:line="243" w:lineRule="auto"/>
        <w:tabs>
          <w:tab w:leader="none" w:pos="1738"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If no Event of Default has occurred, any such assignment to a Person not then a Term Lender, an Affiliate of a Term Lender or an Approved Fund shall be subject to the prior consent of the Borrowers’ Representative, not to be unreasonably withheld or delayed, which consent shall be deemed given unless the Borrowers’ Representative provides the Administrative Agent with written objection not more than five (5) Business Days after the Administrative Agent shall have given the Borrowers’ Representative written notice of a proposed assignment, such notice to state that consent will be deemed given by the Borrowers’ Representative if written objection is not received by the Administrative Agent within such five (5) Business Days.</w:t>
      </w:r>
    </w:p>
    <w:p>
      <w:pPr>
        <w:spacing w:after="0" w:line="141" w:lineRule="exact"/>
        <w:rPr>
          <w:sz w:val="20"/>
          <w:szCs w:val="20"/>
          <w:color w:val="auto"/>
        </w:rPr>
      </w:pPr>
    </w:p>
    <w:p>
      <w:pPr>
        <w:ind w:firstLine="765"/>
        <w:spacing w:after="0" w:line="265" w:lineRule="auto"/>
        <w:rPr>
          <w:sz w:val="20"/>
          <w:szCs w:val="20"/>
          <w:color w:val="auto"/>
        </w:rPr>
      </w:pPr>
      <w:r>
        <w:rPr>
          <w:rFonts w:ascii="Arial" w:cs="Arial" w:eastAsia="Arial" w:hAnsi="Arial"/>
          <w:sz w:val="15"/>
          <w:szCs w:val="15"/>
          <w:b w:val="1"/>
          <w:bCs w:val="1"/>
          <w:color w:val="auto"/>
        </w:rPr>
        <w:t>16.2. A</w:t>
      </w:r>
      <w:r>
        <w:rPr>
          <w:rFonts w:ascii="Arial" w:cs="Arial" w:eastAsia="Arial" w:hAnsi="Arial"/>
          <w:sz w:val="10"/>
          <w:szCs w:val="10"/>
          <w:b w:val="1"/>
          <w:bCs w:val="1"/>
          <w:color w:val="auto"/>
        </w:rPr>
        <w:t>SSIGNMENT</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ROCEDURES</w:t>
      </w:r>
      <w:r>
        <w:rPr>
          <w:rFonts w:ascii="Arial" w:cs="Arial" w:eastAsia="Arial" w:hAnsi="Arial"/>
          <w:sz w:val="15"/>
          <w:szCs w:val="15"/>
          <w:b w:val="1"/>
          <w:bCs w:val="1"/>
          <w:color w:val="auto"/>
        </w:rPr>
        <w:t xml:space="preserve">. </w:t>
      </w:r>
      <w:r>
        <w:rPr>
          <w:rFonts w:ascii="Arial" w:cs="Arial" w:eastAsia="Arial" w:hAnsi="Arial"/>
          <w:sz w:val="15"/>
          <w:szCs w:val="15"/>
          <w:color w:val="auto"/>
        </w:rPr>
        <w:t>(This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16.2</w:t>
      </w:r>
      <w:r>
        <w:rPr>
          <w:rFonts w:ascii="Arial" w:cs="Arial" w:eastAsia="Arial" w:hAnsi="Arial"/>
          <w:sz w:val="15"/>
          <w:szCs w:val="15"/>
          <w:b w:val="1"/>
          <w:bCs w:val="1"/>
          <w:color w:val="auto"/>
        </w:rPr>
        <w:t xml:space="preserve"> </w:t>
      </w:r>
      <w:r>
        <w:rPr>
          <w:rFonts w:ascii="Arial" w:cs="Arial" w:eastAsia="Arial" w:hAnsi="Arial"/>
          <w:sz w:val="15"/>
          <w:szCs w:val="15"/>
          <w:color w:val="auto"/>
        </w:rPr>
        <w:t>describes the procedures to be followed in connection with an assignment effected pursuant to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16</w:t>
      </w:r>
      <w:r>
        <w:rPr>
          <w:rFonts w:ascii="Arial" w:cs="Arial" w:eastAsia="Arial" w:hAnsi="Arial"/>
          <w:sz w:val="15"/>
          <w:szCs w:val="15"/>
          <w:b w:val="1"/>
          <w:bCs w:val="1"/>
          <w:color w:val="auto"/>
        </w:rPr>
        <w:t xml:space="preserve"> </w:t>
      </w:r>
      <w:r>
        <w:rPr>
          <w:rFonts w:ascii="Arial" w:cs="Arial" w:eastAsia="Arial" w:hAnsi="Arial"/>
          <w:sz w:val="15"/>
          <w:szCs w:val="15"/>
          <w:color w:val="auto"/>
        </w:rPr>
        <w:t>and permitted by</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16.1</w:t>
      </w:r>
      <w:r>
        <w:rPr>
          <w:rFonts w:ascii="Arial" w:cs="Arial" w:eastAsia="Arial" w:hAnsi="Arial"/>
          <w:sz w:val="15"/>
          <w:szCs w:val="15"/>
          <w:color w:val="auto"/>
        </w:rPr>
        <w:t>).</w:t>
      </w:r>
    </w:p>
    <w:p>
      <w:pPr>
        <w:spacing w:after="0" w:line="47" w:lineRule="exact"/>
        <w:rPr>
          <w:sz w:val="20"/>
          <w:szCs w:val="20"/>
          <w:color w:val="auto"/>
        </w:rPr>
      </w:pPr>
    </w:p>
    <w:p>
      <w:pPr>
        <w:ind w:firstLine="1529"/>
        <w:spacing w:after="0" w:line="259" w:lineRule="auto"/>
        <w:tabs>
          <w:tab w:leader="none" w:pos="1733" w:val="left"/>
        </w:tabs>
        <w:numPr>
          <w:ilvl w:val="0"/>
          <w:numId w:val="175"/>
        </w:numPr>
        <w:rPr>
          <w:rFonts w:ascii="Arial" w:cs="Arial" w:eastAsia="Arial" w:hAnsi="Arial"/>
          <w:sz w:val="15"/>
          <w:szCs w:val="15"/>
          <w:color w:val="auto"/>
        </w:rPr>
      </w:pPr>
      <w:r>
        <w:rPr>
          <w:rFonts w:ascii="Arial" w:cs="Arial" w:eastAsia="Arial" w:hAnsi="Arial"/>
          <w:sz w:val="15"/>
          <w:szCs w:val="15"/>
          <w:color w:val="auto"/>
        </w:rPr>
        <w:t xml:space="preserve">The parties to such an assignment shall execute and deliver to the Administrative Agent, for recording in the Register, an Assignment and Acceptance substantially in the form of </w:t>
      </w:r>
      <w:r>
        <w:rPr>
          <w:rFonts w:ascii="Arial" w:cs="Arial" w:eastAsia="Arial" w:hAnsi="Arial"/>
          <w:sz w:val="15"/>
          <w:szCs w:val="15"/>
          <w:b w:val="1"/>
          <w:bCs w:val="1"/>
          <w:color w:val="auto"/>
        </w:rPr>
        <w:t>EXHIBIT 16.1</w:t>
      </w:r>
      <w:r>
        <w:rPr>
          <w:rFonts w:ascii="Arial" w:cs="Arial" w:eastAsia="Arial" w:hAnsi="Arial"/>
          <w:sz w:val="15"/>
          <w:szCs w:val="15"/>
          <w:color w:val="auto"/>
        </w:rPr>
        <w:t xml:space="preserve">, annexed hereto (an </w:t>
      </w:r>
      <w:r>
        <w:rPr>
          <w:rFonts w:ascii="Arial" w:cs="Arial" w:eastAsia="Arial" w:hAnsi="Arial"/>
          <w:sz w:val="15"/>
          <w:szCs w:val="15"/>
          <w:b w:val="1"/>
          <w:bCs w:val="1"/>
          <w:color w:val="auto"/>
        </w:rPr>
        <w:t>“Assignment</w:t>
      </w:r>
      <w:r>
        <w:rPr>
          <w:rFonts w:ascii="Arial" w:cs="Arial" w:eastAsia="Arial" w:hAnsi="Arial"/>
          <w:sz w:val="15"/>
          <w:szCs w:val="15"/>
          <w:color w:val="auto"/>
        </w:rPr>
        <w:t xml:space="preserve"> and </w:t>
      </w:r>
      <w:r>
        <w:rPr>
          <w:rFonts w:ascii="Arial" w:cs="Arial" w:eastAsia="Arial" w:hAnsi="Arial"/>
          <w:sz w:val="15"/>
          <w:szCs w:val="15"/>
          <w:b w:val="1"/>
          <w:bCs w:val="1"/>
          <w:color w:val="auto"/>
        </w:rPr>
        <w:t>Acceptance”</w:t>
      </w:r>
      <w:r>
        <w:rPr>
          <w:rFonts w:ascii="Arial" w:cs="Arial" w:eastAsia="Arial" w:hAnsi="Arial"/>
          <w:sz w:val="15"/>
          <w:szCs w:val="15"/>
          <w:color w:val="auto"/>
        </w:rPr>
        <w:t>).</w:t>
      </w:r>
    </w:p>
    <w:p>
      <w:pPr>
        <w:spacing w:after="0" w:line="51" w:lineRule="exact"/>
        <w:rPr>
          <w:rFonts w:ascii="Arial" w:cs="Arial" w:eastAsia="Arial" w:hAnsi="Arial"/>
          <w:sz w:val="15"/>
          <w:szCs w:val="15"/>
          <w:color w:val="auto"/>
        </w:rPr>
      </w:pPr>
    </w:p>
    <w:p>
      <w:pPr>
        <w:jc w:val="both"/>
        <w:ind w:firstLine="1529"/>
        <w:spacing w:after="0" w:line="249" w:lineRule="auto"/>
        <w:tabs>
          <w:tab w:leader="none" w:pos="1745" w:val="left"/>
        </w:tabs>
        <w:numPr>
          <w:ilvl w:val="0"/>
          <w:numId w:val="175"/>
        </w:numPr>
        <w:rPr>
          <w:rFonts w:ascii="Arial" w:cs="Arial" w:eastAsia="Arial" w:hAnsi="Arial"/>
          <w:sz w:val="15"/>
          <w:szCs w:val="15"/>
          <w:color w:val="auto"/>
        </w:rPr>
      </w:pPr>
      <w:r>
        <w:rPr>
          <w:rFonts w:ascii="Arial" w:cs="Arial" w:eastAsia="Arial" w:hAnsi="Arial"/>
          <w:sz w:val="15"/>
          <w:szCs w:val="15"/>
          <w:color w:val="auto"/>
        </w:rPr>
        <w:t xml:space="preserve">The Assigning Term Lender shall deliver to the Administrative Agent, with such Assignment and Acceptance, the Term Note held by the subject Assigning Term Lender and the Administrative Agent’s processing fee of $3,000.00;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no such processing fee shall be due where the Assigning Term Lender is one of the Term Lenders at the initial execution of this Agreement.</w:t>
      </w:r>
    </w:p>
    <w:p>
      <w:pPr>
        <w:spacing w:after="0" w:line="54" w:lineRule="exact"/>
        <w:rPr>
          <w:rFonts w:ascii="Arial" w:cs="Arial" w:eastAsia="Arial" w:hAnsi="Arial"/>
          <w:sz w:val="15"/>
          <w:szCs w:val="15"/>
          <w:color w:val="auto"/>
        </w:rPr>
      </w:pPr>
    </w:p>
    <w:p>
      <w:pPr>
        <w:jc w:val="both"/>
        <w:ind w:firstLine="1529"/>
        <w:spacing w:after="0" w:line="297" w:lineRule="auto"/>
        <w:tabs>
          <w:tab w:leader="none" w:pos="173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The Administrative Agent shall maintain a copy of each Assignment and Acceptance delivered to it and a register or similar list (the </w:t>
      </w:r>
      <w:r>
        <w:rPr>
          <w:rFonts w:ascii="Arial" w:cs="Arial" w:eastAsia="Arial" w:hAnsi="Arial"/>
          <w:sz w:val="13"/>
          <w:szCs w:val="13"/>
          <w:b w:val="1"/>
          <w:bCs w:val="1"/>
          <w:color w:val="auto"/>
        </w:rPr>
        <w:t>“Register”</w:t>
      </w:r>
      <w:r>
        <w:rPr>
          <w:rFonts w:ascii="Arial" w:cs="Arial" w:eastAsia="Arial" w:hAnsi="Arial"/>
          <w:sz w:val="13"/>
          <w:szCs w:val="13"/>
          <w:color w:val="auto"/>
        </w:rPr>
        <w:t>) for the recordation of the names and addresses of the Term Lenders and of the Term Dollar Commitment and Term Percentage Commitment of each Term Lender. The Register shall be available for inspection by the Term Lenders at any reasonable time and from time to time upon reasonable prior notice. In the absence of manifest error, the entries in the Register shall be conclusive and binding on all Term Lenders. The Administrative Agent and the Term Lenders may treat each Person whose name is recorded in the Register as a “Term Lender” hereunder for all purposes of this Agreement.</w:t>
      </w:r>
    </w:p>
    <w:p>
      <w:pPr>
        <w:spacing w:after="0" w:line="30" w:lineRule="exact"/>
        <w:rPr>
          <w:rFonts w:ascii="Arial" w:cs="Arial" w:eastAsia="Arial" w:hAnsi="Arial"/>
          <w:sz w:val="13"/>
          <w:szCs w:val="13"/>
          <w:color w:val="auto"/>
        </w:rPr>
      </w:pPr>
    </w:p>
    <w:p>
      <w:pPr>
        <w:ind w:firstLine="1529"/>
        <w:spacing w:after="0" w:line="259" w:lineRule="auto"/>
        <w:tabs>
          <w:tab w:leader="none" w:pos="1746"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Assigning Term Lender and Assignee Term Lender, directly between themselves, shall make all appropriate adjustments in payments for periods prior to the effective date of an Assignment and Assumption.</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16.3. E</w:t>
      </w:r>
      <w:r>
        <w:rPr>
          <w:rFonts w:ascii="Arial" w:cs="Arial" w:eastAsia="Arial" w:hAnsi="Arial"/>
          <w:sz w:val="10"/>
          <w:szCs w:val="10"/>
          <w:b w:val="1"/>
          <w:bCs w:val="1"/>
          <w:color w:val="auto"/>
        </w:rPr>
        <w:t>FFECT</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SSIGNMENT</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From and after the effective date specified in an Assignment and Acceptance which has been executed, delivered, and recorded (which effective date the Administrative Agent may delay by up to five (5) Business Days after the delivery of such Assignment and Acceptance):</w:t>
      </w:r>
    </w:p>
    <w:p>
      <w:pPr>
        <w:spacing w:after="0" w:line="51" w:lineRule="exact"/>
        <w:rPr>
          <w:rFonts w:ascii="Arial" w:cs="Arial" w:eastAsia="Arial" w:hAnsi="Arial"/>
          <w:sz w:val="15"/>
          <w:szCs w:val="15"/>
          <w:color w:val="auto"/>
        </w:rPr>
      </w:pPr>
    </w:p>
    <w:p>
      <w:pPr>
        <w:ind w:left="2360" w:hanging="168"/>
        <w:spacing w:after="0"/>
        <w:tabs>
          <w:tab w:leader="none" w:pos="236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The Assignee Term Lender:</w:t>
      </w:r>
    </w:p>
    <w:p>
      <w:pPr>
        <w:spacing w:after="0" w:line="89" w:lineRule="exact"/>
        <w:rPr>
          <w:rFonts w:ascii="Arial" w:cs="Arial" w:eastAsia="Arial" w:hAnsi="Arial"/>
          <w:sz w:val="15"/>
          <w:szCs w:val="15"/>
          <w:color w:val="auto"/>
        </w:rPr>
      </w:pPr>
    </w:p>
    <w:p>
      <w:pPr>
        <w:ind w:left="3180" w:hanging="274"/>
        <w:spacing w:after="0"/>
        <w:tabs>
          <w:tab w:leader="none" w:pos="3180" w:val="left"/>
        </w:tabs>
        <w:numPr>
          <w:ilvl w:val="2"/>
          <w:numId w:val="176"/>
        </w:numPr>
        <w:rPr>
          <w:rFonts w:ascii="Arial" w:cs="Arial" w:eastAsia="Arial" w:hAnsi="Arial"/>
          <w:sz w:val="14"/>
          <w:szCs w:val="14"/>
          <w:color w:val="auto"/>
        </w:rPr>
      </w:pPr>
      <w:r>
        <w:rPr>
          <w:rFonts w:ascii="Arial" w:cs="Arial" w:eastAsia="Arial" w:hAnsi="Arial"/>
          <w:sz w:val="13"/>
          <w:szCs w:val="13"/>
          <w:color w:val="auto"/>
        </w:rPr>
        <w:t>Shall be a party to this Agreement and the other Loan Documents (and to any amendments thereof) as fully as if the Assignee Term Lender</w:t>
      </w:r>
    </w:p>
    <w:p>
      <w:pPr>
        <w:spacing w:after="0" w:line="22"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5"/>
          <w:szCs w:val="15"/>
          <w:color w:val="auto"/>
        </w:rPr>
        <w:t>had executed each.</w:t>
      </w:r>
    </w:p>
    <w:p>
      <w:pPr>
        <w:spacing w:after="0" w:line="77" w:lineRule="exact"/>
        <w:rPr>
          <w:rFonts w:ascii="Arial" w:cs="Arial" w:eastAsia="Arial" w:hAnsi="Arial"/>
          <w:sz w:val="14"/>
          <w:szCs w:val="14"/>
          <w:color w:val="auto"/>
        </w:rPr>
      </w:pPr>
    </w:p>
    <w:p>
      <w:pPr>
        <w:ind w:left="760" w:firstLine="2146"/>
        <w:spacing w:after="0" w:line="243" w:lineRule="auto"/>
        <w:tabs>
          <w:tab w:leader="none" w:pos="3166" w:val="left"/>
        </w:tabs>
        <w:numPr>
          <w:ilvl w:val="2"/>
          <w:numId w:val="176"/>
        </w:numPr>
        <w:rPr>
          <w:rFonts w:ascii="Arial" w:cs="Arial" w:eastAsia="Arial" w:hAnsi="Arial"/>
          <w:sz w:val="16"/>
          <w:szCs w:val="16"/>
          <w:color w:val="auto"/>
        </w:rPr>
      </w:pPr>
      <w:r>
        <w:rPr>
          <w:rFonts w:ascii="Arial" w:cs="Arial" w:eastAsia="Arial" w:hAnsi="Arial"/>
          <w:sz w:val="15"/>
          <w:szCs w:val="15"/>
          <w:color w:val="auto"/>
        </w:rPr>
        <w:t>Shall have the rights of a Term Lender hereunder to the extent of the Term Dollar Commitment and the Term Percentage Commitment assigned by such Assignment and Acceptance.</w:t>
      </w:r>
    </w:p>
    <w:p>
      <w:pPr>
        <w:spacing w:after="0" w:line="143" w:lineRule="exact"/>
        <w:rPr>
          <w:rFonts w:ascii="Arial" w:cs="Arial" w:eastAsia="Arial" w:hAnsi="Arial"/>
          <w:sz w:val="16"/>
          <w:szCs w:val="16"/>
          <w:color w:val="auto"/>
        </w:rPr>
      </w:pPr>
    </w:p>
    <w:p>
      <w:pPr>
        <w:ind w:left="5660" w:hanging="86"/>
        <w:spacing w:after="0"/>
        <w:tabs>
          <w:tab w:leader="none" w:pos="5660" w:val="left"/>
        </w:tabs>
        <w:numPr>
          <w:ilvl w:val="3"/>
          <w:numId w:val="176"/>
        </w:numPr>
        <w:rPr>
          <w:rFonts w:ascii="Arial" w:cs="Arial" w:eastAsia="Arial" w:hAnsi="Arial"/>
          <w:sz w:val="15"/>
          <w:szCs w:val="15"/>
          <w:color w:val="auto"/>
        </w:rPr>
      </w:pPr>
      <w:r>
        <w:rPr>
          <w:rFonts w:ascii="Arial" w:cs="Arial" w:eastAsia="Arial" w:hAnsi="Arial"/>
          <w:sz w:val="15"/>
          <w:szCs w:val="15"/>
          <w:color w:val="auto"/>
        </w:rPr>
        <w:t>63 -</w:t>
      </w:r>
    </w:p>
    <w:p>
      <w:pPr>
        <w:sectPr>
          <w:pgSz w:w="11900" w:h="16838" w:orient="portrait"/>
          <w:cols w:equalWidth="0" w:num="1">
            <w:col w:w="11460"/>
          </w:cols>
          <w:pgMar w:left="220" w:top="284" w:right="219" w:bottom="1440" w:gutter="0" w:footer="0" w:header="0"/>
        </w:sectPr>
      </w:pPr>
    </w:p>
    <w:bookmarkStart w:id="121" w:name="page122"/>
    <w:bookmarkEnd w:id="121"/>
    <w:p>
      <w:pPr>
        <w:ind w:left="760" w:firstLine="1432"/>
        <w:spacing w:after="0" w:line="259" w:lineRule="auto"/>
        <w:tabs>
          <w:tab w:leader="none" w:pos="2422" w:val="left"/>
        </w:tabs>
        <w:numPr>
          <w:ilvl w:val="1"/>
          <w:numId w:val="177"/>
        </w:numPr>
        <w:rPr>
          <w:rFonts w:ascii="Arial" w:cs="Arial" w:eastAsia="Arial" w:hAnsi="Arial"/>
          <w:sz w:val="15"/>
          <w:szCs w:val="15"/>
          <w:color w:val="auto"/>
        </w:rPr>
      </w:pPr>
      <w:r>
        <w:rPr>
          <w:rFonts w:ascii="Arial" w:cs="Arial" w:eastAsia="Arial" w:hAnsi="Arial"/>
          <w:sz w:val="15"/>
          <w:szCs w:val="15"/>
          <w:color w:val="auto"/>
        </w:rPr>
        <w:t>The Assigning Term Lender shall be released from the Assigning Term Lender’s obligations under this Agreement and the Loan Documents to the extent of the Term Dollar Commitment assigned by such Assignment and Acceptance.</w:t>
      </w:r>
    </w:p>
    <w:p>
      <w:pPr>
        <w:spacing w:after="0" w:line="51" w:lineRule="exact"/>
        <w:rPr>
          <w:rFonts w:ascii="Arial" w:cs="Arial" w:eastAsia="Arial" w:hAnsi="Arial"/>
          <w:sz w:val="15"/>
          <w:szCs w:val="15"/>
          <w:color w:val="auto"/>
        </w:rPr>
      </w:pPr>
    </w:p>
    <w:p>
      <w:pPr>
        <w:ind w:left="2460" w:hanging="268"/>
        <w:spacing w:after="0"/>
        <w:tabs>
          <w:tab w:leader="none" w:pos="246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The Administrative Agent shall undertake to obtain and distribute replacement Term Notes to the subject Assigning Term Lender and Assignee Term</w:t>
      </w:r>
    </w:p>
    <w:p>
      <w:pPr>
        <w:spacing w:after="0" w:line="33"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5"/>
          <w:szCs w:val="15"/>
          <w:color w:val="auto"/>
        </w:rPr>
        <w:t>Lender.</w:t>
      </w:r>
    </w:p>
    <w:p>
      <w:pPr>
        <w:spacing w:after="0" w:line="67" w:lineRule="exact"/>
        <w:rPr>
          <w:rFonts w:ascii="Arial" w:cs="Arial" w:eastAsia="Arial" w:hAnsi="Arial"/>
          <w:sz w:val="13"/>
          <w:szCs w:val="13"/>
          <w:color w:val="auto"/>
        </w:rPr>
      </w:pPr>
    </w:p>
    <w:p>
      <w:pPr>
        <w:ind w:firstLine="1529"/>
        <w:spacing w:after="0" w:line="259" w:lineRule="auto"/>
        <w:tabs>
          <w:tab w:leader="none" w:pos="1747" w:val="left"/>
        </w:tabs>
        <w:numPr>
          <w:ilvl w:val="0"/>
          <w:numId w:val="178"/>
        </w:numPr>
        <w:rPr>
          <w:rFonts w:ascii="Arial" w:cs="Arial" w:eastAsia="Arial" w:hAnsi="Arial"/>
          <w:sz w:val="15"/>
          <w:szCs w:val="15"/>
          <w:color w:val="auto"/>
        </w:rPr>
      </w:pPr>
      <w:r>
        <w:rPr>
          <w:rFonts w:ascii="Arial" w:cs="Arial" w:eastAsia="Arial" w:hAnsi="Arial"/>
          <w:sz w:val="15"/>
          <w:szCs w:val="15"/>
          <w:color w:val="auto"/>
        </w:rPr>
        <w:t>By executing and delivering an Assignment and Acceptance, the parties thereto confirm to and agree with each other and with all parties to this Agreement as to those matters which are set forth in the subject Assignment and Acceptance.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17 - N</w:t>
      </w:r>
      <w:r>
        <w:rPr>
          <w:rFonts w:ascii="Arial" w:cs="Arial" w:eastAsia="Arial" w:hAnsi="Arial"/>
          <w:sz w:val="10"/>
          <w:szCs w:val="10"/>
          <w:b w:val="1"/>
          <w:bCs w:val="1"/>
          <w:color w:val="auto"/>
        </w:rPr>
        <w:t>OTICES</w:t>
      </w:r>
      <w:r>
        <w:rPr>
          <w:rFonts w:ascii="Arial" w:cs="Arial" w:eastAsia="Arial" w:hAnsi="Arial"/>
          <w:sz w:val="15"/>
          <w:szCs w:val="15"/>
          <w:b w:val="1"/>
          <w:bCs w:val="1"/>
          <w:color w:val="auto"/>
        </w:rPr>
        <w:t>:</w:t>
      </w:r>
    </w:p>
    <w:p>
      <w:pPr>
        <w:spacing w:after="0" w:line="160"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17.1. N</w:t>
      </w:r>
      <w:r>
        <w:rPr>
          <w:rFonts w:ascii="Arial" w:cs="Arial" w:eastAsia="Arial" w:hAnsi="Arial"/>
          <w:sz w:val="10"/>
          <w:szCs w:val="10"/>
          <w:b w:val="1"/>
          <w:bCs w:val="1"/>
          <w:color w:val="auto"/>
        </w:rPr>
        <w:t>OTICE</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DDRESSES</w:t>
      </w:r>
      <w:r>
        <w:rPr>
          <w:rFonts w:ascii="Arial" w:cs="Arial" w:eastAsia="Arial" w:hAnsi="Arial"/>
          <w:sz w:val="15"/>
          <w:szCs w:val="15"/>
          <w:color w:val="auto"/>
        </w:rPr>
        <w:t>. All notices, demands, and other communications made in respect of any Loan Document (other than a request for a loan or advance or other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accommodation under the Term Facility) shall be made to the following addresses, each of which may be changed upon seven (7) days’ written notice to all others given by certified mail, return receipt requested: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If to either Agent:</w:t>
      </w:r>
    </w:p>
    <w:p>
      <w:pPr>
        <w:spacing w:after="0" w:line="16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Wells Fargo Bank, National Association</w:t>
      </w:r>
    </w:p>
    <w:p>
      <w:pPr>
        <w:spacing w:after="0" w:line="1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One Boston Place, 18</w:t>
      </w:r>
      <w:r>
        <w:rPr>
          <w:rFonts w:ascii="Arial" w:cs="Arial" w:eastAsia="Arial" w:hAnsi="Arial"/>
          <w:sz w:val="12"/>
          <w:szCs w:val="12"/>
          <w:color w:val="auto"/>
        </w:rPr>
        <w:t>th</w:t>
      </w:r>
      <w:r>
        <w:rPr>
          <w:rFonts w:ascii="Arial" w:cs="Arial" w:eastAsia="Arial" w:hAnsi="Arial"/>
          <w:sz w:val="15"/>
          <w:szCs w:val="15"/>
          <w:color w:val="auto"/>
        </w:rPr>
        <w:t xml:space="preserve"> Floor</w:t>
      </w:r>
    </w:p>
    <w:p>
      <w:pPr>
        <w:ind w:left="2300"/>
        <w:spacing w:after="0" w:line="238" w:lineRule="auto"/>
        <w:rPr>
          <w:sz w:val="20"/>
          <w:szCs w:val="20"/>
          <w:color w:val="auto"/>
        </w:rPr>
      </w:pPr>
      <w:r>
        <w:rPr>
          <w:rFonts w:ascii="Arial" w:cs="Arial" w:eastAsia="Arial" w:hAnsi="Arial"/>
          <w:sz w:val="15"/>
          <w:szCs w:val="15"/>
          <w:color w:val="auto"/>
        </w:rPr>
        <w:t>Boston, Massachusetts 02108</w:t>
      </w:r>
    </w:p>
    <w:p>
      <w:pPr>
        <w:ind w:left="2300"/>
        <w:spacing w:after="0"/>
        <w:rPr>
          <w:sz w:val="20"/>
          <w:szCs w:val="20"/>
          <w:color w:val="auto"/>
        </w:rPr>
      </w:pPr>
      <w:r>
        <w:rPr>
          <w:rFonts w:ascii="Arial" w:cs="Arial" w:eastAsia="Arial" w:hAnsi="Arial"/>
          <w:sz w:val="15"/>
          <w:szCs w:val="15"/>
          <w:color w:val="auto"/>
        </w:rPr>
        <w:t>Attention: Sally A. Sheehan</w:t>
      </w:r>
    </w:p>
    <w:p>
      <w:pPr>
        <w:ind w:left="230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sally.a.sheehan@wellsfargo.com</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5"/>
          <w:szCs w:val="15"/>
          <w:i w:val="1"/>
          <w:iCs w:val="1"/>
          <w:color w:val="auto"/>
        </w:rPr>
        <w:t>With a copy to:</w:t>
      </w:r>
    </w:p>
    <w:p>
      <w:pPr>
        <w:spacing w:after="0" w:line="16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Choate, Hall &amp; Stewart LLP</w:t>
      </w:r>
    </w:p>
    <w:p>
      <w:pPr>
        <w:spacing w:after="0" w:line="1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Two International Place</w:t>
      </w:r>
    </w:p>
    <w:p>
      <w:pPr>
        <w:ind w:left="2300"/>
        <w:spacing w:after="0" w:line="238" w:lineRule="auto"/>
        <w:rPr>
          <w:sz w:val="20"/>
          <w:szCs w:val="20"/>
          <w:color w:val="auto"/>
        </w:rPr>
      </w:pPr>
      <w:r>
        <w:rPr>
          <w:rFonts w:ascii="Arial" w:cs="Arial" w:eastAsia="Arial" w:hAnsi="Arial"/>
          <w:sz w:val="15"/>
          <w:szCs w:val="15"/>
          <w:color w:val="auto"/>
        </w:rPr>
        <w:t>Boston, Massachusetts 02110</w:t>
      </w:r>
    </w:p>
    <w:p>
      <w:pPr>
        <w:ind w:left="2300"/>
        <w:spacing w:after="0"/>
        <w:rPr>
          <w:sz w:val="20"/>
          <w:szCs w:val="20"/>
          <w:color w:val="auto"/>
        </w:rPr>
      </w:pPr>
      <w:r>
        <w:rPr>
          <w:rFonts w:ascii="Arial" w:cs="Arial" w:eastAsia="Arial" w:hAnsi="Arial"/>
          <w:sz w:val="15"/>
          <w:szCs w:val="15"/>
          <w:color w:val="auto"/>
        </w:rPr>
        <w:t>Attention: Kevin J. Simard, Esquire</w:t>
      </w:r>
    </w:p>
    <w:p>
      <w:pPr>
        <w:ind w:left="2300"/>
        <w:spacing w:after="0" w:line="238" w:lineRule="auto"/>
        <w:rPr>
          <w:sz w:val="20"/>
          <w:szCs w:val="20"/>
          <w:color w:val="auto"/>
        </w:rPr>
      </w:pPr>
      <w:r>
        <w:rPr>
          <w:rFonts w:ascii="Arial" w:cs="Arial" w:eastAsia="Arial" w:hAnsi="Arial"/>
          <w:sz w:val="15"/>
          <w:szCs w:val="15"/>
          <w:color w:val="auto"/>
        </w:rPr>
        <w:t>Fax: 617-502-4086</w:t>
      </w:r>
    </w:p>
    <w:p>
      <w:pPr>
        <w:ind w:left="230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ksimard@choate.com</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If to the Borrowers’ Representative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and all Loan Parties:</w:t>
      </w:r>
    </w:p>
    <w:p>
      <w:pPr>
        <w:spacing w:after="0" w:line="148"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Destination XL Group, Inc.</w:t>
      </w:r>
    </w:p>
    <w:p>
      <w:pPr>
        <w:spacing w:after="0" w:line="1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555 Turnpike Street</w:t>
      </w:r>
    </w:p>
    <w:p>
      <w:pPr>
        <w:ind w:left="2300"/>
        <w:spacing w:after="0" w:line="238" w:lineRule="auto"/>
        <w:rPr>
          <w:sz w:val="20"/>
          <w:szCs w:val="20"/>
          <w:color w:val="auto"/>
        </w:rPr>
      </w:pPr>
      <w:r>
        <w:rPr>
          <w:rFonts w:ascii="Arial" w:cs="Arial" w:eastAsia="Arial" w:hAnsi="Arial"/>
          <w:sz w:val="15"/>
          <w:szCs w:val="15"/>
          <w:color w:val="auto"/>
        </w:rPr>
        <w:t>Canton, Massachusetts 02021</w:t>
      </w:r>
    </w:p>
    <w:p>
      <w:pPr>
        <w:ind w:left="2300"/>
        <w:spacing w:after="0"/>
        <w:rPr>
          <w:sz w:val="20"/>
          <w:szCs w:val="20"/>
          <w:color w:val="auto"/>
        </w:rPr>
      </w:pPr>
      <w:r>
        <w:rPr>
          <w:rFonts w:ascii="Arial" w:cs="Arial" w:eastAsia="Arial" w:hAnsi="Arial"/>
          <w:sz w:val="15"/>
          <w:szCs w:val="15"/>
          <w:color w:val="auto"/>
        </w:rPr>
        <w:t>Attention: Peter Stratton</w:t>
      </w:r>
    </w:p>
    <w:p>
      <w:pPr>
        <w:ind w:left="3320"/>
        <w:spacing w:after="0" w:line="238" w:lineRule="auto"/>
        <w:rPr>
          <w:sz w:val="20"/>
          <w:szCs w:val="20"/>
          <w:color w:val="auto"/>
        </w:rPr>
      </w:pPr>
      <w:r>
        <w:rPr>
          <w:rFonts w:ascii="Arial" w:cs="Arial" w:eastAsia="Arial" w:hAnsi="Arial"/>
          <w:sz w:val="15"/>
          <w:szCs w:val="15"/>
          <w:color w:val="auto"/>
        </w:rPr>
        <w:t>Chief Financial Officer</w:t>
      </w:r>
    </w:p>
    <w:p>
      <w:pPr>
        <w:ind w:left="2300"/>
        <w:spacing w:after="0"/>
        <w:rPr>
          <w:sz w:val="20"/>
          <w:szCs w:val="20"/>
          <w:color w:val="auto"/>
        </w:rPr>
      </w:pPr>
      <w:r>
        <w:rPr>
          <w:rFonts w:ascii="Arial" w:cs="Arial" w:eastAsia="Arial" w:hAnsi="Arial"/>
          <w:sz w:val="15"/>
          <w:szCs w:val="15"/>
          <w:color w:val="auto"/>
        </w:rPr>
        <w:t>Fax: 781-828-3221</w:t>
      </w:r>
    </w:p>
    <w:p>
      <w:pPr>
        <w:ind w:left="230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PStratton@DXLG.com</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5"/>
          <w:szCs w:val="15"/>
          <w:i w:val="1"/>
          <w:iCs w:val="1"/>
          <w:color w:val="auto"/>
        </w:rPr>
        <w:t>With a copy to:</w:t>
      </w:r>
    </w:p>
    <w:p>
      <w:pPr>
        <w:spacing w:after="0" w:line="16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Greenberg Traurig LLP</w:t>
      </w:r>
    </w:p>
    <w:p>
      <w:pPr>
        <w:spacing w:after="0" w:line="1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One International Place</w:t>
      </w:r>
    </w:p>
    <w:p>
      <w:pPr>
        <w:ind w:left="2300"/>
        <w:spacing w:after="0" w:line="238" w:lineRule="auto"/>
        <w:rPr>
          <w:sz w:val="20"/>
          <w:szCs w:val="20"/>
          <w:color w:val="auto"/>
        </w:rPr>
      </w:pPr>
      <w:r>
        <w:rPr>
          <w:rFonts w:ascii="Arial" w:cs="Arial" w:eastAsia="Arial" w:hAnsi="Arial"/>
          <w:sz w:val="15"/>
          <w:szCs w:val="15"/>
          <w:color w:val="auto"/>
        </w:rPr>
        <w:t>Boston, Massachusetts 02110</w:t>
      </w:r>
    </w:p>
    <w:p>
      <w:pPr>
        <w:ind w:left="2300"/>
        <w:spacing w:after="0"/>
        <w:rPr>
          <w:sz w:val="20"/>
          <w:szCs w:val="20"/>
          <w:color w:val="auto"/>
        </w:rPr>
      </w:pPr>
      <w:r>
        <w:rPr>
          <w:rFonts w:ascii="Arial" w:cs="Arial" w:eastAsia="Arial" w:hAnsi="Arial"/>
          <w:sz w:val="15"/>
          <w:szCs w:val="15"/>
          <w:color w:val="auto"/>
        </w:rPr>
        <w:t>Attention: Jonathan Bell, Esquire</w:t>
      </w:r>
    </w:p>
    <w:p>
      <w:pPr>
        <w:ind w:left="2300"/>
        <w:spacing w:after="0" w:line="238" w:lineRule="auto"/>
        <w:rPr>
          <w:sz w:val="20"/>
          <w:szCs w:val="20"/>
          <w:color w:val="auto"/>
        </w:rPr>
      </w:pPr>
      <w:r>
        <w:rPr>
          <w:rFonts w:ascii="Arial" w:cs="Arial" w:eastAsia="Arial" w:hAnsi="Arial"/>
          <w:sz w:val="15"/>
          <w:szCs w:val="15"/>
          <w:color w:val="auto"/>
        </w:rPr>
        <w:t>Fax: 617-310-6001</w:t>
      </w:r>
    </w:p>
    <w:p>
      <w:pPr>
        <w:ind w:left="230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bellj@gtlaw.com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- 64 -</w:t>
      </w:r>
    </w:p>
    <w:p>
      <w:pPr>
        <w:sectPr>
          <w:pgSz w:w="11900" w:h="16838" w:orient="portrait"/>
          <w:cols w:equalWidth="0" w:num="1">
            <w:col w:w="11460"/>
          </w:cols>
          <w:pgMar w:left="220" w:top="208" w:right="219" w:bottom="1440" w:gutter="0" w:footer="0" w:header="0"/>
        </w:sectPr>
      </w:pPr>
    </w:p>
    <w:bookmarkStart w:id="122" w:name="page123"/>
    <w:bookmarkEnd w:id="122"/>
    <w:p>
      <w:pPr>
        <w:ind w:left="760"/>
        <w:spacing w:after="0"/>
        <w:rPr>
          <w:sz w:val="20"/>
          <w:szCs w:val="20"/>
          <w:color w:val="auto"/>
        </w:rPr>
      </w:pPr>
      <w:r>
        <w:rPr>
          <w:rFonts w:ascii="Arial" w:cs="Arial" w:eastAsia="Arial" w:hAnsi="Arial"/>
          <w:sz w:val="15"/>
          <w:szCs w:val="15"/>
          <w:b w:val="1"/>
          <w:bCs w:val="1"/>
          <w:color w:val="auto"/>
        </w:rPr>
        <w:t>17.2. N</w:t>
      </w:r>
      <w:r>
        <w:rPr>
          <w:rFonts w:ascii="Arial" w:cs="Arial" w:eastAsia="Arial" w:hAnsi="Arial"/>
          <w:sz w:val="10"/>
          <w:szCs w:val="10"/>
          <w:b w:val="1"/>
          <w:bCs w:val="1"/>
          <w:color w:val="auto"/>
        </w:rPr>
        <w:t>OTICE</w:t>
      </w:r>
      <w:r>
        <w:rPr>
          <w:rFonts w:ascii="Arial" w:cs="Arial" w:eastAsia="Arial" w:hAnsi="Arial"/>
          <w:sz w:val="15"/>
          <w:szCs w:val="15"/>
          <w:b w:val="1"/>
          <w:bCs w:val="1"/>
          <w:color w:val="auto"/>
        </w:rPr>
        <w:t xml:space="preserve"> G</w:t>
      </w:r>
      <w:r>
        <w:rPr>
          <w:rFonts w:ascii="Arial" w:cs="Arial" w:eastAsia="Arial" w:hAnsi="Arial"/>
          <w:sz w:val="10"/>
          <w:szCs w:val="10"/>
          <w:b w:val="1"/>
          <w:bCs w:val="1"/>
          <w:color w:val="auto"/>
        </w:rPr>
        <w:t>IVEN</w:t>
      </w:r>
      <w:r>
        <w:rPr>
          <w:rFonts w:ascii="Arial" w:cs="Arial" w:eastAsia="Arial" w:hAnsi="Arial"/>
          <w:sz w:val="15"/>
          <w:szCs w:val="15"/>
          <w:color w:val="auto"/>
        </w:rPr>
        <w:t>.</w:t>
      </w:r>
    </w:p>
    <w:p>
      <w:pPr>
        <w:spacing w:after="0" w:line="84"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(a) Except as otherwise specifically provided herein, notices shall be deemed made and correspondence received, as follows (all times being local to the place of</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delivery or receipt):</w:t>
      </w:r>
    </w:p>
    <w:p>
      <w:pPr>
        <w:spacing w:after="0" w:line="68" w:lineRule="exact"/>
        <w:rPr>
          <w:sz w:val="20"/>
          <w:szCs w:val="20"/>
          <w:color w:val="auto"/>
        </w:rPr>
      </w:pPr>
    </w:p>
    <w:p>
      <w:pPr>
        <w:ind w:left="2360" w:hanging="168"/>
        <w:spacing w:after="0"/>
        <w:tabs>
          <w:tab w:leader="none" w:pos="236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By mail: the sooner of when actually received or three (3) days following deposit in the United States mail, postage prepaid.</w:t>
      </w:r>
    </w:p>
    <w:p>
      <w:pPr>
        <w:spacing w:after="0" w:line="79" w:lineRule="exact"/>
        <w:rPr>
          <w:rFonts w:ascii="Arial" w:cs="Arial" w:eastAsia="Arial" w:hAnsi="Arial"/>
          <w:sz w:val="15"/>
          <w:szCs w:val="15"/>
          <w:color w:val="auto"/>
        </w:rPr>
      </w:pPr>
    </w:p>
    <w:p>
      <w:pPr>
        <w:ind w:left="2400" w:hanging="208"/>
        <w:spacing w:after="0"/>
        <w:tabs>
          <w:tab w:leader="none" w:pos="240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By recognized overnight express delivery: the Business Day following the day when sent.</w:t>
      </w:r>
    </w:p>
    <w:p>
      <w:pPr>
        <w:spacing w:after="0" w:line="79" w:lineRule="exact"/>
        <w:rPr>
          <w:rFonts w:ascii="Arial" w:cs="Arial" w:eastAsia="Arial" w:hAnsi="Arial"/>
          <w:sz w:val="15"/>
          <w:szCs w:val="15"/>
          <w:color w:val="auto"/>
        </w:rPr>
      </w:pPr>
    </w:p>
    <w:p>
      <w:pPr>
        <w:ind w:left="760" w:firstLine="1432"/>
        <w:spacing w:after="0" w:line="259" w:lineRule="auto"/>
        <w:tabs>
          <w:tab w:leader="none" w:pos="2447" w:val="left"/>
        </w:tabs>
        <w:numPr>
          <w:ilvl w:val="1"/>
          <w:numId w:val="179"/>
        </w:numPr>
        <w:rPr>
          <w:rFonts w:ascii="Arial" w:cs="Arial" w:eastAsia="Arial" w:hAnsi="Arial"/>
          <w:sz w:val="15"/>
          <w:szCs w:val="15"/>
          <w:color w:val="auto"/>
        </w:rPr>
      </w:pPr>
      <w:r>
        <w:rPr>
          <w:rFonts w:ascii="Arial" w:cs="Arial" w:eastAsia="Arial" w:hAnsi="Arial"/>
          <w:sz w:val="15"/>
          <w:szCs w:val="15"/>
          <w:color w:val="auto"/>
        </w:rPr>
        <w:t>By hand: If delivered on a Business Day after 9:00 AM and no later than three (3) hours prior to the close of customary business hours of the recipient, when delivered. Otherwise, at the opening of the then next Business Day.</w:t>
      </w:r>
    </w:p>
    <w:p>
      <w:pPr>
        <w:spacing w:after="0" w:line="51" w:lineRule="exact"/>
        <w:rPr>
          <w:rFonts w:ascii="Arial" w:cs="Arial" w:eastAsia="Arial" w:hAnsi="Arial"/>
          <w:sz w:val="15"/>
          <w:szCs w:val="15"/>
          <w:color w:val="auto"/>
        </w:rPr>
      </w:pPr>
    </w:p>
    <w:p>
      <w:pPr>
        <w:ind w:left="2460" w:hanging="268"/>
        <w:spacing w:after="0"/>
        <w:tabs>
          <w:tab w:leader="none" w:pos="2460" w:val="left"/>
        </w:tabs>
        <w:numPr>
          <w:ilvl w:val="1"/>
          <w:numId w:val="179"/>
        </w:numPr>
        <w:rPr>
          <w:rFonts w:ascii="Arial" w:cs="Arial" w:eastAsia="Arial" w:hAnsi="Arial"/>
          <w:sz w:val="13"/>
          <w:szCs w:val="13"/>
          <w:color w:val="auto"/>
        </w:rPr>
      </w:pPr>
      <w:r>
        <w:rPr>
          <w:rFonts w:ascii="Arial" w:cs="Arial" w:eastAsia="Arial" w:hAnsi="Arial"/>
          <w:sz w:val="13"/>
          <w:szCs w:val="13"/>
          <w:color w:val="auto"/>
        </w:rPr>
        <w:t>By facsimile transmission (which must include a header on which the party sending such transmission is indicated): If sent on a Business Day after</w:t>
      </w:r>
    </w:p>
    <w:p>
      <w:pPr>
        <w:spacing w:after="0" w:line="33" w:lineRule="exact"/>
        <w:rPr>
          <w:rFonts w:ascii="Arial" w:cs="Arial" w:eastAsia="Arial" w:hAnsi="Arial"/>
          <w:sz w:val="13"/>
          <w:szCs w:val="13"/>
          <w:color w:val="auto"/>
        </w:rPr>
      </w:pPr>
    </w:p>
    <w:p>
      <w:pPr>
        <w:ind w:left="760"/>
        <w:spacing w:after="0" w:line="243" w:lineRule="auto"/>
        <w:rPr>
          <w:rFonts w:ascii="Arial" w:cs="Arial" w:eastAsia="Arial" w:hAnsi="Arial"/>
          <w:sz w:val="13"/>
          <w:szCs w:val="13"/>
          <w:color w:val="auto"/>
        </w:rPr>
      </w:pPr>
      <w:r>
        <w:rPr>
          <w:rFonts w:ascii="Arial" w:cs="Arial" w:eastAsia="Arial" w:hAnsi="Arial"/>
          <w:sz w:val="15"/>
          <w:szCs w:val="15"/>
          <w:color w:val="auto"/>
        </w:rPr>
        <w:t>9:00 AM and no later than three (3) hours prior to the close of customary business hours of the recipient, one (1) hour after being sent. Otherwise, at the opening of the then next Business Day.</w:t>
      </w:r>
    </w:p>
    <w:p>
      <w:pPr>
        <w:spacing w:after="0" w:line="62" w:lineRule="exact"/>
        <w:rPr>
          <w:rFonts w:ascii="Arial" w:cs="Arial" w:eastAsia="Arial" w:hAnsi="Arial"/>
          <w:sz w:val="13"/>
          <w:szCs w:val="13"/>
          <w:color w:val="auto"/>
        </w:rPr>
      </w:pPr>
    </w:p>
    <w:p>
      <w:pPr>
        <w:jc w:val="both"/>
        <w:ind w:left="760" w:firstLine="1432"/>
        <w:spacing w:after="0" w:line="263" w:lineRule="auto"/>
        <w:tabs>
          <w:tab w:leader="none" w:pos="2396" w:val="left"/>
        </w:tabs>
        <w:numPr>
          <w:ilvl w:val="1"/>
          <w:numId w:val="179"/>
        </w:numPr>
        <w:rPr>
          <w:rFonts w:ascii="Arial" w:cs="Arial" w:eastAsia="Arial" w:hAnsi="Arial"/>
          <w:sz w:val="14"/>
          <w:szCs w:val="14"/>
          <w:color w:val="auto"/>
        </w:rPr>
      </w:pPr>
      <w:r>
        <w:rPr>
          <w:rFonts w:ascii="Arial" w:cs="Arial" w:eastAsia="Arial" w:hAnsi="Arial"/>
          <w:sz w:val="14"/>
          <w:szCs w:val="14"/>
          <w:color w:val="auto"/>
        </w:rPr>
        <w:t xml:space="preserve">By electronic communication (including e-mail and Internet or intranet websites): 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if such notice or other communication is not sent during the normal business hours of the recipient, such notice or communication shall be deemed to have been sent at the opening of business on the next Business Day for the recipient,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w:t>
      </w:r>
    </w:p>
    <w:p>
      <w:pPr>
        <w:spacing w:after="0" w:line="50" w:lineRule="exact"/>
        <w:rPr>
          <w:rFonts w:ascii="Arial" w:cs="Arial" w:eastAsia="Arial" w:hAnsi="Arial"/>
          <w:sz w:val="14"/>
          <w:szCs w:val="14"/>
          <w:color w:val="auto"/>
        </w:rPr>
      </w:pPr>
    </w:p>
    <w:p>
      <w:pPr>
        <w:ind w:firstLine="1529"/>
        <w:spacing w:after="0" w:line="259" w:lineRule="auto"/>
        <w:tabs>
          <w:tab w:leader="none" w:pos="1743" w:val="left"/>
        </w:tabs>
        <w:numPr>
          <w:ilvl w:val="0"/>
          <w:numId w:val="180"/>
        </w:numPr>
        <w:rPr>
          <w:rFonts w:ascii="Arial" w:cs="Arial" w:eastAsia="Arial" w:hAnsi="Arial"/>
          <w:sz w:val="15"/>
          <w:szCs w:val="15"/>
          <w:color w:val="auto"/>
        </w:rPr>
      </w:pPr>
      <w:r>
        <w:rPr>
          <w:rFonts w:ascii="Arial" w:cs="Arial" w:eastAsia="Arial" w:hAnsi="Arial"/>
          <w:sz w:val="15"/>
          <w:szCs w:val="15"/>
          <w:color w:val="auto"/>
        </w:rPr>
        <w:t>Rejection or refusal to accept delivery and inability to deliver because of a changed address or Facsimile Number for which no due notice was given shall each be deemed receipt of the notice sent.</w:t>
      </w:r>
    </w:p>
    <w:p>
      <w:pPr>
        <w:spacing w:after="0" w:line="128" w:lineRule="exact"/>
        <w:rPr>
          <w:sz w:val="20"/>
          <w:szCs w:val="20"/>
          <w:color w:val="auto"/>
        </w:rPr>
      </w:pPr>
    </w:p>
    <w:p>
      <w:pPr>
        <w:ind w:firstLine="765"/>
        <w:spacing w:after="0" w:line="265" w:lineRule="auto"/>
        <w:rPr>
          <w:sz w:val="20"/>
          <w:szCs w:val="20"/>
          <w:color w:val="auto"/>
        </w:rPr>
      </w:pPr>
      <w:r>
        <w:rPr>
          <w:rFonts w:ascii="Arial" w:cs="Arial" w:eastAsia="Arial" w:hAnsi="Arial"/>
          <w:sz w:val="15"/>
          <w:szCs w:val="15"/>
          <w:b w:val="1"/>
          <w:bCs w:val="1"/>
          <w:color w:val="auto"/>
        </w:rPr>
        <w:t>17.3. W</w:t>
      </w:r>
      <w:r>
        <w:rPr>
          <w:rFonts w:ascii="Arial" w:cs="Arial" w:eastAsia="Arial" w:hAnsi="Arial"/>
          <w:sz w:val="10"/>
          <w:szCs w:val="10"/>
          <w:b w:val="1"/>
          <w:bCs w:val="1"/>
          <w:color w:val="auto"/>
        </w:rPr>
        <w:t>IRE</w:t>
      </w:r>
      <w:r>
        <w:rPr>
          <w:rFonts w:ascii="Arial" w:cs="Arial" w:eastAsia="Arial" w:hAnsi="Arial"/>
          <w:sz w:val="15"/>
          <w:szCs w:val="15"/>
          <w:b w:val="1"/>
          <w:bCs w:val="1"/>
          <w:color w:val="auto"/>
        </w:rPr>
        <w:t xml:space="preserve"> I</w:t>
      </w:r>
      <w:r>
        <w:rPr>
          <w:rFonts w:ascii="Arial" w:cs="Arial" w:eastAsia="Arial" w:hAnsi="Arial"/>
          <w:sz w:val="10"/>
          <w:szCs w:val="10"/>
          <w:b w:val="1"/>
          <w:bCs w:val="1"/>
          <w:color w:val="auto"/>
        </w:rPr>
        <w:t>NSTRUCTIONS</w:t>
      </w:r>
      <w:r>
        <w:rPr>
          <w:rFonts w:ascii="Arial" w:cs="Arial" w:eastAsia="Arial" w:hAnsi="Arial"/>
          <w:sz w:val="15"/>
          <w:szCs w:val="15"/>
          <w:color w:val="auto"/>
        </w:rPr>
        <w:t>. Subject to change in the same manner that a notice address may be changed (as to which,</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see</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17.1</w:t>
      </w:r>
      <w:r>
        <w:rPr>
          <w:rFonts w:ascii="Arial" w:cs="Arial" w:eastAsia="Arial" w:hAnsi="Arial"/>
          <w:sz w:val="15"/>
          <w:szCs w:val="15"/>
          <w:color w:val="auto"/>
        </w:rPr>
        <w:t>), wire transfers to the Administrative Agent</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made in accordance with the following wire instructions:</w:t>
      </w:r>
    </w:p>
    <w:p>
      <w:pPr>
        <w:spacing w:after="0" w:line="127"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Wells Fargo Bank, N.A.</w:t>
      </w:r>
    </w:p>
    <w:p>
      <w:pPr>
        <w:spacing w:after="0" w:line="10"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420 Montgomery Street</w:t>
      </w:r>
    </w:p>
    <w:p>
      <w:pPr>
        <w:ind w:left="2300"/>
        <w:spacing w:after="0" w:line="238" w:lineRule="auto"/>
        <w:rPr>
          <w:sz w:val="20"/>
          <w:szCs w:val="20"/>
          <w:color w:val="auto"/>
        </w:rPr>
      </w:pPr>
      <w:r>
        <w:rPr>
          <w:rFonts w:ascii="Arial" w:cs="Arial" w:eastAsia="Arial" w:hAnsi="Arial"/>
          <w:sz w:val="15"/>
          <w:szCs w:val="15"/>
          <w:color w:val="auto"/>
        </w:rPr>
        <w:t>San Francisco, CA</w:t>
      </w:r>
    </w:p>
    <w:p>
      <w:pPr>
        <w:ind w:left="2300"/>
        <w:spacing w:after="0"/>
        <w:rPr>
          <w:sz w:val="20"/>
          <w:szCs w:val="20"/>
          <w:color w:val="auto"/>
        </w:rPr>
      </w:pPr>
      <w:r>
        <w:rPr>
          <w:rFonts w:ascii="Arial" w:cs="Arial" w:eastAsia="Arial" w:hAnsi="Arial"/>
          <w:sz w:val="15"/>
          <w:szCs w:val="15"/>
          <w:color w:val="auto"/>
        </w:rPr>
        <w:t>ABA No. 121-000-248</w:t>
      </w:r>
    </w:p>
    <w:p>
      <w:pPr>
        <w:ind w:left="2300"/>
        <w:spacing w:after="0" w:line="238" w:lineRule="auto"/>
        <w:rPr>
          <w:sz w:val="20"/>
          <w:szCs w:val="20"/>
          <w:color w:val="auto"/>
        </w:rPr>
      </w:pPr>
      <w:r>
        <w:rPr>
          <w:rFonts w:ascii="Arial" w:cs="Arial" w:eastAsia="Arial" w:hAnsi="Arial"/>
          <w:sz w:val="15"/>
          <w:szCs w:val="15"/>
          <w:color w:val="auto"/>
        </w:rPr>
        <w:t>Acct Name: Wells Fargo Bank, N.A.</w:t>
      </w:r>
    </w:p>
    <w:p>
      <w:pPr>
        <w:ind w:left="2300"/>
        <w:spacing w:after="0"/>
        <w:rPr>
          <w:sz w:val="20"/>
          <w:szCs w:val="20"/>
          <w:color w:val="auto"/>
        </w:rPr>
      </w:pPr>
      <w:r>
        <w:rPr>
          <w:rFonts w:ascii="Arial" w:cs="Arial" w:eastAsia="Arial" w:hAnsi="Arial"/>
          <w:sz w:val="15"/>
          <w:szCs w:val="15"/>
          <w:color w:val="auto"/>
        </w:rPr>
        <w:t>Acct No. : 37235547964502293</w:t>
      </w:r>
    </w:p>
    <w:p>
      <w:pPr>
        <w:ind w:left="2300"/>
        <w:spacing w:after="0"/>
        <w:rPr>
          <w:sz w:val="20"/>
          <w:szCs w:val="20"/>
          <w:color w:val="auto"/>
        </w:rPr>
      </w:pPr>
      <w:r>
        <w:rPr>
          <w:rFonts w:ascii="Arial" w:cs="Arial" w:eastAsia="Arial" w:hAnsi="Arial"/>
          <w:sz w:val="15"/>
          <w:szCs w:val="15"/>
          <w:color w:val="auto"/>
        </w:rPr>
        <w:t>Reference: Destination XL Group, Inc. (B Loan) (DXG24)</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18 - T</w:t>
      </w:r>
      <w:r>
        <w:rPr>
          <w:rFonts w:ascii="Arial" w:cs="Arial" w:eastAsia="Arial" w:hAnsi="Arial"/>
          <w:sz w:val="10"/>
          <w:szCs w:val="10"/>
          <w:b w:val="1"/>
          <w:bCs w:val="1"/>
          <w:color w:val="auto"/>
        </w:rPr>
        <w:t>ERM</w:t>
      </w:r>
      <w:r>
        <w:rPr>
          <w:rFonts w:ascii="Arial" w:cs="Arial" w:eastAsia="Arial" w:hAnsi="Arial"/>
          <w:sz w:val="15"/>
          <w:szCs w:val="15"/>
          <w:b w:val="1"/>
          <w:bCs w:val="1"/>
          <w:color w:val="auto"/>
        </w:rPr>
        <w:t>:</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18.1. T</w:t>
      </w:r>
      <w:r>
        <w:rPr>
          <w:rFonts w:ascii="Arial" w:cs="Arial" w:eastAsia="Arial" w:hAnsi="Arial"/>
          <w:sz w:val="10"/>
          <w:szCs w:val="10"/>
          <w:b w:val="1"/>
          <w:bCs w:val="1"/>
          <w:color w:val="auto"/>
        </w:rPr>
        <w:t>ERMINATION OF</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ACILITY</w:t>
      </w:r>
      <w:r>
        <w:rPr>
          <w:rFonts w:ascii="Arial" w:cs="Arial" w:eastAsia="Arial" w:hAnsi="Arial"/>
          <w:sz w:val="15"/>
          <w:szCs w:val="15"/>
          <w:color w:val="auto"/>
        </w:rPr>
        <w:t>. The Term Facility shall remain in effect (subject to suspension as provided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2.6(g)</w:t>
      </w:r>
      <w:r>
        <w:rPr>
          <w:rFonts w:ascii="Arial" w:cs="Arial" w:eastAsia="Arial" w:hAnsi="Arial"/>
          <w:sz w:val="15"/>
          <w:szCs w:val="15"/>
          <w:b w:val="1"/>
          <w:bCs w:val="1"/>
          <w:color w:val="auto"/>
        </w:rPr>
        <w:t xml:space="preserve"> </w:t>
      </w:r>
      <w:r>
        <w:rPr>
          <w:rFonts w:ascii="Arial" w:cs="Arial" w:eastAsia="Arial" w:hAnsi="Arial"/>
          <w:sz w:val="15"/>
          <w:szCs w:val="15"/>
          <w:color w:val="auto"/>
        </w:rPr>
        <w:t>hereof) until the Termination Date.</w:t>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18.2. A</w:t>
      </w:r>
      <w:r>
        <w:rPr>
          <w:rFonts w:ascii="Arial" w:cs="Arial" w:eastAsia="Arial" w:hAnsi="Arial"/>
          <w:sz w:val="10"/>
          <w:szCs w:val="10"/>
          <w:b w:val="1"/>
          <w:bCs w:val="1"/>
          <w:color w:val="auto"/>
        </w:rPr>
        <w:t>CTIONS ON</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ERMINATION</w:t>
      </w:r>
      <w:r>
        <w:rPr>
          <w:rFonts w:ascii="Arial" w:cs="Arial" w:eastAsia="Arial" w:hAnsi="Arial"/>
          <w:sz w:val="15"/>
          <w:szCs w:val="15"/>
          <w:color w:val="auto"/>
        </w:rPr>
        <w:t>.</w:t>
      </w:r>
    </w:p>
    <w:p>
      <w:pPr>
        <w:spacing w:after="0" w:line="84" w:lineRule="exact"/>
        <w:rPr>
          <w:sz w:val="20"/>
          <w:szCs w:val="20"/>
          <w:color w:val="auto"/>
        </w:rPr>
      </w:pPr>
    </w:p>
    <w:p>
      <w:pPr>
        <w:ind w:firstLine="1529"/>
        <w:spacing w:after="0" w:line="259" w:lineRule="auto"/>
        <w:tabs>
          <w:tab w:leader="none" w:pos="1752" w:val="left"/>
        </w:tabs>
        <w:numPr>
          <w:ilvl w:val="0"/>
          <w:numId w:val="181"/>
        </w:numPr>
        <w:rPr>
          <w:rFonts w:ascii="Arial" w:cs="Arial" w:eastAsia="Arial" w:hAnsi="Arial"/>
          <w:sz w:val="15"/>
          <w:szCs w:val="15"/>
          <w:color w:val="auto"/>
        </w:rPr>
      </w:pPr>
      <w:r>
        <w:rPr>
          <w:rFonts w:ascii="Arial" w:cs="Arial" w:eastAsia="Arial" w:hAnsi="Arial"/>
          <w:sz w:val="15"/>
          <w:szCs w:val="15"/>
          <w:color w:val="auto"/>
        </w:rPr>
        <w:t>On the Termination Date, the Loan Parties shall pay the Administrative Agent (whether or not then due), in immediately available funds, all then Liabilities including, without limitation: the following:</w:t>
      </w:r>
    </w:p>
    <w:p>
      <w:pPr>
        <w:spacing w:after="0" w:line="51" w:lineRule="exact"/>
        <w:rPr>
          <w:rFonts w:ascii="Arial" w:cs="Arial" w:eastAsia="Arial" w:hAnsi="Arial"/>
          <w:sz w:val="15"/>
          <w:szCs w:val="15"/>
          <w:color w:val="auto"/>
        </w:rPr>
      </w:pPr>
    </w:p>
    <w:p>
      <w:pPr>
        <w:ind w:left="760" w:firstLine="1432"/>
        <w:spacing w:after="0" w:line="259" w:lineRule="auto"/>
        <w:tabs>
          <w:tab w:leader="none" w:pos="2376"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 unpaid principal balance of the Term Loans and all interest, fees, service charges, costs, expenses and other amounts owed to the Administrative Agent and each Term Lender on account of the Term Loans.</w:t>
      </w:r>
    </w:p>
    <w:p>
      <w:pPr>
        <w:spacing w:after="0" w:line="51" w:lineRule="exact"/>
        <w:rPr>
          <w:rFonts w:ascii="Arial" w:cs="Arial" w:eastAsia="Arial" w:hAnsi="Arial"/>
          <w:sz w:val="15"/>
          <w:szCs w:val="15"/>
          <w:color w:val="auto"/>
        </w:rPr>
      </w:pPr>
    </w:p>
    <w:p>
      <w:pPr>
        <w:ind w:left="2400" w:hanging="208"/>
        <w:spacing w:after="0"/>
        <w:tabs>
          <w:tab w:leader="none" w:pos="240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Any then remaining unpaid fees pursuant to the terms of the Fee Letter.</w:t>
      </w:r>
    </w:p>
    <w:p>
      <w:pPr>
        <w:spacing w:after="0" w:line="160" w:lineRule="exact"/>
        <w:rPr>
          <w:rFonts w:ascii="Arial" w:cs="Arial" w:eastAsia="Arial" w:hAnsi="Arial"/>
          <w:sz w:val="15"/>
          <w:szCs w:val="15"/>
          <w:color w:val="auto"/>
        </w:rPr>
      </w:pPr>
    </w:p>
    <w:p>
      <w:pPr>
        <w:ind w:left="5660" w:hanging="86"/>
        <w:spacing w:after="0"/>
        <w:tabs>
          <w:tab w:leader="none" w:pos="5660" w:val="left"/>
        </w:tabs>
        <w:numPr>
          <w:ilvl w:val="2"/>
          <w:numId w:val="181"/>
        </w:numPr>
        <w:rPr>
          <w:rFonts w:ascii="Arial" w:cs="Arial" w:eastAsia="Arial" w:hAnsi="Arial"/>
          <w:sz w:val="15"/>
          <w:szCs w:val="15"/>
          <w:color w:val="auto"/>
        </w:rPr>
      </w:pPr>
      <w:r>
        <w:rPr>
          <w:rFonts w:ascii="Arial" w:cs="Arial" w:eastAsia="Arial" w:hAnsi="Arial"/>
          <w:sz w:val="15"/>
          <w:szCs w:val="15"/>
          <w:color w:val="auto"/>
        </w:rPr>
        <w:t>65 -</w:t>
      </w:r>
    </w:p>
    <w:p>
      <w:pPr>
        <w:sectPr>
          <w:pgSz w:w="11900" w:h="16838" w:orient="portrait"/>
          <w:cols w:equalWidth="0" w:num="1">
            <w:col w:w="11460"/>
          </w:cols>
          <w:pgMar w:left="220" w:top="284" w:right="219" w:bottom="1440" w:gutter="0" w:footer="0" w:header="0"/>
        </w:sectPr>
      </w:pPr>
    </w:p>
    <w:bookmarkStart w:id="123" w:name="page124"/>
    <w:bookmarkEnd w:id="123"/>
    <w:p>
      <w:pPr>
        <w:ind w:left="2460" w:hanging="268"/>
        <w:spacing w:after="0"/>
        <w:tabs>
          <w:tab w:leader="none" w:pos="2460" w:val="left"/>
        </w:tabs>
        <w:numPr>
          <w:ilvl w:val="1"/>
          <w:numId w:val="182"/>
        </w:numPr>
        <w:rPr>
          <w:rFonts w:ascii="Arial" w:cs="Arial" w:eastAsia="Arial" w:hAnsi="Arial"/>
          <w:sz w:val="15"/>
          <w:szCs w:val="15"/>
          <w:color w:val="auto"/>
        </w:rPr>
      </w:pPr>
      <w:r>
        <w:rPr>
          <w:rFonts w:ascii="Arial" w:cs="Arial" w:eastAsia="Arial" w:hAnsi="Arial"/>
          <w:sz w:val="15"/>
          <w:szCs w:val="15"/>
          <w:color w:val="auto"/>
        </w:rPr>
        <w:t xml:space="preserve">Any payments due on account of the indemnification obligations included in </w:t>
      </w:r>
      <w:r>
        <w:rPr>
          <w:rFonts w:ascii="Arial" w:cs="Arial" w:eastAsia="Arial" w:hAnsi="Arial"/>
          <w:sz w:val="15"/>
          <w:szCs w:val="15"/>
          <w:u w:val="single" w:color="auto"/>
          <w:color w:val="auto"/>
        </w:rPr>
        <w:t>Section 2.11(e)</w:t>
      </w:r>
      <w:r>
        <w:rPr>
          <w:rFonts w:ascii="Arial" w:cs="Arial" w:eastAsia="Arial" w:hAnsi="Arial"/>
          <w:sz w:val="15"/>
          <w:szCs w:val="15"/>
          <w:color w:val="auto"/>
        </w:rPr>
        <w:t>.</w:t>
      </w:r>
    </w:p>
    <w:p>
      <w:pPr>
        <w:spacing w:after="0" w:line="79" w:lineRule="exact"/>
        <w:rPr>
          <w:rFonts w:ascii="Arial" w:cs="Arial" w:eastAsia="Arial" w:hAnsi="Arial"/>
          <w:sz w:val="15"/>
          <w:szCs w:val="15"/>
          <w:color w:val="auto"/>
        </w:rPr>
      </w:pPr>
    </w:p>
    <w:p>
      <w:pPr>
        <w:ind w:left="2440" w:hanging="248"/>
        <w:spacing w:after="0"/>
        <w:tabs>
          <w:tab w:leader="none" w:pos="2440" w:val="left"/>
        </w:tabs>
        <w:numPr>
          <w:ilvl w:val="1"/>
          <w:numId w:val="182"/>
        </w:numPr>
        <w:rPr>
          <w:rFonts w:ascii="Arial" w:cs="Arial" w:eastAsia="Arial" w:hAnsi="Arial"/>
          <w:sz w:val="15"/>
          <w:szCs w:val="15"/>
          <w:color w:val="auto"/>
        </w:rPr>
      </w:pPr>
      <w:r>
        <w:rPr>
          <w:rFonts w:ascii="Arial" w:cs="Arial" w:eastAsia="Arial" w:hAnsi="Arial"/>
          <w:sz w:val="15"/>
          <w:szCs w:val="15"/>
          <w:color w:val="auto"/>
        </w:rPr>
        <w:t>All unreimbursed costs and expenses of each Agent and of Lenders’ Special Counsel for which each Loan Party is responsible.</w:t>
      </w:r>
    </w:p>
    <w:p>
      <w:pPr>
        <w:spacing w:after="0" w:line="79" w:lineRule="exact"/>
        <w:rPr>
          <w:rFonts w:ascii="Arial" w:cs="Arial" w:eastAsia="Arial" w:hAnsi="Arial"/>
          <w:sz w:val="15"/>
          <w:szCs w:val="15"/>
          <w:color w:val="auto"/>
        </w:rPr>
      </w:pPr>
    </w:p>
    <w:p>
      <w:pPr>
        <w:jc w:val="both"/>
        <w:ind w:firstLine="1529"/>
        <w:spacing w:after="0" w:line="249" w:lineRule="auto"/>
        <w:tabs>
          <w:tab w:leader="none" w:pos="175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Until such payment (</w:t>
      </w:r>
      <w:r>
        <w:rPr>
          <w:rFonts w:ascii="Arial" w:cs="Arial" w:eastAsia="Arial" w:hAnsi="Arial"/>
          <w:sz w:val="15"/>
          <w:szCs w:val="15"/>
          <w:u w:val="single" w:color="auto"/>
          <w:color w:val="auto"/>
        </w:rPr>
        <w:t>Section 18.2(a)</w:t>
      </w:r>
      <w:r>
        <w:rPr>
          <w:rFonts w:ascii="Arial" w:cs="Arial" w:eastAsia="Arial" w:hAnsi="Arial"/>
          <w:sz w:val="15"/>
          <w:szCs w:val="15"/>
          <w:color w:val="auto"/>
        </w:rPr>
        <w:t xml:space="preserve">), all provisions of this Agreement, other than those included in </w:t>
      </w:r>
      <w:r>
        <w:rPr>
          <w:rFonts w:ascii="Arial" w:cs="Arial" w:eastAsia="Arial" w:hAnsi="Arial"/>
          <w:sz w:val="15"/>
          <w:szCs w:val="15"/>
          <w:u w:val="single" w:color="auto"/>
          <w:color w:val="auto"/>
        </w:rPr>
        <w:t>Article 2</w:t>
      </w:r>
      <w:r>
        <w:rPr>
          <w:rFonts w:ascii="Arial" w:cs="Arial" w:eastAsia="Arial" w:hAnsi="Arial"/>
          <w:sz w:val="15"/>
          <w:szCs w:val="15"/>
          <w:color w:val="auto"/>
        </w:rPr>
        <w:t xml:space="preserve"> which place any obligation on the Administrative Agent or any Term Lender to make any loans or advances or to provide any financial accommodations to any Borrower shall remain in full force and effect until all Liabilities shall have been paid in full.</w:t>
      </w:r>
    </w:p>
    <w:p>
      <w:pPr>
        <w:spacing w:after="0" w:line="58" w:lineRule="exact"/>
        <w:rPr>
          <w:rFonts w:ascii="Arial" w:cs="Arial" w:eastAsia="Arial" w:hAnsi="Arial"/>
          <w:sz w:val="15"/>
          <w:szCs w:val="15"/>
          <w:color w:val="auto"/>
        </w:rPr>
      </w:pPr>
    </w:p>
    <w:p>
      <w:pPr>
        <w:ind w:firstLine="1529"/>
        <w:spacing w:after="0" w:line="259" w:lineRule="auto"/>
        <w:tabs>
          <w:tab w:leader="none" w:pos="1752"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release by the Collateral Agent of the Collateral Interests granted the Collateral Agent by the Loan Parties hereunder may be upon such conditions and indemnifications as the Administrative Agent reasonably may require.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19 - G</w:t>
      </w:r>
      <w:r>
        <w:rPr>
          <w:rFonts w:ascii="Arial" w:cs="Arial" w:eastAsia="Arial" w:hAnsi="Arial"/>
          <w:sz w:val="10"/>
          <w:szCs w:val="10"/>
          <w:b w:val="1"/>
          <w:bCs w:val="1"/>
          <w:color w:val="auto"/>
        </w:rPr>
        <w:t>ENERAL</w:t>
      </w:r>
      <w:r>
        <w:rPr>
          <w:rFonts w:ascii="Arial" w:cs="Arial" w:eastAsia="Arial" w:hAnsi="Arial"/>
          <w:sz w:val="15"/>
          <w:szCs w:val="15"/>
          <w:b w:val="1"/>
          <w:bCs w:val="1"/>
          <w:color w:val="auto"/>
        </w:rPr>
        <w:t>:</w:t>
      </w:r>
    </w:p>
    <w:p>
      <w:pPr>
        <w:spacing w:after="0" w:line="160"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19.1. P</w:t>
      </w:r>
      <w:r>
        <w:rPr>
          <w:rFonts w:ascii="Arial" w:cs="Arial" w:eastAsia="Arial" w:hAnsi="Arial"/>
          <w:sz w:val="10"/>
          <w:szCs w:val="10"/>
          <w:b w:val="1"/>
          <w:bCs w:val="1"/>
          <w:color w:val="auto"/>
        </w:rPr>
        <w:t>ROTECTION OF</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OLLATERAL</w:t>
      </w:r>
      <w:r>
        <w:rPr>
          <w:rFonts w:ascii="Arial" w:cs="Arial" w:eastAsia="Arial" w:hAnsi="Arial"/>
          <w:sz w:val="15"/>
          <w:szCs w:val="15"/>
          <w:color w:val="auto"/>
        </w:rPr>
        <w:t>. No Agent has any duty as to the collection or protection of the Collateral beyond the safe custody of such of the Collateral as may come into the</w:t>
      </w:r>
      <w:r>
        <w:rPr>
          <w:rFonts w:ascii="Arial" w:cs="Arial" w:eastAsia="Arial" w:hAnsi="Arial"/>
          <w:sz w:val="15"/>
          <w:szCs w:val="15"/>
          <w:b w:val="1"/>
          <w:bCs w:val="1"/>
          <w:color w:val="auto"/>
        </w:rPr>
        <w:t xml:space="preserve"> </w:t>
      </w:r>
      <w:r>
        <w:rPr>
          <w:rFonts w:ascii="Arial" w:cs="Arial" w:eastAsia="Arial" w:hAnsi="Arial"/>
          <w:sz w:val="15"/>
          <w:szCs w:val="15"/>
          <w:color w:val="auto"/>
        </w:rPr>
        <w:t>possession of that Agent.</w:t>
      </w:r>
    </w:p>
    <w:p>
      <w:pPr>
        <w:spacing w:after="0" w:line="123" w:lineRule="exact"/>
        <w:rPr>
          <w:sz w:val="20"/>
          <w:szCs w:val="20"/>
          <w:color w:val="auto"/>
        </w:rPr>
      </w:pPr>
    </w:p>
    <w:p>
      <w:pPr>
        <w:jc w:val="both"/>
        <w:ind w:firstLine="765"/>
        <w:spacing w:after="0" w:line="301" w:lineRule="auto"/>
        <w:rPr>
          <w:sz w:val="20"/>
          <w:szCs w:val="20"/>
          <w:color w:val="auto"/>
        </w:rPr>
      </w:pPr>
      <w:r>
        <w:rPr>
          <w:rFonts w:ascii="Arial" w:cs="Arial" w:eastAsia="Arial" w:hAnsi="Arial"/>
          <w:sz w:val="14"/>
          <w:szCs w:val="14"/>
          <w:b w:val="1"/>
          <w:bCs w:val="1"/>
          <w:color w:val="auto"/>
        </w:rPr>
        <w:t>19.2. P</w:t>
      </w:r>
      <w:r>
        <w:rPr>
          <w:rFonts w:ascii="Arial" w:cs="Arial" w:eastAsia="Arial" w:hAnsi="Arial"/>
          <w:sz w:val="9"/>
          <w:szCs w:val="9"/>
          <w:b w:val="1"/>
          <w:bCs w:val="1"/>
          <w:color w:val="auto"/>
        </w:rPr>
        <w:t>UBLICITY</w:t>
      </w:r>
      <w:r>
        <w:rPr>
          <w:rFonts w:ascii="Arial" w:cs="Arial" w:eastAsia="Arial" w:hAnsi="Arial"/>
          <w:sz w:val="14"/>
          <w:szCs w:val="14"/>
          <w:b w:val="1"/>
          <w:bCs w:val="1"/>
          <w:color w:val="auto"/>
        </w:rPr>
        <w:t xml:space="preserve"> </w:t>
      </w:r>
      <w:r>
        <w:rPr>
          <w:rFonts w:ascii="Arial" w:cs="Arial" w:eastAsia="Arial" w:hAnsi="Arial"/>
          <w:sz w:val="14"/>
          <w:szCs w:val="14"/>
          <w:color w:val="auto"/>
        </w:rPr>
        <w:t>. The Agent may issue a “tombstone” notice of the establishment of the credit facility contemplated by this Agreement and may make reference to each Loan Party</w:t>
      </w:r>
      <w:r>
        <w:rPr>
          <w:rFonts w:ascii="Arial" w:cs="Arial" w:eastAsia="Arial" w:hAnsi="Arial"/>
          <w:sz w:val="14"/>
          <w:szCs w:val="14"/>
          <w:b w:val="1"/>
          <w:bCs w:val="1"/>
          <w:color w:val="auto"/>
        </w:rPr>
        <w:t xml:space="preserve"> </w:t>
      </w:r>
      <w:r>
        <w:rPr>
          <w:rFonts w:ascii="Arial" w:cs="Arial" w:eastAsia="Arial" w:hAnsi="Arial"/>
          <w:sz w:val="14"/>
          <w:szCs w:val="14"/>
          <w:color w:val="auto"/>
        </w:rPr>
        <w:t>(and may utilize any logo or other distinctive symbol associated with each Loan Party) in connection with any advertising, promotion, or marketing undertaken by the Agent.</w:t>
      </w:r>
    </w:p>
    <w:p>
      <w:pPr>
        <w:spacing w:after="0" w:line="100" w:lineRule="exact"/>
        <w:rPr>
          <w:sz w:val="20"/>
          <w:szCs w:val="20"/>
          <w:color w:val="auto"/>
        </w:rPr>
      </w:pPr>
    </w:p>
    <w:p>
      <w:pPr>
        <w:jc w:val="both"/>
        <w:ind w:firstLine="765"/>
        <w:spacing w:after="0" w:line="297" w:lineRule="auto"/>
        <w:rPr>
          <w:sz w:val="20"/>
          <w:szCs w:val="20"/>
          <w:color w:val="auto"/>
        </w:rPr>
      </w:pPr>
      <w:r>
        <w:rPr>
          <w:rFonts w:ascii="Arial" w:cs="Arial" w:eastAsia="Arial" w:hAnsi="Arial"/>
          <w:sz w:val="13"/>
          <w:szCs w:val="13"/>
          <w:b w:val="1"/>
          <w:bCs w:val="1"/>
          <w:color w:val="auto"/>
        </w:rPr>
        <w:t>19.3. S</w:t>
      </w:r>
      <w:r>
        <w:rPr>
          <w:rFonts w:ascii="Arial" w:cs="Arial" w:eastAsia="Arial" w:hAnsi="Arial"/>
          <w:sz w:val="9"/>
          <w:szCs w:val="9"/>
          <w:b w:val="1"/>
          <w:bCs w:val="1"/>
          <w:color w:val="auto"/>
        </w:rPr>
        <w:t>UCCESSORS AND</w:t>
      </w:r>
      <w:r>
        <w:rPr>
          <w:rFonts w:ascii="Arial" w:cs="Arial" w:eastAsia="Arial" w:hAnsi="Arial"/>
          <w:sz w:val="13"/>
          <w:szCs w:val="13"/>
          <w:b w:val="1"/>
          <w:bCs w:val="1"/>
          <w:color w:val="auto"/>
        </w:rPr>
        <w:t xml:space="preserve"> A</w:t>
      </w:r>
      <w:r>
        <w:rPr>
          <w:rFonts w:ascii="Arial" w:cs="Arial" w:eastAsia="Arial" w:hAnsi="Arial"/>
          <w:sz w:val="9"/>
          <w:szCs w:val="9"/>
          <w:b w:val="1"/>
          <w:bCs w:val="1"/>
          <w:color w:val="auto"/>
        </w:rPr>
        <w:t>SSIGNS</w:t>
      </w:r>
      <w:r>
        <w:rPr>
          <w:rFonts w:ascii="Arial" w:cs="Arial" w:eastAsia="Arial" w:hAnsi="Arial"/>
          <w:sz w:val="13"/>
          <w:szCs w:val="13"/>
          <w:color w:val="auto"/>
        </w:rPr>
        <w:t>. This Agreement shall be binding upon the Borrowers’ Representative, each Loan Party, and their respective representatives, 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shall inure to the benefit of each Agent and each Term Lender and their respective successors and assigns;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no trustee or other fiduciary appointed with respect to any Loan Party shall have any rights hereunder. In the event that any Agent or any Term Lender assigns or transfers its rights under this Agreement, the assignee shall thereupon succeed to and become vested with all rights, powers, privileges, and duties of such assignor hereunder and such assignor shall thereupon be discharged and relieved from its duties and obligations hereunder.</w:t>
      </w:r>
    </w:p>
    <w:p>
      <w:pPr>
        <w:spacing w:after="0" w:line="107" w:lineRule="exact"/>
        <w:rPr>
          <w:sz w:val="20"/>
          <w:szCs w:val="20"/>
          <w:color w:val="auto"/>
        </w:rPr>
      </w:pPr>
    </w:p>
    <w:p>
      <w:pPr>
        <w:jc w:val="both"/>
        <w:ind w:firstLine="765"/>
        <w:spacing w:after="0" w:line="301" w:lineRule="auto"/>
        <w:rPr>
          <w:sz w:val="20"/>
          <w:szCs w:val="20"/>
          <w:color w:val="auto"/>
        </w:rPr>
      </w:pPr>
      <w:r>
        <w:rPr>
          <w:rFonts w:ascii="Arial" w:cs="Arial" w:eastAsia="Arial" w:hAnsi="Arial"/>
          <w:sz w:val="14"/>
          <w:szCs w:val="14"/>
          <w:b w:val="1"/>
          <w:bCs w:val="1"/>
          <w:color w:val="auto"/>
        </w:rPr>
        <w:t>19.4. S</w:t>
      </w:r>
      <w:r>
        <w:rPr>
          <w:rFonts w:ascii="Arial" w:cs="Arial" w:eastAsia="Arial" w:hAnsi="Arial"/>
          <w:sz w:val="9"/>
          <w:szCs w:val="9"/>
          <w:b w:val="1"/>
          <w:bCs w:val="1"/>
          <w:color w:val="auto"/>
        </w:rPr>
        <w:t>EVERABILITY</w:t>
      </w:r>
      <w:r>
        <w:rPr>
          <w:rFonts w:ascii="Arial" w:cs="Arial" w:eastAsia="Arial" w:hAnsi="Arial"/>
          <w:sz w:val="14"/>
          <w:szCs w:val="14"/>
          <w:color w:val="auto"/>
        </w:rPr>
        <w:t>. Any determination that any provision of this Agreement or any application thereof is invalid, illegal, or unenforceable in any respect in any instance shall not</w:t>
      </w:r>
      <w:r>
        <w:rPr>
          <w:rFonts w:ascii="Arial" w:cs="Arial" w:eastAsia="Arial" w:hAnsi="Arial"/>
          <w:sz w:val="14"/>
          <w:szCs w:val="14"/>
          <w:b w:val="1"/>
          <w:bCs w:val="1"/>
          <w:color w:val="auto"/>
        </w:rPr>
        <w:t xml:space="preserve"> </w:t>
      </w:r>
      <w:r>
        <w:rPr>
          <w:rFonts w:ascii="Arial" w:cs="Arial" w:eastAsia="Arial" w:hAnsi="Arial"/>
          <w:sz w:val="14"/>
          <w:szCs w:val="14"/>
          <w:color w:val="auto"/>
        </w:rPr>
        <w:t>affect the validity, legality, or enforceability of such provision in any other instance, or the validity, legality, or enforceability of any other provision of this Agreement.</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19.5. A</w:t>
      </w:r>
      <w:r>
        <w:rPr>
          <w:rFonts w:ascii="Arial" w:cs="Arial" w:eastAsia="Arial" w:hAnsi="Arial"/>
          <w:sz w:val="10"/>
          <w:szCs w:val="10"/>
          <w:b w:val="1"/>
          <w:bCs w:val="1"/>
          <w:color w:val="auto"/>
        </w:rPr>
        <w:t>MENDMENTS</w:t>
      </w:r>
      <w:r>
        <w:rPr>
          <w:rFonts w:ascii="Arial" w:cs="Arial" w:eastAsia="Arial" w:hAnsi="Arial"/>
          <w:sz w:val="15"/>
          <w:szCs w:val="15"/>
          <w:b w:val="1"/>
          <w:bCs w:val="1"/>
          <w:color w:val="auto"/>
        </w:rPr>
        <w:t>. C</w:t>
      </w:r>
      <w:r>
        <w:rPr>
          <w:rFonts w:ascii="Arial" w:cs="Arial" w:eastAsia="Arial" w:hAnsi="Arial"/>
          <w:sz w:val="10"/>
          <w:szCs w:val="10"/>
          <w:b w:val="1"/>
          <w:bCs w:val="1"/>
          <w:color w:val="auto"/>
        </w:rPr>
        <w:t>OURSE</w:t>
      </w:r>
      <w:r>
        <w:rPr>
          <w:rFonts w:ascii="Arial" w:cs="Arial" w:eastAsia="Arial" w:hAnsi="Arial"/>
          <w:sz w:val="15"/>
          <w:szCs w:val="15"/>
          <w:b w:val="1"/>
          <w:bCs w:val="1"/>
          <w:color w:val="auto"/>
        </w:rPr>
        <w:t xml:space="preserve"> O</w:t>
      </w:r>
      <w:r>
        <w:rPr>
          <w:rFonts w:ascii="Arial" w:cs="Arial" w:eastAsia="Arial" w:hAnsi="Arial"/>
          <w:sz w:val="10"/>
          <w:szCs w:val="10"/>
          <w:b w:val="1"/>
          <w:bCs w:val="1"/>
          <w:color w:val="auto"/>
        </w:rPr>
        <w:t>F</w:t>
      </w:r>
      <w:r>
        <w:rPr>
          <w:rFonts w:ascii="Arial" w:cs="Arial" w:eastAsia="Arial" w:hAnsi="Arial"/>
          <w:sz w:val="15"/>
          <w:szCs w:val="15"/>
          <w:b w:val="1"/>
          <w:bCs w:val="1"/>
          <w:color w:val="auto"/>
        </w:rPr>
        <w:t xml:space="preserve"> D</w:t>
      </w:r>
      <w:r>
        <w:rPr>
          <w:rFonts w:ascii="Arial" w:cs="Arial" w:eastAsia="Arial" w:hAnsi="Arial"/>
          <w:sz w:val="10"/>
          <w:szCs w:val="10"/>
          <w:b w:val="1"/>
          <w:bCs w:val="1"/>
          <w:color w:val="auto"/>
        </w:rPr>
        <w:t>EALING</w:t>
      </w:r>
      <w:r>
        <w:rPr>
          <w:rFonts w:ascii="Arial" w:cs="Arial" w:eastAsia="Arial" w:hAnsi="Arial"/>
          <w:sz w:val="15"/>
          <w:szCs w:val="15"/>
          <w:b w:val="1"/>
          <w:bCs w:val="1"/>
          <w:color w:val="auto"/>
        </w:rPr>
        <w:t>.</w:t>
      </w:r>
    </w:p>
    <w:p>
      <w:pPr>
        <w:spacing w:after="0" w:line="84" w:lineRule="exact"/>
        <w:rPr>
          <w:sz w:val="20"/>
          <w:szCs w:val="20"/>
          <w:color w:val="auto"/>
        </w:rPr>
      </w:pPr>
    </w:p>
    <w:p>
      <w:pPr>
        <w:jc w:val="both"/>
        <w:ind w:firstLine="1529"/>
        <w:spacing w:after="0" w:line="243" w:lineRule="auto"/>
        <w:tabs>
          <w:tab w:leader="none" w:pos="173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This Agreement and the other Loan Documents incorporate all discussions and negotiations between each Loan Party and each Agent and each Term Lender, either express or implied, concerning the matters included herein and in such other instruments, any custom, usage, or course of dealings to the contrary notwithstanding. No such discussions, negotiations, custom, usage, or course of dealings shall limit, modify, or otherwise affect the provisions thereof. No failure by any Agent or any Term Lender to give notice to the Borrowers’ Representative of any Loan Party’s having failed to observe and comply with any warranty or covenant included in any Loan Document shall constitute a waiver of such warranty or covenant or the amendment of the subject Loan Document.</w:t>
      </w:r>
    </w:p>
    <w:p>
      <w:pPr>
        <w:spacing w:after="0" w:line="64" w:lineRule="exact"/>
        <w:rPr>
          <w:rFonts w:ascii="Arial" w:cs="Arial" w:eastAsia="Arial" w:hAnsi="Arial"/>
          <w:sz w:val="15"/>
          <w:szCs w:val="15"/>
          <w:color w:val="auto"/>
        </w:rPr>
      </w:pPr>
    </w:p>
    <w:p>
      <w:pPr>
        <w:jc w:val="both"/>
        <w:ind w:firstLine="1529"/>
        <w:spacing w:after="0" w:line="242" w:lineRule="auto"/>
        <w:tabs>
          <w:tab w:leader="none" w:pos="1738" w:val="left"/>
        </w:tabs>
        <w:numPr>
          <w:ilvl w:val="0"/>
          <w:numId w:val="184"/>
        </w:numPr>
        <w:rPr>
          <w:rFonts w:ascii="Arial" w:cs="Arial" w:eastAsia="Arial" w:hAnsi="Arial"/>
          <w:sz w:val="15"/>
          <w:szCs w:val="15"/>
          <w:color w:val="auto"/>
        </w:rPr>
      </w:pPr>
      <w:r>
        <w:rPr>
          <w:rFonts w:ascii="Arial" w:cs="Arial" w:eastAsia="Arial" w:hAnsi="Arial"/>
          <w:sz w:val="15"/>
          <w:szCs w:val="15"/>
          <w:color w:val="auto"/>
        </w:rPr>
        <w:t xml:space="preserve">Each Loan Party may undertake any action otherwise prohibited hereby, and may omit to take any action otherwise required hereby, upon and with the express prior written consent of the Administrative Agent. Subject to </w:t>
      </w:r>
      <w:r>
        <w:rPr>
          <w:rFonts w:ascii="Arial" w:cs="Arial" w:eastAsia="Arial" w:hAnsi="Arial"/>
          <w:sz w:val="15"/>
          <w:szCs w:val="15"/>
          <w:u w:val="single" w:color="auto"/>
          <w:color w:val="auto"/>
        </w:rPr>
        <w:t>Article 16</w:t>
      </w:r>
      <w:r>
        <w:rPr>
          <w:rFonts w:ascii="Arial" w:cs="Arial" w:eastAsia="Arial" w:hAnsi="Arial"/>
          <w:sz w:val="15"/>
          <w:szCs w:val="15"/>
          <w:color w:val="auto"/>
        </w:rPr>
        <w:t>, no consent, modification, amendment, or waiver of any provision of any Loan Document shall be effective unless executed in writing by or on behalf of the party to be charged with such modification, amendment, or waiver (and if such party is the Administrative Agent then by a duly authorized officer thereof). Any modification, amendment, or waiver provided by the Administrative Agent shall be in reliance upon all representations and warranties theretofore made to the Administrative Agent by or on behalf of the Loan Parties (and any other guarantor, endorser, or surety of the Liabilities) and consequently may be rescinded in the event that any of such representations or warranties was not true and complete in all material respects when given.</w:t>
      </w:r>
    </w:p>
    <w:p>
      <w:pPr>
        <w:spacing w:after="0" w:line="146" w:lineRule="exact"/>
        <w:rPr>
          <w:rFonts w:ascii="Arial" w:cs="Arial" w:eastAsia="Arial" w:hAnsi="Arial"/>
          <w:sz w:val="15"/>
          <w:szCs w:val="15"/>
          <w:color w:val="auto"/>
        </w:rPr>
      </w:pPr>
    </w:p>
    <w:p>
      <w:pPr>
        <w:ind w:left="5660" w:hanging="86"/>
        <w:spacing w:after="0"/>
        <w:tabs>
          <w:tab w:leader="none" w:pos="5660" w:val="left"/>
        </w:tabs>
        <w:numPr>
          <w:ilvl w:val="1"/>
          <w:numId w:val="184"/>
        </w:numPr>
        <w:rPr>
          <w:rFonts w:ascii="Arial" w:cs="Arial" w:eastAsia="Arial" w:hAnsi="Arial"/>
          <w:sz w:val="15"/>
          <w:szCs w:val="15"/>
          <w:color w:val="auto"/>
        </w:rPr>
      </w:pPr>
      <w:r>
        <w:rPr>
          <w:rFonts w:ascii="Arial" w:cs="Arial" w:eastAsia="Arial" w:hAnsi="Arial"/>
          <w:sz w:val="15"/>
          <w:szCs w:val="15"/>
          <w:color w:val="auto"/>
        </w:rPr>
        <w:t>66 -</w:t>
      </w:r>
    </w:p>
    <w:p>
      <w:pPr>
        <w:sectPr>
          <w:pgSz w:w="11900" w:h="16838" w:orient="portrait"/>
          <w:cols w:equalWidth="0" w:num="1">
            <w:col w:w="11460"/>
          </w:cols>
          <w:pgMar w:left="220" w:top="208" w:right="219" w:bottom="1440" w:gutter="0" w:footer="0" w:header="0"/>
        </w:sectPr>
      </w:pPr>
    </w:p>
    <w:bookmarkStart w:id="124" w:name="page125"/>
    <w:bookmarkEnd w:id="124"/>
    <w:p>
      <w:pPr>
        <w:jc w:val="both"/>
        <w:ind w:firstLine="765"/>
        <w:spacing w:after="0" w:line="267" w:lineRule="auto"/>
        <w:rPr>
          <w:sz w:val="20"/>
          <w:szCs w:val="20"/>
          <w:color w:val="auto"/>
        </w:rPr>
      </w:pPr>
      <w:r>
        <w:rPr>
          <w:rFonts w:ascii="Arial" w:cs="Arial" w:eastAsia="Arial" w:hAnsi="Arial"/>
          <w:sz w:val="14"/>
          <w:szCs w:val="14"/>
          <w:b w:val="1"/>
          <w:bCs w:val="1"/>
          <w:color w:val="auto"/>
        </w:rPr>
        <w:t>19.6. P</w:t>
      </w:r>
      <w:r>
        <w:rPr>
          <w:rFonts w:ascii="Arial" w:cs="Arial" w:eastAsia="Arial" w:hAnsi="Arial"/>
          <w:sz w:val="9"/>
          <w:szCs w:val="9"/>
          <w:b w:val="1"/>
          <w:bCs w:val="1"/>
          <w:color w:val="auto"/>
        </w:rPr>
        <w:t>OWER OF</w:t>
      </w:r>
      <w:r>
        <w:rPr>
          <w:rFonts w:ascii="Arial" w:cs="Arial" w:eastAsia="Arial" w:hAnsi="Arial"/>
          <w:sz w:val="14"/>
          <w:szCs w:val="14"/>
          <w:b w:val="1"/>
          <w:bCs w:val="1"/>
          <w:color w:val="auto"/>
        </w:rPr>
        <w:t xml:space="preserve"> A</w:t>
      </w:r>
      <w:r>
        <w:rPr>
          <w:rFonts w:ascii="Arial" w:cs="Arial" w:eastAsia="Arial" w:hAnsi="Arial"/>
          <w:sz w:val="9"/>
          <w:szCs w:val="9"/>
          <w:b w:val="1"/>
          <w:bCs w:val="1"/>
          <w:color w:val="auto"/>
        </w:rPr>
        <w:t>TTORNEY</w:t>
      </w:r>
      <w:r>
        <w:rPr>
          <w:rFonts w:ascii="Arial" w:cs="Arial" w:eastAsia="Arial" w:hAnsi="Arial"/>
          <w:sz w:val="14"/>
          <w:szCs w:val="14"/>
          <w:b w:val="1"/>
          <w:bCs w:val="1"/>
          <w:color w:val="auto"/>
        </w:rPr>
        <w:t xml:space="preserve">. </w:t>
      </w:r>
      <w:r>
        <w:rPr>
          <w:rFonts w:ascii="Arial" w:cs="Arial" w:eastAsia="Arial" w:hAnsi="Arial"/>
          <w:sz w:val="14"/>
          <w:szCs w:val="14"/>
          <w:color w:val="auto"/>
        </w:rPr>
        <w:t>In connection with all powers of attorney included in this Agreement, each Loan Party hereby grants unto the Administrative Agent (acting through any</w:t>
      </w:r>
      <w:r>
        <w:rPr>
          <w:rFonts w:ascii="Arial" w:cs="Arial" w:eastAsia="Arial" w:hAnsi="Arial"/>
          <w:sz w:val="14"/>
          <w:szCs w:val="14"/>
          <w:b w:val="1"/>
          <w:bCs w:val="1"/>
          <w:color w:val="auto"/>
        </w:rPr>
        <w:t xml:space="preserve"> </w:t>
      </w:r>
      <w:r>
        <w:rPr>
          <w:rFonts w:ascii="Arial" w:cs="Arial" w:eastAsia="Arial" w:hAnsi="Arial"/>
          <w:sz w:val="14"/>
          <w:szCs w:val="14"/>
          <w:color w:val="auto"/>
        </w:rPr>
        <w:t>of its officers) full power to do any and all things necessary or appropriate in connection with the exercise of such powers as fully and effectually as that Loan Party might or could do, hereby ratifying all that said attorney shall do or cause to be done by virtue of this Agreement. No power of attorney set forth in this Agreement shall be affected by any disability or incapacity suffered by any Loan Party and each shall survive the same. All powers conferred upon the Administrative Agent or the Collateral Agent by this Agreement, being coupled with an interest, shall be irrevocable until this Agreement is terminated by a written instrument executed by a duly authorized officer of the Administrative Agent.</w:t>
      </w:r>
    </w:p>
    <w:p>
      <w:pPr>
        <w:spacing w:after="0" w:line="123"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5"/>
          <w:szCs w:val="15"/>
          <w:b w:val="1"/>
          <w:bCs w:val="1"/>
          <w:color w:val="auto"/>
        </w:rPr>
        <w:t>19.7. A</w:t>
      </w:r>
      <w:r>
        <w:rPr>
          <w:rFonts w:ascii="Arial" w:cs="Arial" w:eastAsia="Arial" w:hAnsi="Arial"/>
          <w:sz w:val="10"/>
          <w:szCs w:val="10"/>
          <w:b w:val="1"/>
          <w:bCs w:val="1"/>
          <w:color w:val="auto"/>
        </w:rPr>
        <w:t>PPLICATION OF</w:t>
      </w:r>
      <w:r>
        <w:rPr>
          <w:rFonts w:ascii="Arial" w:cs="Arial" w:eastAsia="Arial" w:hAnsi="Arial"/>
          <w:sz w:val="15"/>
          <w:szCs w:val="15"/>
          <w:b w:val="1"/>
          <w:bCs w:val="1"/>
          <w:color w:val="auto"/>
        </w:rPr>
        <w:t xml:space="preserve"> P</w:t>
      </w:r>
      <w:r>
        <w:rPr>
          <w:rFonts w:ascii="Arial" w:cs="Arial" w:eastAsia="Arial" w:hAnsi="Arial"/>
          <w:sz w:val="10"/>
          <w:szCs w:val="10"/>
          <w:b w:val="1"/>
          <w:bCs w:val="1"/>
          <w:color w:val="auto"/>
        </w:rPr>
        <w:t>ROCEEDS</w:t>
      </w:r>
      <w:r>
        <w:rPr>
          <w:rFonts w:ascii="Arial" w:cs="Arial" w:eastAsia="Arial" w:hAnsi="Arial"/>
          <w:sz w:val="15"/>
          <w:szCs w:val="15"/>
          <w:b w:val="1"/>
          <w:bCs w:val="1"/>
          <w:color w:val="auto"/>
        </w:rPr>
        <w:t xml:space="preserve">. </w:t>
      </w:r>
      <w:r>
        <w:rPr>
          <w:rFonts w:ascii="Arial" w:cs="Arial" w:eastAsia="Arial" w:hAnsi="Arial"/>
          <w:sz w:val="15"/>
          <w:szCs w:val="15"/>
          <w:color w:val="auto"/>
        </w:rPr>
        <w:t>The proceeds of any collection, sale, or disposition of the Collateral, or of any other payments received hereunder, shall be applied towards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Liabilities in such order and manner as the Administrative Agent determines in its discretion, consistent,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with </w:t>
      </w:r>
      <w:r>
        <w:rPr>
          <w:rFonts w:ascii="Arial" w:cs="Arial" w:eastAsia="Arial" w:hAnsi="Arial"/>
          <w:sz w:val="15"/>
          <w:szCs w:val="15"/>
          <w:u w:val="single" w:color="auto"/>
          <w:color w:val="auto"/>
        </w:rPr>
        <w:t>Sections 13.5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13.6</w:t>
      </w:r>
      <w:r>
        <w:rPr>
          <w:rFonts w:ascii="Arial" w:cs="Arial" w:eastAsia="Arial" w:hAnsi="Arial"/>
          <w:sz w:val="15"/>
          <w:szCs w:val="15"/>
          <w:color w:val="auto"/>
        </w:rPr>
        <w:t xml:space="preserve"> and any other applicable provisions of this Agreement. The Loan Parties shall remain liable for any deficiency remaining following such application.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19.8. I</w:t>
      </w:r>
      <w:r>
        <w:rPr>
          <w:rFonts w:ascii="Arial" w:cs="Arial" w:eastAsia="Arial" w:hAnsi="Arial"/>
          <w:sz w:val="10"/>
          <w:szCs w:val="10"/>
          <w:b w:val="1"/>
          <w:bCs w:val="1"/>
          <w:color w:val="auto"/>
        </w:rPr>
        <w:t>NCREASED</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OSTS</w:t>
      </w:r>
      <w:r>
        <w:rPr>
          <w:rFonts w:ascii="Arial" w:cs="Arial" w:eastAsia="Arial" w:hAnsi="Arial"/>
          <w:sz w:val="15"/>
          <w:szCs w:val="15"/>
          <w:b w:val="1"/>
          <w:bCs w:val="1"/>
          <w:color w:val="auto"/>
        </w:rPr>
        <w:t xml:space="preserve">. </w:t>
      </w:r>
      <w:r>
        <w:rPr>
          <w:rFonts w:ascii="Arial" w:cs="Arial" w:eastAsia="Arial" w:hAnsi="Arial"/>
          <w:sz w:val="15"/>
          <w:szCs w:val="15"/>
          <w:color w:val="auto"/>
        </w:rPr>
        <w:t>(a)</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Increased Costs Generally</w:t>
      </w:r>
      <w:r>
        <w:rPr>
          <w:rFonts w:ascii="Arial" w:cs="Arial" w:eastAsia="Arial" w:hAnsi="Arial"/>
          <w:sz w:val="15"/>
          <w:szCs w:val="15"/>
          <w:color w:val="auto"/>
        </w:rPr>
        <w:t>. If any Change in Law shall:</w:t>
      </w:r>
    </w:p>
    <w:p>
      <w:pPr>
        <w:spacing w:after="0" w:line="84" w:lineRule="exact"/>
        <w:rPr>
          <w:sz w:val="20"/>
          <w:szCs w:val="20"/>
          <w:color w:val="auto"/>
        </w:rPr>
      </w:pPr>
    </w:p>
    <w:p>
      <w:pPr>
        <w:ind w:left="760" w:firstLine="1432"/>
        <w:spacing w:after="0" w:line="295" w:lineRule="auto"/>
        <w:tabs>
          <w:tab w:leader="none" w:pos="2363" w:val="left"/>
        </w:tabs>
        <w:numPr>
          <w:ilvl w:val="0"/>
          <w:numId w:val="185"/>
        </w:numPr>
        <w:rPr>
          <w:rFonts w:ascii="Arial" w:cs="Arial" w:eastAsia="Arial" w:hAnsi="Arial"/>
          <w:sz w:val="14"/>
          <w:szCs w:val="14"/>
          <w:color w:val="auto"/>
        </w:rPr>
      </w:pPr>
      <w:r>
        <w:rPr>
          <w:rFonts w:ascii="Arial" w:cs="Arial" w:eastAsia="Arial" w:hAnsi="Arial"/>
          <w:sz w:val="14"/>
          <w:szCs w:val="14"/>
          <w:color w:val="auto"/>
        </w:rPr>
        <w:t>impose, modify or deem applicable any reserve, special deposit, compulsory loan, insurance charge or similar requirement against assets of, deposits with or for the account of, or credit extended or participated in by, any Term Lender (except any reserve requirement reflected in the LIBOR Rate) or the Issuer; or</w:t>
      </w:r>
    </w:p>
    <w:p>
      <w:pPr>
        <w:spacing w:after="0" w:line="27" w:lineRule="exact"/>
        <w:rPr>
          <w:rFonts w:ascii="Arial" w:cs="Arial" w:eastAsia="Arial" w:hAnsi="Arial"/>
          <w:sz w:val="14"/>
          <w:szCs w:val="14"/>
          <w:color w:val="auto"/>
        </w:rPr>
      </w:pPr>
    </w:p>
    <w:p>
      <w:pPr>
        <w:jc w:val="both"/>
        <w:ind w:left="760" w:firstLine="1432"/>
        <w:spacing w:after="0" w:line="249" w:lineRule="auto"/>
        <w:tabs>
          <w:tab w:leader="none" w:pos="241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subject any Secured Party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39" w:lineRule="exact"/>
        <w:rPr>
          <w:sz w:val="20"/>
          <w:szCs w:val="20"/>
          <w:color w:val="auto"/>
        </w:rPr>
      </w:pPr>
    </w:p>
    <w:p>
      <w:pPr>
        <w:jc w:val="both"/>
        <w:ind w:left="760"/>
        <w:spacing w:after="0" w:line="295" w:lineRule="auto"/>
        <w:rPr>
          <w:sz w:val="20"/>
          <w:szCs w:val="20"/>
          <w:color w:val="auto"/>
        </w:rPr>
      </w:pPr>
      <w:r>
        <w:rPr>
          <w:rFonts w:ascii="Arial" w:cs="Arial" w:eastAsia="Arial" w:hAnsi="Arial"/>
          <w:sz w:val="13"/>
          <w:szCs w:val="13"/>
          <w:color w:val="auto"/>
        </w:rPr>
        <w:t>and the result of any of the foregoing shall be to increase the cost to such Term Lender of making, continuing or maintaining any Term Loan (or of maintaining its obligation to make any such Loan), or to reduce the amount of any sum received or receivable by such Term Lender hereunder (whether of principal, interest or any other amount) then, upon written request of such Term Lender (such request to set out in reasonable detail the facts giving rise to and a summary calculation of such increased cost or reduced income), the Loan Parties will pay to such Term Lender such additional amount or amounts as will compensate such Term Lender for such additional costs incurred or reduction suffered.</w:t>
      </w:r>
    </w:p>
    <w:p>
      <w:pPr>
        <w:spacing w:after="0" w:line="31" w:lineRule="exact"/>
        <w:rPr>
          <w:sz w:val="20"/>
          <w:szCs w:val="20"/>
          <w:color w:val="auto"/>
        </w:rPr>
      </w:pPr>
    </w:p>
    <w:p>
      <w:pPr>
        <w:jc w:val="both"/>
        <w:ind w:firstLine="1529"/>
        <w:spacing w:after="0" w:line="262" w:lineRule="auto"/>
        <w:tabs>
          <w:tab w:leader="none" w:pos="1748"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Capital Requirements</w:t>
      </w:r>
      <w:r>
        <w:rPr>
          <w:rFonts w:ascii="Arial" w:cs="Arial" w:eastAsia="Arial" w:hAnsi="Arial"/>
          <w:sz w:val="14"/>
          <w:szCs w:val="14"/>
          <w:color w:val="auto"/>
        </w:rPr>
        <w:t>. If any Term Lender determines that any Change in Law affecting such Term Lender or any Lending Office of such Term Lender or such Term Lender’s holding company, if any, regarding capital or liquidity requirements has or would have the effect of reducing the rate of return on such Term Lender’s capital or on the capital of such Term Lender’s holding company, if any, as a consequence of this Agreement, the Commitments of such Term Lender or the Term Loans made by, such Term Lender, to a level below that which such Term Lender or such Term Lender’s holding company could have achieved but for such Change in Law (taking into consideration such Term Lender’s policies and the policies of such Term Lender’s holding company with respect to capital adequacy), then, upon written request of such Term Lender or the Administrative Agent (such request to set out in reasonable detail the facts giving rise to and a summary calculation of such reduction), from time to time the Loan Parties will pay to such Term Lender such additional amount or amounts as will compensate such Term Lender or such Term Lender’s holding company for any such reduction suffered.</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19.9. C</w:t>
      </w:r>
      <w:r>
        <w:rPr>
          <w:rFonts w:ascii="Arial" w:cs="Arial" w:eastAsia="Arial" w:hAnsi="Arial"/>
          <w:sz w:val="10"/>
          <w:szCs w:val="10"/>
          <w:b w:val="1"/>
          <w:bCs w:val="1"/>
          <w:color w:val="auto"/>
        </w:rPr>
        <w:t>OSTS AND</w:t>
      </w:r>
      <w:r>
        <w:rPr>
          <w:rFonts w:ascii="Arial" w:cs="Arial" w:eastAsia="Arial" w:hAnsi="Arial"/>
          <w:sz w:val="15"/>
          <w:szCs w:val="15"/>
          <w:b w:val="1"/>
          <w:bCs w:val="1"/>
          <w:color w:val="auto"/>
        </w:rPr>
        <w:t xml:space="preserve"> E</w:t>
      </w:r>
      <w:r>
        <w:rPr>
          <w:rFonts w:ascii="Arial" w:cs="Arial" w:eastAsia="Arial" w:hAnsi="Arial"/>
          <w:sz w:val="10"/>
          <w:szCs w:val="10"/>
          <w:b w:val="1"/>
          <w:bCs w:val="1"/>
          <w:color w:val="auto"/>
        </w:rPr>
        <w:t>XPENSES OF</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GENTS AND</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ERM</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ENDERS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5" w:lineRule="auto"/>
        <w:tabs>
          <w:tab w:leader="none" w:pos="175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Loan Parties shall pay from time to time on demand all Costs of Collection and all reasonable costs, expenses, and disbursements (including reasonable attorneys’ fees and expenses) which are incurred by each Agent in connection with the preparation, negotiation, execution, and delivery of this Agreement and of any other Loan Documents, and all other reasonable costs, expenses, and disbursements which may be incurred in connection with or in respect to the credit facility contemplated hereby or which otherwise are incurred with respect to the Liabilities.</w:t>
      </w:r>
    </w:p>
    <w:p>
      <w:pPr>
        <w:spacing w:after="0" w:line="62" w:lineRule="exact"/>
        <w:rPr>
          <w:rFonts w:ascii="Arial" w:cs="Arial" w:eastAsia="Arial" w:hAnsi="Arial"/>
          <w:sz w:val="15"/>
          <w:szCs w:val="15"/>
          <w:color w:val="auto"/>
        </w:rPr>
      </w:pPr>
    </w:p>
    <w:p>
      <w:pPr>
        <w:ind w:firstLine="1529"/>
        <w:spacing w:after="0" w:line="259" w:lineRule="auto"/>
        <w:tabs>
          <w:tab w:leader="none" w:pos="1738" w:val="left"/>
        </w:tabs>
        <w:numPr>
          <w:ilvl w:val="0"/>
          <w:numId w:val="187"/>
        </w:numPr>
        <w:rPr>
          <w:rFonts w:ascii="Arial" w:cs="Arial" w:eastAsia="Arial" w:hAnsi="Arial"/>
          <w:sz w:val="15"/>
          <w:szCs w:val="15"/>
          <w:color w:val="auto"/>
        </w:rPr>
      </w:pPr>
      <w:r>
        <w:rPr>
          <w:rFonts w:ascii="Arial" w:cs="Arial" w:eastAsia="Arial" w:hAnsi="Arial"/>
          <w:sz w:val="15"/>
          <w:szCs w:val="15"/>
          <w:color w:val="auto"/>
        </w:rPr>
        <w:t>The Loan Parties shall pay from time to time on demand all reasonable costs and expenses (including reasonable attorneys’ fees and expenses) incurred by the Term Lenders to Lenders’ Special Counsel.</w:t>
      </w:r>
    </w:p>
    <w:p>
      <w:pPr>
        <w:spacing w:after="0" w:line="131" w:lineRule="exact"/>
        <w:rPr>
          <w:rFonts w:ascii="Arial" w:cs="Arial" w:eastAsia="Arial" w:hAnsi="Arial"/>
          <w:sz w:val="15"/>
          <w:szCs w:val="15"/>
          <w:color w:val="auto"/>
        </w:rPr>
      </w:pPr>
    </w:p>
    <w:p>
      <w:pPr>
        <w:ind w:left="5660" w:hanging="86"/>
        <w:spacing w:after="0"/>
        <w:tabs>
          <w:tab w:leader="none" w:pos="5660" w:val="left"/>
        </w:tabs>
        <w:numPr>
          <w:ilvl w:val="1"/>
          <w:numId w:val="187"/>
        </w:numPr>
        <w:rPr>
          <w:rFonts w:ascii="Arial" w:cs="Arial" w:eastAsia="Arial" w:hAnsi="Arial"/>
          <w:sz w:val="15"/>
          <w:szCs w:val="15"/>
          <w:color w:val="auto"/>
        </w:rPr>
      </w:pPr>
      <w:r>
        <w:rPr>
          <w:rFonts w:ascii="Arial" w:cs="Arial" w:eastAsia="Arial" w:hAnsi="Arial"/>
          <w:sz w:val="15"/>
          <w:szCs w:val="15"/>
          <w:color w:val="auto"/>
        </w:rPr>
        <w:t>67 -</w:t>
      </w:r>
    </w:p>
    <w:p>
      <w:pPr>
        <w:sectPr>
          <w:pgSz w:w="11900" w:h="16838" w:orient="portrait"/>
          <w:cols w:equalWidth="0" w:num="1">
            <w:col w:w="11460"/>
          </w:cols>
          <w:pgMar w:left="220" w:top="284" w:right="219" w:bottom="1440" w:gutter="0" w:footer="0" w:header="0"/>
        </w:sectPr>
      </w:pPr>
    </w:p>
    <w:bookmarkStart w:id="125" w:name="page126"/>
    <w:bookmarkEnd w:id="125"/>
    <w:p>
      <w:pPr>
        <w:ind w:left="1740" w:hanging="211"/>
        <w:spacing w:after="0"/>
        <w:tabs>
          <w:tab w:leader="none" w:pos="17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Each Loan Party authorizes the Administrative Agent to pay all such fees and expenses.</w:t>
      </w:r>
    </w:p>
    <w:p>
      <w:pPr>
        <w:spacing w:after="0" w:line="79" w:lineRule="exact"/>
        <w:rPr>
          <w:rFonts w:ascii="Arial" w:cs="Arial" w:eastAsia="Arial" w:hAnsi="Arial"/>
          <w:sz w:val="15"/>
          <w:szCs w:val="15"/>
          <w:color w:val="auto"/>
        </w:rPr>
      </w:pPr>
    </w:p>
    <w:p>
      <w:pPr>
        <w:jc w:val="both"/>
        <w:ind w:firstLine="1529"/>
        <w:spacing w:after="0" w:line="275" w:lineRule="auto"/>
        <w:tabs>
          <w:tab w:leader="none" w:pos="1761" w:val="left"/>
        </w:tabs>
        <w:numPr>
          <w:ilvl w:val="0"/>
          <w:numId w:val="188"/>
        </w:numPr>
        <w:rPr>
          <w:rFonts w:ascii="Arial" w:cs="Arial" w:eastAsia="Arial" w:hAnsi="Arial"/>
          <w:sz w:val="14"/>
          <w:szCs w:val="14"/>
          <w:color w:val="auto"/>
        </w:rPr>
      </w:pPr>
      <w:r>
        <w:rPr>
          <w:rFonts w:ascii="Arial" w:cs="Arial" w:eastAsia="Arial" w:hAnsi="Arial"/>
          <w:sz w:val="14"/>
          <w:szCs w:val="14"/>
          <w:color w:val="auto"/>
        </w:rPr>
        <w:t xml:space="preserve">In connection with the termination of this Agreement and the release and termination of the security interests in the Collateral, the Agent may require such indemnities and collateral security as it shall reasonably deem necessary and appropriate to protect the Term Lenders against (i) loss on account of credits previously applied to the Liabilities that may subsequently be reversed or revoked, and (ii) any Liabilities that may thereafter arise under this </w:t>
      </w:r>
      <w:r>
        <w:rPr>
          <w:rFonts w:ascii="Arial" w:cs="Arial" w:eastAsia="Arial" w:hAnsi="Arial"/>
          <w:sz w:val="14"/>
          <w:szCs w:val="14"/>
          <w:u w:val="single" w:color="auto"/>
          <w:color w:val="auto"/>
        </w:rPr>
        <w:t>Section 19.9</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19.12</w:t>
      </w:r>
      <w:r>
        <w:rPr>
          <w:rFonts w:ascii="Arial" w:cs="Arial" w:eastAsia="Arial" w:hAnsi="Arial"/>
          <w:sz w:val="14"/>
          <w:szCs w:val="14"/>
          <w:color w:val="auto"/>
        </w:rPr>
        <w:t xml:space="preserve"> hereof.</w:t>
      </w:r>
    </w:p>
    <w:p>
      <w:pPr>
        <w:spacing w:after="0" w:line="41" w:lineRule="exact"/>
        <w:rPr>
          <w:rFonts w:ascii="Arial" w:cs="Arial" w:eastAsia="Arial" w:hAnsi="Arial"/>
          <w:sz w:val="14"/>
          <w:szCs w:val="14"/>
          <w:color w:val="auto"/>
        </w:rPr>
      </w:pPr>
    </w:p>
    <w:p>
      <w:pPr>
        <w:ind w:firstLine="1529"/>
        <w:spacing w:after="0" w:line="259" w:lineRule="auto"/>
        <w:tabs>
          <w:tab w:leader="none" w:pos="1729"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The undertaking on the part of each Loan Party in this </w:t>
      </w:r>
      <w:r>
        <w:rPr>
          <w:rFonts w:ascii="Arial" w:cs="Arial" w:eastAsia="Arial" w:hAnsi="Arial"/>
          <w:sz w:val="15"/>
          <w:szCs w:val="15"/>
          <w:u w:val="single" w:color="auto"/>
          <w:color w:val="auto"/>
        </w:rPr>
        <w:t>Section 19.9</w:t>
      </w:r>
      <w:r>
        <w:rPr>
          <w:rFonts w:ascii="Arial" w:cs="Arial" w:eastAsia="Arial" w:hAnsi="Arial"/>
          <w:sz w:val="15"/>
          <w:szCs w:val="15"/>
          <w:color w:val="auto"/>
        </w:rPr>
        <w:t xml:space="preserve"> shall survive payment of the Liabilities and/or any termination, release, or discharge executed by any Agent in favor of any Loan Party, other than a termination, release, or discharge which makes specific reference to this </w:t>
      </w:r>
      <w:r>
        <w:rPr>
          <w:rFonts w:ascii="Arial" w:cs="Arial" w:eastAsia="Arial" w:hAnsi="Arial"/>
          <w:sz w:val="15"/>
          <w:szCs w:val="15"/>
          <w:u w:val="single" w:color="auto"/>
          <w:color w:val="auto"/>
        </w:rPr>
        <w:t>Section 19.9</w:t>
      </w:r>
      <w:r>
        <w:rPr>
          <w:rFonts w:ascii="Arial" w:cs="Arial" w:eastAsia="Arial" w:hAnsi="Arial"/>
          <w:sz w:val="15"/>
          <w:szCs w:val="15"/>
          <w:color w:val="auto"/>
        </w:rPr>
        <w:t>.</w:t>
      </w:r>
    </w:p>
    <w:p>
      <w:pPr>
        <w:spacing w:after="0" w:line="128" w:lineRule="exact"/>
        <w:rPr>
          <w:sz w:val="20"/>
          <w:szCs w:val="20"/>
          <w:color w:val="auto"/>
        </w:rPr>
      </w:pPr>
    </w:p>
    <w:p>
      <w:pPr>
        <w:jc w:val="both"/>
        <w:ind w:firstLine="765"/>
        <w:spacing w:after="0" w:line="263" w:lineRule="auto"/>
        <w:rPr>
          <w:sz w:val="20"/>
          <w:szCs w:val="20"/>
          <w:color w:val="auto"/>
        </w:rPr>
      </w:pPr>
      <w:r>
        <w:rPr>
          <w:rFonts w:ascii="Arial" w:cs="Arial" w:eastAsia="Arial" w:hAnsi="Arial"/>
          <w:sz w:val="14"/>
          <w:szCs w:val="14"/>
          <w:b w:val="1"/>
          <w:bCs w:val="1"/>
          <w:color w:val="auto"/>
        </w:rPr>
        <w:t>19.10. C</w:t>
      </w:r>
      <w:r>
        <w:rPr>
          <w:rFonts w:ascii="Arial" w:cs="Arial" w:eastAsia="Arial" w:hAnsi="Arial"/>
          <w:sz w:val="9"/>
          <w:szCs w:val="9"/>
          <w:b w:val="1"/>
          <w:bCs w:val="1"/>
          <w:color w:val="auto"/>
        </w:rPr>
        <w:t>OPIES</w:t>
      </w:r>
      <w:r>
        <w:rPr>
          <w:rFonts w:ascii="Arial" w:cs="Arial" w:eastAsia="Arial" w:hAnsi="Arial"/>
          <w:sz w:val="14"/>
          <w:szCs w:val="14"/>
          <w:b w:val="1"/>
          <w:bCs w:val="1"/>
          <w:color w:val="auto"/>
        </w:rPr>
        <w:t>, F</w:t>
      </w:r>
      <w:r>
        <w:rPr>
          <w:rFonts w:ascii="Arial" w:cs="Arial" w:eastAsia="Arial" w:hAnsi="Arial"/>
          <w:sz w:val="9"/>
          <w:szCs w:val="9"/>
          <w:b w:val="1"/>
          <w:bCs w:val="1"/>
          <w:color w:val="auto"/>
        </w:rPr>
        <w:t>ACSIMILES AND</w:t>
      </w:r>
      <w:r>
        <w:rPr>
          <w:rFonts w:ascii="Arial" w:cs="Arial" w:eastAsia="Arial" w:hAnsi="Arial"/>
          <w:sz w:val="14"/>
          <w:szCs w:val="14"/>
          <w:b w:val="1"/>
          <w:bCs w:val="1"/>
          <w:color w:val="auto"/>
        </w:rPr>
        <w:t xml:space="preserve"> E</w:t>
      </w:r>
      <w:r>
        <w:rPr>
          <w:rFonts w:ascii="Arial" w:cs="Arial" w:eastAsia="Arial" w:hAnsi="Arial"/>
          <w:sz w:val="9"/>
          <w:szCs w:val="9"/>
          <w:b w:val="1"/>
          <w:bCs w:val="1"/>
          <w:color w:val="auto"/>
        </w:rPr>
        <w:t>LECTRONIC</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OMMUNICATIONS</w:t>
      </w:r>
      <w:r>
        <w:rPr>
          <w:rFonts w:ascii="Arial" w:cs="Arial" w:eastAsia="Arial" w:hAnsi="Arial"/>
          <w:sz w:val="14"/>
          <w:szCs w:val="14"/>
          <w:color w:val="auto"/>
        </w:rPr>
        <w:t>. Each Loan Document and all documents and papers which relates thereto which have been or may be hereinafter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furnished any Agent or any Term Lender may be reproduced by any Term Lender or by any Agent by any photographic, microfilm, xerographic, digital imaging, or other process, and such Person making such reproduction may destroy any document so reproduced. Any such reproduction shall be admissible in evidence as the original itself in any judicial or administrative proceeding (whether or not the original is in existence and whether or not such reproduction was made in the regular course of business). Any facsimile or other electronic communication (such as a .pdf) which bears proof of transmission (or, in the case of an electronic communication transmitted by e-mail, which is deemed to have been received pursuant to </w:t>
      </w:r>
      <w:r>
        <w:rPr>
          <w:rFonts w:ascii="Arial" w:cs="Arial" w:eastAsia="Arial" w:hAnsi="Arial"/>
          <w:sz w:val="14"/>
          <w:szCs w:val="14"/>
          <w:u w:val="single" w:color="auto"/>
          <w:color w:val="auto"/>
        </w:rPr>
        <w:t>Section 17.2(a)</w:t>
      </w:r>
      <w:r>
        <w:rPr>
          <w:rFonts w:ascii="Arial" w:cs="Arial" w:eastAsia="Arial" w:hAnsi="Arial"/>
          <w:sz w:val="14"/>
          <w:szCs w:val="14"/>
          <w:color w:val="auto"/>
        </w:rPr>
        <w:t>) shall be binding on the party which or on whose behalf such transmission was initiated and likewise shall be so admissible in evidence as if the original of such facsimile or other electronic communication had been delivered to the party which or on whose behalf such transmission was received.</w:t>
      </w:r>
    </w:p>
    <w:p>
      <w:pPr>
        <w:spacing w:after="0" w:line="127"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19.11. M</w:t>
      </w:r>
      <w:r>
        <w:rPr>
          <w:rFonts w:ascii="Arial" w:cs="Arial" w:eastAsia="Arial" w:hAnsi="Arial"/>
          <w:sz w:val="10"/>
          <w:szCs w:val="10"/>
          <w:b w:val="1"/>
          <w:bCs w:val="1"/>
          <w:color w:val="auto"/>
        </w:rPr>
        <w:t>ASSACHUSETTS</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AW</w:t>
      </w:r>
      <w:r>
        <w:rPr>
          <w:rFonts w:ascii="Arial" w:cs="Arial" w:eastAsia="Arial" w:hAnsi="Arial"/>
          <w:sz w:val="15"/>
          <w:szCs w:val="15"/>
          <w:color w:val="auto"/>
        </w:rPr>
        <w:t>. This Agreement and all rights and obligations hereunder, including matters of construction, validity, and performance, shall be governed by the law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Commonwealth of Massachusetts.</w:t>
      </w:r>
    </w:p>
    <w:p>
      <w:pPr>
        <w:spacing w:after="0" w:line="123" w:lineRule="exact"/>
        <w:rPr>
          <w:sz w:val="20"/>
          <w:szCs w:val="20"/>
          <w:color w:val="auto"/>
        </w:rPr>
      </w:pPr>
    </w:p>
    <w:p>
      <w:pPr>
        <w:jc w:val="both"/>
        <w:ind w:firstLine="765"/>
        <w:spacing w:after="0" w:line="282" w:lineRule="auto"/>
        <w:rPr>
          <w:sz w:val="20"/>
          <w:szCs w:val="20"/>
          <w:color w:val="auto"/>
        </w:rPr>
      </w:pPr>
      <w:r>
        <w:rPr>
          <w:rFonts w:ascii="Arial" w:cs="Arial" w:eastAsia="Arial" w:hAnsi="Arial"/>
          <w:sz w:val="13"/>
          <w:szCs w:val="13"/>
          <w:b w:val="1"/>
          <w:bCs w:val="1"/>
          <w:color w:val="auto"/>
        </w:rPr>
        <w:t>19.12. I</w:t>
      </w:r>
      <w:r>
        <w:rPr>
          <w:rFonts w:ascii="Arial" w:cs="Arial" w:eastAsia="Arial" w:hAnsi="Arial"/>
          <w:sz w:val="9"/>
          <w:szCs w:val="9"/>
          <w:b w:val="1"/>
          <w:bCs w:val="1"/>
          <w:color w:val="auto"/>
        </w:rPr>
        <w:t>NDEMNIFICATION</w:t>
      </w:r>
      <w:r>
        <w:rPr>
          <w:rFonts w:ascii="Arial" w:cs="Arial" w:eastAsia="Arial" w:hAnsi="Arial"/>
          <w:sz w:val="13"/>
          <w:szCs w:val="13"/>
          <w:color w:val="auto"/>
        </w:rPr>
        <w:t>. The Borrowers’ Representative and each Loan Party shall indemnify, defend, and hold each Agent and each Term Lender and any of their respective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employees, officers, or agents (each, an </w:t>
      </w:r>
      <w:r>
        <w:rPr>
          <w:rFonts w:ascii="Arial" w:cs="Arial" w:eastAsia="Arial" w:hAnsi="Arial"/>
          <w:sz w:val="13"/>
          <w:szCs w:val="13"/>
          <w:b w:val="1"/>
          <w:bCs w:val="1"/>
          <w:color w:val="auto"/>
        </w:rPr>
        <w:t>“Indemnified Person”</w:t>
      </w:r>
      <w:r>
        <w:rPr>
          <w:rFonts w:ascii="Arial" w:cs="Arial" w:eastAsia="Arial" w:hAnsi="Arial"/>
          <w:sz w:val="13"/>
          <w:szCs w:val="13"/>
          <w:color w:val="auto"/>
        </w:rPr>
        <w:t xml:space="preserve">) harmless of and from any claim brought or threatened against any Indemnified Person by any Loan Party, any other guarantor or endorser of the Liabilities, or any other Person (as well as from reasonable attorneys’ fees, expenses, and disbursements in connection therewith) on account of the relationship of the Borrowers’ Representative, the Loan Parties or of any other guarantor or endorser of the Liabilities, including all costs, expenses, liabilities, and damages as may be suffered by any Indemnified Person in connection with (x) the Collateral; (y) the occurrence of any Event of Default; or (z) the exercise of any rights or remedies under any of the Loan Documents (each of claims which may be defended, compromised, settled, or pursued by the Indemnified Person with counsel of the Administrative Agent’s selection, but at the expense of the Borrowers’ Representative and the Loan Parties) other than any claim as to which a final determination is made in a judicial proceeding (in which the Administrative Agent and any other Indemnified Person has had an opportunity to be heard), which determination includes a specific finding that the Indemnified Person seeking indemnification had acted in a grossly negligent manner or in actual bad faith or willful misconduct. This indemnification shall survive payment of the Liabilities and/or any termination, release, or discharge executed by the Administrative Agent in favor of the Borrowers’ Representative and/or the Loan Parties, other than a termination, release, or discharge duly executed on behalf of the Administrative Agent which makes specific reference to this </w:t>
      </w:r>
      <w:r>
        <w:rPr>
          <w:rFonts w:ascii="Arial" w:cs="Arial" w:eastAsia="Arial" w:hAnsi="Arial"/>
          <w:sz w:val="13"/>
          <w:szCs w:val="13"/>
          <w:u w:val="single" w:color="auto"/>
          <w:color w:val="auto"/>
        </w:rPr>
        <w:t>Section 19.12</w:t>
      </w:r>
      <w:r>
        <w:rPr>
          <w:rFonts w:ascii="Arial" w:cs="Arial" w:eastAsia="Arial" w:hAnsi="Arial"/>
          <w:sz w:val="13"/>
          <w:szCs w:val="13"/>
          <w:color w:val="auto"/>
        </w:rPr>
        <w:t>.</w:t>
      </w:r>
    </w:p>
    <w:p>
      <w:pPr>
        <w:spacing w:after="0" w:line="11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19.13. R</w:t>
      </w:r>
      <w:r>
        <w:rPr>
          <w:rFonts w:ascii="Arial" w:cs="Arial" w:eastAsia="Arial" w:hAnsi="Arial"/>
          <w:sz w:val="9"/>
          <w:szCs w:val="9"/>
          <w:b w:val="1"/>
          <w:bCs w:val="1"/>
          <w:color w:val="auto"/>
        </w:rPr>
        <w:t>ULES OF</w:t>
      </w:r>
      <w:r>
        <w:rPr>
          <w:rFonts w:ascii="Arial" w:cs="Arial" w:eastAsia="Arial" w:hAnsi="Arial"/>
          <w:sz w:val="14"/>
          <w:szCs w:val="14"/>
          <w:b w:val="1"/>
          <w:bCs w:val="1"/>
          <w:color w:val="auto"/>
        </w:rPr>
        <w:t xml:space="preserve"> C</w:t>
      </w:r>
      <w:r>
        <w:rPr>
          <w:rFonts w:ascii="Arial" w:cs="Arial" w:eastAsia="Arial" w:hAnsi="Arial"/>
          <w:sz w:val="9"/>
          <w:szCs w:val="9"/>
          <w:b w:val="1"/>
          <w:bCs w:val="1"/>
          <w:color w:val="auto"/>
        </w:rPr>
        <w:t>ONSTRUCTION</w:t>
      </w:r>
      <w:r>
        <w:rPr>
          <w:rFonts w:ascii="Arial" w:cs="Arial" w:eastAsia="Arial" w:hAnsi="Arial"/>
          <w:sz w:val="14"/>
          <w:szCs w:val="14"/>
          <w:color w:val="auto"/>
        </w:rPr>
        <w:t>. The following rules of construction shall be applied in the interpretation, construction, and enforcement of this Agreement and of the other Loan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Documents:</w:t>
      </w:r>
    </w:p>
    <w:p>
      <w:pPr>
        <w:spacing w:after="0" w:line="68" w:lineRule="exact"/>
        <w:rPr>
          <w:sz w:val="20"/>
          <w:szCs w:val="20"/>
          <w:color w:val="auto"/>
        </w:rPr>
      </w:pPr>
    </w:p>
    <w:p>
      <w:pPr>
        <w:ind w:left="1740" w:hanging="211"/>
        <w:spacing w:after="0"/>
        <w:tabs>
          <w:tab w:leader="none" w:pos="1740" w:val="left"/>
        </w:tabs>
        <w:numPr>
          <w:ilvl w:val="0"/>
          <w:numId w:val="189"/>
        </w:numPr>
        <w:rPr>
          <w:rFonts w:ascii="Arial" w:cs="Arial" w:eastAsia="Arial" w:hAnsi="Arial"/>
          <w:sz w:val="13"/>
          <w:szCs w:val="13"/>
          <w:color w:val="auto"/>
        </w:rPr>
      </w:pPr>
      <w:r>
        <w:rPr>
          <w:rFonts w:ascii="Arial" w:cs="Arial" w:eastAsia="Arial" w:hAnsi="Arial"/>
          <w:sz w:val="13"/>
          <w:szCs w:val="13"/>
          <w:color w:val="auto"/>
        </w:rPr>
        <w:t>All computations of interest and any fee or charge which is stated as a per annum percentage shall be calculated based on a 360 day year and actual days elapsed.</w:t>
      </w:r>
    </w:p>
    <w:p>
      <w:pPr>
        <w:spacing w:after="0" w:line="102" w:lineRule="exact"/>
        <w:rPr>
          <w:rFonts w:ascii="Arial" w:cs="Arial" w:eastAsia="Arial" w:hAnsi="Arial"/>
          <w:sz w:val="13"/>
          <w:szCs w:val="13"/>
          <w:color w:val="auto"/>
        </w:rPr>
      </w:pPr>
    </w:p>
    <w:p>
      <w:pPr>
        <w:ind w:left="1740" w:hanging="211"/>
        <w:spacing w:after="0"/>
        <w:tabs>
          <w:tab w:leader="none" w:pos="174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Words in the singular include the plural and words in the plural include the singular.</w:t>
      </w:r>
    </w:p>
    <w:p>
      <w:pPr>
        <w:spacing w:after="0" w:line="79" w:lineRule="exact"/>
        <w:rPr>
          <w:rFonts w:ascii="Arial" w:cs="Arial" w:eastAsia="Arial" w:hAnsi="Arial"/>
          <w:sz w:val="15"/>
          <w:szCs w:val="15"/>
          <w:color w:val="auto"/>
        </w:rPr>
      </w:pPr>
    </w:p>
    <w:p>
      <w:pPr>
        <w:jc w:val="both"/>
        <w:ind w:firstLine="1529"/>
        <w:spacing w:after="0" w:line="249" w:lineRule="auto"/>
        <w:tabs>
          <w:tab w:leader="none" w:pos="1729" w:val="left"/>
        </w:tabs>
        <w:numPr>
          <w:ilvl w:val="0"/>
          <w:numId w:val="189"/>
        </w:numPr>
        <w:rPr>
          <w:rFonts w:ascii="Arial" w:cs="Arial" w:eastAsia="Arial" w:hAnsi="Arial"/>
          <w:sz w:val="15"/>
          <w:szCs w:val="15"/>
          <w:color w:val="auto"/>
        </w:rPr>
      </w:pPr>
      <w:r>
        <w:rPr>
          <w:rFonts w:ascii="Arial" w:cs="Arial" w:eastAsia="Arial" w:hAnsi="Arial"/>
          <w:sz w:val="15"/>
          <w:szCs w:val="15"/>
          <w:color w:val="auto"/>
        </w:rPr>
        <w:t xml:space="preserve">Any reference, herein, to a circumstance or event’s having “more than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adverse effect” and any similar reference is to a circumstance or event which (x) in a well managed enterprise, would receive the active attention of senior management with a view towards its being reversed or remedied; or (y) if not reversed or remedied could reasonably be expected to lead to its becoming a Material Adverse Effect.</w:t>
      </w:r>
    </w:p>
    <w:p>
      <w:pPr>
        <w:spacing w:after="0" w:line="138" w:lineRule="exact"/>
        <w:rPr>
          <w:rFonts w:ascii="Arial" w:cs="Arial" w:eastAsia="Arial" w:hAnsi="Arial"/>
          <w:sz w:val="15"/>
          <w:szCs w:val="15"/>
          <w:color w:val="auto"/>
        </w:rPr>
      </w:pPr>
    </w:p>
    <w:p>
      <w:pPr>
        <w:ind w:left="5660" w:hanging="86"/>
        <w:spacing w:after="0"/>
        <w:tabs>
          <w:tab w:leader="none" w:pos="566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68 -</w:t>
      </w:r>
    </w:p>
    <w:p>
      <w:pPr>
        <w:sectPr>
          <w:pgSz w:w="11900" w:h="16838" w:orient="portrait"/>
          <w:cols w:equalWidth="0" w:num="1">
            <w:col w:w="11460"/>
          </w:cols>
          <w:pgMar w:left="220" w:top="208" w:right="219" w:bottom="1440" w:gutter="0" w:footer="0" w:header="0"/>
        </w:sectPr>
      </w:pPr>
    </w:p>
    <w:bookmarkStart w:id="126" w:name="page127"/>
    <w:bookmarkEnd w:id="126"/>
    <w:p>
      <w:pPr>
        <w:ind w:firstLine="1529"/>
        <w:spacing w:after="0" w:line="259" w:lineRule="auto"/>
        <w:tabs>
          <w:tab w:leader="none" w:pos="1741" w:val="left"/>
        </w:tabs>
        <w:numPr>
          <w:ilvl w:val="0"/>
          <w:numId w:val="190"/>
        </w:numPr>
        <w:rPr>
          <w:rFonts w:ascii="Arial" w:cs="Arial" w:eastAsia="Arial" w:hAnsi="Arial"/>
          <w:sz w:val="15"/>
          <w:szCs w:val="15"/>
          <w:color w:val="auto"/>
        </w:rPr>
      </w:pPr>
      <w:r>
        <w:rPr>
          <w:rFonts w:ascii="Arial" w:cs="Arial" w:eastAsia="Arial" w:hAnsi="Arial"/>
          <w:sz w:val="15"/>
          <w:szCs w:val="15"/>
          <w:color w:val="auto"/>
        </w:rPr>
        <w:t xml:space="preserve">Titles, headings (indicated by being </w:t>
      </w:r>
      <w:r>
        <w:rPr>
          <w:rFonts w:ascii="Arial" w:cs="Arial" w:eastAsia="Arial" w:hAnsi="Arial"/>
          <w:sz w:val="15"/>
          <w:szCs w:val="15"/>
          <w:u w:val="single" w:color="auto"/>
          <w:color w:val="auto"/>
        </w:rPr>
        <w:t>underlined</w:t>
      </w:r>
      <w:r>
        <w:rPr>
          <w:rFonts w:ascii="Arial" w:cs="Arial" w:eastAsia="Arial" w:hAnsi="Arial"/>
          <w:sz w:val="15"/>
          <w:szCs w:val="15"/>
          <w:color w:val="auto"/>
        </w:rPr>
        <w:t xml:space="preserve"> or shown in S</w:t>
      </w:r>
      <w:r>
        <w:rPr>
          <w:rFonts w:ascii="Arial" w:cs="Arial" w:eastAsia="Arial" w:hAnsi="Arial"/>
          <w:sz w:val="10"/>
          <w:szCs w:val="10"/>
          <w:color w:val="auto"/>
        </w:rPr>
        <w:t>MALL</w:t>
      </w:r>
      <w:r>
        <w:rPr>
          <w:rFonts w:ascii="Arial" w:cs="Arial" w:eastAsia="Arial" w:hAnsi="Arial"/>
          <w:sz w:val="15"/>
          <w:szCs w:val="15"/>
          <w:color w:val="auto"/>
        </w:rPr>
        <w:t xml:space="preserve"> C</w:t>
      </w:r>
      <w:r>
        <w:rPr>
          <w:rFonts w:ascii="Arial" w:cs="Arial" w:eastAsia="Arial" w:hAnsi="Arial"/>
          <w:sz w:val="10"/>
          <w:szCs w:val="10"/>
          <w:color w:val="auto"/>
        </w:rPr>
        <w:t>APITALS</w:t>
      </w:r>
      <w:r>
        <w:rPr>
          <w:rFonts w:ascii="Arial" w:cs="Arial" w:eastAsia="Arial" w:hAnsi="Arial"/>
          <w:sz w:val="15"/>
          <w:szCs w:val="15"/>
          <w:color w:val="auto"/>
        </w:rPr>
        <w:t>) and any Table of Contents are solely for convenience of reference; do not constitute a part of the instrument in which included; and do not affect such instrument’s meaning, construction, or effect.</w:t>
      </w:r>
    </w:p>
    <w:p>
      <w:pPr>
        <w:spacing w:after="0" w:line="51" w:lineRule="exact"/>
        <w:rPr>
          <w:rFonts w:ascii="Arial" w:cs="Arial" w:eastAsia="Arial" w:hAnsi="Arial"/>
          <w:sz w:val="15"/>
          <w:szCs w:val="15"/>
          <w:color w:val="auto"/>
        </w:rPr>
      </w:pPr>
    </w:p>
    <w:p>
      <w:pPr>
        <w:ind w:left="1740" w:hanging="211"/>
        <w:spacing w:after="0"/>
        <w:tabs>
          <w:tab w:leader="none" w:pos="17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words “includes” and “including” are not limiting.</w:t>
      </w:r>
    </w:p>
    <w:p>
      <w:pPr>
        <w:spacing w:after="0" w:line="79" w:lineRule="exact"/>
        <w:rPr>
          <w:rFonts w:ascii="Arial" w:cs="Arial" w:eastAsia="Arial" w:hAnsi="Arial"/>
          <w:sz w:val="15"/>
          <w:szCs w:val="15"/>
          <w:color w:val="auto"/>
        </w:rPr>
      </w:pPr>
    </w:p>
    <w:p>
      <w:pPr>
        <w:ind w:left="1720" w:hanging="191"/>
        <w:spacing w:after="0"/>
        <w:tabs>
          <w:tab w:leader="none" w:pos="172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Text which follows the words “including, without limitation” (or similar words) is illustrative and not limitational.</w:t>
      </w:r>
    </w:p>
    <w:p>
      <w:pPr>
        <w:spacing w:after="0" w:line="75" w:lineRule="exact"/>
        <w:rPr>
          <w:rFonts w:ascii="Arial" w:cs="Arial" w:eastAsia="Arial" w:hAnsi="Arial"/>
          <w:sz w:val="15"/>
          <w:szCs w:val="15"/>
          <w:color w:val="auto"/>
        </w:rPr>
      </w:pPr>
    </w:p>
    <w:p>
      <w:pPr>
        <w:ind w:firstLine="1529"/>
        <w:spacing w:after="0" w:line="265" w:lineRule="auto"/>
        <w:tabs>
          <w:tab w:leader="none" w:pos="176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 xml:space="preserve">Text which is shown in </w:t>
      </w:r>
      <w:r>
        <w:rPr>
          <w:rFonts w:ascii="Arial" w:cs="Arial" w:eastAsia="Arial" w:hAnsi="Arial"/>
          <w:sz w:val="15"/>
          <w:szCs w:val="15"/>
          <w:i w:val="1"/>
          <w:iCs w:val="1"/>
          <w:color w:val="auto"/>
        </w:rPr>
        <w:t>italics (</w:t>
      </w:r>
      <w:r>
        <w:rPr>
          <w:rFonts w:ascii="Arial" w:cs="Arial" w:eastAsia="Arial" w:hAnsi="Arial"/>
          <w:sz w:val="15"/>
          <w:szCs w:val="15"/>
          <w:color w:val="auto"/>
        </w:rPr>
        <w:t xml:space="preserve">except for parenthesized italicized text), shown in </w:t>
      </w:r>
      <w:r>
        <w:rPr>
          <w:rFonts w:ascii="Arial" w:cs="Arial" w:eastAsia="Arial" w:hAnsi="Arial"/>
          <w:sz w:val="15"/>
          <w:szCs w:val="15"/>
          <w:b w:val="1"/>
          <w:bCs w:val="1"/>
          <w:color w:val="auto"/>
        </w:rPr>
        <w:t>bold,</w:t>
      </w:r>
      <w:r>
        <w:rPr>
          <w:rFonts w:ascii="Arial" w:cs="Arial" w:eastAsia="Arial" w:hAnsi="Arial"/>
          <w:sz w:val="15"/>
          <w:szCs w:val="15"/>
          <w:color w:val="auto"/>
        </w:rPr>
        <w:t xml:space="preserve"> shown IN ALL CAPITAL LETTERS, or in any combination of the foregoing, shall be deemed to be conspicuous.</w:t>
      </w:r>
    </w:p>
    <w:p>
      <w:pPr>
        <w:spacing w:after="0" w:line="46" w:lineRule="exact"/>
        <w:rPr>
          <w:rFonts w:ascii="Arial" w:cs="Arial" w:eastAsia="Arial" w:hAnsi="Arial"/>
          <w:sz w:val="15"/>
          <w:szCs w:val="15"/>
          <w:color w:val="auto"/>
        </w:rPr>
      </w:pPr>
    </w:p>
    <w:p>
      <w:pPr>
        <w:ind w:left="1740" w:hanging="211"/>
        <w:spacing w:after="0"/>
        <w:tabs>
          <w:tab w:leader="none" w:pos="17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words “may not” are prohibitive and not permissive.</w:t>
      </w:r>
    </w:p>
    <w:p>
      <w:pPr>
        <w:spacing w:after="0" w:line="79" w:lineRule="exact"/>
        <w:rPr>
          <w:rFonts w:ascii="Arial" w:cs="Arial" w:eastAsia="Arial" w:hAnsi="Arial"/>
          <w:sz w:val="15"/>
          <w:szCs w:val="15"/>
          <w:color w:val="auto"/>
        </w:rPr>
      </w:pPr>
    </w:p>
    <w:p>
      <w:pPr>
        <w:ind w:firstLine="1529"/>
        <w:spacing w:after="0" w:line="259" w:lineRule="auto"/>
        <w:tabs>
          <w:tab w:leader="none" w:pos="1716"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Any reference to a Person’s “knowledge” (or words of similar import) are to such Person’s knowledge assuming that such Person has undertaken reasonable and diligent investigation with respect to the subject of such “knowledge” (whether or not such investigation has actually been undertaken).</w:t>
      </w:r>
    </w:p>
    <w:p>
      <w:pPr>
        <w:spacing w:after="0" w:line="51" w:lineRule="exact"/>
        <w:rPr>
          <w:rFonts w:ascii="Arial" w:cs="Arial" w:eastAsia="Arial" w:hAnsi="Arial"/>
          <w:sz w:val="15"/>
          <w:szCs w:val="15"/>
          <w:color w:val="auto"/>
        </w:rPr>
      </w:pPr>
    </w:p>
    <w:p>
      <w:pPr>
        <w:ind w:left="1700" w:hanging="171"/>
        <w:spacing w:after="0"/>
        <w:tabs>
          <w:tab w:leader="none" w:pos="17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Terms which are defined in one section of any Loan Document are used with such definition throughout the instrument in which so defined.</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“Dollars” and the symbol “$” refers to United States Dollars.</w:t>
      </w:r>
    </w:p>
    <w:p>
      <w:pPr>
        <w:spacing w:after="0" w:line="79" w:lineRule="exact"/>
        <w:rPr>
          <w:rFonts w:ascii="Arial" w:cs="Arial" w:eastAsia="Arial" w:hAnsi="Arial"/>
          <w:sz w:val="15"/>
          <w:szCs w:val="15"/>
          <w:color w:val="auto"/>
        </w:rPr>
      </w:pPr>
    </w:p>
    <w:p>
      <w:pPr>
        <w:ind w:left="1720" w:hanging="191"/>
        <w:spacing w:after="0"/>
        <w:tabs>
          <w:tab w:leader="none" w:pos="172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Unless limited by reference to a particular Section or provision, any reference to “herein”, “hereof’, or “within” is to the entire Loan Document in which such</w:t>
      </w:r>
    </w:p>
    <w:p>
      <w:pPr>
        <w:spacing w:after="0" w:line="2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reference is made.</w:t>
      </w:r>
    </w:p>
    <w:p>
      <w:pPr>
        <w:spacing w:after="0" w:line="67" w:lineRule="exact"/>
        <w:rPr>
          <w:rFonts w:ascii="Arial" w:cs="Arial" w:eastAsia="Arial" w:hAnsi="Arial"/>
          <w:sz w:val="14"/>
          <w:szCs w:val="14"/>
          <w:color w:val="auto"/>
        </w:rPr>
      </w:pPr>
    </w:p>
    <w:p>
      <w:pPr>
        <w:ind w:left="1780" w:hanging="251"/>
        <w:spacing w:after="0"/>
        <w:tabs>
          <w:tab w:leader="none" w:pos="1780" w:val="left"/>
        </w:tabs>
        <w:numPr>
          <w:ilvl w:val="0"/>
          <w:numId w:val="190"/>
        </w:numPr>
        <w:rPr>
          <w:rFonts w:ascii="Arial" w:cs="Arial" w:eastAsia="Arial" w:hAnsi="Arial"/>
          <w:sz w:val="13"/>
          <w:szCs w:val="13"/>
          <w:color w:val="auto"/>
        </w:rPr>
      </w:pPr>
      <w:r>
        <w:rPr>
          <w:rFonts w:ascii="Arial" w:cs="Arial" w:eastAsia="Arial" w:hAnsi="Arial"/>
          <w:sz w:val="13"/>
          <w:szCs w:val="13"/>
          <w:color w:val="auto"/>
        </w:rPr>
        <w:t>References to “this Agreement” or to any other Loan Document is to the subject instrument as amended to the date on which application of such reference is being</w:t>
      </w:r>
    </w:p>
    <w:p>
      <w:pPr>
        <w:spacing w:after="0" w:line="3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made.</w:t>
      </w:r>
    </w:p>
    <w:p>
      <w:pPr>
        <w:spacing w:after="0" w:line="67" w:lineRule="exact"/>
        <w:rPr>
          <w:rFonts w:ascii="Arial" w:cs="Arial" w:eastAsia="Arial" w:hAnsi="Arial"/>
          <w:sz w:val="13"/>
          <w:szCs w:val="13"/>
          <w:color w:val="auto"/>
        </w:rPr>
      </w:pPr>
    </w:p>
    <w:p>
      <w:pPr>
        <w:ind w:left="1740" w:hanging="211"/>
        <w:spacing w:after="0"/>
        <w:tabs>
          <w:tab w:leader="none" w:pos="17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Except as otherwise specifically provided, all references to time are to Boston time.</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In the determination of any notice, grace, or other period of time prescribed or allowed hereunder:</w:t>
      </w:r>
    </w:p>
    <w:p>
      <w:pPr>
        <w:spacing w:after="0" w:line="79" w:lineRule="exact"/>
        <w:rPr>
          <w:rFonts w:ascii="Arial" w:cs="Arial" w:eastAsia="Arial" w:hAnsi="Arial"/>
          <w:sz w:val="15"/>
          <w:szCs w:val="15"/>
          <w:color w:val="auto"/>
        </w:rPr>
      </w:pPr>
    </w:p>
    <w:p>
      <w:pPr>
        <w:jc w:val="both"/>
        <w:ind w:left="760" w:firstLine="1432"/>
        <w:spacing w:after="0" w:line="249" w:lineRule="auto"/>
        <w:tabs>
          <w:tab w:leader="none" w:pos="2371" w:val="left"/>
        </w:tabs>
        <w:numPr>
          <w:ilvl w:val="1"/>
          <w:numId w:val="190"/>
        </w:numPr>
        <w:rPr>
          <w:rFonts w:ascii="Arial" w:cs="Arial" w:eastAsia="Arial" w:hAnsi="Arial"/>
          <w:sz w:val="15"/>
          <w:szCs w:val="15"/>
          <w:color w:val="auto"/>
        </w:rPr>
      </w:pPr>
      <w:r>
        <w:rPr>
          <w:rFonts w:ascii="Arial" w:cs="Arial" w:eastAsia="Arial" w:hAnsi="Arial"/>
          <w:sz w:val="15"/>
          <w:szCs w:val="15"/>
          <w:color w:val="auto"/>
        </w:rPr>
        <w:t>Unless otherwise provided (I) the day of the act, event, or default from which the designated period of time begins to run shall not be included and the last day of the period so computed shall be included unless such last day is not a Business Day, in which event the last day of the relevant period shall be the then next Business Day and (II) the period so computed shall end at 5:00 PM on the relevant Business Day.</w:t>
      </w:r>
    </w:p>
    <w:p>
      <w:pPr>
        <w:spacing w:after="0" w:line="58" w:lineRule="exact"/>
        <w:rPr>
          <w:rFonts w:ascii="Arial" w:cs="Arial" w:eastAsia="Arial" w:hAnsi="Arial"/>
          <w:sz w:val="15"/>
          <w:szCs w:val="15"/>
          <w:color w:val="auto"/>
        </w:rPr>
      </w:pPr>
    </w:p>
    <w:p>
      <w:pPr>
        <w:ind w:left="2400" w:hanging="208"/>
        <w:spacing w:after="0"/>
        <w:tabs>
          <w:tab w:leader="none" w:pos="240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word “from” means “from and including”.</w:t>
      </w:r>
    </w:p>
    <w:p>
      <w:pPr>
        <w:spacing w:after="0" w:line="79" w:lineRule="exact"/>
        <w:rPr>
          <w:rFonts w:ascii="Arial" w:cs="Arial" w:eastAsia="Arial" w:hAnsi="Arial"/>
          <w:sz w:val="15"/>
          <w:szCs w:val="15"/>
          <w:color w:val="auto"/>
        </w:rPr>
      </w:pPr>
    </w:p>
    <w:p>
      <w:pPr>
        <w:ind w:left="2460" w:hanging="268"/>
        <w:spacing w:after="0"/>
        <w:tabs>
          <w:tab w:leader="none" w:pos="246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words “to” and “until” each mean “to, but excluding”.</w:t>
      </w:r>
    </w:p>
    <w:p>
      <w:pPr>
        <w:spacing w:after="0" w:line="79" w:lineRule="exact"/>
        <w:rPr>
          <w:rFonts w:ascii="Arial" w:cs="Arial" w:eastAsia="Arial" w:hAnsi="Arial"/>
          <w:sz w:val="15"/>
          <w:szCs w:val="15"/>
          <w:color w:val="auto"/>
        </w:rPr>
      </w:pPr>
    </w:p>
    <w:p>
      <w:pPr>
        <w:ind w:left="2440" w:hanging="248"/>
        <w:spacing w:after="0"/>
        <w:tabs>
          <w:tab w:leader="none" w:pos="244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word “through” means “to and including”.</w:t>
      </w:r>
    </w:p>
    <w:p>
      <w:pPr>
        <w:spacing w:after="0" w:line="79" w:lineRule="exact"/>
        <w:rPr>
          <w:rFonts w:ascii="Arial" w:cs="Arial" w:eastAsia="Arial" w:hAnsi="Arial"/>
          <w:sz w:val="15"/>
          <w:szCs w:val="15"/>
          <w:color w:val="auto"/>
        </w:rPr>
      </w:pPr>
    </w:p>
    <w:p>
      <w:pPr>
        <w:ind w:firstLine="1529"/>
        <w:spacing w:after="0" w:line="295" w:lineRule="auto"/>
        <w:tabs>
          <w:tab w:leader="none" w:pos="1751" w:val="left"/>
        </w:tabs>
        <w:numPr>
          <w:ilvl w:val="0"/>
          <w:numId w:val="190"/>
        </w:numPr>
        <w:rPr>
          <w:rFonts w:ascii="Arial" w:cs="Arial" w:eastAsia="Arial" w:hAnsi="Arial"/>
          <w:sz w:val="14"/>
          <w:szCs w:val="14"/>
          <w:color w:val="auto"/>
        </w:rPr>
      </w:pPr>
      <w:r>
        <w:rPr>
          <w:rFonts w:ascii="Arial" w:cs="Arial" w:eastAsia="Arial" w:hAnsi="Arial"/>
          <w:sz w:val="14"/>
          <w:szCs w:val="14"/>
          <w:color w:val="auto"/>
        </w:rPr>
        <w:t xml:space="preserve">The Loan Documents shall be construed and interpreted in a harmonious manner and in keeping with the intentions set forth in </w:t>
      </w:r>
      <w:r>
        <w:rPr>
          <w:rFonts w:ascii="Arial" w:cs="Arial" w:eastAsia="Arial" w:hAnsi="Arial"/>
          <w:sz w:val="14"/>
          <w:szCs w:val="14"/>
          <w:u w:val="single" w:color="auto"/>
          <w:color w:val="auto"/>
        </w:rPr>
        <w:t>Section 19.14</w:t>
      </w:r>
      <w:r>
        <w:rPr>
          <w:rFonts w:ascii="Arial" w:cs="Arial" w:eastAsia="Arial" w:hAnsi="Arial"/>
          <w:sz w:val="14"/>
          <w:szCs w:val="14"/>
          <w:color w:val="auto"/>
        </w:rPr>
        <w:t xml:space="preserve">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in the event of any inconsistency between the provisions of this Agreement and any other Loan Document, the provisions of this Agreement shall govern and control.</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19.14. I</w:t>
      </w:r>
      <w:r>
        <w:rPr>
          <w:rFonts w:ascii="Arial" w:cs="Arial" w:eastAsia="Arial" w:hAnsi="Arial"/>
          <w:sz w:val="10"/>
          <w:szCs w:val="10"/>
          <w:b w:val="1"/>
          <w:bCs w:val="1"/>
          <w:color w:val="auto"/>
        </w:rPr>
        <w:t>NTENT</w:t>
      </w:r>
      <w:r>
        <w:rPr>
          <w:rFonts w:ascii="Arial" w:cs="Arial" w:eastAsia="Arial" w:hAnsi="Arial"/>
          <w:sz w:val="15"/>
          <w:szCs w:val="15"/>
          <w:color w:val="auto"/>
        </w:rPr>
        <w:t>. It is intended that:</w:t>
      </w:r>
    </w:p>
    <w:p>
      <w:pPr>
        <w:spacing w:after="0" w:line="84" w:lineRule="exact"/>
        <w:rPr>
          <w:sz w:val="20"/>
          <w:szCs w:val="20"/>
          <w:color w:val="auto"/>
        </w:rPr>
      </w:pPr>
    </w:p>
    <w:p>
      <w:pPr>
        <w:ind w:left="1740" w:hanging="211"/>
        <w:spacing w:after="0"/>
        <w:tabs>
          <w:tab w:leader="none" w:pos="17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This Agreement take effect as a sealed instrument.</w:t>
      </w:r>
    </w:p>
    <w:p>
      <w:pPr>
        <w:spacing w:after="0" w:line="79" w:lineRule="exact"/>
        <w:rPr>
          <w:rFonts w:ascii="Arial" w:cs="Arial" w:eastAsia="Arial" w:hAnsi="Arial"/>
          <w:sz w:val="15"/>
          <w:szCs w:val="15"/>
          <w:color w:val="auto"/>
        </w:rPr>
      </w:pPr>
    </w:p>
    <w:p>
      <w:pPr>
        <w:ind w:left="1740" w:hanging="211"/>
        <w:spacing w:after="0"/>
        <w:tabs>
          <w:tab w:leader="none" w:pos="17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The scope of all Collateral Interests created by any Loan Party to secure the Liabilities be broadly construed in favor of the Administrative Agent.</w:t>
      </w:r>
    </w:p>
    <w:p>
      <w:pPr>
        <w:spacing w:after="0" w:line="79" w:lineRule="exact"/>
        <w:rPr>
          <w:rFonts w:ascii="Arial" w:cs="Arial" w:eastAsia="Arial" w:hAnsi="Arial"/>
          <w:sz w:val="15"/>
          <w:szCs w:val="15"/>
          <w:color w:val="auto"/>
        </w:rPr>
      </w:pPr>
    </w:p>
    <w:p>
      <w:pPr>
        <w:ind w:firstLine="1529"/>
        <w:spacing w:after="0" w:line="259" w:lineRule="auto"/>
        <w:tabs>
          <w:tab w:leader="none" w:pos="1734"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All Collateral Interests created in favor of the Collateral Agent at any time and from time to time by any Loan Party secure all Liabilities, whether now existing or contemplated or hereafter arising.</w:t>
      </w:r>
    </w:p>
    <w:p>
      <w:pPr>
        <w:spacing w:after="0" w:line="51" w:lineRule="exact"/>
        <w:rPr>
          <w:rFonts w:ascii="Arial" w:cs="Arial" w:eastAsia="Arial" w:hAnsi="Arial"/>
          <w:sz w:val="15"/>
          <w:szCs w:val="15"/>
          <w:color w:val="auto"/>
        </w:rPr>
      </w:pPr>
    </w:p>
    <w:p>
      <w:pPr>
        <w:ind w:firstLine="1529"/>
        <w:spacing w:after="0" w:line="259" w:lineRule="auto"/>
        <w:tabs>
          <w:tab w:leader="none" w:pos="175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 xml:space="preserve">All reasonable costs, expenses, and disbursements incurred by any Agent, and, to the extent provide in </w:t>
      </w:r>
      <w:r>
        <w:rPr>
          <w:rFonts w:ascii="Arial" w:cs="Arial" w:eastAsia="Arial" w:hAnsi="Arial"/>
          <w:sz w:val="15"/>
          <w:szCs w:val="15"/>
          <w:u w:val="single" w:color="auto"/>
          <w:color w:val="auto"/>
        </w:rPr>
        <w:t>Section 19.9</w:t>
      </w:r>
      <w:r>
        <w:rPr>
          <w:rFonts w:ascii="Arial" w:cs="Arial" w:eastAsia="Arial" w:hAnsi="Arial"/>
          <w:sz w:val="15"/>
          <w:szCs w:val="15"/>
          <w:color w:val="auto"/>
        </w:rPr>
        <w:t xml:space="preserve"> each Term Lender, in connection with such Person’s relationship(s) with any Loan Party shall be borne by the Loan Parties.</w:t>
      </w:r>
    </w:p>
    <w:p>
      <w:pPr>
        <w:spacing w:after="0" w:line="51" w:lineRule="exact"/>
        <w:rPr>
          <w:rFonts w:ascii="Arial" w:cs="Arial" w:eastAsia="Arial" w:hAnsi="Arial"/>
          <w:sz w:val="15"/>
          <w:szCs w:val="15"/>
          <w:color w:val="auto"/>
        </w:rPr>
      </w:pPr>
    </w:p>
    <w:p>
      <w:pPr>
        <w:ind w:firstLine="1529"/>
        <w:spacing w:after="0" w:line="259" w:lineRule="auto"/>
        <w:tabs>
          <w:tab w:leader="none" w:pos="1738" w:val="left"/>
        </w:tabs>
        <w:numPr>
          <w:ilvl w:val="0"/>
          <w:numId w:val="191"/>
        </w:numPr>
        <w:rPr>
          <w:rFonts w:ascii="Arial" w:cs="Arial" w:eastAsia="Arial" w:hAnsi="Arial"/>
          <w:sz w:val="15"/>
          <w:szCs w:val="15"/>
          <w:color w:val="auto"/>
        </w:rPr>
      </w:pPr>
      <w:r>
        <w:rPr>
          <w:rFonts w:ascii="Arial" w:cs="Arial" w:eastAsia="Arial" w:hAnsi="Arial"/>
          <w:sz w:val="15"/>
          <w:szCs w:val="15"/>
          <w:color w:val="auto"/>
        </w:rPr>
        <w:t xml:space="preserve">Unless otherwise explicitly provided herein, the Administrative Agent’s consent to any action of any Loan Party which is prohibited unless such consent is given may be given or refused by the Administrative Agent in its discretion or reasonable discretion, as applicable, and without reference to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hereof.</w:t>
      </w:r>
    </w:p>
    <w:p>
      <w:pPr>
        <w:spacing w:after="0" w:line="131" w:lineRule="exact"/>
        <w:rPr>
          <w:rFonts w:ascii="Arial" w:cs="Arial" w:eastAsia="Arial" w:hAnsi="Arial"/>
          <w:sz w:val="15"/>
          <w:szCs w:val="15"/>
          <w:color w:val="auto"/>
        </w:rPr>
      </w:pPr>
    </w:p>
    <w:p>
      <w:pPr>
        <w:ind w:left="5660" w:hanging="86"/>
        <w:spacing w:after="0"/>
        <w:tabs>
          <w:tab w:leader="none" w:pos="5660" w:val="left"/>
        </w:tabs>
        <w:numPr>
          <w:ilvl w:val="1"/>
          <w:numId w:val="191"/>
        </w:numPr>
        <w:rPr>
          <w:rFonts w:ascii="Arial" w:cs="Arial" w:eastAsia="Arial" w:hAnsi="Arial"/>
          <w:sz w:val="15"/>
          <w:szCs w:val="15"/>
          <w:color w:val="auto"/>
        </w:rPr>
      </w:pPr>
      <w:r>
        <w:rPr>
          <w:rFonts w:ascii="Arial" w:cs="Arial" w:eastAsia="Arial" w:hAnsi="Arial"/>
          <w:sz w:val="15"/>
          <w:szCs w:val="15"/>
          <w:color w:val="auto"/>
        </w:rPr>
        <w:t>69 -</w:t>
      </w:r>
    </w:p>
    <w:p>
      <w:pPr>
        <w:sectPr>
          <w:pgSz w:w="11900" w:h="16838" w:orient="portrait"/>
          <w:cols w:equalWidth="0" w:num="1">
            <w:col w:w="11460"/>
          </w:cols>
          <w:pgMar w:left="220" w:top="208" w:right="219" w:bottom="1440" w:gutter="0" w:footer="0" w:header="0"/>
        </w:sectPr>
      </w:pPr>
    </w:p>
    <w:bookmarkStart w:id="127" w:name="page128"/>
    <w:bookmarkEnd w:id="127"/>
    <w:p>
      <w:pPr>
        <w:jc w:val="both"/>
        <w:ind w:firstLine="765"/>
        <w:spacing w:after="0" w:line="247" w:lineRule="auto"/>
        <w:rPr>
          <w:sz w:val="20"/>
          <w:szCs w:val="20"/>
          <w:color w:val="auto"/>
        </w:rPr>
      </w:pPr>
      <w:r>
        <w:rPr>
          <w:rFonts w:ascii="Arial" w:cs="Arial" w:eastAsia="Arial" w:hAnsi="Arial"/>
          <w:sz w:val="15"/>
          <w:szCs w:val="15"/>
          <w:b w:val="1"/>
          <w:bCs w:val="1"/>
          <w:color w:val="auto"/>
        </w:rPr>
        <w:t>19.15. P</w:t>
      </w:r>
      <w:r>
        <w:rPr>
          <w:rFonts w:ascii="Arial" w:cs="Arial" w:eastAsia="Arial" w:hAnsi="Arial"/>
          <w:sz w:val="10"/>
          <w:szCs w:val="10"/>
          <w:b w:val="1"/>
          <w:bCs w:val="1"/>
          <w:color w:val="auto"/>
        </w:rPr>
        <w:t>ARTICIPATIONS</w:t>
      </w:r>
      <w:r>
        <w:rPr>
          <w:rFonts w:ascii="Arial" w:cs="Arial" w:eastAsia="Arial" w:hAnsi="Arial"/>
          <w:sz w:val="15"/>
          <w:szCs w:val="15"/>
          <w:b w:val="1"/>
          <w:bCs w:val="1"/>
          <w:color w:val="auto"/>
        </w:rPr>
        <w:t xml:space="preserve">. </w:t>
      </w:r>
      <w:r>
        <w:rPr>
          <w:rFonts w:ascii="Arial" w:cs="Arial" w:eastAsia="Arial" w:hAnsi="Arial"/>
          <w:sz w:val="15"/>
          <w:szCs w:val="15"/>
          <w:color w:val="auto"/>
        </w:rPr>
        <w:t>Each Term Lender may sell participations to one or more financial institutions (each, a</w:t>
      </w:r>
      <w:r>
        <w:rPr>
          <w:rFonts w:ascii="Arial" w:cs="Arial" w:eastAsia="Arial" w:hAnsi="Arial"/>
          <w:sz w:val="15"/>
          <w:szCs w:val="15"/>
          <w:b w:val="1"/>
          <w:bCs w:val="1"/>
          <w:color w:val="auto"/>
        </w:rPr>
        <w:t xml:space="preserve"> “Participant”</w:t>
      </w:r>
      <w:r>
        <w:rPr>
          <w:rFonts w:ascii="Arial" w:cs="Arial" w:eastAsia="Arial" w:hAnsi="Arial"/>
          <w:sz w:val="15"/>
          <w:szCs w:val="15"/>
          <w:color w:val="auto"/>
        </w:rPr>
        <w:t>) in that Term Lender’s interests herein,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provided that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no such participation shall include any provision which accords that Participant with any rights, </w:t>
      </w:r>
      <w:r>
        <w:rPr>
          <w:rFonts w:ascii="Arial" w:cs="Arial" w:eastAsia="Arial" w:hAnsi="Arial"/>
          <w:sz w:val="15"/>
          <w:szCs w:val="15"/>
          <w:i w:val="1"/>
          <w:iCs w:val="1"/>
          <w:color w:val="auto"/>
        </w:rPr>
        <w:t>vis a vis</w:t>
      </w:r>
      <w:r>
        <w:rPr>
          <w:rFonts w:ascii="Arial" w:cs="Arial" w:eastAsia="Arial" w:hAnsi="Arial"/>
          <w:sz w:val="15"/>
          <w:szCs w:val="15"/>
          <w:color w:val="auto"/>
        </w:rPr>
        <w:t xml:space="preserve"> any Agent, with respect to any requirement herein for approval by a requisite number or proportion of the Term Lenders. No such sale of a participation shall relieve a Term Lender from that Term Lender’s obligations hereunder nor obligate any Agent to any Person other than a Term Lender.</w:t>
      </w:r>
    </w:p>
    <w:p>
      <w:pPr>
        <w:spacing w:after="0" w:line="137" w:lineRule="exact"/>
        <w:rPr>
          <w:sz w:val="20"/>
          <w:szCs w:val="20"/>
          <w:color w:val="auto"/>
        </w:rPr>
      </w:pPr>
    </w:p>
    <w:p>
      <w:pPr>
        <w:jc w:val="both"/>
        <w:ind w:firstLine="765"/>
        <w:spacing w:after="0" w:line="267" w:lineRule="auto"/>
        <w:rPr>
          <w:sz w:val="20"/>
          <w:szCs w:val="20"/>
          <w:color w:val="auto"/>
        </w:rPr>
      </w:pPr>
      <w:r>
        <w:rPr>
          <w:rFonts w:ascii="Arial" w:cs="Arial" w:eastAsia="Arial" w:hAnsi="Arial"/>
          <w:sz w:val="14"/>
          <w:szCs w:val="14"/>
          <w:b w:val="1"/>
          <w:bCs w:val="1"/>
          <w:color w:val="auto"/>
        </w:rPr>
        <w:t>19.16. R</w:t>
      </w:r>
      <w:r>
        <w:rPr>
          <w:rFonts w:ascii="Arial" w:cs="Arial" w:eastAsia="Arial" w:hAnsi="Arial"/>
          <w:sz w:val="9"/>
          <w:szCs w:val="9"/>
          <w:b w:val="1"/>
          <w:bCs w:val="1"/>
          <w:color w:val="auto"/>
        </w:rPr>
        <w:t>IGHT OF</w:t>
      </w:r>
      <w:r>
        <w:rPr>
          <w:rFonts w:ascii="Arial" w:cs="Arial" w:eastAsia="Arial" w:hAnsi="Arial"/>
          <w:sz w:val="14"/>
          <w:szCs w:val="14"/>
          <w:b w:val="1"/>
          <w:bCs w:val="1"/>
          <w:color w:val="auto"/>
        </w:rPr>
        <w:t xml:space="preserve"> S</w:t>
      </w:r>
      <w:r>
        <w:rPr>
          <w:rFonts w:ascii="Arial" w:cs="Arial" w:eastAsia="Arial" w:hAnsi="Arial"/>
          <w:sz w:val="9"/>
          <w:szCs w:val="9"/>
          <w:b w:val="1"/>
          <w:bCs w:val="1"/>
          <w:color w:val="auto"/>
        </w:rPr>
        <w:t>ET</w:t>
      </w:r>
      <w:r>
        <w:rPr>
          <w:rFonts w:ascii="Arial" w:cs="Arial" w:eastAsia="Arial" w:hAnsi="Arial"/>
          <w:sz w:val="14"/>
          <w:szCs w:val="14"/>
          <w:b w:val="1"/>
          <w:bCs w:val="1"/>
          <w:color w:val="auto"/>
        </w:rPr>
        <w:t>-O</w:t>
      </w:r>
      <w:r>
        <w:rPr>
          <w:rFonts w:ascii="Arial" w:cs="Arial" w:eastAsia="Arial" w:hAnsi="Arial"/>
          <w:sz w:val="9"/>
          <w:szCs w:val="9"/>
          <w:b w:val="1"/>
          <w:bCs w:val="1"/>
          <w:color w:val="auto"/>
        </w:rPr>
        <w:t>FF</w:t>
      </w:r>
      <w:r>
        <w:rPr>
          <w:rFonts w:ascii="Arial" w:cs="Arial" w:eastAsia="Arial" w:hAnsi="Arial"/>
          <w:sz w:val="14"/>
          <w:szCs w:val="14"/>
          <w:b w:val="1"/>
          <w:bCs w:val="1"/>
          <w:color w:val="auto"/>
        </w:rPr>
        <w:t xml:space="preserve">. </w:t>
      </w:r>
      <w:r>
        <w:rPr>
          <w:rFonts w:ascii="Arial" w:cs="Arial" w:eastAsia="Arial" w:hAnsi="Arial"/>
          <w:sz w:val="14"/>
          <w:szCs w:val="14"/>
          <w:color w:val="auto"/>
        </w:rPr>
        <w:t>Any and all deposits or other sums at any time credited by or due to any Loan Party from any Agent or any Term Lender or any Participant or from any</w:t>
      </w:r>
      <w:r>
        <w:rPr>
          <w:rFonts w:ascii="Arial" w:cs="Arial" w:eastAsia="Arial" w:hAnsi="Arial"/>
          <w:sz w:val="14"/>
          <w:szCs w:val="14"/>
          <w:b w:val="1"/>
          <w:bCs w:val="1"/>
          <w:color w:val="auto"/>
        </w:rPr>
        <w:t xml:space="preserve"> </w:t>
      </w:r>
      <w:r>
        <w:rPr>
          <w:rFonts w:ascii="Arial" w:cs="Arial" w:eastAsia="Arial" w:hAnsi="Arial"/>
          <w:sz w:val="14"/>
          <w:szCs w:val="14"/>
          <w:color w:val="auto"/>
        </w:rPr>
        <w:t>Affiliate of any of the foregoing, and any cash, securities, instruments or other property of any Loan Party in the possession of any of the foregoing, whether for safekeeping or otherwise (regardless of the reason such Person had received the same) to the extent permitted by law, shall at all times constitute security for all Liabilities and for any and all obligations of each Loan Party to each Agent and such Term Lender or any Participant or such Affiliate and following the occurrence of an Event of Default may be applied or set off against the Liabilities and against such obligations at any time, whether or not such are then due and whether or not other collateral is then available to any Agent or that Term Lender.</w:t>
      </w:r>
    </w:p>
    <w:p>
      <w:pPr>
        <w:spacing w:after="0" w:line="123" w:lineRule="exact"/>
        <w:rPr>
          <w:sz w:val="20"/>
          <w:szCs w:val="20"/>
          <w:color w:val="auto"/>
        </w:rPr>
      </w:pPr>
    </w:p>
    <w:p>
      <w:pPr>
        <w:jc w:val="both"/>
        <w:ind w:firstLine="765"/>
        <w:spacing w:after="0" w:line="247" w:lineRule="auto"/>
        <w:rPr>
          <w:sz w:val="20"/>
          <w:szCs w:val="20"/>
          <w:color w:val="auto"/>
        </w:rPr>
      </w:pPr>
      <w:r>
        <w:rPr>
          <w:rFonts w:ascii="Arial" w:cs="Arial" w:eastAsia="Arial" w:hAnsi="Arial"/>
          <w:sz w:val="15"/>
          <w:szCs w:val="15"/>
          <w:b w:val="1"/>
          <w:bCs w:val="1"/>
          <w:color w:val="auto"/>
        </w:rPr>
        <w:t>19.17. P</w:t>
      </w:r>
      <w:r>
        <w:rPr>
          <w:rFonts w:ascii="Arial" w:cs="Arial" w:eastAsia="Arial" w:hAnsi="Arial"/>
          <w:sz w:val="10"/>
          <w:szCs w:val="10"/>
          <w:b w:val="1"/>
          <w:bCs w:val="1"/>
          <w:color w:val="auto"/>
        </w:rPr>
        <w:t>LEDGES</w:t>
      </w:r>
      <w:r>
        <w:rPr>
          <w:rFonts w:ascii="Arial" w:cs="Arial" w:eastAsia="Arial" w:hAnsi="Arial"/>
          <w:sz w:val="15"/>
          <w:szCs w:val="15"/>
          <w:b w:val="1"/>
          <w:bCs w:val="1"/>
          <w:color w:val="auto"/>
        </w:rPr>
        <w:t xml:space="preserve"> T</w:t>
      </w:r>
      <w:r>
        <w:rPr>
          <w:rFonts w:ascii="Arial" w:cs="Arial" w:eastAsia="Arial" w:hAnsi="Arial"/>
          <w:sz w:val="10"/>
          <w:szCs w:val="10"/>
          <w:b w:val="1"/>
          <w:bCs w:val="1"/>
          <w:color w:val="auto"/>
        </w:rPr>
        <w:t>O</w:t>
      </w:r>
      <w:r>
        <w:rPr>
          <w:rFonts w:ascii="Arial" w:cs="Arial" w:eastAsia="Arial" w:hAnsi="Arial"/>
          <w:sz w:val="15"/>
          <w:szCs w:val="15"/>
          <w:b w:val="1"/>
          <w:bCs w:val="1"/>
          <w:color w:val="auto"/>
        </w:rPr>
        <w:t xml:space="preserve"> F</w:t>
      </w:r>
      <w:r>
        <w:rPr>
          <w:rFonts w:ascii="Arial" w:cs="Arial" w:eastAsia="Arial" w:hAnsi="Arial"/>
          <w:sz w:val="10"/>
          <w:szCs w:val="10"/>
          <w:b w:val="1"/>
          <w:bCs w:val="1"/>
          <w:color w:val="auto"/>
        </w:rPr>
        <w:t>EDERAL</w:t>
      </w:r>
      <w:r>
        <w:rPr>
          <w:rFonts w:ascii="Arial" w:cs="Arial" w:eastAsia="Arial" w:hAnsi="Arial"/>
          <w:sz w:val="15"/>
          <w:szCs w:val="15"/>
          <w:b w:val="1"/>
          <w:bCs w:val="1"/>
          <w:color w:val="auto"/>
        </w:rPr>
        <w:t xml:space="preserve"> R</w:t>
      </w:r>
      <w:r>
        <w:rPr>
          <w:rFonts w:ascii="Arial" w:cs="Arial" w:eastAsia="Arial" w:hAnsi="Arial"/>
          <w:sz w:val="10"/>
          <w:szCs w:val="10"/>
          <w:b w:val="1"/>
          <w:bCs w:val="1"/>
          <w:color w:val="auto"/>
        </w:rPr>
        <w:t>ESERVE</w:t>
      </w:r>
      <w:r>
        <w:rPr>
          <w:rFonts w:ascii="Arial" w:cs="Arial" w:eastAsia="Arial" w:hAnsi="Arial"/>
          <w:sz w:val="15"/>
          <w:szCs w:val="15"/>
          <w:b w:val="1"/>
          <w:bCs w:val="1"/>
          <w:color w:val="auto"/>
        </w:rPr>
        <w:t xml:space="preserve"> B</w:t>
      </w:r>
      <w:r>
        <w:rPr>
          <w:rFonts w:ascii="Arial" w:cs="Arial" w:eastAsia="Arial" w:hAnsi="Arial"/>
          <w:sz w:val="10"/>
          <w:szCs w:val="10"/>
          <w:b w:val="1"/>
          <w:bCs w:val="1"/>
          <w:color w:val="auto"/>
        </w:rPr>
        <w:t>ANKS</w:t>
      </w:r>
      <w:r>
        <w:rPr>
          <w:rFonts w:ascii="Arial" w:cs="Arial" w:eastAsia="Arial" w:hAnsi="Arial"/>
          <w:sz w:val="15"/>
          <w:szCs w:val="15"/>
          <w:b w:val="1"/>
          <w:bCs w:val="1"/>
          <w:color w:val="auto"/>
        </w:rPr>
        <w:t xml:space="preserve">. </w:t>
      </w:r>
      <w:r>
        <w:rPr>
          <w:rFonts w:ascii="Arial" w:cs="Arial" w:eastAsia="Arial" w:hAnsi="Arial"/>
          <w:sz w:val="15"/>
          <w:szCs w:val="15"/>
          <w:color w:val="auto"/>
        </w:rPr>
        <w:t>Nothing included in this Agreement shall prevent or limit any Term Lender, to the extent that such Term Lender is subject to any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twelve Federal Reserve Banks organized under §4 of the Federal Reserve Act (12 U.S.C. §341) from pledging all or any portion of that Term Lender’s interest and rights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neither such pledge nor the enforcement thereof shall release the pledging Term Lender from any of its obligations hereunder or under any of the Loan Documents.</w:t>
      </w:r>
    </w:p>
    <w:p>
      <w:pPr>
        <w:spacing w:after="0" w:line="137" w:lineRule="exact"/>
        <w:rPr>
          <w:sz w:val="20"/>
          <w:szCs w:val="20"/>
          <w:color w:val="auto"/>
        </w:rPr>
      </w:pPr>
    </w:p>
    <w:p>
      <w:pPr>
        <w:jc w:val="both"/>
        <w:ind w:firstLine="765"/>
        <w:spacing w:after="0" w:line="278" w:lineRule="auto"/>
        <w:rPr>
          <w:sz w:val="20"/>
          <w:szCs w:val="20"/>
          <w:color w:val="auto"/>
        </w:rPr>
      </w:pPr>
      <w:r>
        <w:rPr>
          <w:rFonts w:ascii="Arial" w:cs="Arial" w:eastAsia="Arial" w:hAnsi="Arial"/>
          <w:sz w:val="14"/>
          <w:szCs w:val="14"/>
          <w:b w:val="1"/>
          <w:bCs w:val="1"/>
          <w:color w:val="auto"/>
        </w:rPr>
        <w:t>19.18. M</w:t>
      </w:r>
      <w:r>
        <w:rPr>
          <w:rFonts w:ascii="Arial" w:cs="Arial" w:eastAsia="Arial" w:hAnsi="Arial"/>
          <w:sz w:val="9"/>
          <w:szCs w:val="9"/>
          <w:b w:val="1"/>
          <w:bCs w:val="1"/>
          <w:color w:val="auto"/>
        </w:rPr>
        <w:t>AXIMUM</w:t>
      </w:r>
      <w:r>
        <w:rPr>
          <w:rFonts w:ascii="Arial" w:cs="Arial" w:eastAsia="Arial" w:hAnsi="Arial"/>
          <w:sz w:val="14"/>
          <w:szCs w:val="14"/>
          <w:b w:val="1"/>
          <w:bCs w:val="1"/>
          <w:color w:val="auto"/>
        </w:rPr>
        <w:t xml:space="preserve"> I</w:t>
      </w:r>
      <w:r>
        <w:rPr>
          <w:rFonts w:ascii="Arial" w:cs="Arial" w:eastAsia="Arial" w:hAnsi="Arial"/>
          <w:sz w:val="9"/>
          <w:szCs w:val="9"/>
          <w:b w:val="1"/>
          <w:bCs w:val="1"/>
          <w:color w:val="auto"/>
        </w:rPr>
        <w:t>NTEREST</w:t>
      </w:r>
      <w:r>
        <w:rPr>
          <w:rFonts w:ascii="Arial" w:cs="Arial" w:eastAsia="Arial" w:hAnsi="Arial"/>
          <w:sz w:val="14"/>
          <w:szCs w:val="14"/>
          <w:b w:val="1"/>
          <w:bCs w:val="1"/>
          <w:color w:val="auto"/>
        </w:rPr>
        <w:t xml:space="preserve"> R</w:t>
      </w:r>
      <w:r>
        <w:rPr>
          <w:rFonts w:ascii="Arial" w:cs="Arial" w:eastAsia="Arial" w:hAnsi="Arial"/>
          <w:sz w:val="9"/>
          <w:szCs w:val="9"/>
          <w:b w:val="1"/>
          <w:bCs w:val="1"/>
          <w:color w:val="auto"/>
        </w:rPr>
        <w:t>ATE</w:t>
      </w:r>
      <w:r>
        <w:rPr>
          <w:rFonts w:ascii="Arial" w:cs="Arial" w:eastAsia="Arial" w:hAnsi="Arial"/>
          <w:sz w:val="14"/>
          <w:szCs w:val="14"/>
          <w:b w:val="1"/>
          <w:bCs w:val="1"/>
          <w:color w:val="auto"/>
        </w:rPr>
        <w:t xml:space="preserve">. </w:t>
      </w:r>
      <w:r>
        <w:rPr>
          <w:rFonts w:ascii="Arial" w:cs="Arial" w:eastAsia="Arial" w:hAnsi="Arial"/>
          <w:sz w:val="14"/>
          <w:szCs w:val="14"/>
          <w:color w:val="auto"/>
        </w:rPr>
        <w:t>Regardless of any provision of any Loan Document, neither any Agent nor any Term Lender shall be entitled to contract for, charge, receive,</w:t>
      </w:r>
      <w:r>
        <w:rPr>
          <w:rFonts w:ascii="Arial" w:cs="Arial" w:eastAsia="Arial" w:hAnsi="Arial"/>
          <w:sz w:val="14"/>
          <w:szCs w:val="14"/>
          <w:b w:val="1"/>
          <w:bCs w:val="1"/>
          <w:color w:val="auto"/>
        </w:rPr>
        <w:t xml:space="preserve"> </w:t>
      </w:r>
      <w:r>
        <w:rPr>
          <w:rFonts w:ascii="Arial" w:cs="Arial" w:eastAsia="Arial" w:hAnsi="Arial"/>
          <w:sz w:val="14"/>
          <w:szCs w:val="14"/>
          <w:color w:val="auto"/>
        </w:rPr>
        <w:t>collect, or apply as interest on any Liability, any amount in excess of the maximum rate imposed by Applicable Law. Any payment which is made which, if treated as interest on a Liability would result in such interest’s exceeding such maximum rate shall be held, to the extent of such excess, as additional collateral for the Liabilities as if such excess were “Collateral.”</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19.19. W</w:t>
      </w:r>
      <w:r>
        <w:rPr>
          <w:rFonts w:ascii="Arial" w:cs="Arial" w:eastAsia="Arial" w:hAnsi="Arial"/>
          <w:sz w:val="10"/>
          <w:szCs w:val="10"/>
          <w:b w:val="1"/>
          <w:bCs w:val="1"/>
          <w:color w:val="auto"/>
        </w:rPr>
        <w:t>AIVERS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75" w:lineRule="auto"/>
        <w:tabs>
          <w:tab w:leader="none" w:pos="1742" w:val="left"/>
        </w:tabs>
        <w:numPr>
          <w:ilvl w:val="0"/>
          <w:numId w:val="192"/>
        </w:numPr>
        <w:rPr>
          <w:rFonts w:ascii="Arial" w:cs="Arial" w:eastAsia="Arial" w:hAnsi="Arial"/>
          <w:sz w:val="14"/>
          <w:szCs w:val="14"/>
          <w:color w:val="auto"/>
        </w:rPr>
      </w:pPr>
      <w:r>
        <w:rPr>
          <w:rFonts w:ascii="Arial" w:cs="Arial" w:eastAsia="Arial" w:hAnsi="Arial"/>
          <w:sz w:val="14"/>
          <w:szCs w:val="14"/>
          <w:color w:val="auto"/>
        </w:rPr>
        <w:t xml:space="preserve">The Borrowers’ Representative and each Loan Party (and all guarantors, endorsers, and sureties of the Liabilities) make each of the waivers included in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19.19(b)</w:t>
      </w:r>
      <w:r>
        <w:rPr>
          <w:rFonts w:ascii="Arial" w:cs="Arial" w:eastAsia="Arial" w:hAnsi="Arial"/>
          <w:sz w:val="14"/>
          <w:szCs w:val="14"/>
          <w:color w:val="auto"/>
        </w:rPr>
        <w:t>, below, knowingly, voluntarily, and intentionally, and understands that each Agent and each Term Lender, in establishing the facilities contemplated hereby and in providing loans and other financial accommodations to or for the account of the Loan Parties as provided herein, whether not or in the future, is relying on such waivers.</w:t>
      </w:r>
    </w:p>
    <w:p>
      <w:pPr>
        <w:spacing w:after="0" w:line="41" w:lineRule="exact"/>
        <w:rPr>
          <w:rFonts w:ascii="Arial" w:cs="Arial" w:eastAsia="Arial" w:hAnsi="Arial"/>
          <w:sz w:val="14"/>
          <w:szCs w:val="14"/>
          <w:color w:val="auto"/>
        </w:rPr>
      </w:pPr>
    </w:p>
    <w:p>
      <w:pPr>
        <w:ind w:firstLine="1529"/>
        <w:spacing w:after="0" w:line="259" w:lineRule="auto"/>
        <w:tabs>
          <w:tab w:leader="none" w:pos="1778" w:val="left"/>
        </w:tabs>
        <w:numPr>
          <w:ilvl w:val="0"/>
          <w:numId w:val="192"/>
        </w:numPr>
        <w:rPr>
          <w:rFonts w:ascii="Arial" w:cs="Arial" w:eastAsia="Arial" w:hAnsi="Arial"/>
          <w:sz w:val="15"/>
          <w:szCs w:val="15"/>
          <w:color w:val="auto"/>
        </w:rPr>
      </w:pPr>
      <w:r>
        <w:rPr>
          <w:rFonts w:ascii="Arial" w:cs="Arial" w:eastAsia="Arial" w:hAnsi="Arial"/>
          <w:sz w:val="15"/>
          <w:szCs w:val="15"/>
          <w:color w:val="auto"/>
        </w:rPr>
        <w:t xml:space="preserve">THE BORROWERS’ REPRESENTATIVE, EACH LOAN PARTY, AND EACH SUCH GUARANTOR, ENDORSER, AND SURETY RESPECTIVELY </w:t>
      </w:r>
      <w:r>
        <w:rPr>
          <w:rFonts w:ascii="Arial" w:cs="Arial" w:eastAsia="Arial" w:hAnsi="Arial"/>
          <w:sz w:val="15"/>
          <w:szCs w:val="15"/>
          <w:b w:val="1"/>
          <w:bCs w:val="1"/>
          <w:i w:val="1"/>
          <w:iCs w:val="1"/>
          <w:color w:val="auto"/>
        </w:rPr>
        <w:t xml:space="preserve">WAIVES </w:t>
      </w:r>
      <w:r>
        <w:rPr>
          <w:rFonts w:ascii="Arial" w:cs="Arial" w:eastAsia="Arial" w:hAnsi="Arial"/>
          <w:sz w:val="15"/>
          <w:szCs w:val="15"/>
          <w:color w:val="auto"/>
        </w:rPr>
        <w:t>THE FOLLOWING:</w:t>
      </w:r>
    </w:p>
    <w:p>
      <w:pPr>
        <w:spacing w:after="0" w:line="51" w:lineRule="exact"/>
        <w:rPr>
          <w:rFonts w:ascii="Arial" w:cs="Arial" w:eastAsia="Arial" w:hAnsi="Arial"/>
          <w:sz w:val="15"/>
          <w:szCs w:val="15"/>
          <w:color w:val="auto"/>
        </w:rPr>
      </w:pPr>
    </w:p>
    <w:p>
      <w:pPr>
        <w:ind w:left="760" w:firstLine="1432"/>
        <w:spacing w:after="0" w:line="259" w:lineRule="auto"/>
        <w:tabs>
          <w:tab w:leader="none" w:pos="2375" w:val="left"/>
        </w:tabs>
        <w:numPr>
          <w:ilvl w:val="1"/>
          <w:numId w:val="192"/>
        </w:numPr>
        <w:rPr>
          <w:rFonts w:ascii="Arial" w:cs="Arial" w:eastAsia="Arial" w:hAnsi="Arial"/>
          <w:sz w:val="15"/>
          <w:szCs w:val="15"/>
          <w:color w:val="auto"/>
        </w:rPr>
      </w:pPr>
      <w:r>
        <w:rPr>
          <w:rFonts w:ascii="Arial" w:cs="Arial" w:eastAsia="Arial" w:hAnsi="Arial"/>
          <w:sz w:val="15"/>
          <w:szCs w:val="15"/>
          <w:color w:val="auto"/>
        </w:rPr>
        <w:t>Except as otherwise specifically required hereby, notice of non-payment, demand, presentment, protest and all forms of demand and notice, both with respect to the Liabilities and the Collateral.</w:t>
      </w:r>
    </w:p>
    <w:p>
      <w:pPr>
        <w:spacing w:after="0" w:line="51" w:lineRule="exact"/>
        <w:rPr>
          <w:rFonts w:ascii="Arial" w:cs="Arial" w:eastAsia="Arial" w:hAnsi="Arial"/>
          <w:sz w:val="15"/>
          <w:szCs w:val="15"/>
          <w:color w:val="auto"/>
        </w:rPr>
      </w:pPr>
    </w:p>
    <w:p>
      <w:pPr>
        <w:ind w:left="2420" w:hanging="228"/>
        <w:spacing w:after="0"/>
        <w:tabs>
          <w:tab w:leader="none" w:pos="2420" w:val="left"/>
        </w:tabs>
        <w:numPr>
          <w:ilvl w:val="1"/>
          <w:numId w:val="192"/>
        </w:numPr>
        <w:rPr>
          <w:rFonts w:ascii="Arial" w:cs="Arial" w:eastAsia="Arial" w:hAnsi="Arial"/>
          <w:sz w:val="13"/>
          <w:szCs w:val="13"/>
          <w:color w:val="auto"/>
        </w:rPr>
      </w:pPr>
      <w:r>
        <w:rPr>
          <w:rFonts w:ascii="Arial" w:cs="Arial" w:eastAsia="Arial" w:hAnsi="Arial"/>
          <w:sz w:val="13"/>
          <w:szCs w:val="13"/>
          <w:color w:val="auto"/>
        </w:rPr>
        <w:t>Except as otherwise specifically required hereby or under applicable law, the right to notice and/or hearing prior to an Agent’s exercising of that Agent’s</w:t>
      </w:r>
    </w:p>
    <w:p>
      <w:pPr>
        <w:spacing w:after="0" w:line="33"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5"/>
          <w:szCs w:val="15"/>
          <w:color w:val="auto"/>
        </w:rPr>
        <w:t>rights upon default.</w:t>
      </w:r>
    </w:p>
    <w:p>
      <w:pPr>
        <w:spacing w:after="0" w:line="63" w:lineRule="exact"/>
        <w:rPr>
          <w:rFonts w:ascii="Arial" w:cs="Arial" w:eastAsia="Arial" w:hAnsi="Arial"/>
          <w:sz w:val="13"/>
          <w:szCs w:val="13"/>
          <w:color w:val="auto"/>
        </w:rPr>
      </w:pPr>
    </w:p>
    <w:p>
      <w:pPr>
        <w:jc w:val="both"/>
        <w:ind w:left="760" w:firstLine="1432"/>
        <w:spacing w:after="0" w:line="245" w:lineRule="auto"/>
        <w:tabs>
          <w:tab w:leader="none" w:pos="2445" w:val="left"/>
        </w:tabs>
        <w:numPr>
          <w:ilvl w:val="1"/>
          <w:numId w:val="192"/>
        </w:numPr>
        <w:rPr>
          <w:rFonts w:ascii="Arial" w:cs="Arial" w:eastAsia="Arial" w:hAnsi="Arial"/>
          <w:sz w:val="15"/>
          <w:szCs w:val="15"/>
          <w:color w:val="auto"/>
        </w:rPr>
      </w:pPr>
      <w:r>
        <w:rPr>
          <w:rFonts w:ascii="Arial" w:cs="Arial" w:eastAsia="Arial" w:hAnsi="Arial"/>
          <w:sz w:val="15"/>
          <w:szCs w:val="15"/>
          <w:b w:val="1"/>
          <w:bCs w:val="1"/>
          <w:color w:val="auto"/>
        </w:rPr>
        <w:t>THE RIGHT TO A JURY IN ANY TRIAL OF ANY CASE OR CONTROVERSY IN WHICH ANY AGENT OR ANY TERM LENDER IS OR BECOMES A PARTY (WHETHER SUCH CASE OR CONTROVERSY IS INITIATED BY OR AGAINST ANY AGENT OR ANY TERM LENDER OR IN WHICH ANY AGENT OR ANY TERM LENDER IS JOINED AS A PARTY LITIGANT), WHICH CASE OR CONTROVERSY ARISES OUT OF OR IS IN RESPECT OF, ANY RELATIONSHIP AMONGST OR BETWEEN THE BORROWERS’ REPRESENTATIVE, ANY LOAN PARTY OR ANY OTHER PERSON AND THE AGENT AND EACH TERM LENDER LIKEWISE WAIVES THE RIGHT TO A JURY IN ANY TRIAL OF ANY SUCH CASE OR CONTROVERSY).</w:t>
      </w:r>
    </w:p>
    <w:p>
      <w:pPr>
        <w:spacing w:after="0" w:line="61" w:lineRule="exact"/>
        <w:rPr>
          <w:rFonts w:ascii="Arial" w:cs="Arial" w:eastAsia="Arial" w:hAnsi="Arial"/>
          <w:sz w:val="15"/>
          <w:szCs w:val="15"/>
          <w:color w:val="auto"/>
        </w:rPr>
      </w:pPr>
    </w:p>
    <w:p>
      <w:pPr>
        <w:jc w:val="both"/>
        <w:ind w:left="760" w:firstLine="1432"/>
        <w:spacing w:after="0" w:line="249" w:lineRule="auto"/>
        <w:tabs>
          <w:tab w:leader="none" w:pos="2446" w:val="left"/>
        </w:tabs>
        <w:numPr>
          <w:ilvl w:val="1"/>
          <w:numId w:val="192"/>
        </w:numPr>
        <w:rPr>
          <w:rFonts w:ascii="Arial" w:cs="Arial" w:eastAsia="Arial" w:hAnsi="Arial"/>
          <w:sz w:val="15"/>
          <w:szCs w:val="15"/>
          <w:color w:val="auto"/>
        </w:rPr>
      </w:pPr>
      <w:r>
        <w:rPr>
          <w:rFonts w:ascii="Arial" w:cs="Arial" w:eastAsia="Arial" w:hAnsi="Arial"/>
          <w:sz w:val="15"/>
          <w:szCs w:val="15"/>
          <w:color w:val="auto"/>
        </w:rPr>
        <w:t>Except for manifest error, any defense, counterclaim, set-off, recoupment, or other basis on which the amount of any Liability, as stated on the books and records of the Administrative Agent or any Term Lender, could be reduced or claimed to be paid otherwise than in accordance with the tenor of and written terms of such Liability.</w:t>
      </w:r>
    </w:p>
    <w:p>
      <w:pPr>
        <w:spacing w:after="0" w:line="138" w:lineRule="exact"/>
        <w:rPr>
          <w:rFonts w:ascii="Arial" w:cs="Arial" w:eastAsia="Arial" w:hAnsi="Arial"/>
          <w:sz w:val="15"/>
          <w:szCs w:val="15"/>
          <w:color w:val="auto"/>
        </w:rPr>
      </w:pPr>
    </w:p>
    <w:p>
      <w:pPr>
        <w:ind w:left="5660" w:hanging="86"/>
        <w:spacing w:after="0"/>
        <w:tabs>
          <w:tab w:leader="none" w:pos="5660" w:val="left"/>
        </w:tabs>
        <w:numPr>
          <w:ilvl w:val="2"/>
          <w:numId w:val="192"/>
        </w:numPr>
        <w:rPr>
          <w:rFonts w:ascii="Arial" w:cs="Arial" w:eastAsia="Arial" w:hAnsi="Arial"/>
          <w:sz w:val="15"/>
          <w:szCs w:val="15"/>
          <w:color w:val="auto"/>
        </w:rPr>
      </w:pPr>
      <w:r>
        <w:rPr>
          <w:rFonts w:ascii="Arial" w:cs="Arial" w:eastAsia="Arial" w:hAnsi="Arial"/>
          <w:sz w:val="15"/>
          <w:szCs w:val="15"/>
          <w:color w:val="auto"/>
        </w:rPr>
        <w:t>70 -</w:t>
      </w:r>
    </w:p>
    <w:p>
      <w:pPr>
        <w:sectPr>
          <w:pgSz w:w="11900" w:h="16838" w:orient="portrait"/>
          <w:cols w:equalWidth="0" w:num="1">
            <w:col w:w="11460"/>
          </w:cols>
          <w:pgMar w:left="220" w:top="284" w:right="219" w:bottom="1440" w:gutter="0" w:footer="0" w:header="0"/>
        </w:sectPr>
      </w:pPr>
    </w:p>
    <w:bookmarkStart w:id="128" w:name="page129"/>
    <w:bookmarkEnd w:id="128"/>
    <w:p>
      <w:pPr>
        <w:ind w:left="2200"/>
        <w:spacing w:after="0"/>
        <w:rPr>
          <w:sz w:val="20"/>
          <w:szCs w:val="20"/>
          <w:color w:val="auto"/>
        </w:rPr>
      </w:pPr>
      <w:r>
        <w:rPr>
          <w:rFonts w:ascii="Arial" w:cs="Arial" w:eastAsia="Arial" w:hAnsi="Arial"/>
          <w:sz w:val="15"/>
          <w:szCs w:val="15"/>
          <w:color w:val="auto"/>
        </w:rPr>
        <w:t>(v) Any claim to consequential, special, or punitive damages.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19.20. A</w:t>
      </w:r>
      <w:r>
        <w:rPr>
          <w:rFonts w:ascii="Arial" w:cs="Arial" w:eastAsia="Arial" w:hAnsi="Arial"/>
          <w:sz w:val="10"/>
          <w:szCs w:val="10"/>
          <w:b w:val="1"/>
          <w:bCs w:val="1"/>
          <w:color w:val="auto"/>
        </w:rPr>
        <w:t>DDITIONAL</w:t>
      </w:r>
      <w:r>
        <w:rPr>
          <w:rFonts w:ascii="Arial" w:cs="Arial" w:eastAsia="Arial" w:hAnsi="Arial"/>
          <w:sz w:val="15"/>
          <w:szCs w:val="15"/>
          <w:b w:val="1"/>
          <w:bCs w:val="1"/>
          <w:color w:val="auto"/>
        </w:rPr>
        <w:t xml:space="preserve"> W</w:t>
      </w:r>
      <w:r>
        <w:rPr>
          <w:rFonts w:ascii="Arial" w:cs="Arial" w:eastAsia="Arial" w:hAnsi="Arial"/>
          <w:sz w:val="10"/>
          <w:szCs w:val="10"/>
          <w:b w:val="1"/>
          <w:bCs w:val="1"/>
          <w:color w:val="auto"/>
        </w:rPr>
        <w:t>AIVERS</w:t>
      </w:r>
      <w:r>
        <w:rPr>
          <w:rFonts w:ascii="Arial" w:cs="Arial" w:eastAsia="Arial" w:hAnsi="Arial"/>
          <w:sz w:val="15"/>
          <w:szCs w:val="15"/>
          <w:color w:val="auto"/>
        </w:rPr>
        <w:t>.</w:t>
      </w:r>
    </w:p>
    <w:p>
      <w:pPr>
        <w:spacing w:after="0" w:line="84" w:lineRule="exact"/>
        <w:rPr>
          <w:sz w:val="20"/>
          <w:szCs w:val="20"/>
          <w:color w:val="auto"/>
        </w:rPr>
      </w:pPr>
    </w:p>
    <w:p>
      <w:pPr>
        <w:jc w:val="both"/>
        <w:ind w:firstLine="1529"/>
        <w:spacing w:after="0" w:line="243" w:lineRule="auto"/>
        <w:tabs>
          <w:tab w:leader="none" w:pos="1729"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Liabilities are the joint and several obligations of each Borrower. To the fullest extent permitted by Applicable Law, the obligations of each Borrower hereunder shall not be affected by (i) the failure of any Agent or any Term Lender to assert any claim or demand or to enforce or exercise any right or remedy against any other Borrower under the provisions of this Agreement, any other Loan Document or otherwise, (ii) any rescission, waiver, or any release of the obligations of any other Borrower from any of the terms or provisions of, this Agreement, any other Loan Document, or any other agreement, or (iii) the failure to perfect any security interest in, or the release of, any of the security held by or on behalf of the Collateral Agent or any Term Lender.</w:t>
      </w:r>
    </w:p>
    <w:p>
      <w:pPr>
        <w:spacing w:after="0" w:line="64" w:lineRule="exact"/>
        <w:rPr>
          <w:rFonts w:ascii="Arial" w:cs="Arial" w:eastAsia="Arial" w:hAnsi="Arial"/>
          <w:sz w:val="15"/>
          <w:szCs w:val="15"/>
          <w:color w:val="auto"/>
        </w:rPr>
      </w:pPr>
    </w:p>
    <w:p>
      <w:pPr>
        <w:jc w:val="both"/>
        <w:ind w:firstLine="1529"/>
        <w:spacing w:after="0" w:line="245" w:lineRule="auto"/>
        <w:tabs>
          <w:tab w:leader="none" w:pos="1741"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obligations of each Borrower hereunder shall not be discharged or impaired or otherwise affected by the failure of any Agent or any Term Lender to assert any claim or demand or to enforce any remedy under this Agreement, any other Loan Document or any other agreement, by any default, failure or delay, willful or otherwise, in the performance of the Liabilities, or by any other act or omission that may or might in any manner or to any extent vary the risk of any Borrower or that would otherwise operate as a discharge of any Borrower as a matter of law or equity (other than the indefeasible payment in full in cash of all the Liabilities).</w:t>
      </w:r>
    </w:p>
    <w:p>
      <w:pPr>
        <w:spacing w:after="0" w:line="62" w:lineRule="exact"/>
        <w:rPr>
          <w:rFonts w:ascii="Arial" w:cs="Arial" w:eastAsia="Arial" w:hAnsi="Arial"/>
          <w:sz w:val="15"/>
          <w:szCs w:val="15"/>
          <w:color w:val="auto"/>
        </w:rPr>
      </w:pPr>
    </w:p>
    <w:p>
      <w:pPr>
        <w:jc w:val="both"/>
        <w:ind w:firstLine="1529"/>
        <w:spacing w:after="0" w:line="285" w:lineRule="auto"/>
        <w:tabs>
          <w:tab w:leader="none" w:pos="1753"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To the fullest extent permitted by Applicable Law, each Borrower waives any defense based on or arising out of any defense of any other Borrower or the unenforceability of the Liabilities or any part thereof from any cause, or the cessation from any cause of the liability of any other Borrower, other than the indefeasible payment in full in cash of all the Liabilities. The Collateral Agent and the Term Lenders may, at their election, foreclose on any security held by one or more of them by one or more judicial or nonjudicial sales, accept an assignment of any such security in lieu of foreclosure, compromise or adjust any part of the Liabilities, make any other accommodation with any other Borrower, or exercise any other right or remedy available to them against any other Borrower, without affecting or impairing in any way the liability of any Borrower hereunder except to the extent that all the Liabilities have been indefeasibly paid in full in cash. Pursuant to Applicable Law, each Borrower waives any defense arising out of any such election even though such election operates, pursuant to Applicable Law, to impair or to extinguish any right of reimbursement or subrogation or other right or remedy of such Borrower against any other Borrower, as the case may be, or any security.</w:t>
      </w:r>
    </w:p>
    <w:p>
      <w:pPr>
        <w:spacing w:after="0" w:line="38" w:lineRule="exact"/>
        <w:rPr>
          <w:rFonts w:ascii="Arial" w:cs="Arial" w:eastAsia="Arial" w:hAnsi="Arial"/>
          <w:sz w:val="13"/>
          <w:szCs w:val="13"/>
          <w:color w:val="auto"/>
        </w:rPr>
      </w:pPr>
    </w:p>
    <w:p>
      <w:pPr>
        <w:jc w:val="both"/>
        <w:ind w:firstLine="1529"/>
        <w:spacing w:after="0" w:line="287" w:lineRule="auto"/>
        <w:tabs>
          <w:tab w:leader="none" w:pos="174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Upon payment by any Borrower of any Liabilities, all rights of such Borrower against any other Borrower arising as a result thereof by way of right of subrogation, contribution, reimbursement, indemnity or otherwise shall in all respects be subordinate and junior in right of payment to the prior indefeasible payment in full in cash of all the Liabilities. In addition, any indebtedness of any Borrower now or hereafter held by any other Borrower is hereby subordinated in right of payment to the prior payment in full of the Liabilities. None of the Borrowers will demand, sue for, or otherwise attempt to collect any such indebtedness. If any amount shall erroneously be paid to any Borrower on account of (a) such subrogation, contribution, reimbursement, indemnity or similar right or (b) any such indebtedness of any Borrower, such amount shall be held in trust for the benefit of the Agent and the Term Lenders and shall forthwith be paid to the Administrative Agent to be credited against the payment of the Liabilities, whether matured or unmatured, in accordance with the terms of the Loan Documents.</w:t>
      </w:r>
    </w:p>
    <w:p>
      <w:pPr>
        <w:spacing w:after="0" w:line="113" w:lineRule="exact"/>
        <w:rPr>
          <w:sz w:val="20"/>
          <w:szCs w:val="20"/>
          <w:color w:val="auto"/>
        </w:rPr>
      </w:pPr>
    </w:p>
    <w:p>
      <w:pPr>
        <w:jc w:val="both"/>
        <w:ind w:firstLine="765"/>
        <w:spacing w:after="0" w:line="247" w:lineRule="auto"/>
        <w:rPr>
          <w:sz w:val="20"/>
          <w:szCs w:val="20"/>
          <w:color w:val="auto"/>
        </w:rPr>
      </w:pPr>
      <w:r>
        <w:rPr>
          <w:rFonts w:ascii="Arial" w:cs="Arial" w:eastAsia="Arial" w:hAnsi="Arial"/>
          <w:sz w:val="15"/>
          <w:szCs w:val="15"/>
          <w:b w:val="1"/>
          <w:bCs w:val="1"/>
          <w:color w:val="auto"/>
        </w:rPr>
        <w:t>19.21. I</w:t>
      </w:r>
      <w:r>
        <w:rPr>
          <w:rFonts w:ascii="Arial" w:cs="Arial" w:eastAsia="Arial" w:hAnsi="Arial"/>
          <w:sz w:val="10"/>
          <w:szCs w:val="10"/>
          <w:b w:val="1"/>
          <w:bCs w:val="1"/>
          <w:color w:val="auto"/>
        </w:rPr>
        <w:t>NTERCREDITOR</w:t>
      </w:r>
      <w:r>
        <w:rPr>
          <w:rFonts w:ascii="Arial" w:cs="Arial" w:eastAsia="Arial" w:hAnsi="Arial"/>
          <w:sz w:val="15"/>
          <w:szCs w:val="15"/>
          <w:b w:val="1"/>
          <w:bCs w:val="1"/>
          <w:color w:val="auto"/>
        </w:rPr>
        <w:t xml:space="preserve"> A</w:t>
      </w:r>
      <w:r>
        <w:rPr>
          <w:rFonts w:ascii="Arial" w:cs="Arial" w:eastAsia="Arial" w:hAnsi="Arial"/>
          <w:sz w:val="10"/>
          <w:szCs w:val="10"/>
          <w:b w:val="1"/>
          <w:bCs w:val="1"/>
          <w:color w:val="auto"/>
        </w:rPr>
        <w:t>GREEMENT</w:t>
      </w:r>
      <w:r>
        <w:rPr>
          <w:rFonts w:ascii="Arial" w:cs="Arial" w:eastAsia="Arial" w:hAnsi="Arial"/>
          <w:sz w:val="15"/>
          <w:szCs w:val="15"/>
          <w:color w:val="auto"/>
        </w:rPr>
        <w:t>. Each of the Borrowers, the Administrative Agent and the Term Lenders acknowledge that the exercise of certain of the Administrative Agent's</w:t>
      </w:r>
      <w:r>
        <w:rPr>
          <w:rFonts w:ascii="Arial" w:cs="Arial" w:eastAsia="Arial" w:hAnsi="Arial"/>
          <w:sz w:val="15"/>
          <w:szCs w:val="15"/>
          <w:b w:val="1"/>
          <w:bCs w:val="1"/>
          <w:color w:val="auto"/>
        </w:rPr>
        <w:t xml:space="preserve"> </w:t>
      </w:r>
      <w:r>
        <w:rPr>
          <w:rFonts w:ascii="Arial" w:cs="Arial" w:eastAsia="Arial" w:hAnsi="Arial"/>
          <w:sz w:val="15"/>
          <w:szCs w:val="15"/>
          <w:color w:val="auto"/>
        </w:rPr>
        <w:t>rights and remedies hereunder and under the other Loan Documents may be subject to, and restricted by, the provisions of the Intercreditor Agreement. Except as specified herein, nothing contained in the Intercreditor Agreement shall be deemed to modify any of the provisions of this Agreement and the other Loan Documents, which, as among the Loan Parties, the Administrative Agent and the Term Lenders, shall remain in full force and effect.</w:t>
      </w:r>
    </w:p>
    <w:p>
      <w:pPr>
        <w:spacing w:after="0" w:line="137" w:lineRule="exact"/>
        <w:rPr>
          <w:sz w:val="20"/>
          <w:szCs w:val="20"/>
          <w:color w:val="auto"/>
        </w:rPr>
      </w:pPr>
    </w:p>
    <w:p>
      <w:pPr>
        <w:jc w:val="both"/>
        <w:ind w:firstLine="765"/>
        <w:spacing w:after="0" w:line="309" w:lineRule="auto"/>
        <w:rPr>
          <w:sz w:val="20"/>
          <w:szCs w:val="20"/>
          <w:color w:val="auto"/>
        </w:rPr>
      </w:pPr>
      <w:r>
        <w:rPr>
          <w:rFonts w:ascii="Arial" w:cs="Arial" w:eastAsia="Arial" w:hAnsi="Arial"/>
          <w:sz w:val="13"/>
          <w:szCs w:val="13"/>
          <w:b w:val="1"/>
          <w:bCs w:val="1"/>
          <w:color w:val="auto"/>
        </w:rPr>
        <w:t>19.22. P</w:t>
      </w:r>
      <w:r>
        <w:rPr>
          <w:rFonts w:ascii="Arial" w:cs="Arial" w:eastAsia="Arial" w:hAnsi="Arial"/>
          <w:sz w:val="9"/>
          <w:szCs w:val="9"/>
          <w:b w:val="1"/>
          <w:bCs w:val="1"/>
          <w:color w:val="auto"/>
        </w:rPr>
        <w:t>ATRIOT</w:t>
      </w:r>
      <w:r>
        <w:rPr>
          <w:rFonts w:ascii="Arial" w:cs="Arial" w:eastAsia="Arial" w:hAnsi="Arial"/>
          <w:sz w:val="13"/>
          <w:szCs w:val="13"/>
          <w:b w:val="1"/>
          <w:bCs w:val="1"/>
          <w:color w:val="auto"/>
        </w:rPr>
        <w:t xml:space="preserve"> A</w:t>
      </w:r>
      <w:r>
        <w:rPr>
          <w:rFonts w:ascii="Arial" w:cs="Arial" w:eastAsia="Arial" w:hAnsi="Arial"/>
          <w:sz w:val="9"/>
          <w:szCs w:val="9"/>
          <w:b w:val="1"/>
          <w:bCs w:val="1"/>
          <w:color w:val="auto"/>
        </w:rPr>
        <w:t>CT</w:t>
      </w:r>
      <w:r>
        <w:rPr>
          <w:rFonts w:ascii="Arial" w:cs="Arial" w:eastAsia="Arial" w:hAnsi="Arial"/>
          <w:sz w:val="13"/>
          <w:szCs w:val="13"/>
          <w:b w:val="1"/>
          <w:bCs w:val="1"/>
          <w:color w:val="auto"/>
        </w:rPr>
        <w:t xml:space="preserve"> N</w:t>
      </w:r>
      <w:r>
        <w:rPr>
          <w:rFonts w:ascii="Arial" w:cs="Arial" w:eastAsia="Arial" w:hAnsi="Arial"/>
          <w:sz w:val="9"/>
          <w:szCs w:val="9"/>
          <w:b w:val="1"/>
          <w:bCs w:val="1"/>
          <w:color w:val="auto"/>
        </w:rPr>
        <w:t>OTICE</w:t>
      </w:r>
      <w:r>
        <w:rPr>
          <w:rFonts w:ascii="Arial" w:cs="Arial" w:eastAsia="Arial" w:hAnsi="Arial"/>
          <w:sz w:val="13"/>
          <w:szCs w:val="13"/>
          <w:color w:val="auto"/>
        </w:rPr>
        <w:t>. Each Term Lender that is subject to the Patriot Act and the Administrative Agent (for itself and not on behalf of any Term Lender) hereby notifies the</w:t>
      </w:r>
      <w:r>
        <w:rPr>
          <w:rFonts w:ascii="Arial" w:cs="Arial" w:eastAsia="Arial" w:hAnsi="Arial"/>
          <w:sz w:val="13"/>
          <w:szCs w:val="13"/>
          <w:b w:val="1"/>
          <w:bCs w:val="1"/>
          <w:color w:val="auto"/>
        </w:rPr>
        <w:t xml:space="preserve"> </w:t>
      </w:r>
      <w:r>
        <w:rPr>
          <w:rFonts w:ascii="Arial" w:cs="Arial" w:eastAsia="Arial" w:hAnsi="Arial"/>
          <w:sz w:val="13"/>
          <w:szCs w:val="13"/>
          <w:color w:val="auto"/>
        </w:rPr>
        <w:t>Loan Parties that, pursuant to the requirements of the Patriot Act, it is required to obtain, verify and record information that identifies each Loan Party, which information includes the name and address of each Loan Party and other information that will allow such Term Lender or the Administrative Agent, as applicable, to identify each Loan Party in accordance with the Patriot Act.</w:t>
      </w:r>
    </w:p>
    <w:p>
      <w:pPr>
        <w:spacing w:after="0" w:line="98"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5"/>
          <w:szCs w:val="15"/>
          <w:b w:val="1"/>
          <w:bCs w:val="1"/>
          <w:color w:val="auto"/>
        </w:rPr>
        <w:t>19.23. C</w:t>
      </w:r>
      <w:r>
        <w:rPr>
          <w:rFonts w:ascii="Arial" w:cs="Arial" w:eastAsia="Arial" w:hAnsi="Arial"/>
          <w:sz w:val="10"/>
          <w:szCs w:val="10"/>
          <w:b w:val="1"/>
          <w:bCs w:val="1"/>
          <w:color w:val="auto"/>
        </w:rPr>
        <w:t>OUNTERPARTS</w:t>
      </w:r>
      <w:r>
        <w:rPr>
          <w:rFonts w:ascii="Arial" w:cs="Arial" w:eastAsia="Arial" w:hAnsi="Arial"/>
          <w:sz w:val="15"/>
          <w:szCs w:val="15"/>
          <w:b w:val="1"/>
          <w:bCs w:val="1"/>
          <w:color w:val="auto"/>
        </w:rPr>
        <w:t>; I</w:t>
      </w:r>
      <w:r>
        <w:rPr>
          <w:rFonts w:ascii="Arial" w:cs="Arial" w:eastAsia="Arial" w:hAnsi="Arial"/>
          <w:sz w:val="10"/>
          <w:szCs w:val="10"/>
          <w:b w:val="1"/>
          <w:bCs w:val="1"/>
          <w:color w:val="auto"/>
        </w:rPr>
        <w:t>NTEGRATION</w:t>
      </w:r>
      <w:r>
        <w:rPr>
          <w:rFonts w:ascii="Arial" w:cs="Arial" w:eastAsia="Arial" w:hAnsi="Arial"/>
          <w:sz w:val="15"/>
          <w:szCs w:val="15"/>
          <w:b w:val="1"/>
          <w:bCs w:val="1"/>
          <w:color w:val="auto"/>
        </w:rPr>
        <w:t>; E</w:t>
      </w:r>
      <w:r>
        <w:rPr>
          <w:rFonts w:ascii="Arial" w:cs="Arial" w:eastAsia="Arial" w:hAnsi="Arial"/>
          <w:sz w:val="10"/>
          <w:szCs w:val="10"/>
          <w:b w:val="1"/>
          <w:bCs w:val="1"/>
          <w:color w:val="auto"/>
        </w:rPr>
        <w:t>FFECTIVENESS</w:t>
      </w:r>
      <w:r>
        <w:rPr>
          <w:rFonts w:ascii="Arial" w:cs="Arial" w:eastAsia="Arial" w:hAnsi="Arial"/>
          <w:sz w:val="15"/>
          <w:szCs w:val="15"/>
          <w:color w:val="auto"/>
        </w:rPr>
        <w:t>. This Agreement may be executed in counterparts (and by different parties hereto in different counterparts), each of which shall</w:t>
      </w:r>
      <w:r>
        <w:rPr>
          <w:rFonts w:ascii="Arial" w:cs="Arial" w:eastAsia="Arial" w:hAnsi="Arial"/>
          <w:sz w:val="15"/>
          <w:szCs w:val="15"/>
          <w:b w:val="1"/>
          <w:bCs w:val="1"/>
          <w:color w:val="auto"/>
        </w:rPr>
        <w:t xml:space="preserve"> </w:t>
      </w:r>
      <w:r>
        <w:rPr>
          <w:rFonts w:ascii="Arial" w:cs="Arial" w:eastAsia="Arial" w:hAnsi="Arial"/>
          <w:sz w:val="15"/>
          <w:szCs w:val="15"/>
          <w:color w:val="auto"/>
        </w:rPr>
        <w:t>constitute an original, but all of which when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- 71 -</w:t>
      </w:r>
    </w:p>
    <w:p>
      <w:pPr>
        <w:sectPr>
          <w:pgSz w:w="11900" w:h="16838" w:orient="portrait"/>
          <w:cols w:equalWidth="0" w:num="1">
            <w:col w:w="11460"/>
          </w:cols>
          <w:pgMar w:left="220" w:top="208" w:right="219" w:bottom="1440" w:gutter="0" w:footer="0" w:header="0"/>
        </w:sectPr>
      </w:pPr>
    </w:p>
    <w:bookmarkStart w:id="129" w:name="page130"/>
    <w:bookmarkEnd w:id="129"/>
    <w:p>
      <w:pPr>
        <w:jc w:val="both"/>
        <w:spacing w:after="0" w:line="243" w:lineRule="auto"/>
        <w:rPr>
          <w:sz w:val="20"/>
          <w:szCs w:val="20"/>
          <w:color w:val="auto"/>
        </w:rPr>
      </w:pPr>
      <w:r>
        <w:rPr>
          <w:rFonts w:ascii="Arial" w:cs="Arial" w:eastAsia="Arial" w:hAnsi="Arial"/>
          <w:sz w:val="15"/>
          <w:szCs w:val="15"/>
          <w:color w:val="auto"/>
        </w:rPr>
        <w:t xml:space="preserve">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pdf or other electronic transmission shall be as effective as delivery of a manually executed counterpart of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- 72 -</w:t>
      </w:r>
    </w:p>
    <w:p>
      <w:pPr>
        <w:sectPr>
          <w:pgSz w:w="11900" w:h="16838" w:orient="portrait"/>
          <w:cols w:equalWidth="0" w:num="1">
            <w:col w:w="11460"/>
          </w:cols>
          <w:pgMar w:left="220" w:top="288" w:right="219" w:bottom="1440" w:gutter="0" w:footer="0" w:header="0"/>
        </w:sectPr>
      </w:pPr>
    </w:p>
    <w:bookmarkStart w:id="130" w:name="page131"/>
    <w:bookmarkEnd w:id="130"/>
    <w:p>
      <w:pPr>
        <w:ind w:left="5660"/>
        <w:spacing w:after="0"/>
        <w:rPr>
          <w:sz w:val="20"/>
          <w:szCs w:val="20"/>
          <w:color w:val="auto"/>
        </w:rPr>
      </w:pPr>
      <w:r>
        <w:rPr>
          <w:rFonts w:ascii="Arial" w:cs="Arial" w:eastAsia="Arial" w:hAnsi="Arial"/>
          <w:sz w:val="15"/>
          <w:szCs w:val="15"/>
          <w:u w:val="single" w:color="auto"/>
          <w:color w:val="auto"/>
        </w:rPr>
        <w:t>THE BORROWERS’ REPRESENTATIVE</w:t>
      </w:r>
      <w:r>
        <w:rPr>
          <w:rFonts w:ascii="Arial" w:cs="Arial" w:eastAsia="Arial" w:hAnsi="Arial"/>
          <w:sz w:val="15"/>
          <w:szCs w:val="15"/>
          <w:color w:val="auto"/>
        </w:rPr>
        <w:t>:</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DESTINATION XL GROUP, INC.</w:t>
      </w:r>
    </w:p>
    <w:p>
      <w:pPr>
        <w:spacing w:after="0" w:line="174" w:lineRule="exact"/>
        <w:rPr>
          <w:sz w:val="20"/>
          <w:szCs w:val="20"/>
          <w:color w:val="auto"/>
        </w:rPr>
      </w:pPr>
    </w:p>
    <w:tbl>
      <w:tblPr>
        <w:tblLayout w:type="fixed"/>
        <w:tblInd w:w="5660" w:type="dxa"/>
        <w:tblCellMar>
          <w:top w:w="0" w:type="dxa"/>
          <w:left w:w="0" w:type="dxa"/>
          <w:bottom w:w="0" w:type="dxa"/>
          <w:right w:w="0" w:type="dxa"/>
        </w:tblCellMar>
      </w:tblPr>
      <w:tr>
        <w:trPr>
          <w:trHeight w:val="184"/>
        </w:trPr>
        <w:tc>
          <w:tcPr>
            <w:tcW w:w="440" w:type="dxa"/>
            <w:vAlign w:val="bottom"/>
          </w:tcPr>
          <w:p>
            <w:pPr>
              <w:spacing w:after="0"/>
              <w:rPr>
                <w:sz w:val="20"/>
                <w:szCs w:val="20"/>
                <w:color w:val="auto"/>
              </w:rPr>
            </w:pPr>
            <w:r>
              <w:rPr>
                <w:rFonts w:ascii="Arial" w:cs="Arial" w:eastAsia="Arial" w:hAnsi="Arial"/>
                <w:sz w:val="15"/>
                <w:szCs w:val="15"/>
                <w:color w:val="auto"/>
              </w:rPr>
              <w:t>By</w:t>
            </w: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David A. Levin</w:t>
            </w:r>
          </w:p>
        </w:tc>
      </w:tr>
      <w:tr>
        <w:trPr>
          <w:trHeight w:val="149"/>
        </w:trPr>
        <w:tc>
          <w:tcPr>
            <w:tcW w:w="440" w:type="dxa"/>
            <w:vAlign w:val="bottom"/>
          </w:tcPr>
          <w:p>
            <w:pPr>
              <w:spacing w:after="0" w:line="149" w:lineRule="exact"/>
              <w:rPr>
                <w:sz w:val="20"/>
                <w:szCs w:val="20"/>
                <w:color w:val="auto"/>
              </w:rPr>
            </w:pPr>
            <w:r>
              <w:rPr>
                <w:rFonts w:ascii="Arial" w:cs="Arial" w:eastAsia="Arial" w:hAnsi="Arial"/>
                <w:sz w:val="15"/>
                <w:szCs w:val="15"/>
                <w:color w:val="auto"/>
                <w:w w:val="94"/>
              </w:rPr>
              <w:t>Name:</w:t>
            </w:r>
          </w:p>
        </w:tc>
        <w:tc>
          <w:tcPr>
            <w:tcW w:w="4140" w:type="dxa"/>
            <w:vAlign w:val="bottom"/>
            <w:gridSpan w:val="2"/>
          </w:tcPr>
          <w:p>
            <w:pPr>
              <w:spacing w:after="0" w:line="149" w:lineRule="exact"/>
              <w:rPr>
                <w:sz w:val="20"/>
                <w:szCs w:val="20"/>
                <w:color w:val="auto"/>
              </w:rPr>
            </w:pPr>
            <w:r>
              <w:rPr>
                <w:rFonts w:ascii="Arial" w:cs="Arial" w:eastAsia="Arial" w:hAnsi="Arial"/>
                <w:sz w:val="15"/>
                <w:szCs w:val="15"/>
                <w:color w:val="auto"/>
              </w:rPr>
              <w:t>David A. Levin</w:t>
            </w:r>
          </w:p>
        </w:tc>
      </w:tr>
      <w:tr>
        <w:trPr>
          <w:trHeight w:val="188"/>
        </w:trPr>
        <w:tc>
          <w:tcPr>
            <w:tcW w:w="440" w:type="dxa"/>
            <w:vAlign w:val="bottom"/>
          </w:tcPr>
          <w:p>
            <w:pPr>
              <w:spacing w:after="0"/>
              <w:rPr>
                <w:sz w:val="20"/>
                <w:szCs w:val="20"/>
                <w:color w:val="auto"/>
              </w:rPr>
            </w:pPr>
            <w:r>
              <w:rPr>
                <w:rFonts w:ascii="Arial" w:cs="Arial" w:eastAsia="Arial" w:hAnsi="Arial"/>
                <w:sz w:val="15"/>
                <w:szCs w:val="15"/>
                <w:color w:val="auto"/>
              </w:rPr>
              <w:t>Title:</w:t>
            </w:r>
          </w:p>
        </w:tc>
        <w:tc>
          <w:tcPr>
            <w:tcW w:w="4140" w:type="dxa"/>
            <w:vAlign w:val="bottom"/>
            <w:gridSpan w:val="2"/>
          </w:tcPr>
          <w:p>
            <w:pPr>
              <w:spacing w:after="0"/>
              <w:rPr>
                <w:sz w:val="20"/>
                <w:szCs w:val="20"/>
                <w:color w:val="auto"/>
              </w:rPr>
            </w:pPr>
            <w:r>
              <w:rPr>
                <w:rFonts w:ascii="Arial" w:cs="Arial" w:eastAsia="Arial" w:hAnsi="Arial"/>
                <w:sz w:val="15"/>
                <w:szCs w:val="15"/>
                <w:color w:val="auto"/>
              </w:rPr>
              <w:t>President and Chief Executive Officer</w:t>
            </w:r>
          </w:p>
        </w:tc>
      </w:tr>
      <w:tr>
        <w:trPr>
          <w:trHeight w:val="309"/>
        </w:trPr>
        <w:tc>
          <w:tcPr>
            <w:tcW w:w="4580" w:type="dxa"/>
            <w:vAlign w:val="bottom"/>
            <w:gridSpan w:val="3"/>
          </w:tcPr>
          <w:p>
            <w:pPr>
              <w:spacing w:after="0"/>
              <w:rPr>
                <w:sz w:val="20"/>
                <w:szCs w:val="20"/>
                <w:color w:val="auto"/>
              </w:rPr>
            </w:pPr>
            <w:r>
              <w:rPr>
                <w:rFonts w:ascii="Arial" w:cs="Arial" w:eastAsia="Arial" w:hAnsi="Arial"/>
                <w:sz w:val="15"/>
                <w:szCs w:val="15"/>
                <w:color w:val="auto"/>
              </w:rPr>
              <w:t>OTHER BORROWERS:</w:t>
            </w:r>
          </w:p>
        </w:tc>
      </w:tr>
      <w:tr>
        <w:trPr>
          <w:trHeight w:val="20"/>
        </w:trPr>
        <w:tc>
          <w:tcPr>
            <w:tcW w:w="1460" w:type="dxa"/>
            <w:vAlign w:val="bottom"/>
            <w:gridSpan w:val="2"/>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57"/>
        </w:trPr>
        <w:tc>
          <w:tcPr>
            <w:tcW w:w="4580" w:type="dxa"/>
            <w:vAlign w:val="bottom"/>
            <w:gridSpan w:val="3"/>
          </w:tcPr>
          <w:p>
            <w:pPr>
              <w:spacing w:after="0"/>
              <w:rPr>
                <w:sz w:val="20"/>
                <w:szCs w:val="20"/>
                <w:color w:val="auto"/>
              </w:rPr>
            </w:pPr>
            <w:r>
              <w:rPr>
                <w:rFonts w:ascii="Arial" w:cs="Arial" w:eastAsia="Arial" w:hAnsi="Arial"/>
                <w:sz w:val="15"/>
                <w:szCs w:val="15"/>
                <w:b w:val="1"/>
                <w:bCs w:val="1"/>
                <w:color w:val="auto"/>
              </w:rPr>
              <w:t>CMRG APPAREL, LLC</w:t>
            </w:r>
          </w:p>
        </w:tc>
      </w:tr>
      <w:tr>
        <w:trPr>
          <w:trHeight w:val="339"/>
        </w:trPr>
        <w:tc>
          <w:tcPr>
            <w:tcW w:w="440" w:type="dxa"/>
            <w:vAlign w:val="bottom"/>
          </w:tcPr>
          <w:p>
            <w:pPr>
              <w:spacing w:after="0"/>
              <w:rPr>
                <w:sz w:val="20"/>
                <w:szCs w:val="20"/>
                <w:color w:val="auto"/>
              </w:rPr>
            </w:pPr>
            <w:r>
              <w:rPr>
                <w:rFonts w:ascii="Arial" w:cs="Arial" w:eastAsia="Arial" w:hAnsi="Arial"/>
                <w:sz w:val="15"/>
                <w:szCs w:val="15"/>
                <w:color w:val="auto"/>
              </w:rPr>
              <w:t>By</w:t>
            </w: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Peter H. Stratton, Jr.</w:t>
            </w:r>
          </w:p>
        </w:tc>
      </w:tr>
      <w:tr>
        <w:trPr>
          <w:trHeight w:val="149"/>
        </w:trPr>
        <w:tc>
          <w:tcPr>
            <w:tcW w:w="440" w:type="dxa"/>
            <w:vAlign w:val="bottom"/>
          </w:tcPr>
          <w:p>
            <w:pPr>
              <w:spacing w:after="0" w:line="149" w:lineRule="exact"/>
              <w:rPr>
                <w:sz w:val="20"/>
                <w:szCs w:val="20"/>
                <w:color w:val="auto"/>
              </w:rPr>
            </w:pPr>
            <w:r>
              <w:rPr>
                <w:rFonts w:ascii="Arial" w:cs="Arial" w:eastAsia="Arial" w:hAnsi="Arial"/>
                <w:sz w:val="15"/>
                <w:szCs w:val="15"/>
                <w:color w:val="auto"/>
                <w:w w:val="94"/>
              </w:rPr>
              <w:t>Name:</w:t>
            </w:r>
          </w:p>
        </w:tc>
        <w:tc>
          <w:tcPr>
            <w:tcW w:w="4140" w:type="dxa"/>
            <w:vAlign w:val="bottom"/>
            <w:gridSpan w:val="2"/>
          </w:tcPr>
          <w:p>
            <w:pPr>
              <w:spacing w:after="0" w:line="149" w:lineRule="exact"/>
              <w:rPr>
                <w:sz w:val="20"/>
                <w:szCs w:val="20"/>
                <w:color w:val="auto"/>
              </w:rPr>
            </w:pPr>
            <w:r>
              <w:rPr>
                <w:rFonts w:ascii="Arial" w:cs="Arial" w:eastAsia="Arial" w:hAnsi="Arial"/>
                <w:sz w:val="15"/>
                <w:szCs w:val="15"/>
                <w:color w:val="auto"/>
              </w:rPr>
              <w:t>Peter H. Stratton, Jr.</w:t>
            </w:r>
          </w:p>
        </w:tc>
      </w:tr>
      <w:tr>
        <w:trPr>
          <w:trHeight w:val="188"/>
        </w:trPr>
        <w:tc>
          <w:tcPr>
            <w:tcW w:w="440" w:type="dxa"/>
            <w:vAlign w:val="bottom"/>
          </w:tcPr>
          <w:p>
            <w:pPr>
              <w:spacing w:after="0"/>
              <w:rPr>
                <w:sz w:val="20"/>
                <w:szCs w:val="20"/>
                <w:color w:val="auto"/>
              </w:rPr>
            </w:pPr>
            <w:r>
              <w:rPr>
                <w:rFonts w:ascii="Arial" w:cs="Arial" w:eastAsia="Arial" w:hAnsi="Arial"/>
                <w:sz w:val="15"/>
                <w:szCs w:val="15"/>
                <w:color w:val="auto"/>
              </w:rPr>
              <w:t>Title:</w:t>
            </w:r>
          </w:p>
        </w:tc>
        <w:tc>
          <w:tcPr>
            <w:tcW w:w="4140" w:type="dxa"/>
            <w:vAlign w:val="bottom"/>
            <w:gridSpan w:val="2"/>
          </w:tcPr>
          <w:p>
            <w:pPr>
              <w:spacing w:after="0"/>
              <w:rPr>
                <w:sz w:val="20"/>
                <w:szCs w:val="20"/>
                <w:color w:val="auto"/>
              </w:rPr>
            </w:pPr>
            <w:r>
              <w:rPr>
                <w:rFonts w:ascii="Arial" w:cs="Arial" w:eastAsia="Arial" w:hAnsi="Arial"/>
                <w:sz w:val="15"/>
                <w:szCs w:val="15"/>
                <w:color w:val="auto"/>
              </w:rPr>
              <w:t>Senior Vice President, Chief Financial Officer and Treasurer</w:t>
            </w:r>
          </w:p>
        </w:tc>
      </w:tr>
    </w:tbl>
    <w:p>
      <w:pPr>
        <w:spacing w:after="0" w:line="200" w:lineRule="exact"/>
        <w:rPr>
          <w:sz w:val="20"/>
          <w:szCs w:val="20"/>
          <w:color w:val="auto"/>
        </w:rPr>
      </w:pPr>
    </w:p>
    <w:p>
      <w:pPr>
        <w:spacing w:after="0" w:line="280" w:lineRule="exact"/>
        <w:rPr>
          <w:sz w:val="20"/>
          <w:szCs w:val="20"/>
          <w:color w:val="auto"/>
        </w:rPr>
      </w:pPr>
    </w:p>
    <w:p>
      <w:pPr>
        <w:ind w:left="3020"/>
        <w:spacing w:after="0"/>
        <w:rPr>
          <w:sz w:val="20"/>
          <w:szCs w:val="20"/>
          <w:color w:val="auto"/>
        </w:rPr>
      </w:pPr>
      <w:r>
        <w:rPr>
          <w:rFonts w:ascii="Arial" w:cs="Arial" w:eastAsia="Arial" w:hAnsi="Arial"/>
          <w:sz w:val="13"/>
          <w:szCs w:val="13"/>
          <w:color w:val="auto"/>
        </w:rPr>
        <w:t>[Signature Page to Term Loan and Security Agreement]</w:t>
      </w:r>
    </w:p>
    <w:p>
      <w:pPr>
        <w:sectPr>
          <w:pgSz w:w="11900" w:h="16838" w:orient="portrait"/>
          <w:cols w:equalWidth="0" w:num="1">
            <w:col w:w="10240"/>
          </w:cols>
          <w:pgMar w:left="1440" w:top="308" w:right="219" w:bottom="1440" w:gutter="0" w:footer="0" w:header="0"/>
        </w:sectPr>
      </w:pPr>
    </w:p>
    <w:bookmarkStart w:id="131" w:name="page132"/>
    <w:bookmarkEnd w:id="131"/>
    <w:p>
      <w:pPr>
        <w:ind w:left="5660"/>
        <w:spacing w:after="0"/>
        <w:rPr>
          <w:sz w:val="20"/>
          <w:szCs w:val="20"/>
          <w:color w:val="auto"/>
        </w:rPr>
      </w:pPr>
      <w:r>
        <w:rPr>
          <w:rFonts w:ascii="Arial" w:cs="Arial" w:eastAsia="Arial" w:hAnsi="Arial"/>
          <w:sz w:val="15"/>
          <w:szCs w:val="15"/>
          <w:u w:val="single" w:color="auto"/>
          <w:color w:val="auto"/>
        </w:rPr>
        <w:t>ADMINISTRATIVE AGENT AND COLLATERAL AGENT</w:t>
      </w:r>
      <w:r>
        <w:rPr>
          <w:rFonts w:ascii="Arial" w:cs="Arial" w:eastAsia="Arial" w:hAnsi="Arial"/>
          <w:sz w:val="15"/>
          <w:szCs w:val="15"/>
          <w:color w:val="auto"/>
        </w:rPr>
        <w:t>:</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WELLS FARGO BANK, NATIONAL ASSOCIATION</w:t>
      </w:r>
    </w:p>
    <w:p>
      <w:pPr>
        <w:spacing w:after="0" w:line="174" w:lineRule="exact"/>
        <w:rPr>
          <w:sz w:val="20"/>
          <w:szCs w:val="20"/>
          <w:color w:val="auto"/>
        </w:rPr>
      </w:pPr>
    </w:p>
    <w:tbl>
      <w:tblPr>
        <w:tblLayout w:type="fixed"/>
        <w:tblInd w:w="566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Arial" w:cs="Arial" w:eastAsia="Arial" w:hAnsi="Arial"/>
                <w:sz w:val="15"/>
                <w:szCs w:val="15"/>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Sally A. Sheehan</w:t>
            </w:r>
          </w:p>
        </w:tc>
      </w:tr>
      <w:tr>
        <w:trPr>
          <w:trHeight w:val="149"/>
        </w:trPr>
        <w:tc>
          <w:tcPr>
            <w:tcW w:w="4580" w:type="dxa"/>
            <w:vAlign w:val="bottom"/>
            <w:gridSpan w:val="2"/>
          </w:tcPr>
          <w:p>
            <w:pPr>
              <w:spacing w:after="0" w:line="149" w:lineRule="exact"/>
              <w:rPr>
                <w:sz w:val="20"/>
                <w:szCs w:val="20"/>
                <w:color w:val="auto"/>
              </w:rPr>
            </w:pPr>
            <w:r>
              <w:rPr>
                <w:rFonts w:ascii="Arial" w:cs="Arial" w:eastAsia="Arial" w:hAnsi="Arial"/>
                <w:sz w:val="15"/>
                <w:szCs w:val="15"/>
                <w:color w:val="auto"/>
              </w:rPr>
              <w:t>Name:Sally A. Sheehan</w:t>
            </w:r>
          </w:p>
        </w:tc>
      </w:tr>
      <w:tr>
        <w:trPr>
          <w:trHeight w:val="188"/>
        </w:trPr>
        <w:tc>
          <w:tcPr>
            <w:tcW w:w="420" w:type="dxa"/>
            <w:vAlign w:val="bottom"/>
          </w:tcPr>
          <w:p>
            <w:pPr>
              <w:spacing w:after="0"/>
              <w:rPr>
                <w:sz w:val="20"/>
                <w:szCs w:val="20"/>
                <w:color w:val="auto"/>
              </w:rPr>
            </w:pPr>
            <w:r>
              <w:rPr>
                <w:rFonts w:ascii="Arial" w:cs="Arial" w:eastAsia="Arial" w:hAnsi="Arial"/>
                <w:sz w:val="15"/>
                <w:szCs w:val="15"/>
                <w:color w:val="auto"/>
              </w:rPr>
              <w:t>Title:</w:t>
            </w:r>
          </w:p>
        </w:tc>
        <w:tc>
          <w:tcPr>
            <w:tcW w:w="416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155" w:lineRule="exact"/>
        <w:rPr>
          <w:sz w:val="20"/>
          <w:szCs w:val="20"/>
          <w:color w:val="auto"/>
        </w:rPr>
      </w:pPr>
    </w:p>
    <w:p>
      <w:pPr>
        <w:ind w:left="5660"/>
        <w:spacing w:after="0"/>
        <w:rPr>
          <w:sz w:val="20"/>
          <w:szCs w:val="20"/>
          <w:color w:val="auto"/>
        </w:rPr>
      </w:pPr>
      <w:r>
        <w:rPr>
          <w:rFonts w:ascii="Arial" w:cs="Arial" w:eastAsia="Arial" w:hAnsi="Arial"/>
          <w:sz w:val="15"/>
          <w:szCs w:val="15"/>
          <w:u w:val="single" w:color="auto"/>
          <w:color w:val="auto"/>
        </w:rPr>
        <w:t>THE TERM LENDERS</w:t>
      </w:r>
      <w:r>
        <w:rPr>
          <w:rFonts w:ascii="Arial" w:cs="Arial" w:eastAsia="Arial" w:hAnsi="Arial"/>
          <w:sz w:val="15"/>
          <w:szCs w:val="15"/>
          <w:color w:val="auto"/>
        </w:rPr>
        <w:t>:</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WELLS FARGO BANK, NATIONAL ASSOCIATION</w:t>
      </w:r>
    </w:p>
    <w:p>
      <w:pPr>
        <w:spacing w:after="0" w:line="174" w:lineRule="exact"/>
        <w:rPr>
          <w:sz w:val="20"/>
          <w:szCs w:val="20"/>
          <w:color w:val="auto"/>
        </w:rPr>
      </w:pPr>
    </w:p>
    <w:p>
      <w:pPr>
        <w:ind w:left="5660"/>
        <w:spacing w:after="0"/>
        <w:tabs>
          <w:tab w:leader="none" w:pos="60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Sally A.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7620</wp:posOffset>
            </wp:positionV>
            <wp:extent cx="265112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1125" cy="635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5"/>
          <w:szCs w:val="15"/>
          <w:color w:val="auto"/>
        </w:rPr>
        <w:t>Name:Sally A. Sheehan</w:t>
      </w:r>
    </w:p>
    <w:p>
      <w:pPr>
        <w:spacing w:after="0" w:line="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20"/>
        <w:spacing w:after="0"/>
        <w:rPr>
          <w:sz w:val="20"/>
          <w:szCs w:val="20"/>
          <w:color w:val="auto"/>
        </w:rPr>
      </w:pPr>
      <w:r>
        <w:rPr>
          <w:rFonts w:ascii="Arial" w:cs="Arial" w:eastAsia="Arial" w:hAnsi="Arial"/>
          <w:sz w:val="13"/>
          <w:szCs w:val="13"/>
          <w:color w:val="auto"/>
        </w:rPr>
        <w:t>[Signature Page to Term Loan and Security Agreement]</w:t>
      </w:r>
    </w:p>
    <w:p>
      <w:pPr>
        <w:sectPr>
          <w:pgSz w:w="11900" w:h="16838" w:orient="portrait"/>
          <w:cols w:equalWidth="0" w:num="1">
            <w:col w:w="10240"/>
          </w:cols>
          <w:pgMar w:left="1440" w:top="470" w:right="21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5"/>
          <w:szCs w:val="15"/>
          <w:b w:val="1"/>
          <w:bCs w:val="1"/>
          <w:u w:val="single" w:color="auto"/>
          <w:color w:val="auto"/>
        </w:rPr>
        <w:t>EXHIBIT 1.0(a)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Destination XL Group,</w:t>
      </w:r>
      <w:r>
        <w:rPr>
          <w:rFonts w:ascii="Arial" w:cs="Arial" w:eastAsia="Arial" w:hAnsi="Arial"/>
          <w:sz w:val="13"/>
          <w:szCs w:val="13"/>
          <w:b w:val="1"/>
          <w:bCs w:val="1"/>
          <w:color w:val="auto"/>
        </w:rPr>
        <w:t xml:space="preserve"> Inc.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-4445</wp:posOffset>
            </wp:positionV>
            <wp:extent cx="64897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70" cy="6350"/>
                    </a:xfrm>
                    <a:prstGeom prst="rect">
                      <a:avLst/>
                    </a:prstGeom>
                    <a:noFill/>
                  </pic:spPr>
                </pic:pic>
              </a:graphicData>
            </a:graphic>
          </wp:anchor>
        </w:drawing>
      </w:r>
    </w:p>
    <w:p>
      <w:pPr>
        <w:sectPr>
          <w:pgSz w:w="11900" w:h="16838" w:orient="portrait"/>
          <w:cols w:equalWidth="0" w:num="1">
            <w:col w:w="9019"/>
          </w:cols>
          <w:pgMar w:left="1440" w:top="304" w:right="1440"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20" w:type="dxa"/>
            <w:vAlign w:val="bottom"/>
            <w:gridSpan w:val="6"/>
          </w:tcPr>
          <w:p>
            <w:pPr>
              <w:jc w:val="center"/>
              <w:ind w:right="5280"/>
              <w:spacing w:after="0"/>
              <w:rPr>
                <w:sz w:val="20"/>
                <w:szCs w:val="20"/>
                <w:color w:val="auto"/>
              </w:rPr>
            </w:pPr>
            <w:r>
              <w:rPr>
                <w:rFonts w:ascii="Arial" w:cs="Arial" w:eastAsia="Arial" w:hAnsi="Arial"/>
                <w:sz w:val="13"/>
                <w:szCs w:val="13"/>
                <w:b w:val="1"/>
                <w:bCs w:val="1"/>
                <w:color w:val="auto"/>
              </w:rPr>
              <w:t>EXHIBIT 1.0(a)</w:t>
            </w: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41"/>
        </w:trPr>
        <w:tc>
          <w:tcPr>
            <w:tcW w:w="2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340" w:type="dxa"/>
            <w:vAlign w:val="bottom"/>
            <w:gridSpan w:val="8"/>
          </w:tcPr>
          <w:p>
            <w:pPr>
              <w:jc w:val="center"/>
              <w:ind w:right="4160"/>
              <w:spacing w:after="0" w:line="141" w:lineRule="exact"/>
              <w:rPr>
                <w:sz w:val="20"/>
                <w:szCs w:val="20"/>
                <w:color w:val="auto"/>
              </w:rPr>
            </w:pPr>
            <w:r>
              <w:rPr>
                <w:rFonts w:ascii="Arial" w:cs="Arial" w:eastAsia="Arial" w:hAnsi="Arial"/>
                <w:sz w:val="13"/>
                <w:szCs w:val="13"/>
                <w:b w:val="1"/>
                <w:bCs w:val="1"/>
                <w:color w:val="auto"/>
                <w:w w:val="92"/>
              </w:rPr>
              <w:t>Casual Male Companies</w:t>
            </w:r>
          </w:p>
        </w:tc>
      </w:tr>
      <w:tr>
        <w:trPr>
          <w:trHeight w:val="172"/>
        </w:trPr>
        <w:tc>
          <w:tcPr>
            <w:tcW w:w="2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r>
      <w:tr>
        <w:trPr>
          <w:trHeight w:val="121"/>
        </w:trPr>
        <w:tc>
          <w:tcPr>
            <w:tcW w:w="4140" w:type="dxa"/>
            <w:vAlign w:val="bottom"/>
            <w:tcBorders>
              <w:left w:val="single" w:sz="8" w:color="auto"/>
            </w:tcBorders>
            <w:gridSpan w:val="3"/>
          </w:tcPr>
          <w:p>
            <w:pPr>
              <w:ind w:left="2820"/>
              <w:spacing w:after="0" w:line="121" w:lineRule="exact"/>
              <w:rPr>
                <w:sz w:val="20"/>
                <w:szCs w:val="20"/>
                <w:color w:val="auto"/>
              </w:rPr>
            </w:pPr>
            <w:r>
              <w:rPr>
                <w:rFonts w:ascii="Arial" w:cs="Arial" w:eastAsia="Arial" w:hAnsi="Arial"/>
                <w:sz w:val="13"/>
                <w:szCs w:val="13"/>
                <w:b w:val="1"/>
                <w:bCs w:val="1"/>
                <w:color w:val="auto"/>
              </w:rPr>
              <w:t>NAME</w:t>
            </w: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140" w:type="dxa"/>
            <w:vAlign w:val="bottom"/>
            <w:tcBorders>
              <w:right w:val="single" w:sz="8" w:color="auto"/>
            </w:tcBorders>
            <w:gridSpan w:val="2"/>
          </w:tcPr>
          <w:p>
            <w:pPr>
              <w:spacing w:after="0" w:line="121" w:lineRule="exact"/>
              <w:rPr>
                <w:sz w:val="20"/>
                <w:szCs w:val="20"/>
                <w:color w:val="auto"/>
              </w:rPr>
            </w:pPr>
            <w:r>
              <w:rPr>
                <w:rFonts w:ascii="Arial" w:cs="Arial" w:eastAsia="Arial" w:hAnsi="Arial"/>
                <w:sz w:val="13"/>
                <w:szCs w:val="13"/>
                <w:b w:val="1"/>
                <w:bCs w:val="1"/>
                <w:color w:val="auto"/>
              </w:rPr>
              <w:t>FEDERAL ID</w:t>
            </w:r>
          </w:p>
        </w:tc>
      </w:tr>
      <w:tr>
        <w:trPr>
          <w:trHeight w:val="20"/>
        </w:trPr>
        <w:tc>
          <w:tcPr>
            <w:tcW w:w="282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r>
      <w:tr>
        <w:trPr>
          <w:trHeight w:val="142"/>
        </w:trPr>
        <w:tc>
          <w:tcPr>
            <w:tcW w:w="4140" w:type="dxa"/>
            <w:vAlign w:val="bottom"/>
            <w:tcBorders>
              <w:left w:val="single" w:sz="8" w:color="auto"/>
              <w:bottom w:val="single" w:sz="8" w:color="auto"/>
            </w:tcBorders>
            <w:gridSpan w:val="3"/>
          </w:tcPr>
          <w:p>
            <w:pPr>
              <w:ind w:left="80"/>
              <w:spacing w:after="0" w:line="142" w:lineRule="exact"/>
              <w:rPr>
                <w:sz w:val="20"/>
                <w:szCs w:val="20"/>
                <w:color w:val="auto"/>
              </w:rPr>
            </w:pPr>
            <w:r>
              <w:rPr>
                <w:rFonts w:ascii="Arial" w:cs="Arial" w:eastAsia="Arial" w:hAnsi="Arial"/>
                <w:sz w:val="13"/>
                <w:szCs w:val="13"/>
                <w:color w:val="auto"/>
              </w:rPr>
              <w:t>Destination XL Group, Inc.</w:t>
            </w:r>
          </w:p>
        </w:tc>
        <w:tc>
          <w:tcPr>
            <w:tcW w:w="9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54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3"/>
                <w:szCs w:val="13"/>
                <w:color w:val="auto"/>
              </w:rPr>
              <w:t>04-2623104</w:t>
            </w:r>
          </w:p>
        </w:tc>
        <w:tc>
          <w:tcPr>
            <w:tcW w:w="820" w:type="dxa"/>
            <w:vAlign w:val="bottom"/>
            <w:tcBorders>
              <w:bottom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Casual Male CANADA Inc.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568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3"/>
                <w:szCs w:val="13"/>
                <w:color w:val="auto"/>
              </w:rPr>
              <w:t>BN 86224-0074</w:t>
            </w: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CMRG Apparel,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02-0525277</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Casual Male Store,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20-1627444</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Capture,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33-1003155</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Casual Male Retail Store,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20-1628392</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Casual Male Direct,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20-1628414</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Casual Male RBT,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20-1653061</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Casual Male RBT (U.K.)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20-1653147</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Think Big Products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20-5572744</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Canton PL Liquidating Corp.</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13-4222128</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Casual Male (EUROPE)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26-0854419</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CMRG Holdco, LLC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26-1530177</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CMRG Apparel Management, Inc.</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26-1530263</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r>
        <w:trPr>
          <w:trHeight w:val="151"/>
        </w:trPr>
        <w:tc>
          <w:tcPr>
            <w:tcW w:w="414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3"/>
                <w:szCs w:val="13"/>
                <w:color w:val="auto"/>
              </w:rPr>
              <w:t>CMXL Apparel, LP</w:t>
            </w: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25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26-1530365</w:t>
            </w:r>
          </w:p>
        </w:tc>
        <w:tc>
          <w:tcPr>
            <w:tcW w:w="8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r>
    </w:tbl>
    <w:p>
      <w:pPr>
        <w:sectPr>
          <w:pgSz w:w="11900" w:h="16838" w:orient="portrait"/>
          <w:cols w:equalWidth="0" w:num="1">
            <w:col w:w="11460"/>
          </w:cols>
          <w:pgMar w:left="220" w:top="303" w:right="21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960" w:type="dxa"/>
            <w:vAlign w:val="bottom"/>
            <w:gridSpan w:val="5"/>
          </w:tcPr>
          <w:p>
            <w:pPr>
              <w:ind w:left="1720"/>
              <w:spacing w:after="0"/>
              <w:rPr>
                <w:sz w:val="20"/>
                <w:szCs w:val="20"/>
                <w:color w:val="auto"/>
              </w:rPr>
            </w:pPr>
            <w:r>
              <w:rPr>
                <w:rFonts w:ascii="Arial" w:cs="Arial" w:eastAsia="Arial" w:hAnsi="Arial"/>
                <w:sz w:val="15"/>
                <w:szCs w:val="15"/>
                <w:b w:val="1"/>
                <w:bCs w:val="1"/>
                <w:color w:val="auto"/>
              </w:rPr>
              <w:t>EXHIBIT 1.0(b)</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960" w:type="dxa"/>
            <w:vAlign w:val="bottom"/>
            <w:gridSpan w:val="5"/>
          </w:tcPr>
          <w:p>
            <w:pPr>
              <w:ind w:left="1700"/>
              <w:spacing w:after="0"/>
              <w:rPr>
                <w:sz w:val="20"/>
                <w:szCs w:val="20"/>
                <w:color w:val="auto"/>
              </w:rPr>
            </w:pPr>
            <w:r>
              <w:rPr>
                <w:rFonts w:ascii="Arial" w:cs="Arial" w:eastAsia="Arial" w:hAnsi="Arial"/>
                <w:sz w:val="15"/>
                <w:szCs w:val="15"/>
                <w:b w:val="1"/>
                <w:bCs w:val="1"/>
                <w:color w:val="auto"/>
              </w:rPr>
              <w:t>GUARANTORS</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0"/>
              </w:rPr>
              <w:t>Owner and</w:t>
            </w:r>
          </w:p>
        </w:tc>
        <w:tc>
          <w:tcPr>
            <w:tcW w:w="5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5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Guarantor</w:t>
            </w:r>
          </w:p>
        </w:tc>
        <w:tc>
          <w:tcPr>
            <w:tcW w:w="2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Principal Office Address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3480" w:type="dxa"/>
            <w:vAlign w:val="bottom"/>
            <w:gridSpan w:val="2"/>
          </w:tcPr>
          <w:p>
            <w:pPr>
              <w:spacing w:after="0"/>
              <w:rPr>
                <w:sz w:val="20"/>
                <w:szCs w:val="20"/>
                <w:color w:val="auto"/>
              </w:rPr>
            </w:pPr>
            <w:r>
              <w:rPr>
                <w:rFonts w:ascii="Arial" w:cs="Arial" w:eastAsia="Arial" w:hAnsi="Arial"/>
                <w:sz w:val="12"/>
                <w:szCs w:val="12"/>
                <w:b w:val="1"/>
                <w:bCs w:val="1"/>
                <w:color w:val="auto"/>
              </w:rPr>
              <w:t>Casual Male RBT, LLC</w:t>
            </w:r>
          </w:p>
        </w:tc>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54"/>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2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Casual Male CANADA Inc.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2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Capture, LLC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Casual Male Store, LLC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2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Casual Male Store, LLC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2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Casual Male Retail Store, LLC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1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Casual Male Direct, LLC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1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Casual Male RBT (U.K.) LLC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Casual Male RBT, LLC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1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Think Big Products LLC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1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Canton PL Liquidating Corp.</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1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CMRG Holdco, LLC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1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CMRG Apparel Management, Inc.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1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CMXL Apparel, LP</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CMRG Holdco, LLC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r>
        <w:trPr>
          <w:trHeight w:val="313"/>
        </w:trPr>
        <w:tc>
          <w:tcPr>
            <w:tcW w:w="3500" w:type="dxa"/>
            <w:vAlign w:val="bottom"/>
            <w:gridSpan w:val="3"/>
          </w:tcPr>
          <w:p>
            <w:pPr>
              <w:spacing w:after="0"/>
              <w:rPr>
                <w:sz w:val="20"/>
                <w:szCs w:val="20"/>
                <w:color w:val="auto"/>
              </w:rPr>
            </w:pPr>
            <w:r>
              <w:rPr>
                <w:rFonts w:ascii="Arial" w:cs="Arial" w:eastAsia="Arial" w:hAnsi="Arial"/>
                <w:sz w:val="12"/>
                <w:szCs w:val="12"/>
                <w:b w:val="1"/>
                <w:bCs w:val="1"/>
                <w:color w:val="auto"/>
              </w:rPr>
              <w:t>Casual Male (EUROPE), LLC</w:t>
            </w: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Destination XL Group, Inc.</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555 Turnpike Street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555 Turnpike Street</w:t>
            </w:r>
          </w:p>
        </w:tc>
        <w:tc>
          <w:tcPr>
            <w:tcW w:w="0" w:type="dxa"/>
            <w:vAlign w:val="bottom"/>
          </w:tcPr>
          <w:p>
            <w:pPr>
              <w:spacing w:after="0"/>
              <w:rPr>
                <w:sz w:val="1"/>
                <w:szCs w:val="1"/>
                <w:color w:val="auto"/>
              </w:rPr>
            </w:pPr>
          </w:p>
        </w:tc>
      </w:tr>
      <w:tr>
        <w:trPr>
          <w:trHeight w:val="161"/>
        </w:trPr>
        <w:tc>
          <w:tcPr>
            <w:tcW w:w="3500" w:type="dxa"/>
            <w:vAlign w:val="bottom"/>
            <w:gridSpan w:val="3"/>
          </w:tcPr>
          <w:p>
            <w:pPr>
              <w:spacing w:after="0"/>
              <w:rPr>
                <w:sz w:val="20"/>
                <w:szCs w:val="20"/>
                <w:color w:val="auto"/>
              </w:rPr>
            </w:pPr>
            <w:r>
              <w:rPr>
                <w:rFonts w:ascii="Arial" w:cs="Arial" w:eastAsia="Arial" w:hAnsi="Arial"/>
                <w:sz w:val="12"/>
                <w:szCs w:val="12"/>
                <w:color w:val="auto"/>
              </w:rPr>
              <w:t>Canton, MA 02021</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20" w:type="dxa"/>
            <w:vAlign w:val="bottom"/>
            <w:gridSpan w:val="3"/>
          </w:tcPr>
          <w:p>
            <w:pPr>
              <w:ind w:left="20"/>
              <w:spacing w:after="0"/>
              <w:rPr>
                <w:sz w:val="20"/>
                <w:szCs w:val="20"/>
                <w:color w:val="auto"/>
              </w:rPr>
            </w:pPr>
            <w:r>
              <w:rPr>
                <w:rFonts w:ascii="Arial" w:cs="Arial" w:eastAsia="Arial" w:hAnsi="Arial"/>
                <w:sz w:val="12"/>
                <w:szCs w:val="12"/>
                <w:color w:val="auto"/>
              </w:rPr>
              <w:t>Canton, MA 02021</w:t>
            </w:r>
          </w:p>
        </w:tc>
        <w:tc>
          <w:tcPr>
            <w:tcW w:w="0" w:type="dxa"/>
            <w:vAlign w:val="bottom"/>
          </w:tcPr>
          <w:p>
            <w:pPr>
              <w:spacing w:after="0"/>
              <w:rPr>
                <w:sz w:val="1"/>
                <w:szCs w:val="1"/>
                <w:color w:val="auto"/>
              </w:rPr>
            </w:pPr>
          </w:p>
        </w:tc>
      </w:tr>
    </w:tbl>
    <w:p>
      <w:pPr>
        <w:sectPr>
          <w:pgSz w:w="11900" w:h="16838" w:orient="portrait"/>
          <w:cols w:equalWidth="0" w:num="1">
            <w:col w:w="11460"/>
          </w:cols>
          <w:pgMar w:left="220" w:top="303" w:right="21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3"/>
          <w:szCs w:val="13"/>
          <w:b w:val="1"/>
          <w:bCs w:val="1"/>
          <w:u w:val="single" w:color="auto"/>
          <w:color w:val="auto"/>
        </w:rPr>
        <w:t>Exhibit 1.01 DXL Stores and BALC Equipment</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400" w:type="dxa"/>
            <w:vAlign w:val="bottom"/>
            <w:tcBorders>
              <w:top w:val="single" w:sz="8" w:color="auto"/>
              <w:left w:val="single" w:sz="8" w:color="auto"/>
            </w:tcBorders>
          </w:tcPr>
          <w:p>
            <w:pPr>
              <w:spacing w:after="0"/>
              <w:rPr>
                <w:sz w:val="13"/>
                <w:szCs w:val="13"/>
                <w:color w:val="auto"/>
              </w:rPr>
            </w:pPr>
          </w:p>
        </w:tc>
        <w:tc>
          <w:tcPr>
            <w:tcW w:w="106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w w:val="99"/>
              </w:rPr>
              <w:t>TYPE OF STORE</w:t>
            </w:r>
          </w:p>
        </w:tc>
        <w:tc>
          <w:tcPr>
            <w:tcW w:w="420" w:type="dxa"/>
            <w:vAlign w:val="bottom"/>
            <w:tcBorders>
              <w:top w:val="single" w:sz="8" w:color="auto"/>
              <w:right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w w:val="94"/>
              </w:rPr>
              <w:t>ADDRESS</w:t>
            </w:r>
          </w:p>
        </w:tc>
        <w:tc>
          <w:tcPr>
            <w:tcW w:w="1580" w:type="dxa"/>
            <w:vAlign w:val="bottom"/>
            <w:tcBorders>
              <w:top w:val="single" w:sz="8" w:color="auto"/>
              <w:right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CITY</w:t>
            </w:r>
          </w:p>
        </w:tc>
        <w:tc>
          <w:tcPr>
            <w:tcW w:w="520" w:type="dxa"/>
            <w:vAlign w:val="bottom"/>
            <w:tcBorders>
              <w:top w:val="single" w:sz="8" w:color="auto"/>
              <w:right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w w:val="83"/>
              </w:rPr>
              <w:t>ST</w:t>
            </w:r>
          </w:p>
        </w:tc>
        <w:tc>
          <w:tcPr>
            <w:tcW w:w="220" w:type="dxa"/>
            <w:vAlign w:val="bottom"/>
            <w:tcBorders>
              <w:top w:val="single" w:sz="8" w:color="auto"/>
              <w:right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ZIP</w:t>
            </w:r>
          </w:p>
        </w:tc>
        <w:tc>
          <w:tcPr>
            <w:tcW w:w="16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3"/>
                <w:szCs w:val="13"/>
                <w:b w:val="1"/>
                <w:bCs w:val="1"/>
                <w:color w:val="auto"/>
              </w:rPr>
              <w:t>BAML</w:t>
            </w:r>
          </w:p>
        </w:tc>
        <w:tc>
          <w:tcPr>
            <w:tcW w:w="72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0" w:type="dxa"/>
            <w:vAlign w:val="bottom"/>
            <w:tcBorders>
              <w:left w:val="single" w:sz="8" w:color="auto"/>
            </w:tcBorders>
          </w:tcPr>
          <w:p>
            <w:pPr>
              <w:spacing w:after="0"/>
              <w:rPr>
                <w:sz w:val="11"/>
                <w:szCs w:val="11"/>
                <w:color w:val="auto"/>
              </w:rPr>
            </w:pPr>
          </w:p>
        </w:tc>
        <w:tc>
          <w:tcPr>
            <w:tcW w:w="1060" w:type="dxa"/>
            <w:vAlign w:val="bottom"/>
            <w:tcBorders>
              <w:top w:val="single" w:sz="8" w:color="auto"/>
              <w:bottom w:val="single" w:sz="8" w:color="auto"/>
            </w:tcBorders>
            <w:vMerge w:val="continue"/>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620" w:type="dxa"/>
            <w:vAlign w:val="bottom"/>
            <w:tcBorders>
              <w:top w:val="single" w:sz="8" w:color="auto"/>
              <w:bottom w:val="single" w:sz="8" w:color="auto"/>
            </w:tcBorders>
            <w:vMerge w:val="continue"/>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Borders>
              <w:top w:val="single" w:sz="8" w:color="auto"/>
              <w:bottom w:val="single" w:sz="8" w:color="auto"/>
            </w:tcBorders>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vMerge w:val="continue"/>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bottom w:val="single" w:sz="8" w:color="auto"/>
            </w:tcBorders>
            <w:vMerge w:val="continue"/>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line="121" w:lineRule="exact"/>
              <w:rPr>
                <w:sz w:val="20"/>
                <w:szCs w:val="20"/>
                <w:color w:val="auto"/>
              </w:rPr>
            </w:pPr>
            <w:r>
              <w:rPr>
                <w:rFonts w:ascii="Arial" w:cs="Arial" w:eastAsia="Arial" w:hAnsi="Arial"/>
                <w:sz w:val="11"/>
                <w:szCs w:val="11"/>
                <w:b w:val="1"/>
                <w:bCs w:val="1"/>
                <w:color w:val="auto"/>
                <w:w w:val="73"/>
              </w:rPr>
              <w:t>PRIORITY</w:t>
            </w:r>
          </w:p>
        </w:tc>
        <w:tc>
          <w:tcPr>
            <w:tcW w:w="14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ind w:left="60"/>
              <w:spacing w:after="0"/>
              <w:rPr>
                <w:sz w:val="20"/>
                <w:szCs w:val="20"/>
                <w:color w:val="auto"/>
              </w:rPr>
            </w:pPr>
            <w:r>
              <w:rPr>
                <w:rFonts w:ascii="Arial" w:cs="Arial" w:eastAsia="Arial" w:hAnsi="Arial"/>
                <w:sz w:val="11"/>
                <w:szCs w:val="11"/>
                <w:b w:val="1"/>
                <w:bCs w:val="1"/>
                <w:color w:val="auto"/>
              </w:rPr>
              <w:t>NOTE NO</w:t>
            </w: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0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1470 Pleasant Valley Rd</w:t>
            </w:r>
          </w:p>
        </w:tc>
        <w:tc>
          <w:tcPr>
            <w:tcW w:w="134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86"/>
              </w:rPr>
              <w:t>Manchester</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CT</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06040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62"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1505 Post Road East</w:t>
            </w:r>
          </w:p>
        </w:tc>
        <w:tc>
          <w:tcPr>
            <w:tcW w:w="480" w:type="dxa"/>
            <w:vAlign w:val="bottom"/>
            <w:shd w:val="clear" w:color="auto" w:fill="FFFF00"/>
          </w:tcPr>
          <w:p>
            <w:pPr>
              <w:spacing w:after="0"/>
              <w:rPr>
                <w:sz w:val="12"/>
                <w:szCs w:val="12"/>
                <w:color w:val="auto"/>
              </w:rPr>
            </w:pPr>
          </w:p>
        </w:tc>
        <w:tc>
          <w:tcPr>
            <w:tcW w:w="860" w:type="dxa"/>
            <w:vAlign w:val="bottom"/>
            <w:tcBorders>
              <w:right w:val="single" w:sz="8" w:color="auto"/>
            </w:tcBorders>
            <w:gridSpan w:val="2"/>
            <w:shd w:val="clear" w:color="auto" w:fill="FFFF00"/>
          </w:tcPr>
          <w:p>
            <w:pPr>
              <w:jc w:val="center"/>
              <w:ind w:right="140"/>
              <w:spacing w:after="0"/>
              <w:rPr>
                <w:sz w:val="20"/>
                <w:szCs w:val="20"/>
                <w:color w:val="auto"/>
              </w:rPr>
            </w:pPr>
            <w:r>
              <w:rPr>
                <w:rFonts w:ascii="Arial" w:cs="Arial" w:eastAsia="Arial" w:hAnsi="Arial"/>
                <w:sz w:val="11"/>
                <w:szCs w:val="11"/>
                <w:color w:val="auto"/>
                <w:w w:val="90"/>
              </w:rPr>
              <w:t>Westport</w:t>
            </w:r>
          </w:p>
        </w:tc>
        <w:tc>
          <w:tcPr>
            <w:tcW w:w="200" w:type="dxa"/>
            <w:vAlign w:val="bottom"/>
            <w:shd w:val="clear" w:color="auto" w:fill="FFFF00"/>
          </w:tcPr>
          <w:p>
            <w:pPr>
              <w:spacing w:after="0"/>
              <w:rPr>
                <w:sz w:val="12"/>
                <w:szCs w:val="12"/>
                <w:color w:val="auto"/>
              </w:rPr>
            </w:pPr>
          </w:p>
        </w:tc>
        <w:tc>
          <w:tcPr>
            <w:tcW w:w="380" w:type="dxa"/>
            <w:vAlign w:val="bottom"/>
            <w:tcBorders>
              <w:right w:val="single" w:sz="8" w:color="auto"/>
            </w:tcBorders>
            <w:gridSpan w:val="2"/>
            <w:shd w:val="clear" w:color="auto" w:fill="FFFF00"/>
          </w:tcPr>
          <w:p>
            <w:pPr>
              <w:jc w:val="right"/>
              <w:ind w:right="140"/>
              <w:spacing w:after="0"/>
              <w:rPr>
                <w:sz w:val="20"/>
                <w:szCs w:val="20"/>
                <w:color w:val="auto"/>
              </w:rPr>
            </w:pPr>
            <w:r>
              <w:rPr>
                <w:rFonts w:ascii="Arial" w:cs="Arial" w:eastAsia="Arial" w:hAnsi="Arial"/>
                <w:sz w:val="11"/>
                <w:szCs w:val="11"/>
                <w:color w:val="auto"/>
              </w:rPr>
              <w:t>CT</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06880</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Regency Square 2406 West Brandon Blvd</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1"/>
                <w:szCs w:val="11"/>
                <w:color w:val="auto"/>
                <w:w w:val="86"/>
              </w:rPr>
              <w:t>Brandon</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FL</w:t>
            </w:r>
          </w:p>
        </w:tc>
        <w:tc>
          <w:tcPr>
            <w:tcW w:w="52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1"/>
                <w:szCs w:val="11"/>
                <w:color w:val="auto"/>
                <w:w w:val="84"/>
              </w:rPr>
              <w:t>33511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9492 South Dixie Hwy</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00"/>
              <w:spacing w:after="0"/>
              <w:rPr>
                <w:sz w:val="20"/>
                <w:szCs w:val="20"/>
                <w:color w:val="auto"/>
              </w:rPr>
            </w:pPr>
            <w:r>
              <w:rPr>
                <w:rFonts w:ascii="Arial" w:cs="Arial" w:eastAsia="Arial" w:hAnsi="Arial"/>
                <w:sz w:val="11"/>
                <w:szCs w:val="11"/>
                <w:color w:val="auto"/>
                <w:w w:val="95"/>
              </w:rPr>
              <w:t>Miami</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FL</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33156</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13001 W. Sunrise Bvld (Different Address)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00"/>
              <w:spacing w:after="0"/>
              <w:rPr>
                <w:sz w:val="20"/>
                <w:szCs w:val="20"/>
                <w:color w:val="auto"/>
              </w:rPr>
            </w:pPr>
            <w:r>
              <w:rPr>
                <w:rFonts w:ascii="Arial" w:cs="Arial" w:eastAsia="Arial" w:hAnsi="Arial"/>
                <w:sz w:val="11"/>
                <w:szCs w:val="11"/>
                <w:color w:val="auto"/>
                <w:w w:val="85"/>
              </w:rPr>
              <w:t>Sunrise</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FL</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33323</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Millenia Crossing 4012 Eastgate Drive, Suite F100</w:t>
            </w:r>
          </w:p>
        </w:tc>
        <w:tc>
          <w:tcPr>
            <w:tcW w:w="480" w:type="dxa"/>
            <w:vAlign w:val="bottom"/>
            <w:shd w:val="clear" w:color="auto" w:fill="FFFF00"/>
          </w:tcPr>
          <w:p>
            <w:pPr>
              <w:spacing w:after="0"/>
              <w:rPr>
                <w:sz w:val="12"/>
                <w:szCs w:val="12"/>
                <w:color w:val="auto"/>
              </w:rPr>
            </w:pPr>
          </w:p>
        </w:tc>
        <w:tc>
          <w:tcPr>
            <w:tcW w:w="860" w:type="dxa"/>
            <w:vAlign w:val="bottom"/>
            <w:tcBorders>
              <w:right w:val="single" w:sz="8" w:color="auto"/>
            </w:tcBorders>
            <w:gridSpan w:val="2"/>
            <w:shd w:val="clear" w:color="auto" w:fill="FFFF00"/>
          </w:tcPr>
          <w:p>
            <w:pPr>
              <w:jc w:val="center"/>
              <w:ind w:right="120"/>
              <w:spacing w:after="0"/>
              <w:rPr>
                <w:sz w:val="20"/>
                <w:szCs w:val="20"/>
                <w:color w:val="auto"/>
              </w:rPr>
            </w:pPr>
            <w:r>
              <w:rPr>
                <w:rFonts w:ascii="Arial" w:cs="Arial" w:eastAsia="Arial" w:hAnsi="Arial"/>
                <w:sz w:val="11"/>
                <w:szCs w:val="11"/>
                <w:color w:val="auto"/>
                <w:w w:val="86"/>
              </w:rPr>
              <w:t>Orlando</w:t>
            </w:r>
          </w:p>
        </w:tc>
        <w:tc>
          <w:tcPr>
            <w:tcW w:w="200" w:type="dxa"/>
            <w:vAlign w:val="bottom"/>
            <w:shd w:val="clear" w:color="auto" w:fill="FFFF00"/>
          </w:tcPr>
          <w:p>
            <w:pPr>
              <w:spacing w:after="0"/>
              <w:rPr>
                <w:sz w:val="12"/>
                <w:szCs w:val="12"/>
                <w:color w:val="auto"/>
              </w:rPr>
            </w:pPr>
          </w:p>
        </w:tc>
        <w:tc>
          <w:tcPr>
            <w:tcW w:w="380" w:type="dxa"/>
            <w:vAlign w:val="bottom"/>
            <w:tcBorders>
              <w:right w:val="single" w:sz="8" w:color="auto"/>
            </w:tcBorders>
            <w:gridSpan w:val="2"/>
            <w:shd w:val="clear" w:color="auto" w:fill="FFFF00"/>
          </w:tcPr>
          <w:p>
            <w:pPr>
              <w:jc w:val="right"/>
              <w:ind w:right="160"/>
              <w:spacing w:after="0"/>
              <w:rPr>
                <w:sz w:val="20"/>
                <w:szCs w:val="20"/>
                <w:color w:val="auto"/>
              </w:rPr>
            </w:pPr>
            <w:r>
              <w:rPr>
                <w:rFonts w:ascii="Arial" w:cs="Arial" w:eastAsia="Arial" w:hAnsi="Arial"/>
                <w:sz w:val="11"/>
                <w:szCs w:val="11"/>
                <w:color w:val="auto"/>
              </w:rPr>
              <w:t>FL</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32839</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3157 Peachtree Road, Ne</w:t>
            </w:r>
          </w:p>
        </w:tc>
        <w:tc>
          <w:tcPr>
            <w:tcW w:w="480" w:type="dxa"/>
            <w:vAlign w:val="bottom"/>
            <w:shd w:val="clear" w:color="auto" w:fill="FFFF00"/>
          </w:tcPr>
          <w:p>
            <w:pPr>
              <w:spacing w:after="0"/>
              <w:rPr>
                <w:sz w:val="12"/>
                <w:szCs w:val="12"/>
                <w:color w:val="auto"/>
              </w:rPr>
            </w:pPr>
          </w:p>
        </w:tc>
        <w:tc>
          <w:tcPr>
            <w:tcW w:w="860" w:type="dxa"/>
            <w:vAlign w:val="bottom"/>
            <w:tcBorders>
              <w:right w:val="single" w:sz="8" w:color="auto"/>
            </w:tcBorders>
            <w:gridSpan w:val="2"/>
            <w:shd w:val="clear" w:color="auto" w:fill="FFFF00"/>
          </w:tcPr>
          <w:p>
            <w:pPr>
              <w:jc w:val="center"/>
              <w:ind w:right="100"/>
              <w:spacing w:after="0"/>
              <w:rPr>
                <w:sz w:val="20"/>
                <w:szCs w:val="20"/>
                <w:color w:val="auto"/>
              </w:rPr>
            </w:pPr>
            <w:r>
              <w:rPr>
                <w:rFonts w:ascii="Arial" w:cs="Arial" w:eastAsia="Arial" w:hAnsi="Arial"/>
                <w:sz w:val="11"/>
                <w:szCs w:val="11"/>
                <w:color w:val="auto"/>
                <w:w w:val="93"/>
              </w:rPr>
              <w:t>Atlanta</w:t>
            </w:r>
          </w:p>
        </w:tc>
        <w:tc>
          <w:tcPr>
            <w:tcW w:w="200" w:type="dxa"/>
            <w:vAlign w:val="bottom"/>
            <w:shd w:val="clear" w:color="auto" w:fill="FFFF00"/>
          </w:tcPr>
          <w:p>
            <w:pPr>
              <w:spacing w:after="0"/>
              <w:rPr>
                <w:sz w:val="12"/>
                <w:szCs w:val="12"/>
                <w:color w:val="auto"/>
              </w:rPr>
            </w:pPr>
          </w:p>
        </w:tc>
        <w:tc>
          <w:tcPr>
            <w:tcW w:w="380" w:type="dxa"/>
            <w:vAlign w:val="bottom"/>
            <w:tcBorders>
              <w:right w:val="single" w:sz="8" w:color="auto"/>
            </w:tcBorders>
            <w:gridSpan w:val="2"/>
            <w:shd w:val="clear" w:color="auto" w:fill="FFFF00"/>
          </w:tcPr>
          <w:p>
            <w:pPr>
              <w:jc w:val="right"/>
              <w:ind w:right="140"/>
              <w:spacing w:after="0"/>
              <w:rPr>
                <w:sz w:val="20"/>
                <w:szCs w:val="20"/>
                <w:color w:val="auto"/>
              </w:rPr>
            </w:pPr>
            <w:r>
              <w:rPr>
                <w:rFonts w:ascii="Arial" w:cs="Arial" w:eastAsia="Arial" w:hAnsi="Arial"/>
                <w:sz w:val="11"/>
                <w:szCs w:val="11"/>
                <w:color w:val="auto"/>
              </w:rPr>
              <w:t>GA</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30305</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Meridian Crossroads, 3427 E. Fairview Ave.</w:t>
            </w:r>
          </w:p>
        </w:tc>
        <w:tc>
          <w:tcPr>
            <w:tcW w:w="134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92"/>
              </w:rPr>
              <w:t>Meridian (Boise)</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ID</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83642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723 US 1, Suite 723 C</w:t>
            </w:r>
          </w:p>
        </w:tc>
        <w:tc>
          <w:tcPr>
            <w:tcW w:w="134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1"/>
                <w:szCs w:val="11"/>
                <w:color w:val="auto"/>
                <w:w w:val="88"/>
              </w:rPr>
              <w:t>Indianapolis (Greenwood)</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IN</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46142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8480 Castleton Corner Drive</w:t>
            </w:r>
          </w:p>
        </w:tc>
        <w:tc>
          <w:tcPr>
            <w:tcW w:w="1340" w:type="dxa"/>
            <w:vAlign w:val="bottom"/>
            <w:tcBorders>
              <w:right w:val="single" w:sz="8" w:color="auto"/>
            </w:tcBorders>
            <w:gridSpan w:val="3"/>
            <w:shd w:val="clear" w:color="auto" w:fill="FFFF00"/>
          </w:tcPr>
          <w:p>
            <w:pPr>
              <w:jc w:val="center"/>
              <w:ind w:right="80"/>
              <w:spacing w:after="0"/>
              <w:rPr>
                <w:sz w:val="20"/>
                <w:szCs w:val="20"/>
                <w:color w:val="auto"/>
              </w:rPr>
            </w:pPr>
            <w:r>
              <w:rPr>
                <w:rFonts w:ascii="Arial" w:cs="Arial" w:eastAsia="Arial" w:hAnsi="Arial"/>
                <w:sz w:val="11"/>
                <w:szCs w:val="11"/>
                <w:color w:val="auto"/>
                <w:w w:val="91"/>
              </w:rPr>
              <w:t>Indianapolis</w:t>
            </w:r>
          </w:p>
        </w:tc>
        <w:tc>
          <w:tcPr>
            <w:tcW w:w="200" w:type="dxa"/>
            <w:vAlign w:val="bottom"/>
            <w:shd w:val="clear" w:color="auto" w:fill="FFFF00"/>
          </w:tcPr>
          <w:p>
            <w:pPr>
              <w:spacing w:after="0"/>
              <w:rPr>
                <w:sz w:val="12"/>
                <w:szCs w:val="12"/>
                <w:color w:val="auto"/>
              </w:rPr>
            </w:pPr>
          </w:p>
        </w:tc>
        <w:tc>
          <w:tcPr>
            <w:tcW w:w="380" w:type="dxa"/>
            <w:vAlign w:val="bottom"/>
            <w:tcBorders>
              <w:right w:val="single" w:sz="8" w:color="auto"/>
            </w:tcBorders>
            <w:gridSpan w:val="2"/>
            <w:shd w:val="clear" w:color="auto" w:fill="FFFF00"/>
          </w:tcPr>
          <w:p>
            <w:pPr>
              <w:jc w:val="right"/>
              <w:ind w:right="160"/>
              <w:spacing w:after="0"/>
              <w:rPr>
                <w:sz w:val="20"/>
                <w:szCs w:val="20"/>
                <w:color w:val="auto"/>
              </w:rPr>
            </w:pPr>
            <w:r>
              <w:rPr>
                <w:rFonts w:ascii="Arial" w:cs="Arial" w:eastAsia="Arial" w:hAnsi="Arial"/>
                <w:sz w:val="11"/>
                <w:szCs w:val="11"/>
                <w:color w:val="auto"/>
              </w:rPr>
              <w:t>IN</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46250</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131 N Burkhardt Road Suite 127</w:t>
            </w:r>
          </w:p>
        </w:tc>
        <w:tc>
          <w:tcPr>
            <w:tcW w:w="1340" w:type="dxa"/>
            <w:vAlign w:val="bottom"/>
            <w:tcBorders>
              <w:right w:val="single" w:sz="8" w:color="auto"/>
            </w:tcBorders>
            <w:gridSpan w:val="3"/>
            <w:shd w:val="clear" w:color="auto" w:fill="FFFF00"/>
          </w:tcPr>
          <w:p>
            <w:pPr>
              <w:jc w:val="center"/>
              <w:ind w:right="80"/>
              <w:spacing w:after="0"/>
              <w:rPr>
                <w:sz w:val="20"/>
                <w:szCs w:val="20"/>
                <w:color w:val="auto"/>
              </w:rPr>
            </w:pPr>
            <w:r>
              <w:rPr>
                <w:rFonts w:ascii="Arial" w:cs="Arial" w:eastAsia="Arial" w:hAnsi="Arial"/>
                <w:sz w:val="11"/>
                <w:szCs w:val="11"/>
                <w:color w:val="auto"/>
                <w:w w:val="92"/>
              </w:rPr>
              <w:t>Evansville</w:t>
            </w:r>
          </w:p>
        </w:tc>
        <w:tc>
          <w:tcPr>
            <w:tcW w:w="200" w:type="dxa"/>
            <w:vAlign w:val="bottom"/>
            <w:shd w:val="clear" w:color="auto" w:fill="FFFF00"/>
          </w:tcPr>
          <w:p>
            <w:pPr>
              <w:spacing w:after="0"/>
              <w:rPr>
                <w:sz w:val="12"/>
                <w:szCs w:val="12"/>
                <w:color w:val="auto"/>
              </w:rPr>
            </w:pPr>
          </w:p>
        </w:tc>
        <w:tc>
          <w:tcPr>
            <w:tcW w:w="380" w:type="dxa"/>
            <w:vAlign w:val="bottom"/>
            <w:tcBorders>
              <w:right w:val="single" w:sz="8" w:color="auto"/>
            </w:tcBorders>
            <w:gridSpan w:val="2"/>
            <w:shd w:val="clear" w:color="auto" w:fill="FFFF00"/>
          </w:tcPr>
          <w:p>
            <w:pPr>
              <w:jc w:val="right"/>
              <w:ind w:right="160"/>
              <w:spacing w:after="0"/>
              <w:rPr>
                <w:sz w:val="20"/>
                <w:szCs w:val="20"/>
                <w:color w:val="auto"/>
              </w:rPr>
            </w:pPr>
            <w:r>
              <w:rPr>
                <w:rFonts w:ascii="Arial" w:cs="Arial" w:eastAsia="Arial" w:hAnsi="Arial"/>
                <w:sz w:val="11"/>
                <w:szCs w:val="11"/>
                <w:color w:val="auto"/>
              </w:rPr>
              <w:t>IN</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47715</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5063 Shelbyville Rd.</w:t>
            </w:r>
          </w:p>
        </w:tc>
        <w:tc>
          <w:tcPr>
            <w:tcW w:w="1340" w:type="dxa"/>
            <w:vAlign w:val="bottom"/>
            <w:tcBorders>
              <w:bottom w:val="single" w:sz="8" w:color="auto"/>
              <w:right w:val="single" w:sz="8" w:color="auto"/>
            </w:tcBorders>
            <w:gridSpan w:val="3"/>
          </w:tcPr>
          <w:p>
            <w:pPr>
              <w:jc w:val="center"/>
              <w:ind w:right="60"/>
              <w:spacing w:after="0"/>
              <w:rPr>
                <w:sz w:val="20"/>
                <w:szCs w:val="20"/>
                <w:color w:val="auto"/>
              </w:rPr>
            </w:pPr>
            <w:r>
              <w:rPr>
                <w:rFonts w:ascii="Arial" w:cs="Arial" w:eastAsia="Arial" w:hAnsi="Arial"/>
                <w:sz w:val="11"/>
                <w:szCs w:val="11"/>
                <w:color w:val="auto"/>
                <w:w w:val="97"/>
              </w:rPr>
              <w:t>Louisville</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KY</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40207</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Dedham Marketplace 735 Providence Hwy</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1"/>
                <w:szCs w:val="11"/>
                <w:color w:val="auto"/>
                <w:w w:val="86"/>
              </w:rPr>
              <w:t>Dedham</w:t>
            </w:r>
          </w:p>
        </w:tc>
        <w:tc>
          <w:tcPr>
            <w:tcW w:w="5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MA</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02026</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10, 11</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242 Andover Street (Different Address)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1"/>
                <w:szCs w:val="11"/>
                <w:color w:val="auto"/>
                <w:w w:val="87"/>
              </w:rPr>
              <w:t>Peabody</w:t>
            </w:r>
          </w:p>
        </w:tc>
        <w:tc>
          <w:tcPr>
            <w:tcW w:w="5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MA</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01960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10, 11</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Sherwood Plaza 1298 Worcester Street (Different Address)</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00"/>
              <w:spacing w:after="0"/>
              <w:rPr>
                <w:sz w:val="20"/>
                <w:szCs w:val="20"/>
                <w:color w:val="auto"/>
              </w:rPr>
            </w:pPr>
            <w:r>
              <w:rPr>
                <w:rFonts w:ascii="Arial" w:cs="Arial" w:eastAsia="Arial" w:hAnsi="Arial"/>
                <w:sz w:val="11"/>
                <w:szCs w:val="11"/>
                <w:color w:val="auto"/>
                <w:w w:val="91"/>
              </w:rPr>
              <w:t>Natick</w:t>
            </w:r>
          </w:p>
        </w:tc>
        <w:tc>
          <w:tcPr>
            <w:tcW w:w="5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MA</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01760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438 Southbridge Street</w:t>
            </w:r>
          </w:p>
        </w:tc>
        <w:tc>
          <w:tcPr>
            <w:tcW w:w="1340" w:type="dxa"/>
            <w:vAlign w:val="bottom"/>
            <w:tcBorders>
              <w:right w:val="single" w:sz="8" w:color="auto"/>
            </w:tcBorders>
            <w:gridSpan w:val="3"/>
            <w:shd w:val="clear" w:color="auto" w:fill="FFFF00"/>
          </w:tcPr>
          <w:p>
            <w:pPr>
              <w:jc w:val="center"/>
              <w:ind w:right="80"/>
              <w:spacing w:after="0"/>
              <w:rPr>
                <w:sz w:val="20"/>
                <w:szCs w:val="20"/>
                <w:color w:val="auto"/>
              </w:rPr>
            </w:pPr>
            <w:r>
              <w:rPr>
                <w:rFonts w:ascii="Arial" w:cs="Arial" w:eastAsia="Arial" w:hAnsi="Arial"/>
                <w:sz w:val="11"/>
                <w:szCs w:val="11"/>
                <w:color w:val="auto"/>
                <w:w w:val="90"/>
              </w:rPr>
              <w:t>Auburn (Shrewsbury)</w:t>
            </w:r>
          </w:p>
        </w:tc>
        <w:tc>
          <w:tcPr>
            <w:tcW w:w="580" w:type="dxa"/>
            <w:vAlign w:val="bottom"/>
            <w:tcBorders>
              <w:right w:val="single" w:sz="8" w:color="auto"/>
            </w:tcBorders>
            <w:gridSpan w:val="3"/>
            <w:shd w:val="clear" w:color="auto" w:fill="FFFF00"/>
          </w:tcPr>
          <w:p>
            <w:pPr>
              <w:jc w:val="right"/>
              <w:ind w:right="220"/>
              <w:spacing w:after="0"/>
              <w:rPr>
                <w:sz w:val="20"/>
                <w:szCs w:val="20"/>
                <w:color w:val="auto"/>
              </w:rPr>
            </w:pPr>
            <w:r>
              <w:rPr>
                <w:rFonts w:ascii="Arial" w:cs="Arial" w:eastAsia="Arial" w:hAnsi="Arial"/>
                <w:sz w:val="11"/>
                <w:szCs w:val="11"/>
                <w:color w:val="auto"/>
              </w:rPr>
              <w:t>MA</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01501</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Dobbin Center 6435 Dobbin Road, Unit 26 (Different Address)</w:t>
            </w:r>
          </w:p>
        </w:tc>
        <w:tc>
          <w:tcPr>
            <w:tcW w:w="134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90"/>
              </w:rPr>
              <w:t>Columbia</w:t>
            </w:r>
          </w:p>
        </w:tc>
        <w:tc>
          <w:tcPr>
            <w:tcW w:w="5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MD</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21045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Chesapeake Square 6718-E Ritchie Highway</w:t>
            </w:r>
          </w:p>
        </w:tc>
        <w:tc>
          <w:tcPr>
            <w:tcW w:w="134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92"/>
              </w:rPr>
              <w:t>Glen Burnie</w:t>
            </w:r>
          </w:p>
        </w:tc>
        <w:tc>
          <w:tcPr>
            <w:tcW w:w="5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MD</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21061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York Ridge Ctr 815 Goucher Blvd.</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1"/>
                <w:szCs w:val="11"/>
                <w:color w:val="auto"/>
                <w:w w:val="88"/>
              </w:rPr>
              <w:t>Towson</w:t>
            </w:r>
          </w:p>
        </w:tc>
        <w:tc>
          <w:tcPr>
            <w:tcW w:w="58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1"/>
                <w:szCs w:val="11"/>
                <w:color w:val="auto"/>
              </w:rPr>
              <w:t>MD</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21286</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26300 Southfield Rd. (Different Address)</w:t>
            </w:r>
          </w:p>
        </w:tc>
        <w:tc>
          <w:tcPr>
            <w:tcW w:w="1340" w:type="dxa"/>
            <w:vAlign w:val="bottom"/>
            <w:tcBorders>
              <w:right w:val="single" w:sz="8" w:color="auto"/>
            </w:tcBorders>
            <w:gridSpan w:val="3"/>
            <w:shd w:val="clear" w:color="auto" w:fill="FFFF00"/>
          </w:tcPr>
          <w:p>
            <w:pPr>
              <w:jc w:val="center"/>
              <w:ind w:right="80"/>
              <w:spacing w:after="0"/>
              <w:rPr>
                <w:sz w:val="20"/>
                <w:szCs w:val="20"/>
                <w:color w:val="auto"/>
              </w:rPr>
            </w:pPr>
            <w:r>
              <w:rPr>
                <w:rFonts w:ascii="Arial" w:cs="Arial" w:eastAsia="Arial" w:hAnsi="Arial"/>
                <w:sz w:val="11"/>
                <w:szCs w:val="11"/>
                <w:color w:val="auto"/>
                <w:w w:val="89"/>
              </w:rPr>
              <w:t>Lathrup Village</w:t>
            </w:r>
          </w:p>
        </w:tc>
        <w:tc>
          <w:tcPr>
            <w:tcW w:w="200" w:type="dxa"/>
            <w:vAlign w:val="bottom"/>
            <w:shd w:val="clear" w:color="auto" w:fill="FFFF00"/>
          </w:tcPr>
          <w:p>
            <w:pPr>
              <w:spacing w:after="0"/>
              <w:rPr>
                <w:sz w:val="12"/>
                <w:szCs w:val="12"/>
                <w:color w:val="auto"/>
              </w:rPr>
            </w:pPr>
          </w:p>
        </w:tc>
        <w:tc>
          <w:tcPr>
            <w:tcW w:w="380" w:type="dxa"/>
            <w:vAlign w:val="bottom"/>
            <w:tcBorders>
              <w:right w:val="single" w:sz="8" w:color="auto"/>
            </w:tcBorders>
            <w:gridSpan w:val="2"/>
            <w:shd w:val="clear" w:color="auto" w:fill="FFFF00"/>
          </w:tcPr>
          <w:p>
            <w:pPr>
              <w:jc w:val="right"/>
              <w:ind w:right="140"/>
              <w:spacing w:after="0"/>
              <w:rPr>
                <w:sz w:val="20"/>
                <w:szCs w:val="20"/>
                <w:color w:val="auto"/>
              </w:rPr>
            </w:pPr>
            <w:r>
              <w:rPr>
                <w:rFonts w:ascii="Arial" w:cs="Arial" w:eastAsia="Arial" w:hAnsi="Arial"/>
                <w:sz w:val="11"/>
                <w:szCs w:val="11"/>
                <w:color w:val="auto"/>
              </w:rPr>
              <w:t>MI</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48076</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Fairlane Green 3480 Fairlane Drive</w:t>
            </w:r>
          </w:p>
        </w:tc>
        <w:tc>
          <w:tcPr>
            <w:tcW w:w="1340" w:type="dxa"/>
            <w:vAlign w:val="bottom"/>
            <w:tcBorders>
              <w:right w:val="single" w:sz="8" w:color="auto"/>
            </w:tcBorders>
            <w:gridSpan w:val="3"/>
            <w:shd w:val="clear" w:color="auto" w:fill="FFFF00"/>
          </w:tcPr>
          <w:p>
            <w:pPr>
              <w:jc w:val="center"/>
              <w:ind w:right="80"/>
              <w:spacing w:after="0"/>
              <w:rPr>
                <w:sz w:val="20"/>
                <w:szCs w:val="20"/>
                <w:color w:val="auto"/>
              </w:rPr>
            </w:pPr>
            <w:r>
              <w:rPr>
                <w:rFonts w:ascii="Arial" w:cs="Arial" w:eastAsia="Arial" w:hAnsi="Arial"/>
                <w:sz w:val="11"/>
                <w:szCs w:val="11"/>
                <w:color w:val="auto"/>
                <w:w w:val="91"/>
              </w:rPr>
              <w:t>Allen Park</w:t>
            </w:r>
          </w:p>
        </w:tc>
        <w:tc>
          <w:tcPr>
            <w:tcW w:w="200" w:type="dxa"/>
            <w:vAlign w:val="bottom"/>
            <w:shd w:val="clear" w:color="auto" w:fill="FFFF00"/>
          </w:tcPr>
          <w:p>
            <w:pPr>
              <w:spacing w:after="0"/>
              <w:rPr>
                <w:sz w:val="12"/>
                <w:szCs w:val="12"/>
                <w:color w:val="auto"/>
              </w:rPr>
            </w:pPr>
          </w:p>
        </w:tc>
        <w:tc>
          <w:tcPr>
            <w:tcW w:w="380" w:type="dxa"/>
            <w:vAlign w:val="bottom"/>
            <w:tcBorders>
              <w:right w:val="single" w:sz="8" w:color="auto"/>
            </w:tcBorders>
            <w:gridSpan w:val="2"/>
            <w:shd w:val="clear" w:color="auto" w:fill="FFFF00"/>
          </w:tcPr>
          <w:p>
            <w:pPr>
              <w:jc w:val="right"/>
              <w:ind w:right="140"/>
              <w:spacing w:after="0"/>
              <w:rPr>
                <w:sz w:val="20"/>
                <w:szCs w:val="20"/>
                <w:color w:val="auto"/>
              </w:rPr>
            </w:pPr>
            <w:r>
              <w:rPr>
                <w:rFonts w:ascii="Arial" w:cs="Arial" w:eastAsia="Arial" w:hAnsi="Arial"/>
                <w:sz w:val="11"/>
                <w:szCs w:val="11"/>
                <w:color w:val="auto"/>
              </w:rPr>
              <w:t>MI</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48101</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43263 Crescent Boulevard</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1"/>
                <w:szCs w:val="11"/>
                <w:color w:val="auto"/>
                <w:w w:val="90"/>
              </w:rPr>
              <w:t>Novi</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MI</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48375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4385 Miller Road</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1"/>
                <w:szCs w:val="11"/>
                <w:color w:val="auto"/>
              </w:rPr>
              <w:t>Flint</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MI</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48507</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3931 28Th St. Se</w:t>
            </w:r>
          </w:p>
        </w:tc>
        <w:tc>
          <w:tcPr>
            <w:tcW w:w="134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85"/>
              </w:rPr>
              <w:t>Grand Rapids</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MI</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49512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Big Beaver Ctr .,2028 W. Big Beaver Rd.</w:t>
            </w:r>
          </w:p>
        </w:tc>
        <w:tc>
          <w:tcPr>
            <w:tcW w:w="134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91"/>
              </w:rPr>
              <w:t>Troy (W. Big Beaver)</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MI</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48084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Mid Rivers Plaza 247 Mid River Mall Drive Space 16</w:t>
            </w:r>
          </w:p>
        </w:tc>
        <w:tc>
          <w:tcPr>
            <w:tcW w:w="1340" w:type="dxa"/>
            <w:vAlign w:val="bottom"/>
            <w:tcBorders>
              <w:right w:val="single" w:sz="8" w:color="auto"/>
            </w:tcBorders>
            <w:gridSpan w:val="3"/>
            <w:shd w:val="clear" w:color="auto" w:fill="FFFF00"/>
          </w:tcPr>
          <w:p>
            <w:pPr>
              <w:jc w:val="center"/>
              <w:ind w:right="80"/>
              <w:spacing w:after="0"/>
              <w:rPr>
                <w:sz w:val="20"/>
                <w:szCs w:val="20"/>
                <w:color w:val="auto"/>
              </w:rPr>
            </w:pPr>
            <w:r>
              <w:rPr>
                <w:rFonts w:ascii="Arial" w:cs="Arial" w:eastAsia="Arial" w:hAnsi="Arial"/>
                <w:sz w:val="11"/>
                <w:szCs w:val="11"/>
                <w:color w:val="auto"/>
                <w:w w:val="83"/>
              </w:rPr>
              <w:t>Saint Peters</w:t>
            </w:r>
          </w:p>
        </w:tc>
        <w:tc>
          <w:tcPr>
            <w:tcW w:w="580" w:type="dxa"/>
            <w:vAlign w:val="bottom"/>
            <w:tcBorders>
              <w:right w:val="single" w:sz="8" w:color="auto"/>
            </w:tcBorders>
            <w:gridSpan w:val="3"/>
            <w:shd w:val="clear" w:color="auto" w:fill="FFFF00"/>
          </w:tcPr>
          <w:p>
            <w:pPr>
              <w:jc w:val="right"/>
              <w:ind w:right="220"/>
              <w:spacing w:after="0"/>
              <w:rPr>
                <w:sz w:val="20"/>
                <w:szCs w:val="20"/>
                <w:color w:val="auto"/>
              </w:rPr>
            </w:pPr>
            <w:r>
              <w:rPr>
                <w:rFonts w:ascii="Arial" w:cs="Arial" w:eastAsia="Arial" w:hAnsi="Arial"/>
                <w:sz w:val="11"/>
                <w:szCs w:val="11"/>
                <w:color w:val="auto"/>
              </w:rPr>
              <w:t>MO</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63376</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10610 D Centrum Pkwy</w:t>
            </w:r>
          </w:p>
        </w:tc>
        <w:tc>
          <w:tcPr>
            <w:tcW w:w="134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91"/>
              </w:rPr>
              <w:t>Pineville (Centrum)</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NC</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28134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4601 Creedmor Road, Suite 105</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1"/>
                <w:szCs w:val="11"/>
                <w:color w:val="auto"/>
                <w:w w:val="91"/>
              </w:rPr>
              <w:t>Raleigh</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NC</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27612</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3258 Silas Creek Parkway</w:t>
            </w:r>
          </w:p>
        </w:tc>
        <w:tc>
          <w:tcPr>
            <w:tcW w:w="1340" w:type="dxa"/>
            <w:vAlign w:val="bottom"/>
            <w:tcBorders>
              <w:bottom w:val="single" w:sz="8" w:color="auto"/>
              <w:right w:val="single" w:sz="8" w:color="auto"/>
            </w:tcBorders>
            <w:gridSpan w:val="3"/>
          </w:tcPr>
          <w:p>
            <w:pPr>
              <w:jc w:val="center"/>
              <w:ind w:right="80"/>
              <w:spacing w:after="0"/>
              <w:rPr>
                <w:sz w:val="20"/>
                <w:szCs w:val="20"/>
                <w:color w:val="auto"/>
              </w:rPr>
            </w:pPr>
            <w:r>
              <w:rPr>
                <w:rFonts w:ascii="Arial" w:cs="Arial" w:eastAsia="Arial" w:hAnsi="Arial"/>
                <w:sz w:val="11"/>
                <w:szCs w:val="11"/>
                <w:color w:val="auto"/>
                <w:w w:val="88"/>
              </w:rPr>
              <w:t>Winston-Salem</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NC</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27103</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3"/>
        </w:trPr>
        <w:tc>
          <w:tcPr>
            <w:tcW w:w="1880" w:type="dxa"/>
            <w:vAlign w:val="bottom"/>
            <w:tcBorders>
              <w:left w:val="single" w:sz="8" w:color="auto"/>
              <w:right w:val="single" w:sz="8" w:color="auto"/>
            </w:tcBorders>
            <w:gridSpan w:val="3"/>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right w:val="single" w:sz="8" w:color="auto"/>
            </w:tcBorders>
            <w:gridSpan w:val="3"/>
            <w:shd w:val="clear" w:color="auto" w:fill="FFFF00"/>
          </w:tcPr>
          <w:p>
            <w:pPr>
              <w:spacing w:after="0"/>
              <w:rPr>
                <w:sz w:val="20"/>
                <w:szCs w:val="20"/>
                <w:color w:val="auto"/>
              </w:rPr>
            </w:pPr>
            <w:r>
              <w:rPr>
                <w:rFonts w:ascii="Arial" w:cs="Arial" w:eastAsia="Arial" w:hAnsi="Arial"/>
                <w:sz w:val="11"/>
                <w:szCs w:val="11"/>
                <w:color w:val="auto"/>
              </w:rPr>
              <w:t>450 North State Rt. 17</w:t>
            </w:r>
          </w:p>
        </w:tc>
        <w:tc>
          <w:tcPr>
            <w:tcW w:w="480" w:type="dxa"/>
            <w:vAlign w:val="bottom"/>
            <w:shd w:val="clear" w:color="auto" w:fill="FFFF00"/>
          </w:tcPr>
          <w:p>
            <w:pPr>
              <w:spacing w:after="0"/>
              <w:rPr>
                <w:sz w:val="12"/>
                <w:szCs w:val="12"/>
                <w:color w:val="auto"/>
              </w:rPr>
            </w:pPr>
          </w:p>
        </w:tc>
        <w:tc>
          <w:tcPr>
            <w:tcW w:w="860" w:type="dxa"/>
            <w:vAlign w:val="bottom"/>
            <w:tcBorders>
              <w:right w:val="single" w:sz="8" w:color="auto"/>
            </w:tcBorders>
            <w:gridSpan w:val="2"/>
            <w:shd w:val="clear" w:color="auto" w:fill="FFFF00"/>
          </w:tcPr>
          <w:p>
            <w:pPr>
              <w:jc w:val="center"/>
              <w:ind w:right="140"/>
              <w:spacing w:after="0"/>
              <w:rPr>
                <w:sz w:val="20"/>
                <w:szCs w:val="20"/>
                <w:color w:val="auto"/>
              </w:rPr>
            </w:pPr>
            <w:r>
              <w:rPr>
                <w:rFonts w:ascii="Arial" w:cs="Arial" w:eastAsia="Arial" w:hAnsi="Arial"/>
                <w:sz w:val="11"/>
                <w:szCs w:val="11"/>
                <w:color w:val="auto"/>
                <w:w w:val="81"/>
              </w:rPr>
              <w:t>Paramus</w:t>
            </w:r>
          </w:p>
        </w:tc>
        <w:tc>
          <w:tcPr>
            <w:tcW w:w="200" w:type="dxa"/>
            <w:vAlign w:val="bottom"/>
            <w:shd w:val="clear" w:color="auto" w:fill="FFFF00"/>
          </w:tcPr>
          <w:p>
            <w:pPr>
              <w:spacing w:after="0"/>
              <w:rPr>
                <w:sz w:val="12"/>
                <w:szCs w:val="12"/>
                <w:color w:val="auto"/>
              </w:rPr>
            </w:pPr>
          </w:p>
        </w:tc>
        <w:tc>
          <w:tcPr>
            <w:tcW w:w="380" w:type="dxa"/>
            <w:vAlign w:val="bottom"/>
            <w:tcBorders>
              <w:right w:val="single" w:sz="8" w:color="auto"/>
            </w:tcBorders>
            <w:gridSpan w:val="2"/>
            <w:shd w:val="clear" w:color="auto" w:fill="FFFF00"/>
          </w:tcPr>
          <w:p>
            <w:pPr>
              <w:jc w:val="right"/>
              <w:ind w:right="160"/>
              <w:spacing w:after="0"/>
              <w:rPr>
                <w:sz w:val="20"/>
                <w:szCs w:val="20"/>
                <w:color w:val="auto"/>
              </w:rPr>
            </w:pPr>
            <w:r>
              <w:rPr>
                <w:rFonts w:ascii="Arial" w:cs="Arial" w:eastAsia="Arial" w:hAnsi="Arial"/>
                <w:sz w:val="11"/>
                <w:szCs w:val="11"/>
                <w:color w:val="auto"/>
              </w:rPr>
              <w:t>NJ</w:t>
            </w:r>
          </w:p>
        </w:tc>
        <w:tc>
          <w:tcPr>
            <w:tcW w:w="520" w:type="dxa"/>
            <w:vAlign w:val="bottom"/>
            <w:tcBorders>
              <w:right w:val="single" w:sz="8" w:color="auto"/>
            </w:tcBorders>
            <w:gridSpan w:val="3"/>
            <w:shd w:val="clear" w:color="auto" w:fill="FFFF00"/>
          </w:tcPr>
          <w:p>
            <w:pPr>
              <w:jc w:val="center"/>
              <w:ind w:right="40"/>
              <w:spacing w:after="0"/>
              <w:rPr>
                <w:sz w:val="20"/>
                <w:szCs w:val="20"/>
                <w:color w:val="auto"/>
              </w:rPr>
            </w:pPr>
            <w:r>
              <w:rPr>
                <w:rFonts w:ascii="Arial" w:cs="Arial" w:eastAsia="Arial" w:hAnsi="Arial"/>
                <w:sz w:val="11"/>
                <w:szCs w:val="11"/>
                <w:color w:val="auto"/>
                <w:w w:val="91"/>
              </w:rPr>
              <w:t>07652</w:t>
            </w:r>
          </w:p>
        </w:tc>
        <w:tc>
          <w:tcPr>
            <w:tcW w:w="1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400" w:type="dxa"/>
            <w:vAlign w:val="bottom"/>
            <w:shd w:val="clear" w:color="auto" w:fill="FFFF00"/>
          </w:tcPr>
          <w:p>
            <w:pPr>
              <w:spacing w:after="0"/>
              <w:rPr>
                <w:sz w:val="12"/>
                <w:szCs w:val="12"/>
                <w:color w:val="auto"/>
              </w:rPr>
            </w:pPr>
          </w:p>
        </w:tc>
        <w:tc>
          <w:tcPr>
            <w:tcW w:w="140" w:type="dxa"/>
            <w:vAlign w:val="bottom"/>
            <w:shd w:val="clear" w:color="auto" w:fill="FFFF00"/>
          </w:tcPr>
          <w:p>
            <w:pPr>
              <w:spacing w:after="0"/>
              <w:rPr>
                <w:sz w:val="12"/>
                <w:szCs w:val="12"/>
                <w:color w:val="auto"/>
              </w:rPr>
            </w:pPr>
          </w:p>
        </w:tc>
        <w:tc>
          <w:tcPr>
            <w:tcW w:w="140" w:type="dxa"/>
            <w:vAlign w:val="bottom"/>
            <w:tcBorders>
              <w:right w:val="single" w:sz="8" w:color="auto"/>
            </w:tcBorders>
            <w:shd w:val="clear" w:color="auto" w:fill="FFFF00"/>
          </w:tcPr>
          <w:p>
            <w:pPr>
              <w:spacing w:after="0"/>
              <w:rPr>
                <w:sz w:val="12"/>
                <w:szCs w:val="12"/>
                <w:color w:val="auto"/>
              </w:rPr>
            </w:pPr>
          </w:p>
        </w:tc>
        <w:tc>
          <w:tcPr>
            <w:tcW w:w="720" w:type="dxa"/>
            <w:vAlign w:val="bottom"/>
            <w:tcBorders>
              <w:right w:val="single" w:sz="8" w:color="auto"/>
            </w:tcBorders>
            <w:shd w:val="clear" w:color="auto" w:fill="FFFF00"/>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auto"/>
              <w:bottom w:val="single" w:sz="8" w:color="auto"/>
            </w:tcBorders>
            <w:shd w:val="clear" w:color="auto" w:fill="FFFF00"/>
          </w:tcPr>
          <w:p>
            <w:pPr>
              <w:spacing w:after="0"/>
              <w:rPr>
                <w:sz w:val="16"/>
                <w:szCs w:val="16"/>
                <w:color w:val="auto"/>
              </w:rPr>
            </w:pPr>
          </w:p>
        </w:tc>
        <w:tc>
          <w:tcPr>
            <w:tcW w:w="1060" w:type="dxa"/>
            <w:vAlign w:val="bottom"/>
            <w:tcBorders>
              <w:bottom w:val="single" w:sz="8" w:color="auto"/>
            </w:tcBorders>
            <w:shd w:val="clear" w:color="auto" w:fill="FFFF00"/>
          </w:tcPr>
          <w:p>
            <w:pPr>
              <w:spacing w:after="0"/>
              <w:rPr>
                <w:sz w:val="16"/>
                <w:szCs w:val="16"/>
                <w:color w:val="auto"/>
              </w:rPr>
            </w:pPr>
          </w:p>
        </w:tc>
        <w:tc>
          <w:tcPr>
            <w:tcW w:w="420" w:type="dxa"/>
            <w:vAlign w:val="bottom"/>
            <w:tcBorders>
              <w:bottom w:val="single" w:sz="8" w:color="auto"/>
              <w:right w:val="single" w:sz="8" w:color="auto"/>
            </w:tcBorders>
            <w:shd w:val="clear" w:color="auto" w:fill="FFFF00"/>
          </w:tcPr>
          <w:p>
            <w:pPr>
              <w:spacing w:after="0"/>
              <w:rPr>
                <w:sz w:val="16"/>
                <w:szCs w:val="16"/>
                <w:color w:val="auto"/>
              </w:rPr>
            </w:pPr>
          </w:p>
        </w:tc>
        <w:tc>
          <w:tcPr>
            <w:tcW w:w="1540" w:type="dxa"/>
            <w:vAlign w:val="bottom"/>
            <w:tcBorders>
              <w:bottom w:val="single" w:sz="8" w:color="auto"/>
            </w:tcBorders>
            <w:shd w:val="clear" w:color="auto" w:fill="FFFF00"/>
          </w:tcPr>
          <w:p>
            <w:pPr>
              <w:spacing w:after="0"/>
              <w:rPr>
                <w:sz w:val="16"/>
                <w:szCs w:val="16"/>
                <w:color w:val="auto"/>
              </w:rPr>
            </w:pPr>
          </w:p>
        </w:tc>
        <w:tc>
          <w:tcPr>
            <w:tcW w:w="620" w:type="dxa"/>
            <w:vAlign w:val="bottom"/>
            <w:tcBorders>
              <w:bottom w:val="single" w:sz="8" w:color="auto"/>
            </w:tcBorders>
            <w:shd w:val="clear" w:color="auto" w:fill="FFFF00"/>
          </w:tcPr>
          <w:p>
            <w:pPr>
              <w:spacing w:after="0"/>
              <w:rPr>
                <w:sz w:val="16"/>
                <w:szCs w:val="16"/>
                <w:color w:val="auto"/>
              </w:rPr>
            </w:pPr>
          </w:p>
        </w:tc>
        <w:tc>
          <w:tcPr>
            <w:tcW w:w="1580" w:type="dxa"/>
            <w:vAlign w:val="bottom"/>
            <w:tcBorders>
              <w:bottom w:val="single" w:sz="8" w:color="auto"/>
              <w:right w:val="single" w:sz="8" w:color="auto"/>
            </w:tcBorders>
            <w:shd w:val="clear" w:color="auto" w:fill="FFFF00"/>
          </w:tcPr>
          <w:p>
            <w:pPr>
              <w:spacing w:after="0"/>
              <w:rPr>
                <w:sz w:val="16"/>
                <w:szCs w:val="16"/>
                <w:color w:val="auto"/>
              </w:rPr>
            </w:pPr>
          </w:p>
        </w:tc>
        <w:tc>
          <w:tcPr>
            <w:tcW w:w="480" w:type="dxa"/>
            <w:vAlign w:val="bottom"/>
            <w:tcBorders>
              <w:bottom w:val="single" w:sz="8" w:color="auto"/>
            </w:tcBorders>
            <w:shd w:val="clear" w:color="auto" w:fill="FFFF00"/>
          </w:tcPr>
          <w:p>
            <w:pPr>
              <w:spacing w:after="0"/>
              <w:rPr>
                <w:sz w:val="16"/>
                <w:szCs w:val="16"/>
                <w:color w:val="auto"/>
              </w:rPr>
            </w:pPr>
          </w:p>
        </w:tc>
        <w:tc>
          <w:tcPr>
            <w:tcW w:w="340" w:type="dxa"/>
            <w:vAlign w:val="bottom"/>
            <w:tcBorders>
              <w:bottom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20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tcBorders>
            <w:shd w:val="clear" w:color="auto" w:fill="FFFF00"/>
          </w:tcPr>
          <w:p>
            <w:pPr>
              <w:spacing w:after="0"/>
              <w:rPr>
                <w:sz w:val="16"/>
                <w:szCs w:val="16"/>
                <w:color w:val="auto"/>
              </w:rPr>
            </w:pPr>
          </w:p>
        </w:tc>
        <w:tc>
          <w:tcPr>
            <w:tcW w:w="220" w:type="dxa"/>
            <w:vAlign w:val="bottom"/>
            <w:tcBorders>
              <w:bottom w:val="single" w:sz="8" w:color="auto"/>
              <w:right w:val="single" w:sz="8" w:color="auto"/>
            </w:tcBorders>
            <w:shd w:val="clear" w:color="auto" w:fill="FFFF00"/>
          </w:tcPr>
          <w:p>
            <w:pPr>
              <w:spacing w:after="0"/>
              <w:rPr>
                <w:sz w:val="16"/>
                <w:szCs w:val="16"/>
                <w:color w:val="auto"/>
              </w:rPr>
            </w:pPr>
          </w:p>
        </w:tc>
        <w:tc>
          <w:tcPr>
            <w:tcW w:w="120" w:type="dxa"/>
            <w:vAlign w:val="bottom"/>
            <w:tcBorders>
              <w:bottom w:val="single" w:sz="8" w:color="auto"/>
            </w:tcBorders>
            <w:shd w:val="clear" w:color="auto" w:fill="FFFF00"/>
          </w:tcPr>
          <w:p>
            <w:pPr>
              <w:spacing w:after="0"/>
              <w:rPr>
                <w:sz w:val="16"/>
                <w:szCs w:val="16"/>
                <w:color w:val="auto"/>
              </w:rPr>
            </w:pPr>
          </w:p>
        </w:tc>
        <w:tc>
          <w:tcPr>
            <w:tcW w:w="240" w:type="dxa"/>
            <w:vAlign w:val="bottom"/>
            <w:tcBorders>
              <w:bottom w:val="single" w:sz="8" w:color="auto"/>
            </w:tcBorders>
            <w:shd w:val="clear" w:color="auto" w:fill="FFFF00"/>
          </w:tcPr>
          <w:p>
            <w:pPr>
              <w:spacing w:after="0"/>
              <w:rPr>
                <w:sz w:val="16"/>
                <w:szCs w:val="16"/>
                <w:color w:val="auto"/>
              </w:rPr>
            </w:pPr>
          </w:p>
        </w:tc>
        <w:tc>
          <w:tcPr>
            <w:tcW w:w="160" w:type="dxa"/>
            <w:vAlign w:val="bottom"/>
            <w:tcBorders>
              <w:bottom w:val="single" w:sz="8" w:color="auto"/>
              <w:right w:val="single" w:sz="8" w:color="auto"/>
            </w:tcBorders>
            <w:shd w:val="clear" w:color="auto" w:fill="FFFF00"/>
          </w:tcPr>
          <w:p>
            <w:pPr>
              <w:spacing w:after="0"/>
              <w:rPr>
                <w:sz w:val="16"/>
                <w:szCs w:val="16"/>
                <w:color w:val="auto"/>
              </w:rPr>
            </w:pPr>
          </w:p>
        </w:tc>
        <w:tc>
          <w:tcPr>
            <w:tcW w:w="1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40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tcBorders>
            <w:shd w:val="clear" w:color="auto" w:fill="FFFF00"/>
          </w:tcPr>
          <w:p>
            <w:pPr>
              <w:spacing w:after="0"/>
              <w:rPr>
                <w:sz w:val="16"/>
                <w:szCs w:val="16"/>
                <w:color w:val="auto"/>
              </w:rPr>
            </w:pPr>
          </w:p>
        </w:tc>
        <w:tc>
          <w:tcPr>
            <w:tcW w:w="14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Destination XL</w:t>
            </w:r>
          </w:p>
        </w:tc>
        <w:tc>
          <w:tcPr>
            <w:tcW w:w="37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2456 US Hwy 22</w:t>
            </w: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1"/>
                <w:szCs w:val="11"/>
                <w:color w:val="auto"/>
                <w:w w:val="90"/>
              </w:rPr>
              <w:t>Union</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NJ</w:t>
            </w:r>
          </w:p>
        </w:tc>
        <w:tc>
          <w:tcPr>
            <w:tcW w:w="52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07083</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3"/>
          </w:tcPr>
          <w:p>
            <w:pPr>
              <w:ind w:left="300"/>
              <w:spacing w:after="0" w:line="171" w:lineRule="exact"/>
              <w:rPr>
                <w:sz w:val="20"/>
                <w:szCs w:val="20"/>
                <w:color w:val="auto"/>
              </w:rPr>
            </w:pPr>
            <w:r>
              <w:rPr>
                <w:rFonts w:ascii="Arial" w:cs="Arial" w:eastAsia="Arial" w:hAnsi="Arial"/>
                <w:sz w:val="16"/>
                <w:szCs w:val="16"/>
                <w:color w:val="auto"/>
              </w:rPr>
              <w:t>X</w:t>
            </w:r>
          </w:p>
        </w:tc>
        <w:tc>
          <w:tcPr>
            <w:tcW w:w="7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ectPr>
          <w:pgSz w:w="11900" w:h="16838" w:orient="portrait"/>
          <w:cols w:equalWidth="0" w:num="1">
            <w:col w:w="9680"/>
          </w:cols>
          <w:pgMar w:left="1120" w:top="359" w:right="1099" w:bottom="1440" w:gutter="0" w:footer="0" w:header="0"/>
        </w:sectPr>
      </w:pPr>
    </w:p>
    <w:bookmarkStart w:id="136" w:name="page137"/>
    <w:bookmarkEnd w:id="1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0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1730 Clements Bridge Rd.</w:t>
            </w:r>
          </w:p>
        </w:tc>
        <w:tc>
          <w:tcPr>
            <w:tcW w:w="1820" w:type="dxa"/>
            <w:vAlign w:val="bottom"/>
            <w:tcBorders>
              <w:top w:val="single" w:sz="8" w:color="auto"/>
              <w:bottom w:val="single" w:sz="8" w:color="auto"/>
              <w:right w:val="single" w:sz="8" w:color="auto"/>
            </w:tcBorders>
          </w:tcPr>
          <w:p>
            <w:pPr>
              <w:jc w:val="center"/>
              <w:ind w:left="266"/>
              <w:spacing w:after="0"/>
              <w:rPr>
                <w:sz w:val="20"/>
                <w:szCs w:val="20"/>
                <w:color w:val="auto"/>
              </w:rPr>
            </w:pPr>
            <w:r>
              <w:rPr>
                <w:rFonts w:ascii="Arial" w:cs="Arial" w:eastAsia="Arial" w:hAnsi="Arial"/>
                <w:sz w:val="11"/>
                <w:szCs w:val="11"/>
                <w:color w:val="auto"/>
                <w:w w:val="89"/>
              </w:rPr>
              <w:t>Deptford</w:t>
            </w:r>
          </w:p>
        </w:tc>
        <w:tc>
          <w:tcPr>
            <w:tcW w:w="520" w:type="dxa"/>
            <w:vAlign w:val="bottom"/>
            <w:tcBorders>
              <w:top w:val="single" w:sz="8" w:color="auto"/>
              <w:bottom w:val="single" w:sz="8" w:color="auto"/>
              <w:right w:val="single" w:sz="8" w:color="auto"/>
            </w:tcBorders>
          </w:tcPr>
          <w:p>
            <w:pPr>
              <w:jc w:val="center"/>
              <w:ind w:left="106"/>
              <w:spacing w:after="0"/>
              <w:rPr>
                <w:sz w:val="20"/>
                <w:szCs w:val="20"/>
                <w:color w:val="auto"/>
              </w:rPr>
            </w:pPr>
            <w:r>
              <w:rPr>
                <w:rFonts w:ascii="Arial" w:cs="Arial" w:eastAsia="Arial" w:hAnsi="Arial"/>
                <w:sz w:val="11"/>
                <w:szCs w:val="11"/>
                <w:color w:val="auto"/>
                <w:w w:val="88"/>
              </w:rPr>
              <w:t>NJ</w:t>
            </w:r>
          </w:p>
        </w:tc>
        <w:tc>
          <w:tcPr>
            <w:tcW w:w="600" w:type="dxa"/>
            <w:vAlign w:val="bottom"/>
            <w:tcBorders>
              <w:top w:val="single" w:sz="8" w:color="auto"/>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08096</w:t>
            </w:r>
          </w:p>
        </w:tc>
        <w:tc>
          <w:tcPr>
            <w:tcW w:w="7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X</w:t>
            </w:r>
          </w:p>
        </w:tc>
        <w:tc>
          <w:tcPr>
            <w:tcW w:w="86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220 Haddonfield Rd.</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93"/>
              </w:rPr>
              <w:t>Cherry Hill</w:t>
            </w:r>
          </w:p>
        </w:tc>
        <w:tc>
          <w:tcPr>
            <w:tcW w:w="520" w:type="dxa"/>
            <w:vAlign w:val="bottom"/>
            <w:tcBorders>
              <w:bottom w:val="single" w:sz="8" w:color="auto"/>
              <w:right w:val="single" w:sz="8" w:color="auto"/>
            </w:tcBorders>
          </w:tcPr>
          <w:p>
            <w:pPr>
              <w:jc w:val="center"/>
              <w:ind w:left="106"/>
              <w:spacing w:after="0"/>
              <w:rPr>
                <w:sz w:val="20"/>
                <w:szCs w:val="20"/>
                <w:color w:val="auto"/>
              </w:rPr>
            </w:pPr>
            <w:r>
              <w:rPr>
                <w:rFonts w:ascii="Arial" w:cs="Arial" w:eastAsia="Arial" w:hAnsi="Arial"/>
                <w:sz w:val="11"/>
                <w:szCs w:val="11"/>
                <w:color w:val="auto"/>
                <w:w w:val="88"/>
              </w:rPr>
              <w:t>NJ</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08002</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1381 West Sunset Road (Different Address)</w:t>
            </w:r>
          </w:p>
        </w:tc>
        <w:tc>
          <w:tcPr>
            <w:tcW w:w="1820" w:type="dxa"/>
            <w:vAlign w:val="bottom"/>
            <w:tcBorders>
              <w:bottom w:val="single" w:sz="8" w:color="auto"/>
              <w:right w:val="single" w:sz="8" w:color="auto"/>
            </w:tcBorders>
          </w:tcPr>
          <w:p>
            <w:pPr>
              <w:jc w:val="center"/>
              <w:ind w:right="506"/>
              <w:spacing w:after="0"/>
              <w:rPr>
                <w:sz w:val="20"/>
                <w:szCs w:val="20"/>
                <w:color w:val="auto"/>
              </w:rPr>
            </w:pPr>
            <w:r>
              <w:rPr>
                <w:rFonts w:ascii="Arial" w:cs="Arial" w:eastAsia="Arial" w:hAnsi="Arial"/>
                <w:sz w:val="11"/>
                <w:szCs w:val="11"/>
                <w:color w:val="auto"/>
                <w:w w:val="85"/>
              </w:rPr>
              <w:t>Henderson</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NV</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89014</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4211 Paradise Road (Different Address)</w:t>
            </w:r>
          </w:p>
        </w:tc>
        <w:tc>
          <w:tcPr>
            <w:tcW w:w="1820" w:type="dxa"/>
            <w:vAlign w:val="bottom"/>
            <w:tcBorders>
              <w:right w:val="single" w:sz="8" w:color="auto"/>
            </w:tcBorders>
            <w:shd w:val="clear" w:color="auto" w:fill="FFFF00"/>
          </w:tcPr>
          <w:p>
            <w:pPr>
              <w:jc w:val="center"/>
              <w:ind w:right="506"/>
              <w:spacing w:after="0"/>
              <w:rPr>
                <w:sz w:val="20"/>
                <w:szCs w:val="20"/>
                <w:color w:val="auto"/>
              </w:rPr>
            </w:pPr>
            <w:r>
              <w:rPr>
                <w:rFonts w:ascii="Arial" w:cs="Arial" w:eastAsia="Arial" w:hAnsi="Arial"/>
                <w:sz w:val="11"/>
                <w:szCs w:val="11"/>
                <w:color w:val="auto"/>
                <w:w w:val="80"/>
              </w:rPr>
              <w:t>Las Vegas</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NV</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89169</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5595 South Virginia St., Suite A</w:t>
            </w:r>
          </w:p>
        </w:tc>
        <w:tc>
          <w:tcPr>
            <w:tcW w:w="1820" w:type="dxa"/>
            <w:vAlign w:val="bottom"/>
            <w:tcBorders>
              <w:bottom w:val="single" w:sz="8" w:color="auto"/>
              <w:right w:val="single" w:sz="8" w:color="auto"/>
            </w:tcBorders>
          </w:tcPr>
          <w:p>
            <w:pPr>
              <w:jc w:val="center"/>
              <w:ind w:left="346"/>
              <w:spacing w:after="0"/>
              <w:rPr>
                <w:sz w:val="20"/>
                <w:szCs w:val="20"/>
                <w:color w:val="auto"/>
              </w:rPr>
            </w:pPr>
            <w:r>
              <w:rPr>
                <w:rFonts w:ascii="Arial" w:cs="Arial" w:eastAsia="Arial" w:hAnsi="Arial"/>
                <w:sz w:val="11"/>
                <w:szCs w:val="11"/>
                <w:color w:val="auto"/>
                <w:w w:val="83"/>
              </w:rPr>
              <w:t>Reno</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NV</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89502</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951 West Jefferson Rd.</w:t>
            </w:r>
          </w:p>
        </w:tc>
        <w:tc>
          <w:tcPr>
            <w:tcW w:w="1820" w:type="dxa"/>
            <w:vAlign w:val="bottom"/>
            <w:tcBorders>
              <w:right w:val="single" w:sz="8" w:color="auto"/>
            </w:tcBorders>
            <w:shd w:val="clear" w:color="auto" w:fill="FFFF00"/>
          </w:tcPr>
          <w:p>
            <w:pPr>
              <w:jc w:val="center"/>
              <w:ind w:right="486"/>
              <w:spacing w:after="0"/>
              <w:rPr>
                <w:sz w:val="20"/>
                <w:szCs w:val="20"/>
                <w:color w:val="auto"/>
              </w:rPr>
            </w:pPr>
            <w:r>
              <w:rPr>
                <w:rFonts w:ascii="Arial" w:cs="Arial" w:eastAsia="Arial" w:hAnsi="Arial"/>
                <w:sz w:val="11"/>
                <w:szCs w:val="11"/>
                <w:color w:val="auto"/>
                <w:w w:val="87"/>
              </w:rPr>
              <w:t>Rochester (Henrietta)</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NY</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14623</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137 Alexander Ave. Space 5&amp;6 ( Different Address)</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86"/>
              </w:rPr>
              <w:t>Lake Grove (Centereach)</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NY</w:t>
            </w:r>
          </w:p>
        </w:tc>
        <w:tc>
          <w:tcPr>
            <w:tcW w:w="60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11755</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2472 Flatbush Ave.</w:t>
            </w:r>
          </w:p>
        </w:tc>
        <w:tc>
          <w:tcPr>
            <w:tcW w:w="1820" w:type="dxa"/>
            <w:vAlign w:val="bottom"/>
            <w:tcBorders>
              <w:bottom w:val="single" w:sz="8" w:color="auto"/>
              <w:right w:val="single" w:sz="8" w:color="auto"/>
            </w:tcBorders>
          </w:tcPr>
          <w:p>
            <w:pPr>
              <w:jc w:val="center"/>
              <w:ind w:left="266"/>
              <w:spacing w:after="0"/>
              <w:rPr>
                <w:sz w:val="20"/>
                <w:szCs w:val="20"/>
                <w:color w:val="auto"/>
              </w:rPr>
            </w:pPr>
            <w:r>
              <w:rPr>
                <w:rFonts w:ascii="Arial" w:cs="Arial" w:eastAsia="Arial" w:hAnsi="Arial"/>
                <w:sz w:val="11"/>
                <w:szCs w:val="11"/>
                <w:color w:val="auto"/>
                <w:w w:val="98"/>
              </w:rPr>
              <w:t>Brooklyn</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NY</w:t>
            </w:r>
          </w:p>
        </w:tc>
        <w:tc>
          <w:tcPr>
            <w:tcW w:w="60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11234</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152 Glen Cove Rd.</w:t>
            </w:r>
          </w:p>
        </w:tc>
        <w:tc>
          <w:tcPr>
            <w:tcW w:w="1820" w:type="dxa"/>
            <w:vAlign w:val="bottom"/>
            <w:tcBorders>
              <w:right w:val="single" w:sz="8" w:color="auto"/>
            </w:tcBorders>
            <w:shd w:val="clear" w:color="auto" w:fill="FFFF00"/>
          </w:tcPr>
          <w:p>
            <w:pPr>
              <w:jc w:val="center"/>
              <w:ind w:right="486"/>
              <w:spacing w:after="0"/>
              <w:rPr>
                <w:sz w:val="20"/>
                <w:szCs w:val="20"/>
                <w:color w:val="auto"/>
              </w:rPr>
            </w:pPr>
            <w:r>
              <w:rPr>
                <w:rFonts w:ascii="Arial" w:cs="Arial" w:eastAsia="Arial" w:hAnsi="Arial"/>
                <w:sz w:val="11"/>
                <w:szCs w:val="11"/>
                <w:color w:val="auto"/>
                <w:w w:val="84"/>
              </w:rPr>
              <w:t>Carle Place</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NY</w:t>
            </w:r>
          </w:p>
        </w:tc>
        <w:tc>
          <w:tcPr>
            <w:tcW w:w="600" w:type="dxa"/>
            <w:vAlign w:val="bottom"/>
            <w:tcBorders>
              <w:right w:val="single" w:sz="8" w:color="auto"/>
            </w:tcBorders>
            <w:shd w:val="clear" w:color="auto" w:fill="FFFF00"/>
          </w:tcPr>
          <w:p>
            <w:pPr>
              <w:jc w:val="right"/>
              <w:ind w:right="186"/>
              <w:spacing w:after="0"/>
              <w:rPr>
                <w:sz w:val="20"/>
                <w:szCs w:val="20"/>
                <w:color w:val="auto"/>
              </w:rPr>
            </w:pPr>
            <w:r>
              <w:rPr>
                <w:rFonts w:ascii="Arial" w:cs="Arial" w:eastAsia="Arial" w:hAnsi="Arial"/>
                <w:sz w:val="11"/>
                <w:szCs w:val="11"/>
                <w:color w:val="auto"/>
              </w:rPr>
              <w:t>11514</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2194 Richmond Avenue</w:t>
            </w:r>
          </w:p>
        </w:tc>
        <w:tc>
          <w:tcPr>
            <w:tcW w:w="1820" w:type="dxa"/>
            <w:vAlign w:val="bottom"/>
            <w:tcBorders>
              <w:right w:val="single" w:sz="8" w:color="auto"/>
            </w:tcBorders>
            <w:shd w:val="clear" w:color="auto" w:fill="FFFF00"/>
          </w:tcPr>
          <w:p>
            <w:pPr>
              <w:jc w:val="center"/>
              <w:ind w:right="486"/>
              <w:spacing w:after="0"/>
              <w:rPr>
                <w:sz w:val="20"/>
                <w:szCs w:val="20"/>
                <w:color w:val="auto"/>
              </w:rPr>
            </w:pPr>
            <w:r>
              <w:rPr>
                <w:rFonts w:ascii="Arial" w:cs="Arial" w:eastAsia="Arial" w:hAnsi="Arial"/>
                <w:sz w:val="11"/>
                <w:szCs w:val="11"/>
                <w:color w:val="auto"/>
                <w:w w:val="87"/>
              </w:rPr>
              <w:t>Staten Island</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NY</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10314</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9 Mall Plaza, 1830 South Rd., Ste. 114</w:t>
            </w:r>
          </w:p>
        </w:tc>
        <w:tc>
          <w:tcPr>
            <w:tcW w:w="1820" w:type="dxa"/>
            <w:vAlign w:val="bottom"/>
            <w:tcBorders>
              <w:right w:val="single" w:sz="8" w:color="auto"/>
            </w:tcBorders>
            <w:shd w:val="clear" w:color="auto" w:fill="FFFF00"/>
          </w:tcPr>
          <w:p>
            <w:pPr>
              <w:jc w:val="center"/>
              <w:ind w:right="506"/>
              <w:spacing w:after="0"/>
              <w:rPr>
                <w:sz w:val="20"/>
                <w:szCs w:val="20"/>
                <w:color w:val="auto"/>
              </w:rPr>
            </w:pPr>
            <w:r>
              <w:rPr>
                <w:rFonts w:ascii="Arial" w:cs="Arial" w:eastAsia="Arial" w:hAnsi="Arial"/>
                <w:sz w:val="11"/>
                <w:szCs w:val="11"/>
                <w:color w:val="auto"/>
                <w:w w:val="87"/>
              </w:rPr>
              <w:t>Wappingers Falls</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NY</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12590</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5401 N. May Avenue, Suite 700 (Different Address)</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88"/>
              </w:rPr>
              <w:t>Oklahoma City</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87"/>
              </w:rPr>
              <w:t>OK</w:t>
            </w:r>
          </w:p>
        </w:tc>
        <w:tc>
          <w:tcPr>
            <w:tcW w:w="60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73112</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4</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625 Commerce Boulevard (Different Address)</w:t>
            </w:r>
          </w:p>
        </w:tc>
        <w:tc>
          <w:tcPr>
            <w:tcW w:w="1820" w:type="dxa"/>
            <w:vAlign w:val="bottom"/>
            <w:tcBorders>
              <w:right w:val="single" w:sz="8" w:color="auto"/>
            </w:tcBorders>
            <w:shd w:val="clear" w:color="auto" w:fill="FFFF00"/>
          </w:tcPr>
          <w:p>
            <w:pPr>
              <w:jc w:val="center"/>
              <w:ind w:right="486"/>
              <w:spacing w:after="0"/>
              <w:rPr>
                <w:sz w:val="20"/>
                <w:szCs w:val="20"/>
                <w:color w:val="auto"/>
              </w:rPr>
            </w:pPr>
            <w:r>
              <w:rPr>
                <w:rFonts w:ascii="Arial" w:cs="Arial" w:eastAsia="Arial" w:hAnsi="Arial"/>
                <w:sz w:val="11"/>
                <w:szCs w:val="11"/>
                <w:color w:val="auto"/>
                <w:w w:val="89"/>
              </w:rPr>
              <w:t>Fairless Hills</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5"/>
              </w:rPr>
              <w:t>PA</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19030</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North Hills Village 4801 Mcnight Rd 91-B (Different Address)</w:t>
            </w:r>
          </w:p>
        </w:tc>
        <w:tc>
          <w:tcPr>
            <w:tcW w:w="1820" w:type="dxa"/>
            <w:vAlign w:val="bottom"/>
            <w:tcBorders>
              <w:right w:val="single" w:sz="8" w:color="auto"/>
            </w:tcBorders>
            <w:shd w:val="clear" w:color="auto" w:fill="FFFF00"/>
          </w:tcPr>
          <w:p>
            <w:pPr>
              <w:jc w:val="center"/>
              <w:ind w:right="506"/>
              <w:spacing w:after="0"/>
              <w:rPr>
                <w:sz w:val="20"/>
                <w:szCs w:val="20"/>
                <w:color w:val="auto"/>
              </w:rPr>
            </w:pPr>
            <w:r>
              <w:rPr>
                <w:rFonts w:ascii="Arial" w:cs="Arial" w:eastAsia="Arial" w:hAnsi="Arial"/>
                <w:sz w:val="11"/>
                <w:szCs w:val="11"/>
                <w:color w:val="auto"/>
                <w:w w:val="92"/>
              </w:rPr>
              <w:t>Pittsburgh (North Hills)</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5"/>
              </w:rPr>
              <w:t>PA</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15237</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5205 Campbells Run Road</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88"/>
              </w:rPr>
              <w:t>Pittsburgh</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PA</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15205</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5, 8</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2329 Cottman Ave., Space 51 (Different Address)</w:t>
            </w:r>
          </w:p>
        </w:tc>
        <w:tc>
          <w:tcPr>
            <w:tcW w:w="1820" w:type="dxa"/>
            <w:vAlign w:val="bottom"/>
            <w:tcBorders>
              <w:bottom w:val="single" w:sz="8" w:color="auto"/>
              <w:right w:val="single" w:sz="8" w:color="auto"/>
            </w:tcBorders>
          </w:tcPr>
          <w:p>
            <w:pPr>
              <w:jc w:val="center"/>
              <w:ind w:right="506"/>
              <w:spacing w:after="0"/>
              <w:rPr>
                <w:sz w:val="20"/>
                <w:szCs w:val="20"/>
                <w:color w:val="auto"/>
              </w:rPr>
            </w:pPr>
            <w:r>
              <w:rPr>
                <w:rFonts w:ascii="Arial" w:cs="Arial" w:eastAsia="Arial" w:hAnsi="Arial"/>
                <w:sz w:val="11"/>
                <w:szCs w:val="11"/>
                <w:color w:val="auto"/>
                <w:w w:val="90"/>
              </w:rPr>
              <w:t>Philadelphia</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PA</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19149</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150 Allendale Road Bldg #1, 2nd Floor</w:t>
            </w:r>
          </w:p>
        </w:tc>
        <w:tc>
          <w:tcPr>
            <w:tcW w:w="1820" w:type="dxa"/>
            <w:vAlign w:val="bottom"/>
            <w:tcBorders>
              <w:bottom w:val="single" w:sz="8" w:color="auto"/>
              <w:right w:val="single" w:sz="8" w:color="auto"/>
            </w:tcBorders>
          </w:tcPr>
          <w:p>
            <w:pPr>
              <w:jc w:val="center"/>
              <w:ind w:right="506"/>
              <w:spacing w:after="0"/>
              <w:rPr>
                <w:sz w:val="20"/>
                <w:szCs w:val="20"/>
                <w:color w:val="auto"/>
              </w:rPr>
            </w:pPr>
            <w:r>
              <w:rPr>
                <w:rFonts w:ascii="Arial" w:cs="Arial" w:eastAsia="Arial" w:hAnsi="Arial"/>
                <w:sz w:val="11"/>
                <w:szCs w:val="11"/>
                <w:color w:val="auto"/>
                <w:w w:val="91"/>
              </w:rPr>
              <w:t>King Of Prussia</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PA</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19406</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3501 Paxton Street G12 (Different Address)</w:t>
            </w:r>
          </w:p>
        </w:tc>
        <w:tc>
          <w:tcPr>
            <w:tcW w:w="1820" w:type="dxa"/>
            <w:vAlign w:val="bottom"/>
            <w:tcBorders>
              <w:bottom w:val="single" w:sz="8" w:color="auto"/>
              <w:right w:val="single" w:sz="8" w:color="auto"/>
            </w:tcBorders>
          </w:tcPr>
          <w:p>
            <w:pPr>
              <w:jc w:val="center"/>
              <w:ind w:right="506"/>
              <w:spacing w:after="0"/>
              <w:rPr>
                <w:sz w:val="20"/>
                <w:szCs w:val="20"/>
                <w:color w:val="auto"/>
              </w:rPr>
            </w:pPr>
            <w:r>
              <w:rPr>
                <w:rFonts w:ascii="Arial" w:cs="Arial" w:eastAsia="Arial" w:hAnsi="Arial"/>
                <w:sz w:val="11"/>
                <w:szCs w:val="11"/>
                <w:color w:val="auto"/>
                <w:w w:val="89"/>
              </w:rPr>
              <w:t>Harrisburg</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PA</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17109</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The Waterfront, 280 E Waterfront Dr.</w:t>
            </w:r>
          </w:p>
        </w:tc>
        <w:tc>
          <w:tcPr>
            <w:tcW w:w="1820" w:type="dxa"/>
            <w:vAlign w:val="bottom"/>
            <w:tcBorders>
              <w:right w:val="single" w:sz="8" w:color="auto"/>
            </w:tcBorders>
            <w:shd w:val="clear" w:color="auto" w:fill="FFFF00"/>
          </w:tcPr>
          <w:p>
            <w:pPr>
              <w:jc w:val="center"/>
              <w:ind w:right="486"/>
              <w:spacing w:after="0"/>
              <w:rPr>
                <w:sz w:val="20"/>
                <w:szCs w:val="20"/>
                <w:color w:val="auto"/>
              </w:rPr>
            </w:pPr>
            <w:r>
              <w:rPr>
                <w:rFonts w:ascii="Arial" w:cs="Arial" w:eastAsia="Arial" w:hAnsi="Arial"/>
                <w:sz w:val="11"/>
                <w:szCs w:val="11"/>
                <w:color w:val="auto"/>
                <w:w w:val="85"/>
              </w:rPr>
              <w:t>Homestead</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5"/>
              </w:rPr>
              <w:t>PA</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15120</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800 Bald Hill Rd.</w:t>
            </w:r>
          </w:p>
        </w:tc>
        <w:tc>
          <w:tcPr>
            <w:tcW w:w="1820" w:type="dxa"/>
            <w:vAlign w:val="bottom"/>
            <w:tcBorders>
              <w:right w:val="single" w:sz="8" w:color="auto"/>
            </w:tcBorders>
            <w:shd w:val="clear" w:color="auto" w:fill="FFFF00"/>
          </w:tcPr>
          <w:p>
            <w:pPr>
              <w:jc w:val="center"/>
              <w:ind w:left="266"/>
              <w:spacing w:after="0"/>
              <w:rPr>
                <w:sz w:val="20"/>
                <w:szCs w:val="20"/>
                <w:color w:val="auto"/>
              </w:rPr>
            </w:pPr>
            <w:r>
              <w:rPr>
                <w:rFonts w:ascii="Arial" w:cs="Arial" w:eastAsia="Arial" w:hAnsi="Arial"/>
                <w:sz w:val="11"/>
                <w:szCs w:val="11"/>
                <w:color w:val="auto"/>
                <w:w w:val="91"/>
              </w:rPr>
              <w:t>Warwick</w:t>
            </w:r>
          </w:p>
        </w:tc>
        <w:tc>
          <w:tcPr>
            <w:tcW w:w="520" w:type="dxa"/>
            <w:vAlign w:val="bottom"/>
            <w:tcBorders>
              <w:right w:val="single" w:sz="8" w:color="auto"/>
            </w:tcBorders>
            <w:shd w:val="clear" w:color="auto" w:fill="FFFF00"/>
          </w:tcPr>
          <w:p>
            <w:pPr>
              <w:jc w:val="center"/>
              <w:ind w:left="106"/>
              <w:spacing w:after="0"/>
              <w:rPr>
                <w:sz w:val="20"/>
                <w:szCs w:val="20"/>
                <w:color w:val="auto"/>
              </w:rPr>
            </w:pPr>
            <w:r>
              <w:rPr>
                <w:rFonts w:ascii="Arial" w:cs="Arial" w:eastAsia="Arial" w:hAnsi="Arial"/>
                <w:sz w:val="11"/>
                <w:szCs w:val="11"/>
                <w:color w:val="auto"/>
              </w:rPr>
              <w:t>RI</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02886</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1005 Bower Street Parkway</w:t>
            </w:r>
          </w:p>
        </w:tc>
        <w:tc>
          <w:tcPr>
            <w:tcW w:w="1820" w:type="dxa"/>
            <w:vAlign w:val="bottom"/>
            <w:tcBorders>
              <w:bottom w:val="single" w:sz="8" w:color="auto"/>
              <w:right w:val="single" w:sz="8" w:color="auto"/>
            </w:tcBorders>
          </w:tcPr>
          <w:p>
            <w:pPr>
              <w:jc w:val="center"/>
              <w:ind w:right="506"/>
              <w:spacing w:after="0"/>
              <w:rPr>
                <w:sz w:val="20"/>
                <w:szCs w:val="20"/>
                <w:color w:val="auto"/>
              </w:rPr>
            </w:pPr>
            <w:r>
              <w:rPr>
                <w:rFonts w:ascii="Arial" w:cs="Arial" w:eastAsia="Arial" w:hAnsi="Arial"/>
                <w:sz w:val="11"/>
                <w:szCs w:val="11"/>
                <w:color w:val="auto"/>
                <w:w w:val="90"/>
              </w:rPr>
              <w:t>Columbia</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SC</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29212</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12</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Northwoods Market Place 7620 Rivers Ave., Unit 120</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89"/>
              </w:rPr>
              <w:t>N. Charleston</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SC</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29406</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Magnolia Park 1025 Woodruff Road</w:t>
            </w:r>
          </w:p>
        </w:tc>
        <w:tc>
          <w:tcPr>
            <w:tcW w:w="1820" w:type="dxa"/>
            <w:vAlign w:val="bottom"/>
            <w:tcBorders>
              <w:right w:val="single" w:sz="8" w:color="auto"/>
            </w:tcBorders>
            <w:shd w:val="clear" w:color="auto" w:fill="FFFF00"/>
          </w:tcPr>
          <w:p>
            <w:pPr>
              <w:jc w:val="center"/>
              <w:ind w:right="486"/>
              <w:spacing w:after="0"/>
              <w:rPr>
                <w:sz w:val="20"/>
                <w:szCs w:val="20"/>
                <w:color w:val="auto"/>
              </w:rPr>
            </w:pPr>
            <w:r>
              <w:rPr>
                <w:rFonts w:ascii="Arial" w:cs="Arial" w:eastAsia="Arial" w:hAnsi="Arial"/>
                <w:sz w:val="11"/>
                <w:szCs w:val="11"/>
                <w:color w:val="auto"/>
                <w:w w:val="88"/>
              </w:rPr>
              <w:t>Greenville</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SC</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29607</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847 South White Station Road</w:t>
            </w:r>
          </w:p>
        </w:tc>
        <w:tc>
          <w:tcPr>
            <w:tcW w:w="1820" w:type="dxa"/>
            <w:vAlign w:val="bottom"/>
            <w:tcBorders>
              <w:right w:val="single" w:sz="8" w:color="auto"/>
            </w:tcBorders>
            <w:shd w:val="clear" w:color="auto" w:fill="FFFF00"/>
          </w:tcPr>
          <w:p>
            <w:pPr>
              <w:jc w:val="center"/>
              <w:ind w:left="266"/>
              <w:spacing w:after="0"/>
              <w:rPr>
                <w:sz w:val="20"/>
                <w:szCs w:val="20"/>
                <w:color w:val="auto"/>
              </w:rPr>
            </w:pPr>
            <w:r>
              <w:rPr>
                <w:rFonts w:ascii="Arial" w:cs="Arial" w:eastAsia="Arial" w:hAnsi="Arial"/>
                <w:sz w:val="11"/>
                <w:szCs w:val="11"/>
                <w:color w:val="auto"/>
                <w:w w:val="94"/>
              </w:rPr>
              <w:t>Memphis</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5"/>
              </w:rPr>
              <w:t>TN</w:t>
            </w:r>
          </w:p>
        </w:tc>
        <w:tc>
          <w:tcPr>
            <w:tcW w:w="600" w:type="dxa"/>
            <w:vAlign w:val="bottom"/>
            <w:tcBorders>
              <w:right w:val="single" w:sz="8" w:color="auto"/>
            </w:tcBorders>
            <w:shd w:val="clear" w:color="auto" w:fill="FFFF00"/>
          </w:tcPr>
          <w:p>
            <w:pPr>
              <w:jc w:val="right"/>
              <w:ind w:right="186"/>
              <w:spacing w:after="0"/>
              <w:rPr>
                <w:sz w:val="20"/>
                <w:szCs w:val="20"/>
                <w:color w:val="auto"/>
              </w:rPr>
            </w:pPr>
            <w:r>
              <w:rPr>
                <w:rFonts w:ascii="Arial" w:cs="Arial" w:eastAsia="Arial" w:hAnsi="Arial"/>
                <w:sz w:val="11"/>
                <w:szCs w:val="11"/>
                <w:color w:val="auto"/>
              </w:rPr>
              <w:t>38117</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2021 Gallatin Pike N., Ste. 276</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91"/>
              </w:rPr>
              <w:t>Madison (Nashville)</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TN</w:t>
            </w:r>
          </w:p>
        </w:tc>
        <w:tc>
          <w:tcPr>
            <w:tcW w:w="60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37115</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9</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2107 Gunbarrel Road, Suite 105 (Different Address)</w:t>
            </w:r>
          </w:p>
        </w:tc>
        <w:tc>
          <w:tcPr>
            <w:tcW w:w="1820" w:type="dxa"/>
            <w:vAlign w:val="bottom"/>
            <w:tcBorders>
              <w:right w:val="single" w:sz="8" w:color="auto"/>
            </w:tcBorders>
            <w:shd w:val="clear" w:color="auto" w:fill="FFFF00"/>
          </w:tcPr>
          <w:p>
            <w:pPr>
              <w:jc w:val="center"/>
              <w:ind w:right="486"/>
              <w:spacing w:after="0"/>
              <w:rPr>
                <w:sz w:val="20"/>
                <w:szCs w:val="20"/>
                <w:color w:val="auto"/>
              </w:rPr>
            </w:pPr>
            <w:r>
              <w:rPr>
                <w:rFonts w:ascii="Arial" w:cs="Arial" w:eastAsia="Arial" w:hAnsi="Arial"/>
                <w:sz w:val="11"/>
                <w:szCs w:val="11"/>
                <w:color w:val="auto"/>
                <w:w w:val="88"/>
              </w:rPr>
              <w:t>Chattanooga</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5"/>
              </w:rPr>
              <w:t>TN</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37421</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7922 Kingston Pike</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99"/>
              </w:rPr>
              <w:t>Knoxville</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TN</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37919</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8</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5393 Westheimer Road (Different Address)</w:t>
            </w:r>
          </w:p>
        </w:tc>
        <w:tc>
          <w:tcPr>
            <w:tcW w:w="1820" w:type="dxa"/>
            <w:vAlign w:val="bottom"/>
            <w:tcBorders>
              <w:right w:val="single" w:sz="8" w:color="auto"/>
            </w:tcBorders>
            <w:shd w:val="clear" w:color="auto" w:fill="FFFF00"/>
          </w:tcPr>
          <w:p>
            <w:pPr>
              <w:jc w:val="center"/>
              <w:ind w:left="286"/>
              <w:spacing w:after="0"/>
              <w:rPr>
                <w:sz w:val="20"/>
                <w:szCs w:val="20"/>
                <w:color w:val="auto"/>
              </w:rPr>
            </w:pPr>
            <w:r>
              <w:rPr>
                <w:rFonts w:ascii="Arial" w:cs="Arial" w:eastAsia="Arial" w:hAnsi="Arial"/>
                <w:sz w:val="11"/>
                <w:szCs w:val="11"/>
                <w:color w:val="auto"/>
                <w:w w:val="87"/>
              </w:rPr>
              <w:t>Houston</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9"/>
              </w:rPr>
              <w:t>TX</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77056</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Willowbrook Plaza 17395 Tomball Parkway, Space 3M</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93"/>
              </w:rPr>
              <w:t>Houston (Willowbrook)</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TX</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77064</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11, 14</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Cedar Hill 305 W. Fm 1382 (Different Address)</w:t>
            </w:r>
          </w:p>
        </w:tc>
        <w:tc>
          <w:tcPr>
            <w:tcW w:w="1820" w:type="dxa"/>
            <w:vAlign w:val="bottom"/>
            <w:tcBorders>
              <w:bottom w:val="single" w:sz="8" w:color="auto"/>
              <w:right w:val="single" w:sz="8" w:color="auto"/>
            </w:tcBorders>
          </w:tcPr>
          <w:p>
            <w:pPr>
              <w:jc w:val="center"/>
              <w:ind w:right="486"/>
              <w:spacing w:after="0"/>
              <w:rPr>
                <w:sz w:val="20"/>
                <w:szCs w:val="20"/>
                <w:color w:val="auto"/>
              </w:rPr>
            </w:pPr>
            <w:r>
              <w:rPr>
                <w:rFonts w:ascii="Arial" w:cs="Arial" w:eastAsia="Arial" w:hAnsi="Arial"/>
                <w:sz w:val="11"/>
                <w:szCs w:val="11"/>
                <w:color w:val="auto"/>
                <w:w w:val="91"/>
              </w:rPr>
              <w:t>Cedar Hill</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TX</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75104</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Park North Center, 510 NW Loop 410, Suite 106</w:t>
            </w:r>
          </w:p>
        </w:tc>
        <w:tc>
          <w:tcPr>
            <w:tcW w:w="1820" w:type="dxa"/>
            <w:vAlign w:val="bottom"/>
            <w:tcBorders>
              <w:bottom w:val="single" w:sz="8" w:color="auto"/>
              <w:right w:val="single" w:sz="8" w:color="auto"/>
            </w:tcBorders>
          </w:tcPr>
          <w:p>
            <w:pPr>
              <w:jc w:val="center"/>
              <w:ind w:right="506"/>
              <w:spacing w:after="0"/>
              <w:rPr>
                <w:sz w:val="20"/>
                <w:szCs w:val="20"/>
                <w:color w:val="auto"/>
              </w:rPr>
            </w:pPr>
            <w:r>
              <w:rPr>
                <w:rFonts w:ascii="Arial" w:cs="Arial" w:eastAsia="Arial" w:hAnsi="Arial"/>
                <w:sz w:val="11"/>
                <w:szCs w:val="11"/>
                <w:color w:val="auto"/>
                <w:w w:val="90"/>
              </w:rPr>
              <w:t>San Antonio</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TX</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78216</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The Shops at La Palmera, 4938 S Staples Street Suite D-13</w:t>
            </w:r>
          </w:p>
        </w:tc>
        <w:tc>
          <w:tcPr>
            <w:tcW w:w="1820" w:type="dxa"/>
            <w:vAlign w:val="bottom"/>
            <w:tcBorders>
              <w:right w:val="single" w:sz="8" w:color="auto"/>
            </w:tcBorders>
            <w:shd w:val="clear" w:color="auto" w:fill="FFFF00"/>
          </w:tcPr>
          <w:p>
            <w:pPr>
              <w:jc w:val="center"/>
              <w:ind w:right="506"/>
              <w:spacing w:after="0"/>
              <w:rPr>
                <w:sz w:val="20"/>
                <w:szCs w:val="20"/>
                <w:color w:val="auto"/>
              </w:rPr>
            </w:pPr>
            <w:r>
              <w:rPr>
                <w:rFonts w:ascii="Arial" w:cs="Arial" w:eastAsia="Arial" w:hAnsi="Arial"/>
                <w:sz w:val="11"/>
                <w:szCs w:val="11"/>
                <w:color w:val="auto"/>
                <w:w w:val="88"/>
              </w:rPr>
              <w:t>Corpus Christi</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9"/>
              </w:rPr>
              <w:t>TX</w:t>
            </w:r>
          </w:p>
        </w:tc>
        <w:tc>
          <w:tcPr>
            <w:tcW w:w="600" w:type="dxa"/>
            <w:vAlign w:val="bottom"/>
            <w:tcBorders>
              <w:right w:val="single" w:sz="8" w:color="auto"/>
            </w:tcBorders>
            <w:shd w:val="clear" w:color="auto" w:fill="FFFF00"/>
          </w:tcPr>
          <w:p>
            <w:pPr>
              <w:jc w:val="right"/>
              <w:ind w:right="186"/>
              <w:spacing w:after="0"/>
              <w:rPr>
                <w:sz w:val="20"/>
                <w:szCs w:val="20"/>
                <w:color w:val="auto"/>
              </w:rPr>
            </w:pPr>
            <w:r>
              <w:rPr>
                <w:rFonts w:ascii="Arial" w:cs="Arial" w:eastAsia="Arial" w:hAnsi="Arial"/>
                <w:sz w:val="11"/>
                <w:szCs w:val="11"/>
                <w:color w:val="auto"/>
              </w:rPr>
              <w:t>78411</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8889 Gateway Blvd. W Bldg. 190 Ste. 550</w:t>
            </w:r>
          </w:p>
        </w:tc>
        <w:tc>
          <w:tcPr>
            <w:tcW w:w="1820" w:type="dxa"/>
            <w:vAlign w:val="bottom"/>
            <w:tcBorders>
              <w:bottom w:val="single" w:sz="8" w:color="auto"/>
              <w:right w:val="single" w:sz="8" w:color="auto"/>
            </w:tcBorders>
          </w:tcPr>
          <w:p>
            <w:pPr>
              <w:jc w:val="center"/>
              <w:ind w:left="286"/>
              <w:spacing w:after="0"/>
              <w:rPr>
                <w:sz w:val="20"/>
                <w:szCs w:val="20"/>
                <w:color w:val="auto"/>
              </w:rPr>
            </w:pPr>
            <w:r>
              <w:rPr>
                <w:rFonts w:ascii="Arial" w:cs="Arial" w:eastAsia="Arial" w:hAnsi="Arial"/>
                <w:sz w:val="11"/>
                <w:szCs w:val="11"/>
                <w:color w:val="auto"/>
                <w:w w:val="84"/>
              </w:rPr>
              <w:t>El Paso</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TX</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79925</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9</w:t>
            </w:r>
          </w:p>
        </w:tc>
      </w:tr>
      <w:tr>
        <w:trPr>
          <w:trHeight w:val="172"/>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10515 N. Mo-Pac Expressway Building H</w:t>
            </w:r>
          </w:p>
        </w:tc>
        <w:tc>
          <w:tcPr>
            <w:tcW w:w="1820" w:type="dxa"/>
            <w:vAlign w:val="bottom"/>
            <w:tcBorders>
              <w:bottom w:val="single" w:sz="8" w:color="auto"/>
              <w:right w:val="single" w:sz="8" w:color="auto"/>
            </w:tcBorders>
          </w:tcPr>
          <w:p>
            <w:pPr>
              <w:jc w:val="center"/>
              <w:ind w:left="326"/>
              <w:spacing w:after="0"/>
              <w:rPr>
                <w:sz w:val="20"/>
                <w:szCs w:val="20"/>
                <w:color w:val="auto"/>
              </w:rPr>
            </w:pPr>
            <w:r>
              <w:rPr>
                <w:rFonts w:ascii="Arial" w:cs="Arial" w:eastAsia="Arial" w:hAnsi="Arial"/>
                <w:sz w:val="11"/>
                <w:szCs w:val="11"/>
                <w:color w:val="auto"/>
                <w:w w:val="91"/>
              </w:rPr>
              <w:t>Austin</w:t>
            </w:r>
          </w:p>
        </w:tc>
        <w:tc>
          <w:tcPr>
            <w:tcW w:w="52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TX</w:t>
            </w:r>
          </w:p>
        </w:tc>
        <w:tc>
          <w:tcPr>
            <w:tcW w:w="60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78759</w:t>
            </w:r>
          </w:p>
        </w:tc>
        <w:tc>
          <w:tcPr>
            <w:tcW w:w="740" w:type="dxa"/>
            <w:vAlign w:val="bottom"/>
            <w:tcBorders>
              <w:bottom w:val="single" w:sz="8" w:color="auto"/>
              <w:right w:val="single" w:sz="8" w:color="auto"/>
            </w:tcBorders>
          </w:tcPr>
          <w:p>
            <w:pPr>
              <w:ind w:left="460"/>
              <w:spacing w:after="0" w:line="171" w:lineRule="exact"/>
              <w:rPr>
                <w:sz w:val="20"/>
                <w:szCs w:val="20"/>
                <w:color w:val="auto"/>
              </w:rPr>
            </w:pPr>
            <w:r>
              <w:rPr>
                <w:rFonts w:ascii="Arial" w:cs="Arial" w:eastAsia="Arial" w:hAnsi="Arial"/>
                <w:sz w:val="16"/>
                <w:szCs w:val="16"/>
                <w:color w:val="auto"/>
              </w:rPr>
              <w:t>X</w:t>
            </w:r>
          </w:p>
        </w:tc>
        <w:tc>
          <w:tcPr>
            <w:tcW w:w="86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43"/>
        </w:trPr>
        <w:tc>
          <w:tcPr>
            <w:tcW w:w="104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1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2403 S. Stemmons Freeway, Suite 100-Abc</w:t>
            </w:r>
          </w:p>
        </w:tc>
        <w:tc>
          <w:tcPr>
            <w:tcW w:w="1820" w:type="dxa"/>
            <w:vAlign w:val="bottom"/>
            <w:tcBorders>
              <w:right w:val="single" w:sz="8" w:color="auto"/>
            </w:tcBorders>
            <w:shd w:val="clear" w:color="auto" w:fill="FFFF00"/>
          </w:tcPr>
          <w:p>
            <w:pPr>
              <w:jc w:val="center"/>
              <w:ind w:right="486"/>
              <w:spacing w:after="0"/>
              <w:rPr>
                <w:sz w:val="20"/>
                <w:szCs w:val="20"/>
                <w:color w:val="auto"/>
              </w:rPr>
            </w:pPr>
            <w:r>
              <w:rPr>
                <w:rFonts w:ascii="Arial" w:cs="Arial" w:eastAsia="Arial" w:hAnsi="Arial"/>
                <w:sz w:val="11"/>
                <w:szCs w:val="11"/>
                <w:color w:val="auto"/>
                <w:w w:val="93"/>
              </w:rPr>
              <w:t>Lewisville</w:t>
            </w:r>
          </w:p>
        </w:tc>
        <w:tc>
          <w:tcPr>
            <w:tcW w:w="52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9"/>
              </w:rPr>
              <w:t>TX</w:t>
            </w:r>
          </w:p>
        </w:tc>
        <w:tc>
          <w:tcPr>
            <w:tcW w:w="60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75067</w:t>
            </w:r>
          </w:p>
        </w:tc>
        <w:tc>
          <w:tcPr>
            <w:tcW w:w="740" w:type="dxa"/>
            <w:vAlign w:val="bottom"/>
            <w:tcBorders>
              <w:right w:val="single" w:sz="8" w:color="auto"/>
            </w:tcBorders>
            <w:shd w:val="clear" w:color="auto" w:fill="FFFF00"/>
          </w:tcPr>
          <w:p>
            <w:pPr>
              <w:spacing w:after="0"/>
              <w:rPr>
                <w:sz w:val="12"/>
                <w:szCs w:val="12"/>
                <w:color w:val="auto"/>
              </w:rPr>
            </w:pPr>
          </w:p>
        </w:tc>
        <w:tc>
          <w:tcPr>
            <w:tcW w:w="860" w:type="dxa"/>
            <w:vAlign w:val="bottom"/>
            <w:tcBorders>
              <w:right w:val="single" w:sz="8" w:color="auto"/>
            </w:tcBorders>
            <w:shd w:val="clear" w:color="auto" w:fill="FFFF00"/>
          </w:tcPr>
          <w:p>
            <w:pPr>
              <w:spacing w:after="0"/>
              <w:rPr>
                <w:sz w:val="12"/>
                <w:szCs w:val="12"/>
                <w:color w:val="auto"/>
              </w:rPr>
            </w:pPr>
          </w:p>
        </w:tc>
      </w:tr>
      <w:tr>
        <w:trPr>
          <w:trHeight w:val="190"/>
        </w:trPr>
        <w:tc>
          <w:tcPr>
            <w:tcW w:w="104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100" w:type="dxa"/>
            <w:vAlign w:val="bottom"/>
            <w:tcBorders>
              <w:bottom w:val="single" w:sz="8" w:color="auto"/>
              <w:right w:val="single" w:sz="8" w:color="auto"/>
            </w:tcBorders>
            <w:shd w:val="clear" w:color="auto" w:fill="FFFF00"/>
          </w:tcPr>
          <w:p>
            <w:pPr>
              <w:spacing w:after="0"/>
              <w:rPr>
                <w:sz w:val="16"/>
                <w:szCs w:val="16"/>
                <w:color w:val="auto"/>
              </w:rPr>
            </w:pPr>
          </w:p>
        </w:tc>
        <w:tc>
          <w:tcPr>
            <w:tcW w:w="1820" w:type="dxa"/>
            <w:vAlign w:val="bottom"/>
            <w:tcBorders>
              <w:bottom w:val="single" w:sz="8" w:color="auto"/>
              <w:right w:val="single" w:sz="8" w:color="auto"/>
            </w:tcBorders>
            <w:shd w:val="clear" w:color="auto" w:fill="FFFF00"/>
          </w:tcPr>
          <w:p>
            <w:pPr>
              <w:spacing w:after="0"/>
              <w:rPr>
                <w:sz w:val="16"/>
                <w:szCs w:val="16"/>
                <w:color w:val="auto"/>
              </w:rPr>
            </w:pPr>
          </w:p>
        </w:tc>
        <w:tc>
          <w:tcPr>
            <w:tcW w:w="520" w:type="dxa"/>
            <w:vAlign w:val="bottom"/>
            <w:tcBorders>
              <w:bottom w:val="single" w:sz="8" w:color="auto"/>
              <w:right w:val="single" w:sz="8" w:color="auto"/>
            </w:tcBorders>
            <w:shd w:val="clear" w:color="auto" w:fill="FFFF00"/>
          </w:tcPr>
          <w:p>
            <w:pPr>
              <w:spacing w:after="0"/>
              <w:rPr>
                <w:sz w:val="16"/>
                <w:szCs w:val="16"/>
                <w:color w:val="auto"/>
              </w:rPr>
            </w:pPr>
          </w:p>
        </w:tc>
        <w:tc>
          <w:tcPr>
            <w:tcW w:w="600" w:type="dxa"/>
            <w:vAlign w:val="bottom"/>
            <w:tcBorders>
              <w:bottom w:val="single" w:sz="8" w:color="auto"/>
              <w:right w:val="single" w:sz="8" w:color="auto"/>
            </w:tcBorders>
            <w:shd w:val="clear" w:color="auto" w:fill="FFFF00"/>
          </w:tcPr>
          <w:p>
            <w:pPr>
              <w:spacing w:after="0"/>
              <w:rPr>
                <w:sz w:val="16"/>
                <w:szCs w:val="16"/>
                <w:color w:val="auto"/>
              </w:rPr>
            </w:pPr>
          </w:p>
        </w:tc>
        <w:tc>
          <w:tcPr>
            <w:tcW w:w="740" w:type="dxa"/>
            <w:vAlign w:val="bottom"/>
            <w:tcBorders>
              <w:bottom w:val="single" w:sz="8" w:color="auto"/>
              <w:right w:val="single" w:sz="8" w:color="auto"/>
            </w:tcBorders>
            <w:shd w:val="clear" w:color="auto" w:fill="FFFF00"/>
          </w:tcPr>
          <w:p>
            <w:pPr>
              <w:spacing w:after="0"/>
              <w:rPr>
                <w:sz w:val="16"/>
                <w:szCs w:val="16"/>
                <w:color w:val="auto"/>
              </w:rPr>
            </w:pPr>
          </w:p>
        </w:tc>
        <w:tc>
          <w:tcPr>
            <w:tcW w:w="860" w:type="dxa"/>
            <w:vAlign w:val="bottom"/>
            <w:tcBorders>
              <w:bottom w:val="single" w:sz="8" w:color="auto"/>
              <w:right w:val="single" w:sz="8" w:color="auto"/>
            </w:tcBorders>
            <w:shd w:val="clear" w:color="auto" w:fill="FFFF00"/>
          </w:tcPr>
          <w:p>
            <w:pPr>
              <w:spacing w:after="0"/>
              <w:rPr>
                <w:sz w:val="16"/>
                <w:szCs w:val="16"/>
                <w:color w:val="auto"/>
              </w:rPr>
            </w:pPr>
          </w:p>
        </w:tc>
      </w:tr>
    </w:tbl>
    <w:p>
      <w:pPr>
        <w:sectPr>
          <w:pgSz w:w="11900" w:h="16838" w:orient="portrait"/>
          <w:cols w:equalWidth="0" w:num="1">
            <w:col w:w="9680"/>
          </w:cols>
          <w:pgMar w:left="1120" w:top="298" w:right="1099" w:bottom="1440" w:gutter="0" w:footer="0" w:header="0"/>
        </w:sectPr>
      </w:pPr>
    </w:p>
    <w:bookmarkStart w:id="137" w:name="page138"/>
    <w:bookmarkEnd w:id="1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0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Baybrook Passage, 19419 Gulf Freeway</w:t>
            </w:r>
          </w:p>
        </w:tc>
        <w:tc>
          <w:tcPr>
            <w:tcW w:w="1720" w:type="dxa"/>
            <w:vAlign w:val="bottom"/>
            <w:tcBorders>
              <w:top w:val="single" w:sz="8" w:color="auto"/>
              <w:bottom w:val="single" w:sz="8" w:color="auto"/>
              <w:right w:val="single" w:sz="8" w:color="auto"/>
            </w:tcBorders>
          </w:tcPr>
          <w:p>
            <w:pPr>
              <w:jc w:val="center"/>
              <w:ind w:left="286"/>
              <w:spacing w:after="0"/>
              <w:rPr>
                <w:sz w:val="20"/>
                <w:szCs w:val="20"/>
                <w:color w:val="auto"/>
              </w:rPr>
            </w:pPr>
            <w:r>
              <w:rPr>
                <w:rFonts w:ascii="Arial" w:cs="Arial" w:eastAsia="Arial" w:hAnsi="Arial"/>
                <w:sz w:val="11"/>
                <w:szCs w:val="11"/>
                <w:color w:val="auto"/>
                <w:w w:val="82"/>
              </w:rPr>
              <w:t>Webster</w:t>
            </w:r>
          </w:p>
        </w:tc>
        <w:tc>
          <w:tcPr>
            <w:tcW w:w="560" w:type="dxa"/>
            <w:vAlign w:val="bottom"/>
            <w:tcBorders>
              <w:top w:val="single" w:sz="8" w:color="auto"/>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TX</w:t>
            </w:r>
          </w:p>
        </w:tc>
        <w:tc>
          <w:tcPr>
            <w:tcW w:w="580" w:type="dxa"/>
            <w:vAlign w:val="bottom"/>
            <w:tcBorders>
              <w:top w:val="single" w:sz="8" w:color="auto"/>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77598</w:t>
            </w:r>
          </w:p>
        </w:tc>
        <w:tc>
          <w:tcPr>
            <w:tcW w:w="72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X</w:t>
            </w:r>
          </w:p>
        </w:tc>
        <w:tc>
          <w:tcPr>
            <w:tcW w:w="82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Shops At Stonebriar, 2943 Preston Road Suite 1450</w:t>
            </w:r>
          </w:p>
        </w:tc>
        <w:tc>
          <w:tcPr>
            <w:tcW w:w="1720" w:type="dxa"/>
            <w:vAlign w:val="bottom"/>
            <w:tcBorders>
              <w:right w:val="single" w:sz="8" w:color="auto"/>
            </w:tcBorders>
            <w:shd w:val="clear" w:color="auto" w:fill="FFFF00"/>
          </w:tcPr>
          <w:p>
            <w:pPr>
              <w:jc w:val="center"/>
              <w:ind w:left="326"/>
              <w:spacing w:after="0"/>
              <w:rPr>
                <w:sz w:val="20"/>
                <w:szCs w:val="20"/>
                <w:color w:val="auto"/>
              </w:rPr>
            </w:pPr>
            <w:r>
              <w:rPr>
                <w:rFonts w:ascii="Arial" w:cs="Arial" w:eastAsia="Arial" w:hAnsi="Arial"/>
                <w:sz w:val="11"/>
                <w:szCs w:val="11"/>
                <w:color w:val="auto"/>
                <w:w w:val="86"/>
              </w:rPr>
              <w:t>Frisco</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9"/>
              </w:rPr>
              <w:t>TX</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75034</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Humblewood Shopping Center, 10010 Fm 1960 Bypass Road West</w:t>
            </w:r>
          </w:p>
        </w:tc>
        <w:tc>
          <w:tcPr>
            <w:tcW w:w="1720" w:type="dxa"/>
            <w:vAlign w:val="bottom"/>
            <w:tcBorders>
              <w:bottom w:val="single" w:sz="8" w:color="auto"/>
              <w:right w:val="single" w:sz="8" w:color="auto"/>
            </w:tcBorders>
          </w:tcPr>
          <w:p>
            <w:pPr>
              <w:jc w:val="center"/>
              <w:ind w:left="286"/>
              <w:spacing w:after="0"/>
              <w:rPr>
                <w:sz w:val="20"/>
                <w:szCs w:val="20"/>
                <w:color w:val="auto"/>
              </w:rPr>
            </w:pPr>
            <w:r>
              <w:rPr>
                <w:rFonts w:ascii="Arial" w:cs="Arial" w:eastAsia="Arial" w:hAnsi="Arial"/>
                <w:sz w:val="11"/>
                <w:szCs w:val="11"/>
                <w:color w:val="auto"/>
                <w:w w:val="89"/>
              </w:rPr>
              <w:t>Humble</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TX</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77338</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11, 14</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12233 Jefferson Avenue Space 5 &amp; 6 (Different Address)</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89"/>
              </w:rPr>
              <w:t>Newport News</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VA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23602</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Town Center Station 116 S. Independence Blvd (Different Address)</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90"/>
              </w:rPr>
              <w:t>Virginia Beach</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VA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23462</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11736 W. Broad St., Suite 110 (Different Address)</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88"/>
              </w:rPr>
              <w:t>Richmond</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VA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23233</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Tysons Corner Ctr 8027 Leesburg Pike</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87"/>
              </w:rPr>
              <w:t>Vienna/Tysons Corner</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5"/>
              </w:rPr>
              <w:t>VA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22182</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8</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Staples Plaza, 861 Williston Rd.</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93"/>
              </w:rPr>
              <w:t>S Burlington</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VT</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05403</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11, 13</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5015 Tacoma Mall Boulevard</w:t>
            </w:r>
          </w:p>
        </w:tc>
        <w:tc>
          <w:tcPr>
            <w:tcW w:w="1720" w:type="dxa"/>
            <w:vAlign w:val="bottom"/>
            <w:tcBorders>
              <w:bottom w:val="single" w:sz="8" w:color="auto"/>
              <w:right w:val="single" w:sz="8" w:color="auto"/>
            </w:tcBorders>
          </w:tcPr>
          <w:p>
            <w:pPr>
              <w:jc w:val="center"/>
              <w:ind w:left="286"/>
              <w:spacing w:after="0"/>
              <w:rPr>
                <w:sz w:val="20"/>
                <w:szCs w:val="20"/>
                <w:color w:val="auto"/>
              </w:rPr>
            </w:pPr>
            <w:r>
              <w:rPr>
                <w:rFonts w:ascii="Arial" w:cs="Arial" w:eastAsia="Arial" w:hAnsi="Arial"/>
                <w:sz w:val="11"/>
                <w:szCs w:val="11"/>
                <w:color w:val="auto"/>
                <w:w w:val="85"/>
              </w:rPr>
              <w:t>Tacoma</w:t>
            </w:r>
          </w:p>
        </w:tc>
        <w:tc>
          <w:tcPr>
            <w:tcW w:w="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WA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98409</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Bluemound Center, 17445 W. Bluemound Road</w:t>
            </w:r>
          </w:p>
        </w:tc>
        <w:tc>
          <w:tcPr>
            <w:tcW w:w="1720" w:type="dxa"/>
            <w:vAlign w:val="bottom"/>
            <w:tcBorders>
              <w:right w:val="single" w:sz="8" w:color="auto"/>
            </w:tcBorders>
            <w:shd w:val="clear" w:color="auto" w:fill="FFFF00"/>
          </w:tcPr>
          <w:p>
            <w:pPr>
              <w:jc w:val="center"/>
              <w:ind w:right="386"/>
              <w:spacing w:after="0"/>
              <w:rPr>
                <w:sz w:val="20"/>
                <w:szCs w:val="20"/>
                <w:color w:val="auto"/>
              </w:rPr>
            </w:pPr>
            <w:r>
              <w:rPr>
                <w:rFonts w:ascii="Arial" w:cs="Arial" w:eastAsia="Arial" w:hAnsi="Arial"/>
                <w:sz w:val="11"/>
                <w:szCs w:val="11"/>
                <w:color w:val="auto"/>
                <w:w w:val="98"/>
              </w:rPr>
              <w:t>Brookfield</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rPr>
              <w:t>WI</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53045</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1111 Mutual Way (Different Address)</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89"/>
              </w:rPr>
              <w:t>Grand Chute (Appleton)</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rPr>
              <w:t>WI</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54913</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Diamond Retail Ctr 523 S. Gammon Rd (Different Address)</w:t>
            </w:r>
          </w:p>
        </w:tc>
        <w:tc>
          <w:tcPr>
            <w:tcW w:w="1720" w:type="dxa"/>
            <w:vAlign w:val="bottom"/>
            <w:tcBorders>
              <w:bottom w:val="single" w:sz="8" w:color="auto"/>
              <w:right w:val="single" w:sz="8" w:color="auto"/>
            </w:tcBorders>
          </w:tcPr>
          <w:p>
            <w:pPr>
              <w:jc w:val="center"/>
              <w:ind w:left="286"/>
              <w:spacing w:after="0"/>
              <w:rPr>
                <w:sz w:val="20"/>
                <w:szCs w:val="20"/>
                <w:color w:val="auto"/>
              </w:rPr>
            </w:pPr>
            <w:r>
              <w:rPr>
                <w:rFonts w:ascii="Arial" w:cs="Arial" w:eastAsia="Arial" w:hAnsi="Arial"/>
                <w:sz w:val="11"/>
                <w:szCs w:val="11"/>
                <w:color w:val="auto"/>
                <w:w w:val="91"/>
              </w:rPr>
              <w:t>Madison</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rPr>
              <w:t>WI</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53719</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9</w:t>
            </w: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6170 South State Street</w:t>
            </w:r>
          </w:p>
        </w:tc>
        <w:tc>
          <w:tcPr>
            <w:tcW w:w="1720" w:type="dxa"/>
            <w:vAlign w:val="bottom"/>
            <w:tcBorders>
              <w:right w:val="single" w:sz="8" w:color="auto"/>
            </w:tcBorders>
            <w:shd w:val="clear" w:color="auto" w:fill="FFFF00"/>
          </w:tcPr>
          <w:p>
            <w:pPr>
              <w:jc w:val="center"/>
              <w:ind w:left="306"/>
              <w:spacing w:after="0"/>
              <w:rPr>
                <w:sz w:val="20"/>
                <w:szCs w:val="20"/>
                <w:color w:val="auto"/>
              </w:rPr>
            </w:pPr>
            <w:r>
              <w:rPr>
                <w:rFonts w:ascii="Arial" w:cs="Arial" w:eastAsia="Arial" w:hAnsi="Arial"/>
                <w:sz w:val="11"/>
                <w:szCs w:val="11"/>
                <w:color w:val="auto"/>
                <w:w w:val="93"/>
              </w:rPr>
              <w:t>Murray</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5"/>
              </w:rPr>
              <w:t>UT</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84107</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585 South 24 West</w:t>
            </w:r>
          </w:p>
        </w:tc>
        <w:tc>
          <w:tcPr>
            <w:tcW w:w="1720" w:type="dxa"/>
            <w:vAlign w:val="bottom"/>
            <w:tcBorders>
              <w:bottom w:val="single" w:sz="8" w:color="auto"/>
              <w:right w:val="single" w:sz="8" w:color="auto"/>
            </w:tcBorders>
          </w:tcPr>
          <w:p>
            <w:pPr>
              <w:jc w:val="center"/>
              <w:ind w:left="286"/>
              <w:spacing w:after="0"/>
              <w:rPr>
                <w:sz w:val="20"/>
                <w:szCs w:val="20"/>
                <w:color w:val="auto"/>
              </w:rPr>
            </w:pPr>
            <w:r>
              <w:rPr>
                <w:rFonts w:ascii="Arial" w:cs="Arial" w:eastAsia="Arial" w:hAnsi="Arial"/>
                <w:sz w:val="11"/>
                <w:szCs w:val="11"/>
                <w:color w:val="auto"/>
                <w:w w:val="97"/>
              </w:rPr>
              <w:t>Billings</w:t>
            </w:r>
          </w:p>
        </w:tc>
        <w:tc>
          <w:tcPr>
            <w:tcW w:w="56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rPr>
              <w:t>MT</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59102</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w:t>
            </w: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1705 E Camelback Road</w:t>
            </w:r>
          </w:p>
        </w:tc>
        <w:tc>
          <w:tcPr>
            <w:tcW w:w="1720" w:type="dxa"/>
            <w:vAlign w:val="bottom"/>
            <w:tcBorders>
              <w:right w:val="single" w:sz="8" w:color="auto"/>
            </w:tcBorders>
            <w:shd w:val="clear" w:color="auto" w:fill="FFFF00"/>
          </w:tcPr>
          <w:p>
            <w:pPr>
              <w:jc w:val="center"/>
              <w:ind w:left="286"/>
              <w:spacing w:after="0"/>
              <w:rPr>
                <w:sz w:val="20"/>
                <w:szCs w:val="20"/>
                <w:color w:val="auto"/>
              </w:rPr>
            </w:pPr>
            <w:r>
              <w:rPr>
                <w:rFonts w:ascii="Arial" w:cs="Arial" w:eastAsia="Arial" w:hAnsi="Arial"/>
                <w:sz w:val="11"/>
                <w:szCs w:val="11"/>
                <w:color w:val="auto"/>
                <w:w w:val="85"/>
              </w:rPr>
              <w:t>Phoenix</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9"/>
              </w:rPr>
              <w:t>AZ</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85016</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4055 N. Oracle Rd.</w:t>
            </w:r>
          </w:p>
        </w:tc>
        <w:tc>
          <w:tcPr>
            <w:tcW w:w="1720" w:type="dxa"/>
            <w:vAlign w:val="bottom"/>
            <w:tcBorders>
              <w:bottom w:val="single" w:sz="8" w:color="auto"/>
              <w:right w:val="single" w:sz="8" w:color="auto"/>
            </w:tcBorders>
          </w:tcPr>
          <w:p>
            <w:pPr>
              <w:jc w:val="center"/>
              <w:ind w:left="306"/>
              <w:spacing w:after="0"/>
              <w:rPr>
                <w:sz w:val="20"/>
                <w:szCs w:val="20"/>
                <w:color w:val="auto"/>
              </w:rPr>
            </w:pPr>
            <w:r>
              <w:rPr>
                <w:rFonts w:ascii="Arial" w:cs="Arial" w:eastAsia="Arial" w:hAnsi="Arial"/>
                <w:sz w:val="11"/>
                <w:szCs w:val="11"/>
                <w:color w:val="auto"/>
                <w:w w:val="88"/>
              </w:rPr>
              <w:t>Tucson</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AZ</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85705</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2830 W. Chandler Blvd.</w:t>
            </w:r>
          </w:p>
        </w:tc>
        <w:tc>
          <w:tcPr>
            <w:tcW w:w="1720" w:type="dxa"/>
            <w:vAlign w:val="bottom"/>
            <w:tcBorders>
              <w:bottom w:val="single" w:sz="8" w:color="auto"/>
              <w:right w:val="single" w:sz="8" w:color="auto"/>
            </w:tcBorders>
          </w:tcPr>
          <w:p>
            <w:pPr>
              <w:jc w:val="center"/>
              <w:ind w:left="266"/>
              <w:spacing w:after="0"/>
              <w:rPr>
                <w:sz w:val="20"/>
                <w:szCs w:val="20"/>
                <w:color w:val="auto"/>
              </w:rPr>
            </w:pPr>
            <w:r>
              <w:rPr>
                <w:rFonts w:ascii="Arial" w:cs="Arial" w:eastAsia="Arial" w:hAnsi="Arial"/>
                <w:sz w:val="11"/>
                <w:szCs w:val="11"/>
                <w:color w:val="auto"/>
                <w:w w:val="89"/>
              </w:rPr>
              <w:t>Chandler</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AZ</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85224</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Arrowhead Town Center, 7530 West Bell Rd Ste 103A-B</w:t>
            </w:r>
          </w:p>
        </w:tc>
        <w:tc>
          <w:tcPr>
            <w:tcW w:w="1720" w:type="dxa"/>
            <w:vAlign w:val="bottom"/>
            <w:tcBorders>
              <w:bottom w:val="single" w:sz="8" w:color="auto"/>
              <w:right w:val="single" w:sz="8" w:color="auto"/>
            </w:tcBorders>
          </w:tcPr>
          <w:p>
            <w:pPr>
              <w:jc w:val="center"/>
              <w:ind w:left="286"/>
              <w:spacing w:after="0"/>
              <w:rPr>
                <w:sz w:val="20"/>
                <w:szCs w:val="20"/>
                <w:color w:val="auto"/>
              </w:rPr>
            </w:pPr>
            <w:r>
              <w:rPr>
                <w:rFonts w:ascii="Arial" w:cs="Arial" w:eastAsia="Arial" w:hAnsi="Arial"/>
                <w:sz w:val="11"/>
                <w:szCs w:val="11"/>
                <w:color w:val="auto"/>
                <w:w w:val="86"/>
              </w:rPr>
              <w:t>Glendale</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9"/>
              </w:rPr>
              <w:t>AZ</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85308</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1004 West Valley Parkway Unit 23</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85"/>
              </w:rPr>
              <w:t>Escondido</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92025</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6041 Topanga Canyon Blvd.</w:t>
            </w:r>
          </w:p>
        </w:tc>
        <w:tc>
          <w:tcPr>
            <w:tcW w:w="172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1"/>
                <w:szCs w:val="11"/>
                <w:color w:val="auto"/>
              </w:rPr>
              <w:t>Woodland Hills</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91367</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1202 El Camino Real (Different Address)</w:t>
            </w:r>
          </w:p>
        </w:tc>
        <w:tc>
          <w:tcPr>
            <w:tcW w:w="1720" w:type="dxa"/>
            <w:vAlign w:val="bottom"/>
            <w:tcBorders>
              <w:right w:val="single" w:sz="8" w:color="auto"/>
            </w:tcBorders>
            <w:shd w:val="clear" w:color="auto" w:fill="FFFF00"/>
          </w:tcPr>
          <w:p>
            <w:pPr>
              <w:jc w:val="center"/>
              <w:ind w:right="406"/>
              <w:spacing w:after="0"/>
              <w:rPr>
                <w:sz w:val="20"/>
                <w:szCs w:val="20"/>
                <w:color w:val="auto"/>
              </w:rPr>
            </w:pPr>
            <w:r>
              <w:rPr>
                <w:rFonts w:ascii="Arial" w:cs="Arial" w:eastAsia="Arial" w:hAnsi="Arial"/>
                <w:sz w:val="11"/>
                <w:szCs w:val="11"/>
                <w:color w:val="auto"/>
                <w:w w:val="88"/>
              </w:rPr>
              <w:t>San Bruno</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94066</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319 S. Winchester Blvd. (Different Address)</w:t>
            </w:r>
          </w:p>
        </w:tc>
        <w:tc>
          <w:tcPr>
            <w:tcW w:w="1720" w:type="dxa"/>
            <w:vAlign w:val="bottom"/>
            <w:tcBorders>
              <w:right w:val="single" w:sz="8" w:color="auto"/>
            </w:tcBorders>
            <w:shd w:val="clear" w:color="auto" w:fill="FFFF00"/>
          </w:tcPr>
          <w:p>
            <w:pPr>
              <w:jc w:val="center"/>
              <w:ind w:left="286"/>
              <w:spacing w:after="0"/>
              <w:rPr>
                <w:sz w:val="20"/>
                <w:szCs w:val="20"/>
                <w:color w:val="auto"/>
              </w:rPr>
            </w:pPr>
            <w:r>
              <w:rPr>
                <w:rFonts w:ascii="Arial" w:cs="Arial" w:eastAsia="Arial" w:hAnsi="Arial"/>
                <w:sz w:val="11"/>
                <w:szCs w:val="11"/>
                <w:color w:val="auto"/>
                <w:w w:val="82"/>
              </w:rPr>
              <w:t>San Jose</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95128</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651 Contra Costa Blvd.</w:t>
            </w:r>
          </w:p>
        </w:tc>
        <w:tc>
          <w:tcPr>
            <w:tcW w:w="1720" w:type="dxa"/>
            <w:vAlign w:val="bottom"/>
            <w:tcBorders>
              <w:right w:val="single" w:sz="8" w:color="auto"/>
            </w:tcBorders>
            <w:shd w:val="clear" w:color="auto" w:fill="FFFF00"/>
          </w:tcPr>
          <w:p>
            <w:pPr>
              <w:jc w:val="center"/>
              <w:ind w:right="386"/>
              <w:spacing w:after="0"/>
              <w:rPr>
                <w:sz w:val="20"/>
                <w:szCs w:val="20"/>
                <w:color w:val="auto"/>
              </w:rPr>
            </w:pPr>
            <w:r>
              <w:rPr>
                <w:rFonts w:ascii="Arial" w:cs="Arial" w:eastAsia="Arial" w:hAnsi="Arial"/>
                <w:sz w:val="11"/>
                <w:szCs w:val="11"/>
                <w:color w:val="auto"/>
                <w:w w:val="91"/>
              </w:rPr>
              <w:t>Pleasant Hill</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94523</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4935-B North Blackstone Avenue</w:t>
            </w:r>
          </w:p>
        </w:tc>
        <w:tc>
          <w:tcPr>
            <w:tcW w:w="1720" w:type="dxa"/>
            <w:vAlign w:val="bottom"/>
            <w:tcBorders>
              <w:bottom w:val="single" w:sz="8" w:color="auto"/>
              <w:right w:val="single" w:sz="8" w:color="auto"/>
            </w:tcBorders>
          </w:tcPr>
          <w:p>
            <w:pPr>
              <w:jc w:val="center"/>
              <w:ind w:left="326"/>
              <w:spacing w:after="0"/>
              <w:rPr>
                <w:sz w:val="20"/>
                <w:szCs w:val="20"/>
                <w:color w:val="auto"/>
              </w:rPr>
            </w:pPr>
            <w:r>
              <w:rPr>
                <w:rFonts w:ascii="Arial" w:cs="Arial" w:eastAsia="Arial" w:hAnsi="Arial"/>
                <w:sz w:val="11"/>
                <w:szCs w:val="11"/>
                <w:color w:val="auto"/>
                <w:w w:val="87"/>
              </w:rPr>
              <w:t>Fresno</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93710</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13766 Jamboree Road (Different Address)</w:t>
            </w:r>
          </w:p>
        </w:tc>
        <w:tc>
          <w:tcPr>
            <w:tcW w:w="1720" w:type="dxa"/>
            <w:vAlign w:val="bottom"/>
            <w:tcBorders>
              <w:bottom w:val="single" w:sz="8" w:color="auto"/>
              <w:right w:val="single" w:sz="8" w:color="auto"/>
            </w:tcBorders>
          </w:tcPr>
          <w:p>
            <w:pPr>
              <w:jc w:val="center"/>
              <w:ind w:right="406"/>
              <w:spacing w:after="0"/>
              <w:rPr>
                <w:sz w:val="20"/>
                <w:szCs w:val="20"/>
                <w:color w:val="auto"/>
              </w:rPr>
            </w:pPr>
            <w:r>
              <w:rPr>
                <w:rFonts w:ascii="Arial" w:cs="Arial" w:eastAsia="Arial" w:hAnsi="Arial"/>
                <w:sz w:val="11"/>
                <w:szCs w:val="11"/>
                <w:color w:val="auto"/>
                <w:w w:val="92"/>
              </w:rPr>
              <w:t>Irvine (Tustin)</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92602</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Westfield Mall 72-840 Highway 111 #2470</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85"/>
              </w:rPr>
              <w:t>Palm Desert</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92260</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14</w:t>
            </w: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Lakewood Ctr., 4437 Candlewood Street</w:t>
            </w:r>
          </w:p>
        </w:tc>
        <w:tc>
          <w:tcPr>
            <w:tcW w:w="1720" w:type="dxa"/>
            <w:vAlign w:val="bottom"/>
            <w:tcBorders>
              <w:right w:val="single" w:sz="8" w:color="auto"/>
            </w:tcBorders>
            <w:shd w:val="clear" w:color="auto" w:fill="FFFF00"/>
          </w:tcPr>
          <w:p>
            <w:pPr>
              <w:jc w:val="center"/>
              <w:ind w:right="386"/>
              <w:spacing w:after="0"/>
              <w:rPr>
                <w:sz w:val="20"/>
                <w:szCs w:val="20"/>
                <w:color w:val="auto"/>
              </w:rPr>
            </w:pPr>
            <w:r>
              <w:rPr>
                <w:rFonts w:ascii="Arial" w:cs="Arial" w:eastAsia="Arial" w:hAnsi="Arial"/>
                <w:sz w:val="11"/>
                <w:szCs w:val="11"/>
                <w:color w:val="auto"/>
                <w:w w:val="87"/>
              </w:rPr>
              <w:t>Lakewood</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90712</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12455 Victoria Gardens Ln Ste#170</w:t>
            </w:r>
          </w:p>
        </w:tc>
        <w:tc>
          <w:tcPr>
            <w:tcW w:w="172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87"/>
              </w:rPr>
              <w:t>Rancho Cucamonga</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91739</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429 South Associated Road</w:t>
            </w:r>
          </w:p>
        </w:tc>
        <w:tc>
          <w:tcPr>
            <w:tcW w:w="1720" w:type="dxa"/>
            <w:vAlign w:val="bottom"/>
            <w:tcBorders>
              <w:right w:val="single" w:sz="8" w:color="auto"/>
            </w:tcBorders>
            <w:shd w:val="clear" w:color="auto" w:fill="FFFF00"/>
          </w:tcPr>
          <w:p>
            <w:pPr>
              <w:jc w:val="center"/>
              <w:ind w:left="346"/>
              <w:spacing w:after="0"/>
              <w:rPr>
                <w:sz w:val="20"/>
                <w:szCs w:val="20"/>
                <w:color w:val="auto"/>
              </w:rPr>
            </w:pPr>
            <w:r>
              <w:rPr>
                <w:rFonts w:ascii="Arial" w:cs="Arial" w:eastAsia="Arial" w:hAnsi="Arial"/>
                <w:sz w:val="11"/>
                <w:szCs w:val="11"/>
                <w:color w:val="auto"/>
                <w:w w:val="85"/>
              </w:rPr>
              <w:t>Brea</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92821</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Mission Valley Mall 1640 Camino Del Rio North Suite 180</w:t>
            </w:r>
          </w:p>
        </w:tc>
        <w:tc>
          <w:tcPr>
            <w:tcW w:w="1720" w:type="dxa"/>
            <w:vAlign w:val="bottom"/>
            <w:tcBorders>
              <w:right w:val="single" w:sz="8" w:color="auto"/>
            </w:tcBorders>
            <w:shd w:val="clear" w:color="auto" w:fill="FFFF00"/>
          </w:tcPr>
          <w:p>
            <w:pPr>
              <w:jc w:val="center"/>
              <w:ind w:right="386"/>
              <w:spacing w:after="0"/>
              <w:rPr>
                <w:sz w:val="20"/>
                <w:szCs w:val="20"/>
                <w:color w:val="auto"/>
              </w:rPr>
            </w:pPr>
            <w:r>
              <w:rPr>
                <w:rFonts w:ascii="Arial" w:cs="Arial" w:eastAsia="Arial" w:hAnsi="Arial"/>
                <w:sz w:val="11"/>
                <w:szCs w:val="11"/>
                <w:color w:val="auto"/>
                <w:w w:val="85"/>
              </w:rPr>
              <w:t>San Diego</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1"/>
              </w:rPr>
              <w:t>CA</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92108</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210 Saint Paul Street (Different Address)</w:t>
            </w:r>
          </w:p>
        </w:tc>
        <w:tc>
          <w:tcPr>
            <w:tcW w:w="1720" w:type="dxa"/>
            <w:vAlign w:val="bottom"/>
            <w:tcBorders>
              <w:right w:val="single" w:sz="8" w:color="auto"/>
            </w:tcBorders>
            <w:shd w:val="clear" w:color="auto" w:fill="FFFF00"/>
          </w:tcPr>
          <w:p>
            <w:pPr>
              <w:jc w:val="center"/>
              <w:ind w:left="306"/>
              <w:spacing w:after="0"/>
              <w:rPr>
                <w:sz w:val="20"/>
                <w:szCs w:val="20"/>
                <w:color w:val="auto"/>
              </w:rPr>
            </w:pPr>
            <w:r>
              <w:rPr>
                <w:rFonts w:ascii="Arial" w:cs="Arial" w:eastAsia="Arial" w:hAnsi="Arial"/>
                <w:sz w:val="11"/>
                <w:szCs w:val="11"/>
                <w:color w:val="auto"/>
                <w:w w:val="90"/>
              </w:rPr>
              <w:t>Denver</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84"/>
              </w:rPr>
              <w:t>CO</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80206</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14182 East Cedar Avenue</w:t>
            </w:r>
          </w:p>
        </w:tc>
        <w:tc>
          <w:tcPr>
            <w:tcW w:w="1720" w:type="dxa"/>
            <w:vAlign w:val="bottom"/>
            <w:tcBorders>
              <w:right w:val="single" w:sz="8" w:color="auto"/>
            </w:tcBorders>
            <w:shd w:val="clear" w:color="auto" w:fill="FFFF00"/>
          </w:tcPr>
          <w:p>
            <w:pPr>
              <w:jc w:val="center"/>
              <w:ind w:left="326"/>
              <w:spacing w:after="0"/>
              <w:rPr>
                <w:sz w:val="20"/>
                <w:szCs w:val="20"/>
                <w:color w:val="auto"/>
              </w:rPr>
            </w:pPr>
            <w:r>
              <w:rPr>
                <w:rFonts w:ascii="Arial" w:cs="Arial" w:eastAsia="Arial" w:hAnsi="Arial"/>
                <w:sz w:val="11"/>
                <w:szCs w:val="11"/>
                <w:color w:val="auto"/>
                <w:w w:val="90"/>
              </w:rPr>
              <w:t>Aurora</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84"/>
              </w:rPr>
              <w:t>CO</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80012</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113 E. Chicago Avenue</w:t>
            </w:r>
          </w:p>
        </w:tc>
        <w:tc>
          <w:tcPr>
            <w:tcW w:w="1720" w:type="dxa"/>
            <w:vAlign w:val="bottom"/>
            <w:tcBorders>
              <w:bottom w:val="single" w:sz="8" w:color="auto"/>
              <w:right w:val="single" w:sz="8" w:color="auto"/>
            </w:tcBorders>
          </w:tcPr>
          <w:p>
            <w:pPr>
              <w:jc w:val="center"/>
              <w:ind w:left="306"/>
              <w:spacing w:after="0"/>
              <w:rPr>
                <w:sz w:val="20"/>
                <w:szCs w:val="20"/>
                <w:color w:val="auto"/>
              </w:rPr>
            </w:pPr>
            <w:r>
              <w:rPr>
                <w:rFonts w:ascii="Arial" w:cs="Arial" w:eastAsia="Arial" w:hAnsi="Arial"/>
                <w:sz w:val="11"/>
                <w:szCs w:val="11"/>
                <w:color w:val="auto"/>
                <w:w w:val="89"/>
              </w:rPr>
              <w:t>Chicago</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rPr>
              <w:t>IL</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60611</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9</w:t>
            </w:r>
          </w:p>
        </w:tc>
      </w:tr>
      <w:tr>
        <w:trPr>
          <w:trHeight w:val="172"/>
        </w:trPr>
        <w:tc>
          <w:tcPr>
            <w:tcW w:w="1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Rivertree Court 701 N. Milwaukee Ave (Different Address)</w:t>
            </w:r>
          </w:p>
        </w:tc>
        <w:tc>
          <w:tcPr>
            <w:tcW w:w="1720" w:type="dxa"/>
            <w:vAlign w:val="bottom"/>
            <w:tcBorders>
              <w:bottom w:val="single" w:sz="8" w:color="auto"/>
              <w:right w:val="single" w:sz="8" w:color="auto"/>
            </w:tcBorders>
          </w:tcPr>
          <w:p>
            <w:pPr>
              <w:jc w:val="center"/>
              <w:ind w:right="406"/>
              <w:spacing w:after="0"/>
              <w:rPr>
                <w:sz w:val="20"/>
                <w:szCs w:val="20"/>
                <w:color w:val="auto"/>
              </w:rPr>
            </w:pPr>
            <w:r>
              <w:rPr>
                <w:rFonts w:ascii="Arial" w:cs="Arial" w:eastAsia="Arial" w:hAnsi="Arial"/>
                <w:sz w:val="11"/>
                <w:szCs w:val="11"/>
                <w:color w:val="auto"/>
                <w:w w:val="90"/>
              </w:rPr>
              <w:t>Vernon Hills</w:t>
            </w:r>
          </w:p>
        </w:tc>
        <w:tc>
          <w:tcPr>
            <w:tcW w:w="56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rPr>
              <w:t>IL</w:t>
            </w:r>
          </w:p>
        </w:tc>
        <w:tc>
          <w:tcPr>
            <w:tcW w:w="580" w:type="dxa"/>
            <w:vAlign w:val="bottom"/>
            <w:tcBorders>
              <w:bottom w:val="single" w:sz="8" w:color="auto"/>
              <w:right w:val="single" w:sz="8" w:color="auto"/>
            </w:tcBorders>
          </w:tcPr>
          <w:p>
            <w:pPr>
              <w:jc w:val="right"/>
              <w:ind w:right="166"/>
              <w:spacing w:after="0"/>
              <w:rPr>
                <w:sz w:val="20"/>
                <w:szCs w:val="20"/>
                <w:color w:val="auto"/>
              </w:rPr>
            </w:pPr>
            <w:r>
              <w:rPr>
                <w:rFonts w:ascii="Arial" w:cs="Arial" w:eastAsia="Arial" w:hAnsi="Arial"/>
                <w:sz w:val="11"/>
                <w:szCs w:val="11"/>
                <w:color w:val="auto"/>
              </w:rPr>
              <w:t>60061</w:t>
            </w:r>
          </w:p>
        </w:tc>
        <w:tc>
          <w:tcPr>
            <w:tcW w:w="72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43"/>
        </w:trPr>
        <w:tc>
          <w:tcPr>
            <w:tcW w:w="102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26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17 W. 180 22nd St.</w:t>
            </w:r>
          </w:p>
        </w:tc>
        <w:tc>
          <w:tcPr>
            <w:tcW w:w="1720" w:type="dxa"/>
            <w:vAlign w:val="bottom"/>
            <w:tcBorders>
              <w:right w:val="single" w:sz="8" w:color="auto"/>
            </w:tcBorders>
            <w:shd w:val="clear" w:color="auto" w:fill="FFFF00"/>
          </w:tcPr>
          <w:p>
            <w:pPr>
              <w:jc w:val="center"/>
              <w:ind w:right="406"/>
              <w:spacing w:after="0"/>
              <w:rPr>
                <w:sz w:val="20"/>
                <w:szCs w:val="20"/>
                <w:color w:val="auto"/>
              </w:rPr>
            </w:pPr>
            <w:r>
              <w:rPr>
                <w:rFonts w:ascii="Arial" w:cs="Arial" w:eastAsia="Arial" w:hAnsi="Arial"/>
                <w:sz w:val="11"/>
                <w:szCs w:val="11"/>
                <w:color w:val="auto"/>
                <w:w w:val="87"/>
              </w:rPr>
              <w:t>Oakbrook Terrace</w:t>
            </w:r>
          </w:p>
        </w:tc>
        <w:tc>
          <w:tcPr>
            <w:tcW w:w="56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rPr>
              <w:t>IL</w:t>
            </w:r>
          </w:p>
        </w:tc>
        <w:tc>
          <w:tcPr>
            <w:tcW w:w="580" w:type="dxa"/>
            <w:vAlign w:val="bottom"/>
            <w:tcBorders>
              <w:right w:val="single" w:sz="8" w:color="auto"/>
            </w:tcBorders>
            <w:shd w:val="clear" w:color="auto" w:fill="FFFF00"/>
          </w:tcPr>
          <w:p>
            <w:pPr>
              <w:jc w:val="right"/>
              <w:ind w:right="166"/>
              <w:spacing w:after="0"/>
              <w:rPr>
                <w:sz w:val="20"/>
                <w:szCs w:val="20"/>
                <w:color w:val="auto"/>
              </w:rPr>
            </w:pPr>
            <w:r>
              <w:rPr>
                <w:rFonts w:ascii="Arial" w:cs="Arial" w:eastAsia="Arial" w:hAnsi="Arial"/>
                <w:sz w:val="11"/>
                <w:szCs w:val="11"/>
                <w:color w:val="auto"/>
              </w:rPr>
              <w:t>60181</w:t>
            </w:r>
          </w:p>
        </w:tc>
        <w:tc>
          <w:tcPr>
            <w:tcW w:w="720" w:type="dxa"/>
            <w:vAlign w:val="bottom"/>
            <w:tcBorders>
              <w:right w:val="single" w:sz="8" w:color="auto"/>
            </w:tcBorders>
            <w:shd w:val="clear" w:color="auto" w:fill="FFFF00"/>
          </w:tcPr>
          <w:p>
            <w:pPr>
              <w:spacing w:after="0"/>
              <w:rPr>
                <w:sz w:val="12"/>
                <w:szCs w:val="12"/>
                <w:color w:val="auto"/>
              </w:rPr>
            </w:pPr>
          </w:p>
        </w:tc>
        <w:tc>
          <w:tcPr>
            <w:tcW w:w="820" w:type="dxa"/>
            <w:vAlign w:val="bottom"/>
            <w:tcBorders>
              <w:right w:val="single" w:sz="8" w:color="auto"/>
            </w:tcBorders>
            <w:shd w:val="clear" w:color="auto" w:fill="FFFF00"/>
          </w:tcPr>
          <w:p>
            <w:pPr>
              <w:spacing w:after="0"/>
              <w:rPr>
                <w:sz w:val="12"/>
                <w:szCs w:val="12"/>
                <w:color w:val="auto"/>
              </w:rPr>
            </w:pPr>
          </w:p>
        </w:tc>
      </w:tr>
      <w:tr>
        <w:trPr>
          <w:trHeight w:val="190"/>
        </w:trPr>
        <w:tc>
          <w:tcPr>
            <w:tcW w:w="102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260" w:type="dxa"/>
            <w:vAlign w:val="bottom"/>
            <w:tcBorders>
              <w:bottom w:val="single" w:sz="8" w:color="auto"/>
              <w:right w:val="single" w:sz="8" w:color="auto"/>
            </w:tcBorders>
            <w:shd w:val="clear" w:color="auto" w:fill="FFFF00"/>
          </w:tcPr>
          <w:p>
            <w:pPr>
              <w:spacing w:after="0"/>
              <w:rPr>
                <w:sz w:val="16"/>
                <w:szCs w:val="16"/>
                <w:color w:val="auto"/>
              </w:rPr>
            </w:pPr>
          </w:p>
        </w:tc>
        <w:tc>
          <w:tcPr>
            <w:tcW w:w="172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580" w:type="dxa"/>
            <w:vAlign w:val="bottom"/>
            <w:tcBorders>
              <w:bottom w:val="single" w:sz="8" w:color="auto"/>
              <w:right w:val="single" w:sz="8" w:color="auto"/>
            </w:tcBorders>
            <w:shd w:val="clear" w:color="auto" w:fill="FFFF00"/>
          </w:tcPr>
          <w:p>
            <w:pPr>
              <w:spacing w:after="0"/>
              <w:rPr>
                <w:sz w:val="16"/>
                <w:szCs w:val="16"/>
                <w:color w:val="auto"/>
              </w:rPr>
            </w:pPr>
          </w:p>
        </w:tc>
        <w:tc>
          <w:tcPr>
            <w:tcW w:w="720" w:type="dxa"/>
            <w:vAlign w:val="bottom"/>
            <w:tcBorders>
              <w:bottom w:val="single" w:sz="8" w:color="auto"/>
              <w:right w:val="single" w:sz="8" w:color="auto"/>
            </w:tcBorders>
            <w:shd w:val="clear" w:color="auto" w:fill="FFFF00"/>
          </w:tcPr>
          <w:p>
            <w:pPr>
              <w:spacing w:after="0"/>
              <w:rPr>
                <w:sz w:val="16"/>
                <w:szCs w:val="16"/>
                <w:color w:val="auto"/>
              </w:rPr>
            </w:pPr>
          </w:p>
        </w:tc>
        <w:tc>
          <w:tcPr>
            <w:tcW w:w="820" w:type="dxa"/>
            <w:vAlign w:val="bottom"/>
            <w:tcBorders>
              <w:bottom w:val="single" w:sz="8" w:color="auto"/>
              <w:right w:val="single" w:sz="8" w:color="auto"/>
            </w:tcBorders>
            <w:shd w:val="clear" w:color="auto" w:fill="FFFF00"/>
          </w:tcPr>
          <w:p>
            <w:pPr>
              <w:spacing w:after="0"/>
              <w:rPr>
                <w:sz w:val="16"/>
                <w:szCs w:val="16"/>
                <w:color w:val="auto"/>
              </w:rPr>
            </w:pPr>
          </w:p>
        </w:tc>
      </w:tr>
    </w:tbl>
    <w:p>
      <w:pPr>
        <w:sectPr>
          <w:pgSz w:w="11900" w:h="16838" w:orient="portrait"/>
          <w:cols w:equalWidth="0" w:num="1">
            <w:col w:w="9680"/>
          </w:cols>
          <w:pgMar w:left="1120" w:top="298" w:right="1099" w:bottom="1440" w:gutter="0" w:footer="0" w:header="0"/>
        </w:sectPr>
      </w:pPr>
    </w:p>
    <w:bookmarkStart w:id="138" w:name="page139"/>
    <w:bookmarkEnd w:id="138"/>
    <w:p>
      <w:pPr>
        <w:spacing w:after="0" w:line="1" w:lineRule="exact"/>
        <w:rPr>
          <w:sz w:val="20"/>
          <w:szCs w:val="20"/>
          <w:color w:val="auto"/>
        </w:rPr>
      </w:pPr>
    </w:p>
    <w:tbl>
      <w:tblPr>
        <w:tblLayout w:type="fixed"/>
        <w:tblInd w:w="790" w:type="dxa"/>
        <w:tblCellMar>
          <w:top w:w="0" w:type="dxa"/>
          <w:left w:w="0" w:type="dxa"/>
          <w:bottom w:w="0" w:type="dxa"/>
          <w:right w:w="0" w:type="dxa"/>
        </w:tblCellMar>
      </w:tblPr>
      <w:tr>
        <w:trPr>
          <w:trHeight w:val="194"/>
        </w:trPr>
        <w:tc>
          <w:tcPr>
            <w:tcW w:w="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St Clair Square, 315 St. Clair Square 315</w:t>
            </w:r>
          </w:p>
        </w:tc>
        <w:tc>
          <w:tcPr>
            <w:tcW w:w="1700" w:type="dxa"/>
            <w:vAlign w:val="bottom"/>
            <w:tcBorders>
              <w:top w:val="single" w:sz="8" w:color="auto"/>
              <w:bottom w:val="single" w:sz="8" w:color="auto"/>
              <w:right w:val="single" w:sz="8" w:color="auto"/>
            </w:tcBorders>
          </w:tcPr>
          <w:p>
            <w:pPr>
              <w:jc w:val="center"/>
              <w:ind w:right="366"/>
              <w:spacing w:after="0"/>
              <w:rPr>
                <w:sz w:val="20"/>
                <w:szCs w:val="20"/>
                <w:color w:val="auto"/>
              </w:rPr>
            </w:pPr>
            <w:r>
              <w:rPr>
                <w:rFonts w:ascii="Arial" w:cs="Arial" w:eastAsia="Arial" w:hAnsi="Arial"/>
                <w:sz w:val="11"/>
                <w:szCs w:val="11"/>
                <w:color w:val="auto"/>
                <w:w w:val="88"/>
              </w:rPr>
              <w:t>Fairview Heights</w:t>
            </w:r>
          </w:p>
        </w:tc>
        <w:tc>
          <w:tcPr>
            <w:tcW w:w="54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1"/>
                <w:szCs w:val="11"/>
                <w:color w:val="auto"/>
              </w:rPr>
              <w:t>IL</w:t>
            </w:r>
          </w:p>
        </w:tc>
        <w:tc>
          <w:tcPr>
            <w:tcW w:w="560" w:type="dxa"/>
            <w:vAlign w:val="bottom"/>
            <w:tcBorders>
              <w:top w:val="single" w:sz="8" w:color="auto"/>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62208</w:t>
            </w:r>
          </w:p>
        </w:tc>
        <w:tc>
          <w:tcPr>
            <w:tcW w:w="70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X</w:t>
            </w:r>
          </w:p>
        </w:tc>
        <w:tc>
          <w:tcPr>
            <w:tcW w:w="8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Schaumburg Promenade, 1985 East Golf Road</w:t>
            </w:r>
          </w:p>
        </w:tc>
        <w:tc>
          <w:tcPr>
            <w:tcW w:w="1700" w:type="dxa"/>
            <w:vAlign w:val="bottom"/>
            <w:tcBorders>
              <w:right w:val="single" w:sz="8" w:color="auto"/>
            </w:tcBorders>
            <w:shd w:val="clear" w:color="auto" w:fill="FFFF00"/>
          </w:tcPr>
          <w:p>
            <w:pPr>
              <w:jc w:val="center"/>
              <w:ind w:right="386"/>
              <w:spacing w:after="0"/>
              <w:rPr>
                <w:sz w:val="20"/>
                <w:szCs w:val="20"/>
                <w:color w:val="auto"/>
              </w:rPr>
            </w:pPr>
            <w:r>
              <w:rPr>
                <w:rFonts w:ascii="Arial" w:cs="Arial" w:eastAsia="Arial" w:hAnsi="Arial"/>
                <w:sz w:val="11"/>
                <w:szCs w:val="11"/>
                <w:color w:val="auto"/>
                <w:w w:val="86"/>
              </w:rPr>
              <w:t>Schaumburg</w:t>
            </w:r>
          </w:p>
        </w:tc>
        <w:tc>
          <w:tcPr>
            <w:tcW w:w="540" w:type="dxa"/>
            <w:vAlign w:val="bottom"/>
            <w:tcBorders>
              <w:right w:val="single" w:sz="8" w:color="auto"/>
            </w:tcBorders>
            <w:shd w:val="clear" w:color="auto" w:fill="FFFF00"/>
          </w:tcPr>
          <w:p>
            <w:pPr>
              <w:ind w:left="300"/>
              <w:spacing w:after="0"/>
              <w:rPr>
                <w:sz w:val="20"/>
                <w:szCs w:val="20"/>
                <w:color w:val="auto"/>
              </w:rPr>
            </w:pPr>
            <w:r>
              <w:rPr>
                <w:rFonts w:ascii="Arial" w:cs="Arial" w:eastAsia="Arial" w:hAnsi="Arial"/>
                <w:sz w:val="11"/>
                <w:szCs w:val="11"/>
                <w:color w:val="auto"/>
              </w:rPr>
              <w:t>IL</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60173</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9702 Quivira Road (Different Address)</w:t>
            </w:r>
          </w:p>
        </w:tc>
        <w:tc>
          <w:tcPr>
            <w:tcW w:w="1700" w:type="dxa"/>
            <w:vAlign w:val="bottom"/>
            <w:tcBorders>
              <w:bottom w:val="single" w:sz="8" w:color="auto"/>
              <w:right w:val="single" w:sz="8" w:color="auto"/>
            </w:tcBorders>
          </w:tcPr>
          <w:p>
            <w:pPr>
              <w:jc w:val="center"/>
              <w:ind w:right="386"/>
              <w:spacing w:after="0"/>
              <w:rPr>
                <w:sz w:val="20"/>
                <w:szCs w:val="20"/>
                <w:color w:val="auto"/>
              </w:rPr>
            </w:pPr>
            <w:r>
              <w:rPr>
                <w:rFonts w:ascii="Arial" w:cs="Arial" w:eastAsia="Arial" w:hAnsi="Arial"/>
                <w:sz w:val="11"/>
                <w:szCs w:val="11"/>
                <w:color w:val="auto"/>
                <w:w w:val="87"/>
              </w:rPr>
              <w:t>Lenexa (Overland Park)</w:t>
            </w:r>
          </w:p>
        </w:tc>
        <w:tc>
          <w:tcPr>
            <w:tcW w:w="5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81"/>
              </w:rPr>
              <w:t>KS</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66215</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8303 E. Kellogg Drive</w:t>
            </w:r>
          </w:p>
        </w:tc>
        <w:tc>
          <w:tcPr>
            <w:tcW w:w="1700" w:type="dxa"/>
            <w:vAlign w:val="bottom"/>
            <w:tcBorders>
              <w:bottom w:val="single" w:sz="8" w:color="auto"/>
              <w:right w:val="single" w:sz="8" w:color="auto"/>
            </w:tcBorders>
          </w:tcPr>
          <w:p>
            <w:pPr>
              <w:jc w:val="center"/>
              <w:ind w:left="306"/>
              <w:spacing w:after="0"/>
              <w:rPr>
                <w:sz w:val="20"/>
                <w:szCs w:val="20"/>
                <w:color w:val="auto"/>
              </w:rPr>
            </w:pPr>
            <w:r>
              <w:rPr>
                <w:rFonts w:ascii="Arial" w:cs="Arial" w:eastAsia="Arial" w:hAnsi="Arial"/>
                <w:sz w:val="11"/>
                <w:szCs w:val="11"/>
                <w:color w:val="auto"/>
                <w:w w:val="94"/>
              </w:rPr>
              <w:t>Wichita</w:t>
            </w:r>
          </w:p>
        </w:tc>
        <w:tc>
          <w:tcPr>
            <w:tcW w:w="5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81"/>
              </w:rPr>
              <w:t>KS</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67207</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Outlet Mall Of Kittery 8 Dexter Lane</w:t>
            </w:r>
          </w:p>
        </w:tc>
        <w:tc>
          <w:tcPr>
            <w:tcW w:w="1700" w:type="dxa"/>
            <w:vAlign w:val="bottom"/>
            <w:tcBorders>
              <w:right w:val="single" w:sz="8" w:color="auto"/>
            </w:tcBorders>
            <w:shd w:val="clear" w:color="auto" w:fill="FFFF00"/>
          </w:tcPr>
          <w:p>
            <w:pPr>
              <w:jc w:val="center"/>
              <w:ind w:left="306"/>
              <w:spacing w:after="0"/>
              <w:rPr>
                <w:sz w:val="20"/>
                <w:szCs w:val="20"/>
                <w:color w:val="auto"/>
              </w:rPr>
            </w:pPr>
            <w:r>
              <w:rPr>
                <w:rFonts w:ascii="Arial" w:cs="Arial" w:eastAsia="Arial" w:hAnsi="Arial"/>
                <w:sz w:val="11"/>
                <w:szCs w:val="11"/>
                <w:color w:val="auto"/>
                <w:w w:val="96"/>
              </w:rPr>
              <w:t>Kittery</w:t>
            </w:r>
          </w:p>
        </w:tc>
        <w:tc>
          <w:tcPr>
            <w:tcW w:w="54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6"/>
              </w:rPr>
              <w:t>ME</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03904</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Rosedale Commons Shopping Center 2480 Fairview Ave. N, Space 145</w:t>
            </w:r>
          </w:p>
        </w:tc>
        <w:tc>
          <w:tcPr>
            <w:tcW w:w="1700" w:type="dxa"/>
            <w:vAlign w:val="bottom"/>
            <w:tcBorders>
              <w:bottom w:val="single" w:sz="8" w:color="auto"/>
              <w:right w:val="single" w:sz="8" w:color="auto"/>
            </w:tcBorders>
          </w:tcPr>
          <w:p>
            <w:pPr>
              <w:jc w:val="center"/>
              <w:ind w:left="286"/>
              <w:spacing w:after="0"/>
              <w:rPr>
                <w:sz w:val="20"/>
                <w:szCs w:val="20"/>
                <w:color w:val="auto"/>
              </w:rPr>
            </w:pPr>
            <w:r>
              <w:rPr>
                <w:rFonts w:ascii="Arial" w:cs="Arial" w:eastAsia="Arial" w:hAnsi="Arial"/>
                <w:sz w:val="11"/>
                <w:szCs w:val="11"/>
                <w:color w:val="auto"/>
                <w:w w:val="89"/>
              </w:rPr>
              <w:t>Roseville</w:t>
            </w:r>
          </w:p>
        </w:tc>
        <w:tc>
          <w:tcPr>
            <w:tcW w:w="5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MN</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55113</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5</w:t>
            </w: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101 S. 48th Suite 4</w:t>
            </w:r>
          </w:p>
        </w:tc>
        <w:tc>
          <w:tcPr>
            <w:tcW w:w="1700" w:type="dxa"/>
            <w:vAlign w:val="bottom"/>
            <w:tcBorders>
              <w:bottom w:val="single" w:sz="8" w:color="auto"/>
              <w:right w:val="single" w:sz="8" w:color="auto"/>
            </w:tcBorders>
          </w:tcPr>
          <w:p>
            <w:pPr>
              <w:jc w:val="center"/>
              <w:ind w:left="306"/>
              <w:spacing w:after="0"/>
              <w:rPr>
                <w:sz w:val="20"/>
                <w:szCs w:val="20"/>
                <w:color w:val="auto"/>
              </w:rPr>
            </w:pPr>
            <w:r>
              <w:rPr>
                <w:rFonts w:ascii="Arial" w:cs="Arial" w:eastAsia="Arial" w:hAnsi="Arial"/>
                <w:sz w:val="11"/>
                <w:szCs w:val="11"/>
                <w:color w:val="auto"/>
                <w:w w:val="97"/>
              </w:rPr>
              <w:t>Lincoln</w:t>
            </w:r>
          </w:p>
        </w:tc>
        <w:tc>
          <w:tcPr>
            <w:tcW w:w="54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1"/>
              </w:rPr>
              <w:t>NE</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68510</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611 N. 98Th Street (Different Address)</w:t>
            </w:r>
          </w:p>
        </w:tc>
        <w:tc>
          <w:tcPr>
            <w:tcW w:w="1700" w:type="dxa"/>
            <w:vAlign w:val="bottom"/>
            <w:tcBorders>
              <w:bottom w:val="single" w:sz="8" w:color="auto"/>
              <w:right w:val="single" w:sz="8" w:color="auto"/>
            </w:tcBorders>
          </w:tcPr>
          <w:p>
            <w:pPr>
              <w:jc w:val="center"/>
              <w:ind w:left="306"/>
              <w:spacing w:after="0"/>
              <w:rPr>
                <w:sz w:val="20"/>
                <w:szCs w:val="20"/>
                <w:color w:val="auto"/>
              </w:rPr>
            </w:pPr>
            <w:r>
              <w:rPr>
                <w:rFonts w:ascii="Arial" w:cs="Arial" w:eastAsia="Arial" w:hAnsi="Arial"/>
                <w:sz w:val="11"/>
                <w:szCs w:val="11"/>
                <w:color w:val="auto"/>
                <w:w w:val="83"/>
              </w:rPr>
              <w:t>Omaha</w:t>
            </w:r>
          </w:p>
        </w:tc>
        <w:tc>
          <w:tcPr>
            <w:tcW w:w="54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1"/>
                <w:szCs w:val="11"/>
                <w:color w:val="auto"/>
                <w:w w:val="91"/>
              </w:rPr>
              <w:t>NE</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68114</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189 South Broadway Rte. 28</w:t>
            </w:r>
          </w:p>
        </w:tc>
        <w:tc>
          <w:tcPr>
            <w:tcW w:w="1700" w:type="dxa"/>
            <w:vAlign w:val="bottom"/>
            <w:tcBorders>
              <w:right w:val="single" w:sz="8" w:color="auto"/>
            </w:tcBorders>
            <w:shd w:val="clear" w:color="auto" w:fill="FFFF00"/>
          </w:tcPr>
          <w:p>
            <w:pPr>
              <w:jc w:val="center"/>
              <w:ind w:left="326"/>
              <w:spacing w:after="0"/>
              <w:rPr>
                <w:sz w:val="20"/>
                <w:szCs w:val="20"/>
                <w:color w:val="auto"/>
              </w:rPr>
            </w:pPr>
            <w:r>
              <w:rPr>
                <w:rFonts w:ascii="Arial" w:cs="Arial" w:eastAsia="Arial" w:hAnsi="Arial"/>
                <w:sz w:val="11"/>
                <w:szCs w:val="11"/>
                <w:color w:val="auto"/>
                <w:w w:val="89"/>
              </w:rPr>
              <w:t>Salem</w:t>
            </w:r>
          </w:p>
        </w:tc>
        <w:tc>
          <w:tcPr>
            <w:tcW w:w="54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rPr>
              <w:t>NH</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03079</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6601 Menaul Street</w:t>
            </w:r>
          </w:p>
        </w:tc>
        <w:tc>
          <w:tcPr>
            <w:tcW w:w="1700" w:type="dxa"/>
            <w:vAlign w:val="bottom"/>
            <w:tcBorders>
              <w:bottom w:val="single" w:sz="8" w:color="auto"/>
              <w:right w:val="single" w:sz="8" w:color="auto"/>
            </w:tcBorders>
          </w:tcPr>
          <w:p>
            <w:pPr>
              <w:jc w:val="center"/>
              <w:ind w:right="366"/>
              <w:spacing w:after="0"/>
              <w:rPr>
                <w:sz w:val="20"/>
                <w:szCs w:val="20"/>
                <w:color w:val="auto"/>
              </w:rPr>
            </w:pPr>
            <w:r>
              <w:rPr>
                <w:rFonts w:ascii="Arial" w:cs="Arial" w:eastAsia="Arial" w:hAnsi="Arial"/>
                <w:sz w:val="11"/>
                <w:szCs w:val="11"/>
                <w:color w:val="auto"/>
                <w:w w:val="89"/>
              </w:rPr>
              <w:t>Albuquerque</w:t>
            </w:r>
          </w:p>
        </w:tc>
        <w:tc>
          <w:tcPr>
            <w:tcW w:w="5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NM</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87110</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4626 Great Northern Boulevard (Different Address)</w:t>
            </w:r>
          </w:p>
        </w:tc>
        <w:tc>
          <w:tcPr>
            <w:tcW w:w="1700" w:type="dxa"/>
            <w:vAlign w:val="bottom"/>
            <w:tcBorders>
              <w:right w:val="single" w:sz="8" w:color="auto"/>
            </w:tcBorders>
            <w:shd w:val="clear" w:color="auto" w:fill="FFFF00"/>
          </w:tcPr>
          <w:p>
            <w:pPr>
              <w:jc w:val="center"/>
              <w:ind w:right="386"/>
              <w:spacing w:after="0"/>
              <w:rPr>
                <w:sz w:val="20"/>
                <w:szCs w:val="20"/>
                <w:color w:val="auto"/>
              </w:rPr>
            </w:pPr>
            <w:r>
              <w:rPr>
                <w:rFonts w:ascii="Arial" w:cs="Arial" w:eastAsia="Arial" w:hAnsi="Arial"/>
                <w:sz w:val="11"/>
                <w:szCs w:val="11"/>
                <w:color w:val="auto"/>
                <w:w w:val="88"/>
              </w:rPr>
              <w:t>N Olmsted</w:t>
            </w:r>
          </w:p>
        </w:tc>
        <w:tc>
          <w:tcPr>
            <w:tcW w:w="54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6"/>
              </w:rPr>
              <w:t>OH</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44070</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Belden Whipple Ctr. 5106 Whipple Highway</w:t>
            </w:r>
          </w:p>
        </w:tc>
        <w:tc>
          <w:tcPr>
            <w:tcW w:w="1700" w:type="dxa"/>
            <w:vAlign w:val="bottom"/>
            <w:tcBorders>
              <w:bottom w:val="single" w:sz="8" w:color="auto"/>
              <w:right w:val="single" w:sz="8" w:color="auto"/>
            </w:tcBorders>
          </w:tcPr>
          <w:p>
            <w:pPr>
              <w:jc w:val="center"/>
              <w:ind w:left="306"/>
              <w:spacing w:after="0"/>
              <w:rPr>
                <w:sz w:val="20"/>
                <w:szCs w:val="20"/>
                <w:color w:val="auto"/>
              </w:rPr>
            </w:pPr>
            <w:r>
              <w:rPr>
                <w:rFonts w:ascii="Arial" w:cs="Arial" w:eastAsia="Arial" w:hAnsi="Arial"/>
                <w:sz w:val="11"/>
                <w:szCs w:val="11"/>
                <w:color w:val="auto"/>
                <w:w w:val="84"/>
              </w:rPr>
              <w:t>Canton</w:t>
            </w:r>
          </w:p>
        </w:tc>
        <w:tc>
          <w:tcPr>
            <w:tcW w:w="5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6"/>
              </w:rPr>
              <w:t>OH</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44718</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14</w:t>
            </w: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11711 Princeton Pike, Suite 961 (Different Address)</w:t>
            </w:r>
          </w:p>
        </w:tc>
        <w:tc>
          <w:tcPr>
            <w:tcW w:w="1700" w:type="dxa"/>
            <w:vAlign w:val="bottom"/>
            <w:tcBorders>
              <w:bottom w:val="single" w:sz="8" w:color="auto"/>
              <w:right w:val="single" w:sz="8" w:color="auto"/>
            </w:tcBorders>
          </w:tcPr>
          <w:p>
            <w:pPr>
              <w:jc w:val="center"/>
              <w:ind w:right="366"/>
              <w:spacing w:after="0"/>
              <w:rPr>
                <w:sz w:val="20"/>
                <w:szCs w:val="20"/>
                <w:color w:val="auto"/>
              </w:rPr>
            </w:pPr>
            <w:r>
              <w:rPr>
                <w:rFonts w:ascii="Arial" w:cs="Arial" w:eastAsia="Arial" w:hAnsi="Arial"/>
                <w:sz w:val="11"/>
                <w:szCs w:val="11"/>
                <w:color w:val="auto"/>
                <w:w w:val="91"/>
              </w:rPr>
              <w:t>Cincinnati</w:t>
            </w:r>
          </w:p>
        </w:tc>
        <w:tc>
          <w:tcPr>
            <w:tcW w:w="5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6"/>
              </w:rPr>
              <w:t>OH</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45246</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4</w:t>
            </w: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7924 Springboro Pike</w:t>
            </w:r>
          </w:p>
        </w:tc>
        <w:tc>
          <w:tcPr>
            <w:tcW w:w="1700" w:type="dxa"/>
            <w:vAlign w:val="bottom"/>
            <w:tcBorders>
              <w:bottom w:val="single" w:sz="8" w:color="auto"/>
              <w:right w:val="single" w:sz="8" w:color="auto"/>
            </w:tcBorders>
          </w:tcPr>
          <w:p>
            <w:pPr>
              <w:jc w:val="center"/>
              <w:ind w:right="366"/>
              <w:spacing w:after="0"/>
              <w:rPr>
                <w:sz w:val="20"/>
                <w:szCs w:val="20"/>
                <w:color w:val="auto"/>
              </w:rPr>
            </w:pPr>
            <w:r>
              <w:rPr>
                <w:rFonts w:ascii="Arial" w:cs="Arial" w:eastAsia="Arial" w:hAnsi="Arial"/>
                <w:sz w:val="11"/>
                <w:szCs w:val="11"/>
                <w:color w:val="auto"/>
                <w:w w:val="91"/>
              </w:rPr>
              <w:t>Miamisburg</w:t>
            </w:r>
          </w:p>
        </w:tc>
        <w:tc>
          <w:tcPr>
            <w:tcW w:w="5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6"/>
              </w:rPr>
              <w:t>OH</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45342</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6</w:t>
            </w: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4014 B Medina Rd.</w:t>
            </w:r>
          </w:p>
        </w:tc>
        <w:tc>
          <w:tcPr>
            <w:tcW w:w="1700" w:type="dxa"/>
            <w:vAlign w:val="bottom"/>
            <w:tcBorders>
              <w:bottom w:val="single" w:sz="8" w:color="auto"/>
              <w:right w:val="single" w:sz="8" w:color="auto"/>
            </w:tcBorders>
          </w:tcPr>
          <w:p>
            <w:pPr>
              <w:jc w:val="center"/>
              <w:ind w:right="366"/>
              <w:spacing w:after="0"/>
              <w:rPr>
                <w:sz w:val="20"/>
                <w:szCs w:val="20"/>
                <w:color w:val="auto"/>
              </w:rPr>
            </w:pPr>
            <w:r>
              <w:rPr>
                <w:rFonts w:ascii="Arial" w:cs="Arial" w:eastAsia="Arial" w:hAnsi="Arial"/>
                <w:sz w:val="11"/>
                <w:szCs w:val="11"/>
                <w:color w:val="auto"/>
                <w:w w:val="92"/>
              </w:rPr>
              <w:t>Copley (Fairlawn)</w:t>
            </w:r>
          </w:p>
        </w:tc>
        <w:tc>
          <w:tcPr>
            <w:tcW w:w="5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6"/>
              </w:rPr>
              <w:t>OH</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44333</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11, 12</w:t>
            </w: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Gemini Place Towne Ctr, 1424 Gemini Place</w:t>
            </w:r>
          </w:p>
        </w:tc>
        <w:tc>
          <w:tcPr>
            <w:tcW w:w="1700" w:type="dxa"/>
            <w:vAlign w:val="bottom"/>
            <w:tcBorders>
              <w:right w:val="single" w:sz="8" w:color="auto"/>
            </w:tcBorders>
            <w:shd w:val="clear" w:color="auto" w:fill="FFFF00"/>
          </w:tcPr>
          <w:p>
            <w:pPr>
              <w:jc w:val="center"/>
              <w:ind w:right="366"/>
              <w:spacing w:after="0"/>
              <w:rPr>
                <w:sz w:val="20"/>
                <w:szCs w:val="20"/>
                <w:color w:val="auto"/>
              </w:rPr>
            </w:pPr>
            <w:r>
              <w:rPr>
                <w:rFonts w:ascii="Arial" w:cs="Arial" w:eastAsia="Arial" w:hAnsi="Arial"/>
                <w:sz w:val="11"/>
                <w:szCs w:val="11"/>
                <w:color w:val="auto"/>
                <w:w w:val="88"/>
              </w:rPr>
              <w:t>Columbus</w:t>
            </w:r>
          </w:p>
        </w:tc>
        <w:tc>
          <w:tcPr>
            <w:tcW w:w="54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6"/>
              </w:rPr>
              <w:t>OH</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43240</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Village Square Shopping Ctr. 27079 Chagrin Blvd</w:t>
            </w:r>
          </w:p>
        </w:tc>
        <w:tc>
          <w:tcPr>
            <w:tcW w:w="1700" w:type="dxa"/>
            <w:vAlign w:val="bottom"/>
            <w:tcBorders>
              <w:right w:val="single" w:sz="8" w:color="auto"/>
            </w:tcBorders>
            <w:shd w:val="clear" w:color="auto" w:fill="FFFF00"/>
          </w:tcPr>
          <w:p>
            <w:pPr>
              <w:jc w:val="center"/>
              <w:ind w:right="386"/>
              <w:spacing w:after="0"/>
              <w:rPr>
                <w:sz w:val="20"/>
                <w:szCs w:val="20"/>
                <w:color w:val="auto"/>
              </w:rPr>
            </w:pPr>
            <w:r>
              <w:rPr>
                <w:rFonts w:ascii="Arial" w:cs="Arial" w:eastAsia="Arial" w:hAnsi="Arial"/>
                <w:sz w:val="11"/>
                <w:szCs w:val="11"/>
                <w:color w:val="auto"/>
                <w:w w:val="87"/>
              </w:rPr>
              <w:t>Woodmere (Mentor)</w:t>
            </w:r>
          </w:p>
        </w:tc>
        <w:tc>
          <w:tcPr>
            <w:tcW w:w="54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6"/>
              </w:rPr>
              <w:t>OH</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44122</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Jantzen Beach Center 12125 N Parker Ave</w:t>
            </w:r>
          </w:p>
        </w:tc>
        <w:tc>
          <w:tcPr>
            <w:tcW w:w="1700" w:type="dxa"/>
            <w:vAlign w:val="bottom"/>
            <w:tcBorders>
              <w:bottom w:val="single" w:sz="8" w:color="auto"/>
              <w:right w:val="single" w:sz="8" w:color="auto"/>
            </w:tcBorders>
          </w:tcPr>
          <w:p>
            <w:pPr>
              <w:jc w:val="center"/>
              <w:ind w:right="366"/>
              <w:spacing w:after="0"/>
              <w:rPr>
                <w:sz w:val="20"/>
                <w:szCs w:val="20"/>
                <w:color w:val="auto"/>
              </w:rPr>
            </w:pPr>
            <w:r>
              <w:rPr>
                <w:rFonts w:ascii="Arial" w:cs="Arial" w:eastAsia="Arial" w:hAnsi="Arial"/>
                <w:sz w:val="11"/>
                <w:szCs w:val="11"/>
                <w:color w:val="auto"/>
                <w:w w:val="86"/>
              </w:rPr>
              <w:t>Portland (Jantzen Beach)</w:t>
            </w:r>
          </w:p>
        </w:tc>
        <w:tc>
          <w:tcPr>
            <w:tcW w:w="5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w w:val="96"/>
              </w:rPr>
              <w:t>OR</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97217</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color w:val="auto"/>
              </w:rPr>
              <w:t>11, 14</w:t>
            </w: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4243 Ambassador Caffery Pkwy, Suite 108</w:t>
            </w:r>
          </w:p>
        </w:tc>
        <w:tc>
          <w:tcPr>
            <w:tcW w:w="1700" w:type="dxa"/>
            <w:vAlign w:val="bottom"/>
            <w:tcBorders>
              <w:right w:val="single" w:sz="8" w:color="auto"/>
            </w:tcBorders>
            <w:shd w:val="clear" w:color="auto" w:fill="FFFF00"/>
          </w:tcPr>
          <w:p>
            <w:pPr>
              <w:jc w:val="center"/>
              <w:ind w:left="286"/>
              <w:spacing w:after="0"/>
              <w:rPr>
                <w:sz w:val="20"/>
                <w:szCs w:val="20"/>
                <w:color w:val="auto"/>
              </w:rPr>
            </w:pPr>
            <w:r>
              <w:rPr>
                <w:rFonts w:ascii="Arial" w:cs="Arial" w:eastAsia="Arial" w:hAnsi="Arial"/>
                <w:sz w:val="11"/>
                <w:szCs w:val="11"/>
                <w:color w:val="auto"/>
                <w:w w:val="88"/>
              </w:rPr>
              <w:t>Lafayette</w:t>
            </w:r>
          </w:p>
        </w:tc>
        <w:tc>
          <w:tcPr>
            <w:tcW w:w="54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rPr>
              <w:t>LA</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70508</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13804 East Indiana Avenue, Unit B</w:t>
            </w:r>
          </w:p>
        </w:tc>
        <w:tc>
          <w:tcPr>
            <w:tcW w:w="1700" w:type="dxa"/>
            <w:vAlign w:val="bottom"/>
            <w:tcBorders>
              <w:right w:val="single" w:sz="8" w:color="auto"/>
            </w:tcBorders>
            <w:shd w:val="clear" w:color="auto" w:fill="FFFF00"/>
          </w:tcPr>
          <w:p>
            <w:pPr>
              <w:jc w:val="center"/>
              <w:ind w:right="386"/>
              <w:spacing w:after="0"/>
              <w:rPr>
                <w:sz w:val="20"/>
                <w:szCs w:val="20"/>
                <w:color w:val="auto"/>
              </w:rPr>
            </w:pPr>
            <w:r>
              <w:rPr>
                <w:rFonts w:ascii="Arial" w:cs="Arial" w:eastAsia="Arial" w:hAnsi="Arial"/>
                <w:sz w:val="11"/>
                <w:szCs w:val="11"/>
                <w:color w:val="auto"/>
                <w:w w:val="86"/>
              </w:rPr>
              <w:t>Spokane Valley</w:t>
            </w:r>
          </w:p>
        </w:tc>
        <w:tc>
          <w:tcPr>
            <w:tcW w:w="540" w:type="dxa"/>
            <w:vAlign w:val="bottom"/>
            <w:tcBorders>
              <w:right w:val="single" w:sz="8" w:color="auto"/>
            </w:tcBorders>
            <w:shd w:val="clear" w:color="auto" w:fill="FFFF00"/>
          </w:tcPr>
          <w:p>
            <w:pPr>
              <w:ind w:left="180"/>
              <w:spacing w:after="0"/>
              <w:rPr>
                <w:sz w:val="20"/>
                <w:szCs w:val="20"/>
                <w:color w:val="auto"/>
              </w:rPr>
            </w:pPr>
            <w:r>
              <w:rPr>
                <w:rFonts w:ascii="Arial" w:cs="Arial" w:eastAsia="Arial" w:hAnsi="Arial"/>
                <w:sz w:val="11"/>
                <w:szCs w:val="11"/>
                <w:color w:val="auto"/>
              </w:rPr>
              <w:t>WA</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99216</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962 South Randall Road, Unit B</w:t>
            </w:r>
          </w:p>
        </w:tc>
        <w:tc>
          <w:tcPr>
            <w:tcW w:w="1700" w:type="dxa"/>
            <w:vAlign w:val="bottom"/>
            <w:tcBorders>
              <w:right w:val="single" w:sz="8" w:color="auto"/>
            </w:tcBorders>
            <w:shd w:val="clear" w:color="auto" w:fill="FFFF00"/>
          </w:tcPr>
          <w:p>
            <w:pPr>
              <w:jc w:val="center"/>
              <w:ind w:right="366"/>
              <w:spacing w:after="0"/>
              <w:rPr>
                <w:sz w:val="20"/>
                <w:szCs w:val="20"/>
                <w:color w:val="auto"/>
              </w:rPr>
            </w:pPr>
            <w:r>
              <w:rPr>
                <w:rFonts w:ascii="Arial" w:cs="Arial" w:eastAsia="Arial" w:hAnsi="Arial"/>
                <w:sz w:val="11"/>
                <w:szCs w:val="11"/>
                <w:color w:val="auto"/>
                <w:w w:val="88"/>
              </w:rPr>
              <w:t>St. Charles</w:t>
            </w:r>
          </w:p>
        </w:tc>
        <w:tc>
          <w:tcPr>
            <w:tcW w:w="540" w:type="dxa"/>
            <w:vAlign w:val="bottom"/>
            <w:tcBorders>
              <w:right w:val="single" w:sz="8" w:color="auto"/>
            </w:tcBorders>
            <w:shd w:val="clear" w:color="auto" w:fill="FFFF00"/>
          </w:tcPr>
          <w:p>
            <w:pPr>
              <w:jc w:val="center"/>
              <w:ind w:left="106"/>
              <w:spacing w:after="0"/>
              <w:rPr>
                <w:sz w:val="20"/>
                <w:szCs w:val="20"/>
                <w:color w:val="auto"/>
              </w:rPr>
            </w:pPr>
            <w:r>
              <w:rPr>
                <w:rFonts w:ascii="Arial" w:cs="Arial" w:eastAsia="Arial" w:hAnsi="Arial"/>
                <w:sz w:val="11"/>
                <w:szCs w:val="11"/>
                <w:color w:val="auto"/>
              </w:rPr>
              <w:t>IL</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60174</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7020 South Memoria Drive</w:t>
            </w:r>
          </w:p>
        </w:tc>
        <w:tc>
          <w:tcPr>
            <w:tcW w:w="1700" w:type="dxa"/>
            <w:vAlign w:val="bottom"/>
            <w:tcBorders>
              <w:right w:val="single" w:sz="8" w:color="auto"/>
            </w:tcBorders>
            <w:shd w:val="clear" w:color="auto" w:fill="FFFF00"/>
          </w:tcPr>
          <w:p>
            <w:pPr>
              <w:ind w:left="940"/>
              <w:spacing w:after="0"/>
              <w:rPr>
                <w:sz w:val="20"/>
                <w:szCs w:val="20"/>
                <w:color w:val="auto"/>
              </w:rPr>
            </w:pPr>
            <w:r>
              <w:rPr>
                <w:rFonts w:ascii="Arial" w:cs="Arial" w:eastAsia="Arial" w:hAnsi="Arial"/>
                <w:sz w:val="11"/>
                <w:szCs w:val="11"/>
                <w:color w:val="auto"/>
              </w:rPr>
              <w:t>Tulsa</w:t>
            </w:r>
          </w:p>
        </w:tc>
        <w:tc>
          <w:tcPr>
            <w:tcW w:w="54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rPr>
              <w:t>OK</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74133</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43"/>
        </w:trPr>
        <w:tc>
          <w:tcPr>
            <w:tcW w:w="980" w:type="dxa"/>
            <w:vAlign w:val="bottom"/>
            <w:tcBorders>
              <w:left w:val="single" w:sz="8" w:color="auto"/>
              <w:right w:val="single" w:sz="8" w:color="auto"/>
            </w:tcBorders>
            <w:shd w:val="clear" w:color="auto" w:fill="FFFF00"/>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right w:val="single" w:sz="8" w:color="auto"/>
            </w:tcBorders>
            <w:shd w:val="clear" w:color="auto" w:fill="FFFF00"/>
          </w:tcPr>
          <w:p>
            <w:pPr>
              <w:spacing w:after="0"/>
              <w:rPr>
                <w:sz w:val="20"/>
                <w:szCs w:val="20"/>
                <w:color w:val="auto"/>
              </w:rPr>
            </w:pPr>
            <w:r>
              <w:rPr>
                <w:rFonts w:ascii="Arial" w:cs="Arial" w:eastAsia="Arial" w:hAnsi="Arial"/>
                <w:sz w:val="11"/>
                <w:szCs w:val="11"/>
                <w:color w:val="auto"/>
              </w:rPr>
              <w:t>10250 SW Washington Square Rd, Sp #C01</w:t>
            </w:r>
          </w:p>
        </w:tc>
        <w:tc>
          <w:tcPr>
            <w:tcW w:w="1700" w:type="dxa"/>
            <w:vAlign w:val="bottom"/>
            <w:tcBorders>
              <w:right w:val="single" w:sz="8" w:color="auto"/>
            </w:tcBorders>
            <w:shd w:val="clear" w:color="auto" w:fill="FFFF00"/>
          </w:tcPr>
          <w:p>
            <w:pPr>
              <w:jc w:val="center"/>
              <w:ind w:left="286"/>
              <w:spacing w:after="0"/>
              <w:rPr>
                <w:sz w:val="20"/>
                <w:szCs w:val="20"/>
                <w:color w:val="auto"/>
              </w:rPr>
            </w:pPr>
            <w:r>
              <w:rPr>
                <w:rFonts w:ascii="Arial" w:cs="Arial" w:eastAsia="Arial" w:hAnsi="Arial"/>
                <w:sz w:val="11"/>
                <w:szCs w:val="11"/>
                <w:color w:val="auto"/>
                <w:w w:val="87"/>
              </w:rPr>
              <w:t>Portland</w:t>
            </w:r>
          </w:p>
        </w:tc>
        <w:tc>
          <w:tcPr>
            <w:tcW w:w="540" w:type="dxa"/>
            <w:vAlign w:val="bottom"/>
            <w:tcBorders>
              <w:right w:val="single" w:sz="8" w:color="auto"/>
            </w:tcBorders>
            <w:shd w:val="clear" w:color="auto" w:fill="FFFF00"/>
          </w:tcPr>
          <w:p>
            <w:pPr>
              <w:jc w:val="center"/>
              <w:ind w:left="86"/>
              <w:spacing w:after="0"/>
              <w:rPr>
                <w:sz w:val="20"/>
                <w:szCs w:val="20"/>
                <w:color w:val="auto"/>
              </w:rPr>
            </w:pPr>
            <w:r>
              <w:rPr>
                <w:rFonts w:ascii="Arial" w:cs="Arial" w:eastAsia="Arial" w:hAnsi="Arial"/>
                <w:sz w:val="11"/>
                <w:szCs w:val="11"/>
                <w:color w:val="auto"/>
                <w:w w:val="96"/>
              </w:rPr>
              <w:t>OR</w:t>
            </w:r>
          </w:p>
        </w:tc>
        <w:tc>
          <w:tcPr>
            <w:tcW w:w="560" w:type="dxa"/>
            <w:vAlign w:val="bottom"/>
            <w:tcBorders>
              <w:right w:val="single" w:sz="8" w:color="auto"/>
            </w:tcBorders>
            <w:shd w:val="clear" w:color="auto" w:fill="FFFF00"/>
          </w:tcPr>
          <w:p>
            <w:pPr>
              <w:jc w:val="right"/>
              <w:ind w:right="146"/>
              <w:spacing w:after="0"/>
              <w:rPr>
                <w:sz w:val="20"/>
                <w:szCs w:val="20"/>
                <w:color w:val="auto"/>
              </w:rPr>
            </w:pPr>
            <w:r>
              <w:rPr>
                <w:rFonts w:ascii="Arial" w:cs="Arial" w:eastAsia="Arial" w:hAnsi="Arial"/>
                <w:sz w:val="11"/>
                <w:szCs w:val="11"/>
                <w:color w:val="auto"/>
              </w:rPr>
              <w:t>97223</w:t>
            </w:r>
          </w:p>
        </w:tc>
        <w:tc>
          <w:tcPr>
            <w:tcW w:w="700" w:type="dxa"/>
            <w:vAlign w:val="bottom"/>
            <w:tcBorders>
              <w:right w:val="single" w:sz="8" w:color="auto"/>
            </w:tcBorders>
            <w:shd w:val="clear" w:color="auto" w:fill="FFFF00"/>
          </w:tcPr>
          <w:p>
            <w:pPr>
              <w:spacing w:after="0"/>
              <w:rPr>
                <w:sz w:val="12"/>
                <w:szCs w:val="12"/>
                <w:color w:val="auto"/>
              </w:rPr>
            </w:pPr>
          </w:p>
        </w:tc>
        <w:tc>
          <w:tcPr>
            <w:tcW w:w="800" w:type="dxa"/>
            <w:vAlign w:val="bottom"/>
            <w:tcBorders>
              <w:right w:val="single" w:sz="8" w:color="auto"/>
            </w:tcBorders>
            <w:shd w:val="clear" w:color="auto" w:fill="FFFF00"/>
          </w:tcPr>
          <w:p>
            <w:pPr>
              <w:spacing w:after="0"/>
              <w:rPr>
                <w:sz w:val="12"/>
                <w:szCs w:val="12"/>
                <w:color w:val="auto"/>
              </w:rPr>
            </w:pPr>
          </w:p>
        </w:tc>
      </w:tr>
      <w:tr>
        <w:trPr>
          <w:trHeight w:val="190"/>
        </w:trPr>
        <w:tc>
          <w:tcPr>
            <w:tcW w:w="980" w:type="dxa"/>
            <w:vAlign w:val="bottom"/>
            <w:tcBorders>
              <w:left w:val="single" w:sz="8" w:color="auto"/>
              <w:bottom w:val="single" w:sz="8" w:color="auto"/>
              <w:right w:val="single" w:sz="8" w:color="auto"/>
            </w:tcBorders>
            <w:shd w:val="clear" w:color="auto" w:fill="FFFF00"/>
          </w:tcPr>
          <w:p>
            <w:pPr>
              <w:spacing w:after="0"/>
              <w:rPr>
                <w:sz w:val="16"/>
                <w:szCs w:val="16"/>
                <w:color w:val="auto"/>
              </w:rPr>
            </w:pPr>
          </w:p>
        </w:tc>
        <w:tc>
          <w:tcPr>
            <w:tcW w:w="4400" w:type="dxa"/>
            <w:vAlign w:val="bottom"/>
            <w:tcBorders>
              <w:bottom w:val="single" w:sz="8" w:color="auto"/>
              <w:right w:val="single" w:sz="8" w:color="auto"/>
            </w:tcBorders>
            <w:shd w:val="clear" w:color="auto" w:fill="FFFF00"/>
          </w:tcPr>
          <w:p>
            <w:pPr>
              <w:spacing w:after="0"/>
              <w:rPr>
                <w:sz w:val="16"/>
                <w:szCs w:val="16"/>
                <w:color w:val="auto"/>
              </w:rPr>
            </w:pPr>
          </w:p>
        </w:tc>
        <w:tc>
          <w:tcPr>
            <w:tcW w:w="1700" w:type="dxa"/>
            <w:vAlign w:val="bottom"/>
            <w:tcBorders>
              <w:bottom w:val="single" w:sz="8" w:color="auto"/>
              <w:right w:val="single" w:sz="8" w:color="auto"/>
            </w:tcBorders>
            <w:shd w:val="clear" w:color="auto" w:fill="FFFF00"/>
          </w:tcPr>
          <w:p>
            <w:pPr>
              <w:spacing w:after="0"/>
              <w:rPr>
                <w:sz w:val="16"/>
                <w:szCs w:val="16"/>
                <w:color w:val="auto"/>
              </w:rPr>
            </w:pPr>
          </w:p>
        </w:tc>
        <w:tc>
          <w:tcPr>
            <w:tcW w:w="540" w:type="dxa"/>
            <w:vAlign w:val="bottom"/>
            <w:tcBorders>
              <w:bottom w:val="single" w:sz="8" w:color="auto"/>
              <w:right w:val="single" w:sz="8" w:color="auto"/>
            </w:tcBorders>
            <w:shd w:val="clear" w:color="auto" w:fill="FFFF00"/>
          </w:tcPr>
          <w:p>
            <w:pPr>
              <w:spacing w:after="0"/>
              <w:rPr>
                <w:sz w:val="16"/>
                <w:szCs w:val="16"/>
                <w:color w:val="auto"/>
              </w:rPr>
            </w:pPr>
          </w:p>
        </w:tc>
        <w:tc>
          <w:tcPr>
            <w:tcW w:w="560" w:type="dxa"/>
            <w:vAlign w:val="bottom"/>
            <w:tcBorders>
              <w:bottom w:val="single" w:sz="8" w:color="auto"/>
              <w:right w:val="single" w:sz="8" w:color="auto"/>
            </w:tcBorders>
            <w:shd w:val="clear" w:color="auto" w:fill="FFFF00"/>
          </w:tcPr>
          <w:p>
            <w:pPr>
              <w:spacing w:after="0"/>
              <w:rPr>
                <w:sz w:val="16"/>
                <w:szCs w:val="16"/>
                <w:color w:val="auto"/>
              </w:rPr>
            </w:pPr>
          </w:p>
        </w:tc>
        <w:tc>
          <w:tcPr>
            <w:tcW w:w="700" w:type="dxa"/>
            <w:vAlign w:val="bottom"/>
            <w:tcBorders>
              <w:bottom w:val="single" w:sz="8" w:color="auto"/>
              <w:right w:val="single" w:sz="8" w:color="auto"/>
            </w:tcBorders>
            <w:shd w:val="clear" w:color="auto" w:fill="FFFF00"/>
          </w:tcPr>
          <w:p>
            <w:pPr>
              <w:spacing w:after="0"/>
              <w:rPr>
                <w:sz w:val="16"/>
                <w:szCs w:val="16"/>
                <w:color w:val="auto"/>
              </w:rPr>
            </w:pPr>
          </w:p>
        </w:tc>
        <w:tc>
          <w:tcPr>
            <w:tcW w:w="800" w:type="dxa"/>
            <w:vAlign w:val="bottom"/>
            <w:tcBorders>
              <w:bottom w:val="single" w:sz="8" w:color="auto"/>
              <w:right w:val="single" w:sz="8" w:color="auto"/>
            </w:tcBorders>
            <w:shd w:val="clear" w:color="auto" w:fill="FFFF00"/>
          </w:tcPr>
          <w:p>
            <w:pPr>
              <w:spacing w:after="0"/>
              <w:rPr>
                <w:sz w:val="16"/>
                <w:szCs w:val="16"/>
                <w:color w:val="auto"/>
              </w:rPr>
            </w:pPr>
          </w:p>
        </w:tc>
      </w:tr>
      <w:tr>
        <w:trPr>
          <w:trHeight w:val="172"/>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Destination XL</w:t>
            </w:r>
          </w:p>
        </w:tc>
        <w:tc>
          <w:tcPr>
            <w:tcW w:w="4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1723 Montgomery Highway, Ste 111</w:t>
            </w:r>
          </w:p>
        </w:tc>
        <w:tc>
          <w:tcPr>
            <w:tcW w:w="1700" w:type="dxa"/>
            <w:vAlign w:val="bottom"/>
            <w:tcBorders>
              <w:bottom w:val="single" w:sz="8" w:color="auto"/>
              <w:right w:val="single" w:sz="8" w:color="auto"/>
            </w:tcBorders>
          </w:tcPr>
          <w:p>
            <w:pPr>
              <w:jc w:val="center"/>
              <w:ind w:right="366"/>
              <w:spacing w:after="0"/>
              <w:rPr>
                <w:sz w:val="20"/>
                <w:szCs w:val="20"/>
                <w:color w:val="auto"/>
              </w:rPr>
            </w:pPr>
            <w:r>
              <w:rPr>
                <w:rFonts w:ascii="Arial" w:cs="Arial" w:eastAsia="Arial" w:hAnsi="Arial"/>
                <w:sz w:val="11"/>
                <w:szCs w:val="11"/>
                <w:color w:val="auto"/>
                <w:w w:val="91"/>
              </w:rPr>
              <w:t>Birmingham (Hoover)</w:t>
            </w:r>
          </w:p>
        </w:tc>
        <w:tc>
          <w:tcPr>
            <w:tcW w:w="5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11"/>
                <w:szCs w:val="11"/>
                <w:color w:val="auto"/>
              </w:rPr>
              <w:t>AL</w:t>
            </w:r>
          </w:p>
        </w:tc>
        <w:tc>
          <w:tcPr>
            <w:tcW w:w="5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color w:val="auto"/>
              </w:rPr>
              <w:t>35244</w:t>
            </w:r>
          </w:p>
        </w:tc>
        <w:tc>
          <w:tcPr>
            <w:tcW w:w="700" w:type="dxa"/>
            <w:vAlign w:val="bottom"/>
            <w:tcBorders>
              <w:bottom w:val="single" w:sz="8" w:color="auto"/>
              <w:right w:val="single" w:sz="8" w:color="auto"/>
            </w:tcBorders>
          </w:tcPr>
          <w:p>
            <w:pPr>
              <w:ind w:left="440"/>
              <w:spacing w:after="0" w:line="171" w:lineRule="exact"/>
              <w:rPr>
                <w:sz w:val="20"/>
                <w:szCs w:val="20"/>
                <w:color w:val="auto"/>
              </w:rPr>
            </w:pPr>
            <w:r>
              <w:rPr>
                <w:rFonts w:ascii="Arial" w:cs="Arial" w:eastAsia="Arial" w:hAnsi="Arial"/>
                <w:sz w:val="16"/>
                <w:szCs w:val="16"/>
                <w:color w:val="auto"/>
              </w:rPr>
              <w:t>X</w:t>
            </w:r>
          </w:p>
        </w:tc>
        <w:tc>
          <w:tcPr>
            <w:tcW w:w="80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3"/>
                <w:szCs w:val="13"/>
                <w:color w:val="auto"/>
              </w:rPr>
              <w:t>8</w:t>
            </w:r>
          </w:p>
        </w:tc>
      </w:tr>
    </w:tbl>
    <w:p>
      <w:pPr>
        <w:spacing w:after="0" w:line="155" w:lineRule="exact"/>
        <w:rPr>
          <w:sz w:val="20"/>
          <w:szCs w:val="20"/>
          <w:color w:val="auto"/>
        </w:rPr>
      </w:pPr>
    </w:p>
    <w:p>
      <w:pPr>
        <w:ind w:left="240"/>
        <w:spacing w:after="0"/>
        <w:tabs>
          <w:tab w:leader="none" w:pos="1980" w:val="left"/>
        </w:tabs>
        <w:rPr>
          <w:sz w:val="20"/>
          <w:szCs w:val="20"/>
          <w:color w:val="auto"/>
        </w:rPr>
      </w:pPr>
      <w:r>
        <w:rPr>
          <w:rFonts w:ascii="Arial" w:cs="Arial" w:eastAsia="Arial" w:hAnsi="Arial"/>
          <w:sz w:val="13"/>
          <w:szCs w:val="13"/>
          <w:color w:val="auto"/>
        </w:rPr>
        <w:t>Total # Destination XL Stores:</w:t>
      </w:r>
      <w:r>
        <w:rPr>
          <w:sz w:val="20"/>
          <w:szCs w:val="20"/>
          <w:color w:val="auto"/>
        </w:rPr>
        <w:tab/>
      </w:r>
      <w:r>
        <w:rPr>
          <w:rFonts w:ascii="Arial" w:cs="Arial" w:eastAsia="Arial" w:hAnsi="Arial"/>
          <w:sz w:val="14"/>
          <w:szCs w:val="14"/>
          <w:color w:val="auto"/>
        </w:rPr>
        <w:t>125</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Total # Unencumbered: </w:t>
      </w:r>
      <w:r>
        <w:rPr>
          <w:rFonts w:ascii="Arial" w:cs="Arial" w:eastAsia="Arial" w:hAnsi="Arial"/>
          <w:sz w:val="16"/>
          <w:szCs w:val="16"/>
          <w:color w:val="auto"/>
        </w:rPr>
        <w:t>49</w:t>
      </w:r>
    </w:p>
    <w:p>
      <w:pPr>
        <w:spacing w:after="0" w:line="18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362 Total Stores</w:t>
      </w:r>
    </w:p>
    <w:p>
      <w:pPr>
        <w:sectPr>
          <w:pgSz w:w="11900" w:h="16838" w:orient="portrait"/>
          <w:cols w:equalWidth="0" w:num="1">
            <w:col w:w="10460"/>
          </w:cols>
          <w:pgMar w:left="340" w:top="299" w:right="1099" w:bottom="1440" w:gutter="0" w:footer="0" w:header="0"/>
        </w:sectPr>
      </w:pPr>
    </w:p>
    <w:bookmarkStart w:id="139" w:name="page140"/>
    <w:bookmarkEnd w:id="139"/>
    <w:tbl>
      <w:tblPr>
        <w:tblLayout w:type="fixed"/>
        <w:tblInd w:w="10" w:type="dxa"/>
        <w:tblCellMar>
          <w:top w:w="0" w:type="dxa"/>
          <w:left w:w="0" w:type="dxa"/>
          <w:bottom w:w="0" w:type="dxa"/>
          <w:right w:w="0" w:type="dxa"/>
        </w:tblCellMar>
      </w:tblPr>
      <w:tr>
        <w:trPr>
          <w:trHeight w:val="161"/>
        </w:trPr>
        <w:tc>
          <w:tcPr>
            <w:tcW w:w="380" w:type="dxa"/>
            <w:vAlign w:val="bottom"/>
            <w:tcBorders>
              <w:top w:val="single" w:sz="8" w:color="auto"/>
              <w:left w:val="single" w:sz="8" w:color="auto"/>
            </w:tcBorders>
          </w:tcPr>
          <w:p>
            <w:pPr>
              <w:spacing w:after="0"/>
              <w:rPr>
                <w:sz w:val="14"/>
                <w:szCs w:val="14"/>
                <w:color w:val="auto"/>
              </w:rPr>
            </w:pPr>
          </w:p>
        </w:tc>
        <w:tc>
          <w:tcPr>
            <w:tcW w:w="148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TYPE OF STORE</w:t>
            </w:r>
          </w:p>
        </w:tc>
        <w:tc>
          <w:tcPr>
            <w:tcW w:w="240" w:type="dxa"/>
            <w:vAlign w:val="bottom"/>
            <w:tcBorders>
              <w:top w:val="single" w:sz="8" w:color="auto"/>
            </w:tcBorders>
          </w:tcPr>
          <w:p>
            <w:pPr>
              <w:spacing w:after="0"/>
              <w:rPr>
                <w:sz w:val="14"/>
                <w:szCs w:val="14"/>
                <w:color w:val="auto"/>
              </w:rPr>
            </w:pPr>
          </w:p>
        </w:tc>
        <w:tc>
          <w:tcPr>
            <w:tcW w:w="3920" w:type="dxa"/>
            <w:vAlign w:val="bottom"/>
            <w:tcBorders>
              <w:top w:val="single" w:sz="8" w:color="auto"/>
              <w:right w:val="single" w:sz="8" w:color="auto"/>
            </w:tcBorders>
            <w:gridSpan w:val="3"/>
            <w:vMerge w:val="restart"/>
          </w:tcPr>
          <w:p>
            <w:pPr>
              <w:ind w:left="1880"/>
              <w:spacing w:after="0"/>
              <w:rPr>
                <w:sz w:val="20"/>
                <w:szCs w:val="20"/>
                <w:color w:val="auto"/>
              </w:rPr>
            </w:pPr>
            <w:r>
              <w:rPr>
                <w:rFonts w:ascii="Arial" w:cs="Arial" w:eastAsia="Arial" w:hAnsi="Arial"/>
                <w:sz w:val="13"/>
                <w:szCs w:val="13"/>
                <w:b w:val="1"/>
                <w:bCs w:val="1"/>
                <w:color w:val="auto"/>
              </w:rPr>
              <w:t>ADDRESS</w:t>
            </w:r>
          </w:p>
        </w:tc>
        <w:tc>
          <w:tcPr>
            <w:tcW w:w="660" w:type="dxa"/>
            <w:vAlign w:val="bottom"/>
            <w:tcBorders>
              <w:top w:val="single" w:sz="8" w:color="auto"/>
            </w:tcBorders>
          </w:tcPr>
          <w:p>
            <w:pPr>
              <w:spacing w:after="0"/>
              <w:rPr>
                <w:sz w:val="14"/>
                <w:szCs w:val="14"/>
                <w:color w:val="auto"/>
              </w:rPr>
            </w:pPr>
          </w:p>
        </w:tc>
        <w:tc>
          <w:tcPr>
            <w:tcW w:w="1000" w:type="dxa"/>
            <w:vAlign w:val="bottom"/>
            <w:tcBorders>
              <w:top w:val="single" w:sz="8" w:color="auto"/>
              <w:right w:val="single" w:sz="8" w:color="auto"/>
            </w:tcBorders>
            <w:gridSpan w:val="2"/>
            <w:vMerge w:val="restart"/>
          </w:tcPr>
          <w:p>
            <w:pPr>
              <w:jc w:val="center"/>
              <w:ind w:right="680"/>
              <w:spacing w:after="0"/>
              <w:rPr>
                <w:sz w:val="20"/>
                <w:szCs w:val="20"/>
                <w:color w:val="auto"/>
              </w:rPr>
            </w:pPr>
            <w:r>
              <w:rPr>
                <w:rFonts w:ascii="Arial" w:cs="Arial" w:eastAsia="Arial" w:hAnsi="Arial"/>
                <w:sz w:val="13"/>
                <w:szCs w:val="13"/>
                <w:b w:val="1"/>
                <w:bCs w:val="1"/>
                <w:color w:val="auto"/>
              </w:rPr>
              <w:t>CITY</w:t>
            </w:r>
          </w:p>
        </w:tc>
        <w:tc>
          <w:tcPr>
            <w:tcW w:w="320" w:type="dxa"/>
            <w:vAlign w:val="bottom"/>
            <w:tcBorders>
              <w:top w:val="single" w:sz="8" w:color="auto"/>
            </w:tcBorders>
          </w:tcPr>
          <w:p>
            <w:pPr>
              <w:spacing w:after="0"/>
              <w:rPr>
                <w:sz w:val="14"/>
                <w:szCs w:val="14"/>
                <w:color w:val="auto"/>
              </w:rPr>
            </w:pPr>
          </w:p>
        </w:tc>
        <w:tc>
          <w:tcPr>
            <w:tcW w:w="500" w:type="dxa"/>
            <w:vAlign w:val="bottom"/>
            <w:tcBorders>
              <w:top w:val="single" w:sz="8" w:color="auto"/>
              <w:right w:val="single" w:sz="8" w:color="auto"/>
            </w:tcBorders>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ST</w:t>
            </w: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ZIP</w:t>
            </w:r>
          </w:p>
        </w:tc>
        <w:tc>
          <w:tcPr>
            <w:tcW w:w="3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3"/>
                <w:szCs w:val="13"/>
                <w:b w:val="1"/>
                <w:bCs w:val="1"/>
                <w:color w:val="auto"/>
              </w:rPr>
              <w:t>BAML</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0" w:type="dxa"/>
            <w:vAlign w:val="bottom"/>
            <w:tcBorders>
              <w:left w:val="single" w:sz="8" w:color="auto"/>
            </w:tcBorders>
          </w:tcPr>
          <w:p>
            <w:pPr>
              <w:spacing w:after="0"/>
              <w:rPr>
                <w:sz w:val="11"/>
                <w:szCs w:val="11"/>
                <w:color w:val="auto"/>
              </w:rPr>
            </w:pPr>
          </w:p>
        </w:tc>
        <w:tc>
          <w:tcPr>
            <w:tcW w:w="1480" w:type="dxa"/>
            <w:vAlign w:val="bottom"/>
            <w:tcBorders>
              <w:top w:val="single" w:sz="8" w:color="auto"/>
              <w:right w:val="single" w:sz="8" w:color="auto"/>
            </w:tcBorders>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920" w:type="dxa"/>
            <w:vAlign w:val="bottom"/>
            <w:tcBorders>
              <w:top w:val="single" w:sz="8" w:color="auto"/>
              <w:right w:val="single" w:sz="8" w:color="auto"/>
            </w:tcBorders>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tcBorders>
              <w:top w:val="single" w:sz="8" w:color="auto"/>
              <w:right w:val="single" w:sz="8" w:color="auto"/>
            </w:tcBorders>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top w:val="single" w:sz="8" w:color="auto"/>
              <w:right w:val="single" w:sz="8" w:color="auto"/>
            </w:tcBorders>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top w:val="single" w:sz="8" w:color="auto"/>
              <w:right w:val="single" w:sz="8" w:color="auto"/>
            </w:tcBorders>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73"/>
              </w:rPr>
              <w:t>PRIORITY</w:t>
            </w:r>
          </w:p>
        </w:tc>
        <w:tc>
          <w:tcPr>
            <w:tcW w:w="1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gridSpan w:val="2"/>
          </w:tcPr>
          <w:p>
            <w:pPr>
              <w:spacing w:after="0" w:line="132" w:lineRule="exact"/>
              <w:rPr>
                <w:sz w:val="20"/>
                <w:szCs w:val="20"/>
                <w:color w:val="auto"/>
              </w:rPr>
            </w:pPr>
            <w:r>
              <w:rPr>
                <w:rFonts w:ascii="Arial" w:cs="Arial" w:eastAsia="Arial" w:hAnsi="Arial"/>
                <w:sz w:val="12"/>
                <w:szCs w:val="12"/>
                <w:b w:val="1"/>
                <w:bCs w:val="1"/>
                <w:color w:val="auto"/>
              </w:rPr>
              <w:t>NOTE NO</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8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ind w:left="20"/>
              <w:spacing w:after="0"/>
              <w:rPr>
                <w:sz w:val="20"/>
                <w:szCs w:val="20"/>
                <w:color w:val="auto"/>
              </w:rPr>
            </w:pPr>
            <w:r>
              <w:rPr>
                <w:rFonts w:ascii="Arial" w:cs="Arial" w:eastAsia="Arial" w:hAnsi="Arial"/>
                <w:sz w:val="11"/>
                <w:szCs w:val="11"/>
                <w:color w:val="auto"/>
              </w:rPr>
              <w:t>4710-B University Drive</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2"/>
              </w:rPr>
              <w:t>Huntsville</w:t>
            </w:r>
          </w:p>
        </w:tc>
        <w:tc>
          <w:tcPr>
            <w:tcW w:w="320" w:type="dxa"/>
            <w:vAlign w:val="bottom"/>
          </w:tcPr>
          <w:p>
            <w:pPr>
              <w:spacing w:after="0"/>
              <w:rPr>
                <w:sz w:val="11"/>
                <w:szCs w:val="11"/>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AL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35816</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ind w:left="20"/>
              <w:spacing w:after="0"/>
              <w:rPr>
                <w:sz w:val="20"/>
                <w:szCs w:val="20"/>
                <w:color w:val="auto"/>
              </w:rPr>
            </w:pPr>
            <w:r>
              <w:rPr>
                <w:rFonts w:ascii="Arial" w:cs="Arial" w:eastAsia="Arial" w:hAnsi="Arial"/>
                <w:sz w:val="11"/>
                <w:szCs w:val="11"/>
                <w:color w:val="auto"/>
              </w:rPr>
              <w:t>1216 S University Ave</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3"/>
              </w:rPr>
              <w:t>Little Rock</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AR</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72204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ind w:left="20"/>
              <w:spacing w:after="0"/>
              <w:rPr>
                <w:sz w:val="20"/>
                <w:szCs w:val="20"/>
                <w:color w:val="auto"/>
              </w:rPr>
            </w:pPr>
            <w:r>
              <w:rPr>
                <w:rFonts w:ascii="Arial" w:cs="Arial" w:eastAsia="Arial" w:hAnsi="Arial"/>
                <w:sz w:val="11"/>
                <w:szCs w:val="11"/>
                <w:color w:val="auto"/>
              </w:rPr>
              <w:t>109 Federal Road (Different Address)</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6"/>
              </w:rPr>
              <w:t>Danbury</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81"/>
              </w:rPr>
              <w:t>CT</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06811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5728</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International Dr.</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1"/>
              </w:rPr>
              <w:t>Orlando</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32819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1749</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Ne 163 Rd Street</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1"/>
              </w:rPr>
              <w:t>N Miami Beach</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33162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1990</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N. Military Trail</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7"/>
              </w:rPr>
              <w:t>W Palm Beach</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33409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3558</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Sw. College Rd</w:t>
            </w:r>
          </w:p>
        </w:tc>
        <w:tc>
          <w:tcPr>
            <w:tcW w:w="66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1"/>
                <w:szCs w:val="11"/>
                <w:color w:val="auto"/>
                <w:w w:val="83"/>
              </w:rPr>
              <w:t>Ocala</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34474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3196</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N. State Rd 7 Reef Plz</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6"/>
              </w:rPr>
              <w:t>Lauderdale Lakes</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33319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2110 W. International Speedway Blvd.</w:t>
            </w:r>
          </w:p>
        </w:tc>
        <w:tc>
          <w:tcPr>
            <w:tcW w:w="16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87"/>
              </w:rPr>
              <w:t>Daytona Beach</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32114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2700</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State Rd. 16 Suite 815</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1"/>
              </w:rPr>
              <w:t>St. Augustine</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32092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10359 Ulmerton Rd.</w:t>
            </w:r>
          </w:p>
        </w:tc>
        <w:tc>
          <w:tcPr>
            <w:tcW w:w="66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1"/>
                <w:szCs w:val="11"/>
                <w:color w:val="auto"/>
                <w:w w:val="85"/>
              </w:rPr>
              <w:t>Largo</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33771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8015</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Citrus Park Drive</w:t>
            </w:r>
          </w:p>
        </w:tc>
        <w:tc>
          <w:tcPr>
            <w:tcW w:w="66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1"/>
                <w:szCs w:val="11"/>
                <w:color w:val="auto"/>
                <w:w w:val="81"/>
              </w:rPr>
              <w:t>Tampa</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33625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Towers of Waterford Lakes, 464 N Alafaya Trl., Suite 108</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1"/>
              </w:rPr>
              <w:t>Orlando</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32828</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7681</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N Point Pkwy, Suite 500</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7"/>
              </w:rPr>
              <w:t>Alpharetta</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GA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30022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1950</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Pleasant Hill Rd, Suite B</w:t>
            </w:r>
          </w:p>
        </w:tc>
        <w:tc>
          <w:tcPr>
            <w:tcW w:w="66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700"/>
              <w:spacing w:after="0"/>
              <w:rPr>
                <w:sz w:val="20"/>
                <w:szCs w:val="20"/>
                <w:color w:val="auto"/>
              </w:rPr>
            </w:pPr>
            <w:r>
              <w:rPr>
                <w:rFonts w:ascii="Arial" w:cs="Arial" w:eastAsia="Arial" w:hAnsi="Arial"/>
                <w:sz w:val="11"/>
                <w:szCs w:val="11"/>
                <w:color w:val="auto"/>
                <w:w w:val="94"/>
              </w:rPr>
              <w:t>Duluth</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GA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30096</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3435</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Wrightsboro Rd, Suite 1206</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9"/>
              </w:rPr>
              <w:t>Augusta</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GA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30909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6715</w:t>
            </w:r>
          </w:p>
        </w:tc>
        <w:tc>
          <w:tcPr>
            <w:tcW w:w="3920" w:type="dxa"/>
            <w:vAlign w:val="bottom"/>
            <w:tcBorders>
              <w:right w:val="single" w:sz="8" w:color="auto"/>
            </w:tcBorders>
            <w:gridSpan w:val="3"/>
          </w:tcPr>
          <w:p>
            <w:pPr>
              <w:ind w:left="40"/>
              <w:spacing w:after="0"/>
              <w:rPr>
                <w:sz w:val="20"/>
                <w:szCs w:val="20"/>
                <w:color w:val="auto"/>
              </w:rPr>
            </w:pPr>
            <w:r>
              <w:rPr>
                <w:rFonts w:ascii="Arial" w:cs="Arial" w:eastAsia="Arial" w:hAnsi="Arial"/>
                <w:sz w:val="11"/>
                <w:szCs w:val="11"/>
                <w:color w:val="auto"/>
              </w:rPr>
              <w:t>Jonesboro Rd., Suite H</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8"/>
              </w:rPr>
              <w:t>Morrow</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GA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30260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440 Barrett Pkwy, Suite 17</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5"/>
              </w:rPr>
              <w:t>Kennesaw</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GA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30144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8801</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University Ave. (Different Address)</w:t>
            </w:r>
          </w:p>
        </w:tc>
        <w:tc>
          <w:tcPr>
            <w:tcW w:w="66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1"/>
                <w:szCs w:val="11"/>
                <w:color w:val="auto"/>
                <w:w w:val="97"/>
              </w:rPr>
              <w:t>Clive</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IA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50325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902 West Kimberly Road</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6"/>
              </w:rPr>
              <w:t>Davenport</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IA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52806</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1392 Twixt Town Road</w:t>
            </w:r>
          </w:p>
        </w:tc>
        <w:tc>
          <w:tcPr>
            <w:tcW w:w="660" w:type="dxa"/>
            <w:vAlign w:val="bottom"/>
          </w:tcPr>
          <w:p>
            <w:pPr>
              <w:spacing w:after="0"/>
              <w:rPr>
                <w:sz w:val="12"/>
                <w:szCs w:val="12"/>
                <w:color w:val="auto"/>
              </w:rPr>
            </w:pPr>
          </w:p>
        </w:tc>
        <w:tc>
          <w:tcPr>
            <w:tcW w:w="10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1"/>
                <w:szCs w:val="11"/>
                <w:color w:val="auto"/>
                <w:w w:val="95"/>
              </w:rPr>
              <w:t>Marion</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IA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52302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2217A E. 80Th Ave.</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8"/>
              </w:rPr>
              <w:t>Merrillville</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IN</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46410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Indian Ridge Sc 5776 Grape Rd.</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7"/>
              </w:rPr>
              <w:t>Mishawaka</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IN</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46545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1530</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N Green River Rd. Bldg A</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8"/>
              </w:rPr>
              <w:t>Evansville</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IN</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47715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501 Coliseum Blvd. E.</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Ft Wayne</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IN</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46805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1740</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Lighthouse Place</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6"/>
              </w:rPr>
              <w:t>Michigan City</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IN</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46360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2522</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Scottsville Rd</w:t>
            </w:r>
          </w:p>
        </w:tc>
        <w:tc>
          <w:tcPr>
            <w:tcW w:w="16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91"/>
              </w:rPr>
              <w:t>Bowling Green</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KY</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42104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7634</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Mall Rd.</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Florence</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KY</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41042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3501</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Ambassador Caffrey</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8"/>
              </w:rPr>
              <w:t>Lafayette</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LA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70503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9490</w:t>
            </w:r>
          </w:p>
        </w:tc>
        <w:tc>
          <w:tcPr>
            <w:tcW w:w="392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color w:val="auto"/>
              </w:rPr>
              <w:t>Airline Hwy</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7"/>
              </w:rPr>
              <w:t>Baton Rouge</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LA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70815</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Louisiana Boardwalk 640 Boardwalk Blvd.</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8"/>
              </w:rPr>
              <w:t>Bossier City</w:t>
            </w:r>
          </w:p>
        </w:tc>
        <w:tc>
          <w:tcPr>
            <w:tcW w:w="320" w:type="dxa"/>
            <w:vAlign w:val="bottom"/>
          </w:tcPr>
          <w:p>
            <w:pPr>
              <w:spacing w:after="0"/>
              <w:rPr>
                <w:sz w:val="12"/>
                <w:szCs w:val="12"/>
                <w:color w:val="auto"/>
              </w:rPr>
            </w:pPr>
          </w:p>
        </w:tc>
        <w:tc>
          <w:tcPr>
            <w:tcW w:w="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color w:val="auto"/>
              </w:rPr>
              <w:t>LA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71111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21 Faunce Corner Rd.</w:t>
            </w:r>
          </w:p>
        </w:tc>
        <w:tc>
          <w:tcPr>
            <w:tcW w:w="16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9"/>
              </w:rPr>
              <w:t>N Dartmouth</w:t>
            </w:r>
          </w:p>
        </w:tc>
        <w:tc>
          <w:tcPr>
            <w:tcW w:w="8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6"/>
              </w:rPr>
              <w:t>MA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02747</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4"/>
          </w:tcPr>
          <w:p>
            <w:pPr>
              <w:ind w:left="20"/>
              <w:spacing w:after="0"/>
              <w:rPr>
                <w:sz w:val="20"/>
                <w:szCs w:val="20"/>
                <w:color w:val="auto"/>
              </w:rPr>
            </w:pPr>
            <w:r>
              <w:rPr>
                <w:rFonts w:ascii="Arial" w:cs="Arial" w:eastAsia="Arial" w:hAnsi="Arial"/>
                <w:sz w:val="11"/>
                <w:szCs w:val="11"/>
                <w:color w:val="auto"/>
              </w:rPr>
              <w:t>440 Middlesex Rd Space D-8</w:t>
            </w:r>
          </w:p>
        </w:tc>
        <w:tc>
          <w:tcPr>
            <w:tcW w:w="16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1"/>
                <w:szCs w:val="11"/>
                <w:color w:val="auto"/>
                <w:w w:val="88"/>
              </w:rPr>
              <w:t>Tyngsboro</w:t>
            </w:r>
          </w:p>
        </w:tc>
        <w:tc>
          <w:tcPr>
            <w:tcW w:w="8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96"/>
              </w:rPr>
              <w:t>MA</w:t>
            </w:r>
          </w:p>
        </w:tc>
        <w:tc>
          <w:tcPr>
            <w:tcW w:w="7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1"/>
                <w:szCs w:val="11"/>
                <w:color w:val="auto"/>
                <w:w w:val="84"/>
              </w:rPr>
              <w:t>01879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01" w:right="219" w:bottom="1440" w:gutter="0" w:footer="0" w:header="0"/>
        </w:sectPr>
      </w:pPr>
    </w:p>
    <w:bookmarkStart w:id="140" w:name="page141"/>
    <w:bookmarkEnd w:id="1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1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1"/>
                <w:szCs w:val="11"/>
                <w:color w:val="auto"/>
              </w:rPr>
              <w:t>1410 Washington St. Hanover Sc</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Hanover</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MA</w:t>
            </w:r>
          </w:p>
        </w:tc>
        <w:tc>
          <w:tcPr>
            <w:tcW w:w="720" w:type="dxa"/>
            <w:vAlign w:val="bottom"/>
            <w:tcBorders>
              <w:top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02339</w:t>
            </w:r>
          </w:p>
        </w:tc>
        <w:tc>
          <w:tcPr>
            <w:tcW w:w="144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223-227 Memorial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W Springfield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MA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01089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91 Middlesex Turnpike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Burlington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MA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01803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80A Boston Turnpike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Shrewsbury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MA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01545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7565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Greenbelt Rd., Space 205</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Greenbelt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20770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5736</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Silver Hill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District Heights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20747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3376</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Crain Highway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Waldorf</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20603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2091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West St Suite B</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Annapolis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21401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1170 W Patrick St Suites G &amp; 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Frederick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21702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495 Premium Outlets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Hagerstown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21740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13967 Lakeside Circle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Sterling Heights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48313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3576</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Washtenaw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Ann Arbor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48104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23007 Eureka Rd. (Different Address)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Taylor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48180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5743</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South Westnedge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2"/>
              </w:rPr>
              <w:t>Portage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49002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30160 Gratiot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Roseville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48066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12150 South Beyer Rd. Space F050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Birch Run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48415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1475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 Burkhart Rd, Suite D180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Howell</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48855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4083</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Veterans Memorial Parkway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3"/>
              </w:rPr>
              <w:t>St Peters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63376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1418</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E Battlefield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Springfield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65804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Tanger Outlet Cntr. 300 Tanger Blvd. Ste 103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Branson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65616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Factory Outlet Village 4540 Highway 54, Suite N4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3"/>
              </w:rPr>
              <w:t>Osage Beach</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65065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color w:val="auto"/>
              </w:rPr>
              <w:t>19110 A E. 39Th Street (Different Address)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Independence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64055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2101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West Broadway Suite Ee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Columbia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65203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8401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North Mercier Avenue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Kansas City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64155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Tanger Outlets 4000 Arrowhead Boulevard, Suite 874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Mebane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NC</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27302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3806-A High Point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Greensboro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NC</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27407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2400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Outlet Center Drive, Space 450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Smithfield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NC</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27577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540 US Highway 46</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Totowa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07512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236 Lafayette Road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Menlo Park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08837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1232</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Hooper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Tom'S River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08753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3256</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Brunswick Pike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Lawrenceville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08648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200 Mill Creek Dr., Unit 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2"/>
              </w:rPr>
              <w:t>Secaucus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07094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288 Rte. 10 W (Described As "Ledgwood")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Succasunna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07876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326 Rte. 18</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E Brunswick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08816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135 Bloomfield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Bloomfield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07003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460"/>
          </w:cols>
          <w:pgMar w:left="220" w:top="301" w:right="219" w:bottom="1440" w:gutter="0" w:footer="0" w:header="0"/>
        </w:sectPr>
      </w:pPr>
    </w:p>
    <w:bookmarkStart w:id="141" w:name="page142"/>
    <w:bookmarkEnd w:id="1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1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1"/>
                <w:szCs w:val="11"/>
                <w:color w:val="auto"/>
              </w:rPr>
              <w:t>936 Rte 22 E.</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Somerville</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top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08876</w:t>
            </w:r>
          </w:p>
        </w:tc>
        <w:tc>
          <w:tcPr>
            <w:tcW w:w="144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430 Consumer Square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Mays Landing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08330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89 Rte. 17 South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E. Rutherford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07073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2872</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Highway 35 South</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Hazlet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07730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1228-1230 Niagara Falls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3"/>
              </w:rPr>
              <w:t>Tonawanda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14150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110 Wolf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Albany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12205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38 Rockland Pl. Sp. 24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Nanuet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10954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2369</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Central Park Avenue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Yonkers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10710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1955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South Road.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Poughkeepsie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12601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5060A Sunrise Hwy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2"/>
              </w:rPr>
              <w:t>Massapequa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11762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2094 Bartow Ave Bay Plz Sc</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Bronx</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10475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2325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Richmond Ave (Different Address)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Staten Island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10314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310 Reynolds Road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Johnson City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13790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320 W Sunrise Hwy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Valley Stream</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11582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1757</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Sunrise Hwy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Bayshore (Long Is)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11706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2130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Walden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Cheektowaga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14225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3514</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 Genesee 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Syracuse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13219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89-55 Queens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Elmhurst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11373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Orange Plaza, 444 Route 211 East, Suite #3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Middletown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10940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Lake Success Shop Cntr., 1444 Union Trnpke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New Hyde Park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11040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8228</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E 61St St., Suite 101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Tulsa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OK</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74133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220 Baltimore Pike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Springfield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19064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Keystone Place, 6815 Peach Street, Space A-13 (Different Address)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Erie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16509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Triangle Plz 677H Kidder 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Wilkes Barre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18702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3832</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William Penn Hwy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Monroeville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15146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Rte. 6 Scranton-Carbondale Hwy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Scranton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18508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2367</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Macarthur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Whitehall (Allentown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18052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240 Park Hills Plaza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Altoona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16602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311 West Moreland Road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Willow Grove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19090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Phil Prem Otlts 18 Lightcap Rd., Ste 167</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Pottstown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19464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72"/>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81"/>
              </w:rPr>
              <w:t>2777</w:t>
            </w:r>
          </w:p>
        </w:tc>
        <w:tc>
          <w:tcPr>
            <w:tcW w:w="39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Paper Mill Rd, Suite C-3A</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Wyomissing</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19610</w:t>
            </w:r>
          </w:p>
        </w:tc>
        <w:tc>
          <w:tcPr>
            <w:tcW w:w="1440" w:type="dxa"/>
            <w:vAlign w:val="bottom"/>
            <w:tcBorders>
              <w:bottom w:val="single" w:sz="8" w:color="auto"/>
              <w:right w:val="single" w:sz="8" w:color="auto"/>
            </w:tcBorders>
          </w:tcPr>
          <w:p>
            <w:pPr>
              <w:ind w:left="6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3"/>
                <w:szCs w:val="13"/>
                <w:color w:val="auto"/>
              </w:rPr>
              <w:t>4</w:t>
            </w: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Quartermaster Plaza 2306 W. Oregon Ave. Sp. F-3</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Philadelphia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19145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5240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Route 30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Greensburg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15601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2410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Laurens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Greenville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78"/>
              </w:rPr>
              <w:t>SC</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29607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3500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 Sat 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Sioux Falls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78"/>
              </w:rPr>
              <w:t>SD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57106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460"/>
          </w:cols>
          <w:pgMar w:left="220" w:top="301" w:right="219" w:bottom="1440" w:gutter="0" w:footer="0" w:header="0"/>
        </w:sectPr>
      </w:pPr>
    </w:p>
    <w:bookmarkStart w:id="142" w:name="page143"/>
    <w:bookmarkEnd w:id="1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1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89"/>
              </w:rPr>
              <w:t>5295</w:t>
            </w:r>
          </w:p>
        </w:tc>
        <w:tc>
          <w:tcPr>
            <w:tcW w:w="3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Hickory Hollow Parkway</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Antioch</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TN</w:t>
            </w:r>
          </w:p>
        </w:tc>
        <w:tc>
          <w:tcPr>
            <w:tcW w:w="720" w:type="dxa"/>
            <w:vAlign w:val="bottom"/>
            <w:tcBorders>
              <w:top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37013</w:t>
            </w:r>
          </w:p>
        </w:tc>
        <w:tc>
          <w:tcPr>
            <w:tcW w:w="144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1725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North Town East Boulevard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Mesquite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75150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4100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South Cooper Street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Arlington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76015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6898</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Southwest Freeway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Houston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77074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Woflin Sq. 2221 I-40 W</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Amarillo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79109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4408</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50th 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Lubbock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79414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5504</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San Bernado Ave., Ste. 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Laredo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78041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4621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 Hulen 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Ft Worth</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76132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4410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 Midkiff Rd., Suite B-1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Midland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79705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4217</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 Broadway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Tyler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75701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Westgate Shopping Center, 19504 Katy Freeway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Houston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77094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19075 I-45 South, Suite 400 Portofino Center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3"/>
              </w:rPr>
              <w:t>Shenandoah</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77385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1919</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Valley View Blvd. Northwest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Roanoke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VA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24012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6010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 Division 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2"/>
              </w:rPr>
              <w:t>Spokane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99208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19220 Alderwood Mall Pkwy. Suite 130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Lynnwood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98036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4751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 76th 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Greenfield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WI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53220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90 Rhl Boulevard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South Charleston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WV</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25309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4001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Riverdale Rd. #A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Ogden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UT</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84405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2285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E. Baseline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8"/>
              </w:rPr>
              <w:t>Gilbert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AZ</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85234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Nordhoff Plaza, 19422 Nordoff Street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Northridge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91324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13000 Folsom Blvd., Suite 1440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Folsom</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95630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Citadel Outlets 100 Citadel Dr., Suite #660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Commerce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90040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16129 S Hawthorne Blvd., Suite 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Lawndale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90260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1701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Ethan Way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Sacramento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95815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8000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Amador Valley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Dublin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94568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3200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Sisk Rd., Unit G</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Modesto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95356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798 Inland Ctr. Dr.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San Bernardino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92408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1911 Santa Rosa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3"/>
              </w:rPr>
              <w:t>Santa Rosa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95407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3699</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Ming Ave Ming Plaza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Bakersfield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93309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Robinhood Plaza, 5756 Pacific Avenue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Stockton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95207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882 Blossom Hill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78"/>
              </w:rPr>
              <w:t>San Jose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95123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330 S Vincent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W Covina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91790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15099 Hesperian Blvd Suite E&amp;F</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San Leandro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94578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5592 S Sepulveda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Culver City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90230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12544-B Amargosa Road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Victorville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92392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460"/>
          </w:cols>
          <w:pgMar w:left="220" w:top="301" w:right="219" w:bottom="1440" w:gutter="0" w:footer="0" w:header="0"/>
        </w:sectPr>
      </w:pPr>
    </w:p>
    <w:bookmarkStart w:id="143" w:name="page144"/>
    <w:bookmarkEnd w:id="1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1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1"/>
                <w:szCs w:val="11"/>
                <w:color w:val="auto"/>
              </w:rPr>
              <w:t>25640 The Old Road</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5"/>
              </w:rPr>
              <w:t>Valencia</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top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91381</w:t>
            </w:r>
          </w:p>
        </w:tc>
        <w:tc>
          <w:tcPr>
            <w:tcW w:w="144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7601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Carson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Long Beach</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90808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301 West Explanade Drive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Oxnard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93030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The Orchard@Saddleback 23600 El Toro Rd. Sts. A&amp;B</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Lake Forest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92630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700 N Johnson Ave Suite 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El Cajon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92020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507 N Academy Blvd Citadel Xg</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Colorado Springs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CO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80909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8725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Sheridan Blvd Unit B</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Westminster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CO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80003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9078</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Westview Rd, Suite 100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Lone Tree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CO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80124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8735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 Cicero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Hometown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60456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1359</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 Larkin St.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Joliet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60435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1407</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 Veterans Pkwy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Bloomington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61704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2450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Wabash Space 101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Springfield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62704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1006</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 Anthony Dr., Suites A &amp; B</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Champaign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61820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618 S. Rte 59 Naper W Plz #112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Naperville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60540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6376</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East State Steet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Rockford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61108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9410-A Skokie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Skokie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60077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1930 S W Wanamaker Rd Suite 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Topeka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KS</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66604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220 Maine Mall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S Portland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ME</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04106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1501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Plymouth Road (Different Address)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Minnetonka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MN</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55305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712 W County Rd 42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Burnsville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MN</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55337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6415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Labeaux Ave. NE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Albertville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MN</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55301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4340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13Th Ave SW</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3"/>
              </w:rPr>
              <w:t>Fargo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58103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346 S Broadway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Salem</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NH</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03079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1113 Kenney Center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Columbus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OH</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43220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4755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Northfield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N Randall</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OH</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44128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926 Boardman-Poland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Boardman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OH</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44512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7619</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Mentor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Mentor</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OH</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44060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8705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SW Hall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Beaverton (Tigard)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OR</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97008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1132 Lancaster Drive NE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Salem</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OR</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97301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8864</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SE Sunnyside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Clackamas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OR</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97015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2601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South Mckenzie St., Suit S476</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Foley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AL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36535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2108</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South Caraway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Jonesboro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AR</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72401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ind w:left="20"/>
              <w:spacing w:after="0"/>
              <w:rPr>
                <w:sz w:val="20"/>
                <w:szCs w:val="20"/>
                <w:color w:val="auto"/>
              </w:rPr>
            </w:pPr>
            <w:r>
              <w:rPr>
                <w:rFonts w:ascii="Arial" w:cs="Arial" w:eastAsia="Arial" w:hAnsi="Arial"/>
                <w:sz w:val="11"/>
                <w:szCs w:val="11"/>
                <w:color w:val="auto"/>
                <w:w w:val="81"/>
              </w:rPr>
              <w:t>1501</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Boston Post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Milford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CT</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06460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1869 Dixwell Avenue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Hamden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CT</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06514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72"/>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1"/>
                <w:szCs w:val="11"/>
                <w:color w:val="auto"/>
              </w:rPr>
              <w:t>Glenwood Village 7 Glenwood Rd., Suite 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Clinton</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1"/>
              </w:rPr>
              <w:t>CT</w:t>
            </w:r>
          </w:p>
        </w:tc>
        <w:tc>
          <w:tcPr>
            <w:tcW w:w="72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06413</w:t>
            </w:r>
          </w:p>
        </w:tc>
        <w:tc>
          <w:tcPr>
            <w:tcW w:w="1440" w:type="dxa"/>
            <w:vAlign w:val="bottom"/>
            <w:tcBorders>
              <w:bottom w:val="single" w:sz="8" w:color="auto"/>
              <w:right w:val="single" w:sz="8" w:color="auto"/>
            </w:tcBorders>
          </w:tcPr>
          <w:p>
            <w:pPr>
              <w:ind w:left="6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3"/>
                <w:szCs w:val="13"/>
                <w:color w:val="auto"/>
              </w:rPr>
              <w:t>4</w:t>
            </w:r>
          </w:p>
        </w:tc>
      </w:tr>
    </w:tbl>
    <w:p>
      <w:pPr>
        <w:sectPr>
          <w:pgSz w:w="11900" w:h="16838" w:orient="portrait"/>
          <w:cols w:equalWidth="0" w:num="1">
            <w:col w:w="11460"/>
          </w:cols>
          <w:pgMar w:left="220" w:top="301" w:right="219" w:bottom="1440" w:gutter="0" w:footer="0" w:header="0"/>
        </w:sectPr>
      </w:pPr>
    </w:p>
    <w:bookmarkStart w:id="144" w:name="page145"/>
    <w:bookmarkEnd w:id="1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1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1"/>
                <w:szCs w:val="11"/>
                <w:color w:val="auto"/>
              </w:rPr>
              <w:t>3924 Kirkwood Hwy Rte 2</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Wilmington</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DE</w:t>
            </w:r>
          </w:p>
        </w:tc>
        <w:tc>
          <w:tcPr>
            <w:tcW w:w="720" w:type="dxa"/>
            <w:vAlign w:val="bottom"/>
            <w:tcBorders>
              <w:top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19808</w:t>
            </w:r>
          </w:p>
        </w:tc>
        <w:tc>
          <w:tcPr>
            <w:tcW w:w="144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72"/>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1"/>
                <w:szCs w:val="11"/>
                <w:color w:val="auto"/>
              </w:rPr>
              <w:t>Midway Galleria 18701 Coastal Hwy, Space 2,3&amp;4</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7"/>
              </w:rPr>
              <w:t>Rehoboth Beach</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DE</w:t>
            </w:r>
          </w:p>
        </w:tc>
        <w:tc>
          <w:tcPr>
            <w:tcW w:w="720" w:type="dxa"/>
            <w:vAlign w:val="bottom"/>
            <w:tcBorders>
              <w:bottom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19971</w:t>
            </w:r>
          </w:p>
        </w:tc>
        <w:tc>
          <w:tcPr>
            <w:tcW w:w="1440" w:type="dxa"/>
            <w:vAlign w:val="bottom"/>
            <w:tcBorders>
              <w:bottom w:val="single" w:sz="8" w:color="auto"/>
              <w:right w:val="single" w:sz="8" w:color="auto"/>
            </w:tcBorders>
          </w:tcPr>
          <w:p>
            <w:pPr>
              <w:ind w:left="640"/>
              <w:spacing w:after="0" w:line="171" w:lineRule="exact"/>
              <w:rPr>
                <w:sz w:val="20"/>
                <w:szCs w:val="20"/>
                <w:color w:val="auto"/>
              </w:rPr>
            </w:pPr>
            <w:r>
              <w:rPr>
                <w:rFonts w:ascii="Arial" w:cs="Arial" w:eastAsia="Arial" w:hAnsi="Arial"/>
                <w:sz w:val="16"/>
                <w:szCs w:val="16"/>
                <w:color w:val="auto"/>
              </w:rPr>
              <w:t>X</w:t>
            </w:r>
          </w:p>
        </w:tc>
        <w:tc>
          <w:tcPr>
            <w:tcW w:w="82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3"/>
                <w:szCs w:val="13"/>
                <w:color w:val="auto"/>
              </w:rPr>
              <w:t>8</w:t>
            </w: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66 Blanding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Orange Park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32073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9402 Arlington Exwy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Jacksonville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32225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620 East Altamonte Drive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Altamonte Springs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32701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4455</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Cleveland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Ft Myers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33901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2128</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Sagamore Pkwy 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Lafayette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IN</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47905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11747 N Executive Dr. Space B80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Edinburgh</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IN</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46124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3270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Nicholasville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Lexington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KY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40503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3750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Veterans Memorial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Metairie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LA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70002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11503-A Rockville Pike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Rockville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MD</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20852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4434</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Bay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Saginaw</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48603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5849</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 Saginaw Hwy Delta Ctr.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Lansing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MI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48917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1026</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South Brentwood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Richmond Heights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63117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L&amp;L Ferry Crssng., 4016 Lemay Ferry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St Louis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MO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63129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1039</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E Country Line Rd., Suite 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Jackson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MS</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39211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10737 Factory Shops Blvd.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Gulfport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MS</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39503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64 Tunnel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Asheville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NC</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28805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13340 Preston 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Dallas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75240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Rio Grande Val.Prem.Out., 5001 E. Exprsswy. 83 #230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Mercedes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78570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3200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Plank Road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Fredericksburg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VA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22407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17401 Southcenter Pkwy. Suite 141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Tukwila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98188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2990 Midway Dr.</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5"/>
              </w:rPr>
              <w:t>San Diego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92110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4724</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 Lincoln Highway</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Matteson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60443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3526-3528 N. University Ave.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Peoria</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61604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9396</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West 159th Street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Orland Park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60462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1730</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West Fullerton Ave, Unit 22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Chicago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60614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Vero Beach Outlets 1757 94Th Dr., Suite D180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Vero Beach</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FL</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32966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455 Belwood Rd Se, Suite 60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Calhoun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GA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30701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ind w:left="20"/>
              <w:spacing w:after="0"/>
              <w:rPr>
                <w:sz w:val="20"/>
                <w:szCs w:val="20"/>
                <w:color w:val="auto"/>
              </w:rPr>
            </w:pPr>
            <w:r>
              <w:rPr>
                <w:rFonts w:ascii="Arial" w:cs="Arial" w:eastAsia="Arial" w:hAnsi="Arial"/>
                <w:sz w:val="11"/>
                <w:szCs w:val="11"/>
                <w:color w:val="auto"/>
              </w:rPr>
              <w:t>800 Steven B Tanger Blvd S/310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Commerce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GA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30529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112-A Tanger Drive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Williamsburg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IA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52361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Jackson Premium Outlets, 537 Monmouth Rd. Sp. 322</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Jackson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NJ</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08527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Fashion Outlets 1630 Military Rd. (Different Address)</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Niagara Falls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14304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240" w:type="dxa"/>
            <w:vAlign w:val="bottom"/>
          </w:tcPr>
          <w:p>
            <w:pPr>
              <w:spacing w:after="0"/>
              <w:rPr>
                <w:sz w:val="20"/>
                <w:szCs w:val="20"/>
                <w:color w:val="auto"/>
              </w:rPr>
            </w:pPr>
            <w:r>
              <w:rPr>
                <w:rFonts w:ascii="Arial" w:cs="Arial" w:eastAsia="Arial" w:hAnsi="Arial"/>
                <w:sz w:val="11"/>
                <w:szCs w:val="11"/>
                <w:color w:val="auto"/>
                <w:w w:val="89"/>
              </w:rPr>
              <w:t>1492</w:t>
            </w:r>
          </w:p>
        </w:tc>
        <w:tc>
          <w:tcPr>
            <w:tcW w:w="39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Rte. 9</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Lake George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12845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gridSpan w:val="2"/>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gridSpan w:val="2"/>
          </w:tcPr>
          <w:p>
            <w:pPr>
              <w:spacing w:after="0"/>
              <w:rPr>
                <w:sz w:val="20"/>
                <w:szCs w:val="20"/>
                <w:color w:val="auto"/>
              </w:rPr>
            </w:pPr>
            <w:r>
              <w:rPr>
                <w:rFonts w:ascii="Arial" w:cs="Arial" w:eastAsia="Arial" w:hAnsi="Arial"/>
                <w:sz w:val="11"/>
                <w:szCs w:val="11"/>
                <w:color w:val="auto"/>
              </w:rPr>
              <w:t>655 Rte 318, Suite A005</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Waterloo</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NY</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13165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92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bl>
    <w:p>
      <w:pPr>
        <w:sectPr>
          <w:pgSz w:w="11900" w:h="16838" w:orient="portrait"/>
          <w:cols w:equalWidth="0" w:num="1">
            <w:col w:w="11460"/>
          </w:cols>
          <w:pgMar w:left="220" w:top="301" w:right="219" w:bottom="1440" w:gutter="0" w:footer="0" w:header="0"/>
        </w:sectPr>
      </w:pPr>
    </w:p>
    <w:bookmarkStart w:id="145" w:name="page146"/>
    <w:bookmarkEnd w:id="1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18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35 S Willowdale Dr., Box 807</w:t>
            </w: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6"/>
              </w:rPr>
              <w:t>Lancaster</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top w:val="single" w:sz="8" w:color="auto"/>
              <w:right w:val="single" w:sz="8" w:color="auto"/>
            </w:tcBorders>
          </w:tcPr>
          <w:p>
            <w:pPr>
              <w:jc w:val="right"/>
              <w:ind w:right="186"/>
              <w:spacing w:after="0"/>
              <w:rPr>
                <w:sz w:val="20"/>
                <w:szCs w:val="20"/>
                <w:color w:val="auto"/>
              </w:rPr>
            </w:pPr>
            <w:r>
              <w:rPr>
                <w:rFonts w:ascii="Arial" w:cs="Arial" w:eastAsia="Arial" w:hAnsi="Arial"/>
                <w:sz w:val="11"/>
                <w:szCs w:val="11"/>
                <w:color w:val="auto"/>
              </w:rPr>
              <w:t>17602</w:t>
            </w:r>
          </w:p>
        </w:tc>
        <w:tc>
          <w:tcPr>
            <w:tcW w:w="144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spacing w:after="0"/>
              <w:rPr>
                <w:sz w:val="14"/>
                <w:szCs w:val="14"/>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1863 Gettysburg Village Dr., Ste 250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Gettysburg</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17325</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1000 Route 611, Unit A19</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Tannersville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18372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1911 Leesburg Grove City Road, Suite 315</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Grove City</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16127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Tanger Outlet Cntr 2200 Tanger Blvd., Ste725</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Washington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1"/>
              </w:rPr>
              <w:t>PA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15301</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4630 Factory Stores Blvd., Suite A185</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3"/>
              </w:rPr>
              <w:t>Myrtle Beach</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78"/>
              </w:rPr>
              <w:t>SC</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29579</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2713 Teaster Lane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4"/>
              </w:rPr>
              <w:t>Pigeon Forge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TN</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37863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1111 League Line Rd. Suite 121</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Conroe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77303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Tanger Outlets, 4015 Interstate Hwy. 35 Ste. 214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San Marcos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78666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Allen Prem. Outlets, 820 W. Stacey Rd. Suite 330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Allen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75013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Rnd. Rck. Prem. Out., 4401 N. Ih 35, Suite #869</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Round Rock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78664</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29300 Hempstead Rd., Ste. #804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Cypress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77433</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13289 Worth Avenue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Woodbridge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VA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22192</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auto"/>
              </w:rPr>
              <w:t>11601 108th St. #528</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Pleasant Prairie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WI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53158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622 W. Linmar Ln., Suite D-25</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6"/>
              </w:rPr>
              <w:t>Johnson Creek</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8"/>
              </w:rPr>
              <w:t>WI</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53038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131 Nut Tree Rd., Suite K</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Vacaville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95687</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17600 Collier Ave., Suite H184</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Lake Elsinore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CA</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92530</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5732 Mcwhinney Blvd Space E-40</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Loveland</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CO</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80538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120 Laconia Rd., Ste. 206 Lake Rg</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Tilton</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NH</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03276</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r>
        <w:trPr>
          <w:trHeight w:val="143"/>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Casual Male</w:t>
            </w:r>
          </w:p>
        </w:tc>
        <w:tc>
          <w:tcPr>
            <w:tcW w:w="416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8115 Factory Shops Boulevard</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Jeffersonville</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OH</w:t>
            </w:r>
          </w:p>
        </w:tc>
        <w:tc>
          <w:tcPr>
            <w:tcW w:w="720" w:type="dxa"/>
            <w:vAlign w:val="bottom"/>
            <w:tcBorders>
              <w:right w:val="single" w:sz="8" w:color="auto"/>
            </w:tcBorders>
          </w:tcPr>
          <w:p>
            <w:pPr>
              <w:jc w:val="right"/>
              <w:ind w:right="186"/>
              <w:spacing w:after="0"/>
              <w:rPr>
                <w:sz w:val="20"/>
                <w:szCs w:val="20"/>
                <w:color w:val="auto"/>
              </w:rPr>
            </w:pPr>
            <w:r>
              <w:rPr>
                <w:rFonts w:ascii="Arial" w:cs="Arial" w:eastAsia="Arial" w:hAnsi="Arial"/>
                <w:sz w:val="11"/>
                <w:szCs w:val="11"/>
                <w:color w:val="auto"/>
              </w:rPr>
              <w:t>43128</w:t>
            </w:r>
          </w:p>
        </w:tc>
        <w:tc>
          <w:tcPr>
            <w:tcW w:w="14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r>
      <w:tr>
        <w:trPr>
          <w:trHeight w:val="190"/>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bl>
    <w:p>
      <w:pPr>
        <w:spacing w:after="0" w:line="15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Total # Casual Male Stores: </w:t>
      </w:r>
      <w:r>
        <w:rPr>
          <w:rFonts w:ascii="Arial" w:cs="Arial" w:eastAsia="Arial" w:hAnsi="Arial"/>
          <w:sz w:val="16"/>
          <w:szCs w:val="16"/>
          <w:color w:val="auto"/>
        </w:rPr>
        <w:t>228</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Total # Unencumbered: </w:t>
      </w:r>
      <w:r>
        <w:rPr>
          <w:rFonts w:ascii="Arial" w:cs="Arial" w:eastAsia="Arial" w:hAnsi="Arial"/>
          <w:sz w:val="16"/>
          <w:szCs w:val="16"/>
          <w:color w:val="auto"/>
        </w:rPr>
        <w:t>225</w:t>
      </w:r>
    </w:p>
    <w:p>
      <w:pPr>
        <w:sectPr>
          <w:pgSz w:w="11900" w:h="16838" w:orient="portrait"/>
          <w:cols w:equalWidth="0" w:num="1">
            <w:col w:w="11460"/>
          </w:cols>
          <w:pgMar w:left="220" w:top="301" w:right="219" w:bottom="1440" w:gutter="0" w:footer="0" w:header="0"/>
        </w:sectPr>
      </w:pPr>
    </w:p>
    <w:bookmarkStart w:id="146" w:name="page147"/>
    <w:bookmarkEnd w:id="146"/>
    <w:tbl>
      <w:tblPr>
        <w:tblLayout w:type="fixed"/>
        <w:tblInd w:w="890" w:type="dxa"/>
        <w:tblCellMar>
          <w:top w:w="0" w:type="dxa"/>
          <w:left w:w="0" w:type="dxa"/>
          <w:bottom w:w="0" w:type="dxa"/>
          <w:right w:w="0" w:type="dxa"/>
        </w:tblCellMar>
      </w:tblPr>
      <w:tr>
        <w:trPr>
          <w:trHeight w:val="161"/>
        </w:trPr>
        <w:tc>
          <w:tcPr>
            <w:tcW w:w="80" w:type="dxa"/>
            <w:vAlign w:val="bottom"/>
            <w:tcBorders>
              <w:top w:val="single" w:sz="8" w:color="auto"/>
              <w:left w:val="single" w:sz="8" w:color="auto"/>
            </w:tcBorders>
          </w:tcPr>
          <w:p>
            <w:pPr>
              <w:spacing w:after="0"/>
              <w:rPr>
                <w:sz w:val="14"/>
                <w:szCs w:val="14"/>
                <w:color w:val="auto"/>
              </w:rPr>
            </w:pPr>
          </w:p>
        </w:tc>
        <w:tc>
          <w:tcPr>
            <w:tcW w:w="116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TYPE OF STORE</w:t>
            </w:r>
          </w:p>
        </w:tc>
        <w:tc>
          <w:tcPr>
            <w:tcW w:w="240" w:type="dxa"/>
            <w:vAlign w:val="bottom"/>
            <w:tcBorders>
              <w:top w:val="single" w:sz="8" w:color="auto"/>
            </w:tcBorders>
          </w:tcPr>
          <w:p>
            <w:pPr>
              <w:spacing w:after="0"/>
              <w:rPr>
                <w:sz w:val="14"/>
                <w:szCs w:val="14"/>
                <w:color w:val="auto"/>
              </w:rPr>
            </w:pPr>
          </w:p>
        </w:tc>
        <w:tc>
          <w:tcPr>
            <w:tcW w:w="2320" w:type="dxa"/>
            <w:vAlign w:val="bottom"/>
            <w:tcBorders>
              <w:top w:val="single" w:sz="8" w:color="auto"/>
              <w:right w:val="single" w:sz="8" w:color="auto"/>
            </w:tcBorders>
            <w:gridSpan w:val="3"/>
            <w:vMerge w:val="restart"/>
          </w:tcPr>
          <w:p>
            <w:pPr>
              <w:ind w:left="700"/>
              <w:spacing w:after="0"/>
              <w:rPr>
                <w:sz w:val="20"/>
                <w:szCs w:val="20"/>
                <w:color w:val="auto"/>
              </w:rPr>
            </w:pPr>
            <w:r>
              <w:rPr>
                <w:rFonts w:ascii="Arial" w:cs="Arial" w:eastAsia="Arial" w:hAnsi="Arial"/>
                <w:sz w:val="13"/>
                <w:szCs w:val="13"/>
                <w:b w:val="1"/>
                <w:bCs w:val="1"/>
                <w:color w:val="auto"/>
              </w:rPr>
              <w:t>ADDRESS</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CITY</w:t>
            </w:r>
          </w:p>
        </w:tc>
        <w:tc>
          <w:tcPr>
            <w:tcW w:w="560" w:type="dxa"/>
            <w:vAlign w:val="bottom"/>
            <w:tcBorders>
              <w:top w:val="single" w:sz="8" w:color="auto"/>
              <w:right w:val="single" w:sz="8" w:color="auto"/>
            </w:tcBorders>
            <w:gridSpan w:val="3"/>
            <w:vMerge w:val="restart"/>
          </w:tcPr>
          <w:p>
            <w:pPr>
              <w:jc w:val="right"/>
              <w:ind w:right="200"/>
              <w:spacing w:after="0"/>
              <w:rPr>
                <w:sz w:val="20"/>
                <w:szCs w:val="20"/>
                <w:color w:val="auto"/>
              </w:rPr>
            </w:pPr>
            <w:r>
              <w:rPr>
                <w:rFonts w:ascii="Arial" w:cs="Arial" w:eastAsia="Arial" w:hAnsi="Arial"/>
                <w:sz w:val="13"/>
                <w:szCs w:val="13"/>
                <w:b w:val="1"/>
                <w:bCs w:val="1"/>
                <w:color w:val="auto"/>
              </w:rPr>
              <w:t>ST</w:t>
            </w: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ZIP</w:t>
            </w: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3"/>
                <w:szCs w:val="13"/>
                <w:b w:val="1"/>
                <w:bCs w:val="1"/>
                <w:color w:val="auto"/>
              </w:rPr>
              <w:t>BAML</w:t>
            </w:r>
          </w:p>
        </w:tc>
        <w:tc>
          <w:tcPr>
            <w:tcW w:w="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0" w:type="dxa"/>
            <w:vAlign w:val="bottom"/>
            <w:tcBorders>
              <w:left w:val="single" w:sz="8" w:color="auto"/>
            </w:tcBorders>
          </w:tcPr>
          <w:p>
            <w:pPr>
              <w:spacing w:after="0"/>
              <w:rPr>
                <w:sz w:val="11"/>
                <w:szCs w:val="11"/>
                <w:color w:val="auto"/>
              </w:rPr>
            </w:pPr>
          </w:p>
        </w:tc>
        <w:tc>
          <w:tcPr>
            <w:tcW w:w="1160" w:type="dxa"/>
            <w:vAlign w:val="bottom"/>
            <w:tcBorders>
              <w:top w:val="single" w:sz="8" w:color="auto"/>
              <w:right w:val="single" w:sz="8" w:color="auto"/>
            </w:tcBorders>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Borders>
              <w:top w:val="single" w:sz="8" w:color="auto"/>
              <w:right w:val="single" w:sz="8" w:color="auto"/>
            </w:tcBorders>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top w:val="single" w:sz="8" w:color="auto"/>
              <w:right w:val="single" w:sz="8" w:color="auto"/>
            </w:tcBorders>
            <w:gridSpan w:val="2"/>
            <w:vMerge w:val="continue"/>
          </w:tcPr>
          <w:p>
            <w:pPr>
              <w:spacing w:after="0"/>
              <w:rPr>
                <w:sz w:val="11"/>
                <w:szCs w:val="11"/>
                <w:color w:val="auto"/>
              </w:rPr>
            </w:pPr>
          </w:p>
        </w:tc>
        <w:tc>
          <w:tcPr>
            <w:tcW w:w="560" w:type="dxa"/>
            <w:vAlign w:val="bottom"/>
            <w:tcBorders>
              <w:top w:val="single" w:sz="8" w:color="auto"/>
              <w:right w:val="single" w:sz="8" w:color="auto"/>
            </w:tcBorders>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w w:val="73"/>
              </w:rPr>
              <w:t>PRIORITY</w:t>
            </w:r>
          </w:p>
        </w:tc>
        <w:tc>
          <w:tcPr>
            <w:tcW w:w="1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gridSpan w:val="3"/>
          </w:tcPr>
          <w:p>
            <w:pPr>
              <w:ind w:left="20"/>
              <w:spacing w:after="0" w:line="132" w:lineRule="exact"/>
              <w:rPr>
                <w:sz w:val="20"/>
                <w:szCs w:val="20"/>
                <w:color w:val="auto"/>
              </w:rPr>
            </w:pPr>
            <w:r>
              <w:rPr>
                <w:rFonts w:ascii="Arial" w:cs="Arial" w:eastAsia="Arial" w:hAnsi="Arial"/>
                <w:sz w:val="12"/>
                <w:szCs w:val="12"/>
                <w:b w:val="1"/>
                <w:bCs w:val="1"/>
                <w:color w:val="auto"/>
              </w:rPr>
              <w:t>NOTE NO</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5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90 Brompton Rd.</w:t>
            </w:r>
          </w:p>
        </w:tc>
        <w:tc>
          <w:tcPr>
            <w:tcW w:w="240" w:type="dxa"/>
            <w:vAlign w:val="bottom"/>
          </w:tcPr>
          <w:p>
            <w:pPr>
              <w:spacing w:after="0"/>
              <w:rPr>
                <w:sz w:val="11"/>
                <w:szCs w:val="11"/>
                <w:color w:val="auto"/>
              </w:rPr>
            </w:pPr>
          </w:p>
        </w:tc>
        <w:tc>
          <w:tcPr>
            <w:tcW w:w="6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1"/>
                <w:szCs w:val="11"/>
                <w:color w:val="auto"/>
                <w:w w:val="92"/>
              </w:rPr>
              <w:t>London</w:t>
            </w:r>
          </w:p>
        </w:tc>
        <w:tc>
          <w:tcPr>
            <w:tcW w:w="5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1"/>
                <w:szCs w:val="11"/>
                <w:color w:val="auto"/>
              </w:rPr>
              <w:t>ENG</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SW3 1ER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5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700 Mission St.</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85"/>
              </w:rPr>
              <w:t>San Francisco</w:t>
            </w:r>
          </w:p>
        </w:tc>
        <w:tc>
          <w:tcPr>
            <w:tcW w:w="18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CA</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94103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40" w:type="dxa"/>
            <w:vAlign w:val="bottom"/>
          </w:tcPr>
          <w:p>
            <w:pPr>
              <w:spacing w:after="0"/>
              <w:rPr>
                <w:sz w:val="20"/>
                <w:szCs w:val="20"/>
                <w:color w:val="auto"/>
              </w:rPr>
            </w:pPr>
            <w:r>
              <w:rPr>
                <w:rFonts w:ascii="Arial" w:cs="Arial" w:eastAsia="Arial" w:hAnsi="Arial"/>
                <w:sz w:val="11"/>
                <w:szCs w:val="11"/>
                <w:color w:val="auto"/>
                <w:w w:val="89"/>
              </w:rPr>
              <w:t>9737</w:t>
            </w:r>
          </w:p>
        </w:tc>
        <w:tc>
          <w:tcPr>
            <w:tcW w:w="232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Wilshire Blvd.</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5"/>
              </w:rPr>
              <w:t>Beverly Hills</w:t>
            </w:r>
          </w:p>
        </w:tc>
        <w:tc>
          <w:tcPr>
            <w:tcW w:w="18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CA</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90212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40" w:type="dxa"/>
            <w:vAlign w:val="bottom"/>
          </w:tcPr>
          <w:p>
            <w:pPr>
              <w:spacing w:after="0"/>
              <w:rPr>
                <w:sz w:val="20"/>
                <w:szCs w:val="20"/>
                <w:color w:val="auto"/>
              </w:rPr>
            </w:pPr>
            <w:r>
              <w:rPr>
                <w:rFonts w:ascii="Arial" w:cs="Arial" w:eastAsia="Arial" w:hAnsi="Arial"/>
                <w:sz w:val="11"/>
                <w:szCs w:val="11"/>
                <w:color w:val="auto"/>
                <w:w w:val="89"/>
              </w:rPr>
              <w:t>1020</w:t>
            </w:r>
          </w:p>
        </w:tc>
        <w:tc>
          <w:tcPr>
            <w:tcW w:w="232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Connecticut Ave. N.W.</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89"/>
              </w:rPr>
              <w:t>Washington</w:t>
            </w:r>
          </w:p>
        </w:tc>
        <w:tc>
          <w:tcPr>
            <w:tcW w:w="18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DC</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20036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5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Loehmans Fashion Island 18801-A Biscayne Blvd.</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0"/>
              </w:rPr>
              <w:t>Aventura</w:t>
            </w:r>
          </w:p>
        </w:tc>
        <w:tc>
          <w:tcPr>
            <w:tcW w:w="18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FL</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33180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5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2301 Glades Road</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0"/>
              </w:rPr>
              <w:t>Boca Raton</w:t>
            </w:r>
          </w:p>
        </w:tc>
        <w:tc>
          <w:tcPr>
            <w:tcW w:w="18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FL</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33434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5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1301 Avenue of the Americas</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2"/>
              </w:rPr>
              <w:t>New York</w:t>
            </w:r>
          </w:p>
        </w:tc>
        <w:tc>
          <w:tcPr>
            <w:tcW w:w="18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NY</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10019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40" w:type="dxa"/>
            <w:vAlign w:val="bottom"/>
          </w:tcPr>
          <w:p>
            <w:pPr>
              <w:spacing w:after="0"/>
              <w:rPr>
                <w:sz w:val="20"/>
                <w:szCs w:val="20"/>
                <w:color w:val="auto"/>
              </w:rPr>
            </w:pPr>
            <w:r>
              <w:rPr>
                <w:rFonts w:ascii="Arial" w:cs="Arial" w:eastAsia="Arial" w:hAnsi="Arial"/>
                <w:sz w:val="11"/>
                <w:szCs w:val="11"/>
                <w:color w:val="auto"/>
                <w:w w:val="89"/>
              </w:rPr>
              <w:t>1625</w:t>
            </w:r>
          </w:p>
        </w:tc>
        <w:tc>
          <w:tcPr>
            <w:tcW w:w="2320" w:type="dxa"/>
            <w:vAlign w:val="bottom"/>
            <w:tcBorders>
              <w:right w:val="single" w:sz="8" w:color="auto"/>
            </w:tcBorders>
            <w:gridSpan w:val="3"/>
          </w:tcPr>
          <w:p>
            <w:pPr>
              <w:spacing w:after="0"/>
              <w:rPr>
                <w:sz w:val="20"/>
                <w:szCs w:val="20"/>
                <w:color w:val="auto"/>
              </w:rPr>
            </w:pPr>
            <w:r>
              <w:rPr>
                <w:rFonts w:ascii="Arial" w:cs="Arial" w:eastAsia="Arial" w:hAnsi="Arial"/>
                <w:sz w:val="11"/>
                <w:szCs w:val="11"/>
                <w:color w:val="auto"/>
              </w:rPr>
              <w:t>Northern Boulevard</w:t>
            </w:r>
          </w:p>
        </w:tc>
        <w:tc>
          <w:tcPr>
            <w:tcW w:w="86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85"/>
              </w:rPr>
              <w:t>Manhasset</w:t>
            </w:r>
          </w:p>
        </w:tc>
        <w:tc>
          <w:tcPr>
            <w:tcW w:w="18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NY</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11030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gridSpan w:val="2"/>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Rochester B&amp;T</w:t>
            </w:r>
          </w:p>
        </w:tc>
        <w:tc>
          <w:tcPr>
            <w:tcW w:w="2560" w:type="dxa"/>
            <w:vAlign w:val="bottom"/>
            <w:tcBorders>
              <w:right w:val="single" w:sz="8" w:color="auto"/>
            </w:tcBorders>
            <w:gridSpan w:val="4"/>
          </w:tcPr>
          <w:p>
            <w:pPr>
              <w:spacing w:after="0"/>
              <w:rPr>
                <w:sz w:val="20"/>
                <w:szCs w:val="20"/>
                <w:color w:val="auto"/>
              </w:rPr>
            </w:pPr>
            <w:r>
              <w:rPr>
                <w:rFonts w:ascii="Arial" w:cs="Arial" w:eastAsia="Arial" w:hAnsi="Arial"/>
                <w:sz w:val="11"/>
                <w:szCs w:val="11"/>
                <w:color w:val="auto"/>
              </w:rPr>
              <w:t>Preston Forest Village 11661 Preston Rd.</w:t>
            </w:r>
          </w:p>
        </w:tc>
        <w:tc>
          <w:tcPr>
            <w:tcW w:w="240" w:type="dxa"/>
            <w:vAlign w:val="bottom"/>
          </w:tcPr>
          <w:p>
            <w:pPr>
              <w:spacing w:after="0"/>
              <w:rPr>
                <w:sz w:val="12"/>
                <w:szCs w:val="12"/>
                <w:color w:val="auto"/>
              </w:rPr>
            </w:pPr>
          </w:p>
        </w:tc>
        <w:tc>
          <w:tcPr>
            <w:tcW w:w="620" w:type="dxa"/>
            <w:vAlign w:val="bottom"/>
            <w:tcBorders>
              <w:right w:val="single" w:sz="8" w:color="auto"/>
            </w:tcBorders>
            <w:gridSpan w:val="2"/>
          </w:tcPr>
          <w:p>
            <w:pPr>
              <w:ind w:left="180"/>
              <w:spacing w:after="0"/>
              <w:rPr>
                <w:sz w:val="20"/>
                <w:szCs w:val="20"/>
                <w:color w:val="auto"/>
              </w:rPr>
            </w:pPr>
            <w:r>
              <w:rPr>
                <w:rFonts w:ascii="Arial" w:cs="Arial" w:eastAsia="Arial" w:hAnsi="Arial"/>
                <w:sz w:val="11"/>
                <w:szCs w:val="11"/>
                <w:color w:val="auto"/>
              </w:rPr>
              <w:t>Dallas</w:t>
            </w:r>
          </w:p>
        </w:tc>
        <w:tc>
          <w:tcPr>
            <w:tcW w:w="180" w:type="dxa"/>
            <w:vAlign w:val="bottom"/>
          </w:tcPr>
          <w:p>
            <w:pPr>
              <w:spacing w:after="0"/>
              <w:rPr>
                <w:sz w:val="12"/>
                <w:szCs w:val="12"/>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TX</w:t>
            </w:r>
          </w:p>
        </w:tc>
        <w:tc>
          <w:tcPr>
            <w:tcW w:w="600" w:type="dxa"/>
            <w:vAlign w:val="bottom"/>
            <w:tcBorders>
              <w:right w:val="single" w:sz="8" w:color="auto"/>
            </w:tcBorders>
            <w:gridSpan w:val="3"/>
          </w:tcPr>
          <w:p>
            <w:pPr>
              <w:jc w:val="center"/>
              <w:spacing w:after="0"/>
              <w:rPr>
                <w:sz w:val="20"/>
                <w:szCs w:val="20"/>
                <w:color w:val="auto"/>
              </w:rPr>
            </w:pPr>
            <w:r>
              <w:rPr>
                <w:rFonts w:ascii="Arial" w:cs="Arial" w:eastAsia="Arial" w:hAnsi="Arial"/>
                <w:sz w:val="11"/>
                <w:szCs w:val="11"/>
                <w:color w:val="auto"/>
                <w:w w:val="91"/>
              </w:rPr>
              <w:t>75230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019"/>
          </w:cols>
          <w:pgMar w:left="1440" w:top="301" w:right="1440" w:bottom="1440" w:gutter="0" w:footer="0" w:header="0"/>
        </w:sectPr>
      </w:pPr>
    </w:p>
    <w:bookmarkStart w:id="147" w:name="page148"/>
    <w:bookmarkEnd w:id="147"/>
    <w:tbl>
      <w:tblPr>
        <w:tblLayout w:type="fixed"/>
        <w:tblInd w:w="890" w:type="dxa"/>
        <w:tblCellMar>
          <w:top w:w="0" w:type="dxa"/>
          <w:left w:w="0" w:type="dxa"/>
          <w:bottom w:w="0" w:type="dxa"/>
          <w:right w:w="0" w:type="dxa"/>
        </w:tblCellMar>
      </w:tblPr>
      <w:tr>
        <w:trPr>
          <w:trHeight w:val="161"/>
        </w:trPr>
        <w:tc>
          <w:tcPr>
            <w:tcW w:w="100" w:type="dxa"/>
            <w:vAlign w:val="bottom"/>
            <w:tcBorders>
              <w:top w:val="single" w:sz="8" w:color="auto"/>
              <w:left w:val="single" w:sz="8" w:color="auto"/>
            </w:tcBorders>
          </w:tcPr>
          <w:p>
            <w:pPr>
              <w:spacing w:after="0"/>
              <w:rPr>
                <w:sz w:val="14"/>
                <w:szCs w:val="14"/>
                <w:color w:val="auto"/>
              </w:rPr>
            </w:pPr>
          </w:p>
        </w:tc>
        <w:tc>
          <w:tcPr>
            <w:tcW w:w="128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TYPE OF STORE</w:t>
            </w:r>
          </w:p>
        </w:tc>
        <w:tc>
          <w:tcPr>
            <w:tcW w:w="1220" w:type="dxa"/>
            <w:vAlign w:val="bottom"/>
            <w:tcBorders>
              <w:top w:val="single" w:sz="8" w:color="auto"/>
              <w:bottom w:val="single" w:sz="8" w:color="auto"/>
              <w:right w:val="single" w:sz="8" w:color="auto"/>
            </w:tcBorders>
            <w:gridSpan w:val="3"/>
            <w:vMerge w:val="restart"/>
          </w:tcPr>
          <w:p>
            <w:pPr>
              <w:jc w:val="right"/>
              <w:ind w:right="360"/>
              <w:spacing w:after="0"/>
              <w:rPr>
                <w:sz w:val="20"/>
                <w:szCs w:val="20"/>
                <w:color w:val="auto"/>
              </w:rPr>
            </w:pPr>
            <w:r>
              <w:rPr>
                <w:rFonts w:ascii="Arial" w:cs="Arial" w:eastAsia="Arial" w:hAnsi="Arial"/>
                <w:sz w:val="13"/>
                <w:szCs w:val="13"/>
                <w:b w:val="1"/>
                <w:bCs w:val="1"/>
                <w:color w:val="auto"/>
              </w:rPr>
              <w:t>ADDRESS</w:t>
            </w: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CITY</w:t>
            </w:r>
          </w:p>
        </w:tc>
        <w:tc>
          <w:tcPr>
            <w:tcW w:w="540" w:type="dxa"/>
            <w:vAlign w:val="bottom"/>
            <w:tcBorders>
              <w:top w:val="single" w:sz="8" w:color="auto"/>
              <w:bottom w:val="single" w:sz="8" w:color="auto"/>
              <w:right w:val="single" w:sz="8" w:color="auto"/>
            </w:tcBorders>
            <w:gridSpan w:val="3"/>
            <w:vMerge w:val="restart"/>
          </w:tcPr>
          <w:p>
            <w:pPr>
              <w:ind w:left="140"/>
              <w:spacing w:after="0"/>
              <w:rPr>
                <w:sz w:val="20"/>
                <w:szCs w:val="20"/>
                <w:color w:val="auto"/>
              </w:rPr>
            </w:pPr>
            <w:r>
              <w:rPr>
                <w:rFonts w:ascii="Arial" w:cs="Arial" w:eastAsia="Arial" w:hAnsi="Arial"/>
                <w:sz w:val="13"/>
                <w:szCs w:val="13"/>
                <w:b w:val="1"/>
                <w:bCs w:val="1"/>
                <w:color w:val="auto"/>
              </w:rPr>
              <w:t>ST</w:t>
            </w: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right w:val="single" w:sz="8" w:color="auto"/>
            </w:tcBorders>
            <w:gridSpan w:val="2"/>
            <w:vMerge w:val="restart"/>
          </w:tcPr>
          <w:p>
            <w:pPr>
              <w:jc w:val="center"/>
              <w:ind w:right="300"/>
              <w:spacing w:after="0"/>
              <w:rPr>
                <w:sz w:val="20"/>
                <w:szCs w:val="20"/>
                <w:color w:val="auto"/>
              </w:rPr>
            </w:pPr>
            <w:r>
              <w:rPr>
                <w:rFonts w:ascii="Arial" w:cs="Arial" w:eastAsia="Arial" w:hAnsi="Arial"/>
                <w:sz w:val="13"/>
                <w:szCs w:val="13"/>
                <w:b w:val="1"/>
                <w:bCs w:val="1"/>
                <w:color w:val="auto"/>
              </w:rPr>
              <w:t>ZIP</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BAML</w:t>
            </w:r>
          </w:p>
        </w:tc>
        <w:tc>
          <w:tcPr>
            <w:tcW w:w="220" w:type="dxa"/>
            <w:vAlign w:val="bottom"/>
            <w:tcBorders>
              <w:top w:val="single" w:sz="8" w:color="auto"/>
              <w:right w:val="single" w:sz="8" w:color="auto"/>
            </w:tcBorders>
            <w:gridSpan w:val="2"/>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 w:type="dxa"/>
            <w:vAlign w:val="bottom"/>
            <w:tcBorders>
              <w:left w:val="single" w:sz="8" w:color="auto"/>
            </w:tcBorders>
          </w:tcPr>
          <w:p>
            <w:pPr>
              <w:spacing w:after="0"/>
              <w:rPr>
                <w:sz w:val="11"/>
                <w:szCs w:val="11"/>
                <w:color w:val="auto"/>
              </w:rPr>
            </w:pPr>
          </w:p>
        </w:tc>
        <w:tc>
          <w:tcPr>
            <w:tcW w:w="1280" w:type="dxa"/>
            <w:vAlign w:val="bottom"/>
            <w:tcBorders>
              <w:right w:val="single" w:sz="8" w:color="auto"/>
            </w:tcBorders>
            <w:gridSpan w:val="2"/>
            <w:vMerge w:val="continue"/>
          </w:tcPr>
          <w:p>
            <w:pPr>
              <w:spacing w:after="0"/>
              <w:rPr>
                <w:sz w:val="11"/>
                <w:szCs w:val="11"/>
                <w:color w:val="auto"/>
              </w:rPr>
            </w:pPr>
          </w:p>
        </w:tc>
        <w:tc>
          <w:tcPr>
            <w:tcW w:w="1220" w:type="dxa"/>
            <w:vAlign w:val="bottom"/>
            <w:tcBorders>
              <w:right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gridSpan w:val="2"/>
            <w:vMerge w:val="continue"/>
          </w:tcPr>
          <w:p>
            <w:pPr>
              <w:spacing w:after="0"/>
              <w:rPr>
                <w:sz w:val="11"/>
                <w:szCs w:val="11"/>
                <w:color w:val="auto"/>
              </w:rPr>
            </w:pPr>
          </w:p>
        </w:tc>
        <w:tc>
          <w:tcPr>
            <w:tcW w:w="540" w:type="dxa"/>
            <w:vAlign w:val="bottom"/>
            <w:tcBorders>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right w:val="single" w:sz="8" w:color="auto"/>
            </w:tcBorders>
            <w:gridSpan w:val="2"/>
            <w:vMerge w:val="continue"/>
          </w:tcPr>
          <w:p>
            <w:pPr>
              <w:spacing w:after="0"/>
              <w:rPr>
                <w:sz w:val="11"/>
                <w:szCs w:val="11"/>
                <w:color w:val="auto"/>
              </w:rPr>
            </w:pPr>
          </w:p>
        </w:tc>
        <w:tc>
          <w:tcPr>
            <w:tcW w:w="840" w:type="dxa"/>
            <w:vAlign w:val="bottom"/>
            <w:gridSpan w:val="3"/>
          </w:tcPr>
          <w:p>
            <w:pPr>
              <w:jc w:val="right"/>
              <w:spacing w:after="0" w:line="131" w:lineRule="exact"/>
              <w:rPr>
                <w:sz w:val="20"/>
                <w:szCs w:val="20"/>
                <w:color w:val="auto"/>
              </w:rPr>
            </w:pPr>
            <w:r>
              <w:rPr>
                <w:rFonts w:ascii="Arial" w:cs="Arial" w:eastAsia="Arial" w:hAnsi="Arial"/>
                <w:sz w:val="13"/>
                <w:szCs w:val="13"/>
                <w:b w:val="1"/>
                <w:bCs w:val="1"/>
                <w:color w:val="auto"/>
              </w:rPr>
              <w:t>PRIORITY</w:t>
            </w:r>
          </w:p>
        </w:tc>
        <w:tc>
          <w:tcPr>
            <w:tcW w:w="6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3"/>
          </w:tcPr>
          <w:p>
            <w:pPr>
              <w:jc w:val="center"/>
              <w:ind w:right="160"/>
              <w:spacing w:after="0" w:line="132" w:lineRule="exact"/>
              <w:rPr>
                <w:sz w:val="20"/>
                <w:szCs w:val="20"/>
                <w:color w:val="auto"/>
              </w:rPr>
            </w:pPr>
            <w:r>
              <w:rPr>
                <w:rFonts w:ascii="Arial" w:cs="Arial" w:eastAsia="Arial" w:hAnsi="Arial"/>
                <w:sz w:val="12"/>
                <w:szCs w:val="12"/>
                <w:b w:val="1"/>
                <w:bCs w:val="1"/>
                <w:color w:val="auto"/>
                <w:w w:val="99"/>
              </w:rPr>
              <w:t>NOTE NO</w:t>
            </w: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3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1"/>
                <w:szCs w:val="11"/>
                <w:color w:val="auto"/>
              </w:rPr>
              <w:t>HEADQUARTERS</w:t>
            </w:r>
          </w:p>
        </w:tc>
        <w:tc>
          <w:tcPr>
            <w:tcW w:w="1220" w:type="dxa"/>
            <w:vAlign w:val="bottom"/>
            <w:tcBorders>
              <w:bottom w:val="single" w:sz="8" w:color="auto"/>
              <w:right w:val="single" w:sz="8" w:color="auto"/>
            </w:tcBorders>
            <w:gridSpan w:val="3"/>
          </w:tcPr>
          <w:p>
            <w:pPr>
              <w:jc w:val="right"/>
              <w:ind w:right="360"/>
              <w:spacing w:after="0"/>
              <w:rPr>
                <w:sz w:val="20"/>
                <w:szCs w:val="20"/>
                <w:color w:val="auto"/>
              </w:rPr>
            </w:pPr>
            <w:r>
              <w:rPr>
                <w:rFonts w:ascii="Arial" w:cs="Arial" w:eastAsia="Arial" w:hAnsi="Arial"/>
                <w:sz w:val="11"/>
                <w:szCs w:val="11"/>
                <w:color w:val="auto"/>
                <w:w w:val="86"/>
              </w:rPr>
              <w:t>555 Turnpike Street</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1"/>
                <w:szCs w:val="11"/>
                <w:color w:val="auto"/>
              </w:rPr>
              <w:t>Canton</w:t>
            </w:r>
          </w:p>
        </w:tc>
        <w:tc>
          <w:tcPr>
            <w:tcW w:w="54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1"/>
                <w:szCs w:val="11"/>
                <w:color w:val="auto"/>
              </w:rPr>
              <w:t>MA</w:t>
            </w:r>
          </w:p>
        </w:tc>
        <w:tc>
          <w:tcPr>
            <w:tcW w:w="740" w:type="dxa"/>
            <w:vAlign w:val="bottom"/>
            <w:tcBorders>
              <w:bottom w:val="single" w:sz="8" w:color="auto"/>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02021</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gridSpan w:val="3"/>
          </w:tcPr>
          <w:p>
            <w:pPr>
              <w:ind w:left="200"/>
              <w:spacing w:after="0" w:line="162" w:lineRule="exact"/>
              <w:rPr>
                <w:sz w:val="20"/>
                <w:szCs w:val="20"/>
                <w:color w:val="auto"/>
              </w:rPr>
            </w:pPr>
            <w:r>
              <w:rPr>
                <w:rFonts w:ascii="Arial" w:cs="Arial" w:eastAsia="Arial" w:hAnsi="Arial"/>
                <w:sz w:val="16"/>
                <w:szCs w:val="16"/>
                <w:color w:val="auto"/>
              </w:rPr>
              <w:t>X</w:t>
            </w:r>
          </w:p>
        </w:tc>
        <w:tc>
          <w:tcPr>
            <w:tcW w:w="1660" w:type="dxa"/>
            <w:vAlign w:val="bottom"/>
            <w:tcBorders>
              <w:bottom w:val="single" w:sz="8" w:color="auto"/>
              <w:right w:val="single" w:sz="8" w:color="auto"/>
            </w:tcBorders>
            <w:gridSpan w:val="3"/>
          </w:tcPr>
          <w:p>
            <w:pPr>
              <w:jc w:val="right"/>
              <w:ind w:right="440"/>
              <w:spacing w:after="0"/>
              <w:rPr>
                <w:sz w:val="20"/>
                <w:szCs w:val="20"/>
                <w:color w:val="auto"/>
              </w:rPr>
            </w:pPr>
            <w:r>
              <w:rPr>
                <w:rFonts w:ascii="Arial" w:cs="Arial" w:eastAsia="Arial" w:hAnsi="Arial"/>
                <w:sz w:val="13"/>
                <w:szCs w:val="13"/>
                <w:color w:val="auto"/>
              </w:rPr>
              <w:t>3, 7, 10, 11, 12, 13</w:t>
            </w:r>
          </w:p>
        </w:tc>
        <w:tc>
          <w:tcPr>
            <w:tcW w:w="0" w:type="dxa"/>
            <w:vAlign w:val="bottom"/>
          </w:tcPr>
          <w:p>
            <w:pPr>
              <w:spacing w:after="0"/>
              <w:rPr>
                <w:sz w:val="1"/>
                <w:szCs w:val="1"/>
                <w:color w:val="auto"/>
              </w:rPr>
            </w:pPr>
          </w:p>
        </w:tc>
      </w:tr>
    </w:tbl>
    <w:p>
      <w:pPr>
        <w:sectPr>
          <w:pgSz w:w="11900" w:h="16838" w:orient="portrait"/>
          <w:cols w:equalWidth="0" w:num="1">
            <w:col w:w="9019"/>
          </w:cols>
          <w:pgMar w:left="1440" w:top="301" w:right="144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16"/>
          <w:szCs w:val="16"/>
          <w:b w:val="1"/>
          <w:bCs w:val="1"/>
          <w:u w:val="single" w:color="auto"/>
          <w:color w:val="auto"/>
        </w:rPr>
        <w:t>Exhibit 1.1</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Permitted Encumbrances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880" w:type="dxa"/>
            <w:vAlign w:val="bottom"/>
            <w:tcBorders>
              <w:top w:val="single" w:sz="8" w:color="auto"/>
              <w:left w:val="single" w:sz="8" w:color="auto"/>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Debtor Name</w:t>
            </w:r>
          </w:p>
        </w:tc>
        <w:tc>
          <w:tcPr>
            <w:tcW w:w="92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w w:val="96"/>
              </w:rPr>
              <w:t>Jurisdiction</w:t>
            </w:r>
          </w:p>
        </w:tc>
        <w:tc>
          <w:tcPr>
            <w:tcW w:w="52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Type</w:t>
            </w:r>
          </w:p>
        </w:tc>
        <w:tc>
          <w:tcPr>
            <w:tcW w:w="78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File Date</w:t>
            </w:r>
          </w:p>
        </w:tc>
        <w:tc>
          <w:tcPr>
            <w:tcW w:w="72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File No.</w:t>
            </w:r>
          </w:p>
        </w:tc>
        <w:tc>
          <w:tcPr>
            <w:tcW w:w="1640" w:type="dxa"/>
            <w:vAlign w:val="bottom"/>
            <w:tcBorders>
              <w:top w:val="single" w:sz="8" w:color="auto"/>
              <w:right w:val="single" w:sz="8" w:color="auto"/>
            </w:tcBorders>
            <w:gridSpan w:val="2"/>
          </w:tcPr>
          <w:p>
            <w:pPr>
              <w:spacing w:after="0" w:line="161" w:lineRule="exact"/>
              <w:rPr>
                <w:sz w:val="20"/>
                <w:szCs w:val="20"/>
                <w:color w:val="auto"/>
              </w:rPr>
            </w:pPr>
            <w:r>
              <w:rPr>
                <w:rFonts w:ascii="Arial" w:cs="Arial" w:eastAsia="Arial" w:hAnsi="Arial"/>
                <w:sz w:val="16"/>
                <w:szCs w:val="16"/>
                <w:b w:val="1"/>
                <w:bCs w:val="1"/>
                <w:color w:val="auto"/>
              </w:rPr>
              <w:t>Secured Party</w:t>
            </w:r>
          </w:p>
        </w:tc>
        <w:tc>
          <w:tcPr>
            <w:tcW w:w="54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Status</w:t>
            </w:r>
          </w:p>
        </w:tc>
        <w:tc>
          <w:tcPr>
            <w:tcW w:w="270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2"/>
        </w:trPr>
        <w:tc>
          <w:tcPr>
            <w:tcW w:w="1880" w:type="dxa"/>
            <w:vAlign w:val="bottom"/>
            <w:tcBorders>
              <w:top w:val="single" w:sz="8" w:color="auto"/>
              <w:left w:val="single" w:sz="8" w:color="auto"/>
              <w:right w:val="single" w:sz="8" w:color="auto"/>
            </w:tcBorders>
            <w:gridSpan w:val="2"/>
            <w:vMerge w:val="continue"/>
          </w:tcPr>
          <w:p>
            <w:pPr>
              <w:spacing w:after="0"/>
              <w:rPr>
                <w:sz w:val="14"/>
                <w:szCs w:val="14"/>
                <w:color w:val="auto"/>
              </w:rPr>
            </w:pPr>
          </w:p>
        </w:tc>
        <w:tc>
          <w:tcPr>
            <w:tcW w:w="920" w:type="dxa"/>
            <w:vAlign w:val="bottom"/>
            <w:tcBorders>
              <w:top w:val="single" w:sz="8" w:color="auto"/>
              <w:right w:val="single" w:sz="8" w:color="auto"/>
            </w:tcBorders>
            <w:gridSpan w:val="2"/>
            <w:vMerge w:val="continue"/>
          </w:tcPr>
          <w:p>
            <w:pPr>
              <w:spacing w:after="0"/>
              <w:rPr>
                <w:sz w:val="14"/>
                <w:szCs w:val="14"/>
                <w:color w:val="auto"/>
              </w:rPr>
            </w:pPr>
          </w:p>
        </w:tc>
        <w:tc>
          <w:tcPr>
            <w:tcW w:w="520" w:type="dxa"/>
            <w:vAlign w:val="bottom"/>
            <w:tcBorders>
              <w:top w:val="single" w:sz="8" w:color="auto"/>
              <w:right w:val="single" w:sz="8" w:color="auto"/>
            </w:tcBorders>
            <w:gridSpan w:val="2"/>
            <w:vMerge w:val="continue"/>
          </w:tcPr>
          <w:p>
            <w:pPr>
              <w:spacing w:after="0"/>
              <w:rPr>
                <w:sz w:val="14"/>
                <w:szCs w:val="14"/>
                <w:color w:val="auto"/>
              </w:rPr>
            </w:pPr>
          </w:p>
        </w:tc>
        <w:tc>
          <w:tcPr>
            <w:tcW w:w="780" w:type="dxa"/>
            <w:vAlign w:val="bottom"/>
            <w:tcBorders>
              <w:top w:val="single" w:sz="8" w:color="auto"/>
              <w:right w:val="single" w:sz="8" w:color="auto"/>
            </w:tcBorders>
            <w:gridSpan w:val="2"/>
            <w:vMerge w:val="continue"/>
          </w:tcPr>
          <w:p>
            <w:pPr>
              <w:spacing w:after="0"/>
              <w:rPr>
                <w:sz w:val="14"/>
                <w:szCs w:val="14"/>
                <w:color w:val="auto"/>
              </w:rPr>
            </w:pPr>
          </w:p>
        </w:tc>
        <w:tc>
          <w:tcPr>
            <w:tcW w:w="720" w:type="dxa"/>
            <w:vAlign w:val="bottom"/>
            <w:tcBorders>
              <w:top w:val="single" w:sz="8" w:color="auto"/>
              <w:right w:val="single" w:sz="8" w:color="auto"/>
            </w:tcBorders>
            <w:gridSpan w:val="2"/>
            <w:vMerge w:val="continue"/>
          </w:tcPr>
          <w:p>
            <w:pPr>
              <w:spacing w:after="0"/>
              <w:rPr>
                <w:sz w:val="14"/>
                <w:szCs w:val="14"/>
                <w:color w:val="auto"/>
              </w:rPr>
            </w:pPr>
          </w:p>
        </w:tc>
        <w:tc>
          <w:tcPr>
            <w:tcW w:w="960" w:type="dxa"/>
            <w:vAlign w:val="bottom"/>
            <w:tcBorders>
              <w:top w:val="single" w:sz="8" w:color="auto"/>
            </w:tcBorders>
          </w:tcPr>
          <w:p>
            <w:pPr>
              <w:spacing w:after="0" w:line="161" w:lineRule="exact"/>
              <w:rPr>
                <w:sz w:val="20"/>
                <w:szCs w:val="20"/>
                <w:color w:val="auto"/>
              </w:rPr>
            </w:pPr>
            <w:r>
              <w:rPr>
                <w:rFonts w:ascii="Arial" w:cs="Arial" w:eastAsia="Arial" w:hAnsi="Arial"/>
                <w:sz w:val="16"/>
                <w:szCs w:val="16"/>
                <w:b w:val="1"/>
                <w:bCs w:val="1"/>
                <w:color w:val="auto"/>
              </w:rPr>
              <w:t>Name</w:t>
            </w:r>
          </w:p>
        </w:tc>
        <w:tc>
          <w:tcPr>
            <w:tcW w:w="680" w:type="dxa"/>
            <w:vAlign w:val="bottom"/>
            <w:tcBorders>
              <w:right w:val="single" w:sz="8" w:color="auto"/>
            </w:tcBorders>
          </w:tcPr>
          <w:p>
            <w:pPr>
              <w:spacing w:after="0"/>
              <w:rPr>
                <w:sz w:val="14"/>
                <w:szCs w:val="14"/>
                <w:color w:val="auto"/>
              </w:rPr>
            </w:pPr>
          </w:p>
        </w:tc>
        <w:tc>
          <w:tcPr>
            <w:tcW w:w="540" w:type="dxa"/>
            <w:vAlign w:val="bottom"/>
            <w:tcBorders>
              <w:top w:val="single" w:sz="8" w:color="auto"/>
              <w:right w:val="single" w:sz="8" w:color="auto"/>
            </w:tcBorders>
            <w:gridSpan w:val="2"/>
            <w:vMerge w:val="continue"/>
          </w:tcPr>
          <w:p>
            <w:pPr>
              <w:spacing w:after="0"/>
              <w:rPr>
                <w:sz w:val="14"/>
                <w:szCs w:val="14"/>
                <w:color w:val="auto"/>
              </w:rPr>
            </w:pPr>
          </w:p>
        </w:tc>
        <w:tc>
          <w:tcPr>
            <w:tcW w:w="2700" w:type="dxa"/>
            <w:vAlign w:val="bottom"/>
            <w:tcBorders>
              <w:top w:val="single" w:sz="8" w:color="auto"/>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40" w:type="dxa"/>
            <w:vAlign w:val="bottom"/>
            <w:tcBorders>
              <w:lef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gridSpan w:val="2"/>
          </w:tcPr>
          <w:p>
            <w:pPr>
              <w:spacing w:after="0" w:line="131" w:lineRule="exact"/>
              <w:rPr>
                <w:sz w:val="20"/>
                <w:szCs w:val="20"/>
                <w:color w:val="auto"/>
              </w:rPr>
            </w:pPr>
            <w:r>
              <w:rPr>
                <w:rFonts w:ascii="Arial" w:cs="Arial" w:eastAsia="Arial" w:hAnsi="Arial"/>
                <w:sz w:val="13"/>
                <w:szCs w:val="13"/>
                <w:color w:val="auto"/>
              </w:rPr>
              <w:t>De Lage Landen</w:t>
            </w: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700" w:type="dxa"/>
            <w:vAlign w:val="bottom"/>
            <w:tcBorders>
              <w:right w:val="single" w:sz="8" w:color="auto"/>
            </w:tcBorders>
            <w:gridSpan w:val="2"/>
          </w:tcPr>
          <w:p>
            <w:pPr>
              <w:spacing w:after="0" w:line="131" w:lineRule="exact"/>
              <w:rPr>
                <w:sz w:val="20"/>
                <w:szCs w:val="20"/>
                <w:color w:val="auto"/>
              </w:rPr>
            </w:pPr>
            <w:r>
              <w:rPr>
                <w:rFonts w:ascii="Arial" w:cs="Arial" w:eastAsia="Arial" w:hAnsi="Arial"/>
                <w:sz w:val="13"/>
                <w:szCs w:val="13"/>
                <w:color w:val="auto"/>
              </w:rPr>
              <w:t>DMX2000 for AS400</w:t>
            </w:r>
          </w:p>
        </w:tc>
        <w:tc>
          <w:tcPr>
            <w:tcW w:w="0" w:type="dxa"/>
            <w:vAlign w:val="bottom"/>
          </w:tcPr>
          <w:p>
            <w:pPr>
              <w:spacing w:after="0"/>
              <w:rPr>
                <w:sz w:val="1"/>
                <w:szCs w:val="1"/>
                <w:color w:val="auto"/>
              </w:rPr>
            </w:pPr>
          </w:p>
        </w:tc>
      </w:tr>
      <w:tr>
        <w:trPr>
          <w:trHeight w:val="192"/>
        </w:trPr>
        <w:tc>
          <w:tcPr>
            <w:tcW w:w="188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Casual Male Retail Group, Inc.</w:t>
            </w:r>
          </w:p>
        </w:tc>
        <w:tc>
          <w:tcPr>
            <w:tcW w:w="9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Delaware</w:t>
            </w:r>
          </w:p>
        </w:tc>
        <w:tc>
          <w:tcPr>
            <w:tcW w:w="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UCC-1</w:t>
            </w: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09/21/05</w:t>
            </w:r>
          </w:p>
        </w:tc>
        <w:tc>
          <w:tcPr>
            <w:tcW w:w="1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52915453</w:t>
            </w:r>
          </w:p>
        </w:tc>
        <w:tc>
          <w:tcPr>
            <w:tcW w:w="1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Financial Services, Inc.</w:t>
            </w:r>
          </w:p>
        </w:tc>
        <w:tc>
          <w:tcPr>
            <w:tcW w:w="5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Active</w:t>
            </w:r>
          </w:p>
        </w:tc>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System</w:t>
            </w:r>
          </w:p>
        </w:tc>
        <w:tc>
          <w:tcPr>
            <w:tcW w:w="0" w:type="dxa"/>
            <w:vAlign w:val="bottom"/>
          </w:tcPr>
          <w:p>
            <w:pPr>
              <w:spacing w:after="0"/>
              <w:rPr>
                <w:sz w:val="1"/>
                <w:szCs w:val="1"/>
                <w:color w:val="auto"/>
              </w:rPr>
            </w:pPr>
          </w:p>
        </w:tc>
      </w:tr>
      <w:tr>
        <w:trPr>
          <w:trHeight w:val="141"/>
        </w:trPr>
        <w:tc>
          <w:tcPr>
            <w:tcW w:w="940" w:type="dxa"/>
            <w:vAlign w:val="bottom"/>
            <w:tcBorders>
              <w:lef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00" w:type="dxa"/>
            <w:vAlign w:val="bottom"/>
          </w:tcPr>
          <w:p>
            <w:pPr>
              <w:spacing w:after="0" w:line="141" w:lineRule="exact"/>
              <w:rPr>
                <w:sz w:val="20"/>
                <w:szCs w:val="20"/>
                <w:color w:val="auto"/>
              </w:rPr>
            </w:pPr>
            <w:r>
              <w:rPr>
                <w:rFonts w:ascii="Arial" w:cs="Arial" w:eastAsia="Arial" w:hAnsi="Arial"/>
                <w:sz w:val="13"/>
                <w:szCs w:val="13"/>
                <w:color w:val="auto"/>
                <w:w w:val="89"/>
              </w:rPr>
              <w:t>12/03/2010</w:t>
            </w:r>
          </w:p>
        </w:tc>
        <w:tc>
          <w:tcPr>
            <w:tcW w:w="1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 Lage Landen</w:t>
            </w: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DMX2000 for AS400</w:t>
            </w:r>
          </w:p>
        </w:tc>
        <w:tc>
          <w:tcPr>
            <w:tcW w:w="0" w:type="dxa"/>
            <w:vAlign w:val="bottom"/>
          </w:tcPr>
          <w:p>
            <w:pPr>
              <w:spacing w:after="0"/>
              <w:rPr>
                <w:sz w:val="1"/>
                <w:szCs w:val="1"/>
                <w:color w:val="auto"/>
              </w:rPr>
            </w:pPr>
          </w:p>
        </w:tc>
      </w:tr>
      <w:tr>
        <w:trPr>
          <w:trHeight w:val="192"/>
        </w:trPr>
        <w:tc>
          <w:tcPr>
            <w:tcW w:w="188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Casual Male Retail Group, Inc.</w:t>
            </w:r>
          </w:p>
        </w:tc>
        <w:tc>
          <w:tcPr>
            <w:tcW w:w="9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Delaware</w:t>
            </w:r>
          </w:p>
        </w:tc>
        <w:tc>
          <w:tcPr>
            <w:tcW w:w="5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UCC-1</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04249094</w:t>
            </w:r>
          </w:p>
        </w:tc>
        <w:tc>
          <w:tcPr>
            <w:tcW w:w="1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Financial Services, Inc.</w:t>
            </w:r>
          </w:p>
        </w:tc>
        <w:tc>
          <w:tcPr>
            <w:tcW w:w="5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Active</w:t>
            </w:r>
          </w:p>
        </w:tc>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System</w:t>
            </w: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Destination XL Group, Inc.</w:t>
            </w:r>
          </w:p>
        </w:tc>
        <w:tc>
          <w:tcPr>
            <w:tcW w:w="9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Delaware</w:t>
            </w:r>
          </w:p>
        </w:tc>
        <w:tc>
          <w:tcPr>
            <w:tcW w:w="5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UCC-1</w:t>
            </w:r>
          </w:p>
        </w:tc>
        <w:tc>
          <w:tcPr>
            <w:tcW w:w="600" w:type="dxa"/>
            <w:vAlign w:val="bottom"/>
          </w:tcPr>
          <w:p>
            <w:pPr>
              <w:spacing w:after="0" w:line="141" w:lineRule="exact"/>
              <w:rPr>
                <w:sz w:val="20"/>
                <w:szCs w:val="20"/>
                <w:color w:val="auto"/>
              </w:rPr>
            </w:pPr>
            <w:r>
              <w:rPr>
                <w:rFonts w:ascii="Arial" w:cs="Arial" w:eastAsia="Arial" w:hAnsi="Arial"/>
                <w:sz w:val="13"/>
                <w:szCs w:val="13"/>
                <w:color w:val="auto"/>
                <w:w w:val="89"/>
              </w:rPr>
              <w:t>10/01/2013</w:t>
            </w:r>
          </w:p>
        </w:tc>
        <w:tc>
          <w:tcPr>
            <w:tcW w:w="180" w:type="dxa"/>
            <w:vAlign w:val="bottom"/>
            <w:tcBorders>
              <w:right w:val="single" w:sz="8" w:color="auto"/>
            </w:tcBorders>
          </w:tcPr>
          <w:p>
            <w:pPr>
              <w:spacing w:after="0"/>
              <w:rPr>
                <w:sz w:val="12"/>
                <w:szCs w:val="12"/>
                <w:color w:val="auto"/>
              </w:rPr>
            </w:pPr>
          </w:p>
        </w:tc>
        <w:tc>
          <w:tcPr>
            <w:tcW w:w="520" w:type="dxa"/>
            <w:vAlign w:val="bottom"/>
          </w:tcPr>
          <w:p>
            <w:pPr>
              <w:spacing w:after="0" w:line="141" w:lineRule="exact"/>
              <w:rPr>
                <w:sz w:val="20"/>
                <w:szCs w:val="20"/>
                <w:color w:val="auto"/>
              </w:rPr>
            </w:pPr>
            <w:r>
              <w:rPr>
                <w:rFonts w:ascii="Arial" w:cs="Arial" w:eastAsia="Arial" w:hAnsi="Arial"/>
                <w:sz w:val="13"/>
                <w:szCs w:val="13"/>
                <w:color w:val="auto"/>
                <w:w w:val="98"/>
              </w:rPr>
              <w:t>3829455</w:t>
            </w:r>
          </w:p>
        </w:tc>
        <w:tc>
          <w:tcPr>
            <w:tcW w:w="2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Berkshire Bank - This was</w:t>
            </w:r>
          </w:p>
        </w:tc>
        <w:tc>
          <w:tcPr>
            <w:tcW w:w="5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Active</w:t>
            </w:r>
          </w:p>
        </w:tc>
        <w:tc>
          <w:tcPr>
            <w:tcW w:w="270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Distribution Center equipment, signage,</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assigned by Banc of</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corporate security system and corporate</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America Leasing &amp; Capital,</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computer and</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LLC on</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communication equipment</w:t>
            </w: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10/08/2013</w:t>
            </w:r>
          </w:p>
        </w:tc>
        <w:tc>
          <w:tcPr>
            <w:tcW w:w="6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Destination XL Group, Inc.</w:t>
            </w:r>
          </w:p>
        </w:tc>
        <w:tc>
          <w:tcPr>
            <w:tcW w:w="9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Delaware</w:t>
            </w:r>
          </w:p>
        </w:tc>
        <w:tc>
          <w:tcPr>
            <w:tcW w:w="5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UCC-1</w:t>
            </w:r>
          </w:p>
        </w:tc>
        <w:tc>
          <w:tcPr>
            <w:tcW w:w="600" w:type="dxa"/>
            <w:vAlign w:val="bottom"/>
          </w:tcPr>
          <w:p>
            <w:pPr>
              <w:spacing w:after="0" w:line="141" w:lineRule="exact"/>
              <w:rPr>
                <w:sz w:val="20"/>
                <w:szCs w:val="20"/>
                <w:color w:val="auto"/>
              </w:rPr>
            </w:pPr>
            <w:r>
              <w:rPr>
                <w:rFonts w:ascii="Arial" w:cs="Arial" w:eastAsia="Arial" w:hAnsi="Arial"/>
                <w:sz w:val="13"/>
                <w:szCs w:val="13"/>
                <w:color w:val="auto"/>
                <w:w w:val="89"/>
              </w:rPr>
              <w:t>10/01/2013</w:t>
            </w:r>
          </w:p>
        </w:tc>
        <w:tc>
          <w:tcPr>
            <w:tcW w:w="180" w:type="dxa"/>
            <w:vAlign w:val="bottom"/>
            <w:tcBorders>
              <w:right w:val="single" w:sz="8" w:color="auto"/>
            </w:tcBorders>
          </w:tcPr>
          <w:p>
            <w:pPr>
              <w:spacing w:after="0"/>
              <w:rPr>
                <w:sz w:val="12"/>
                <w:szCs w:val="12"/>
                <w:color w:val="auto"/>
              </w:rPr>
            </w:pPr>
          </w:p>
        </w:tc>
        <w:tc>
          <w:tcPr>
            <w:tcW w:w="520" w:type="dxa"/>
            <w:vAlign w:val="bottom"/>
          </w:tcPr>
          <w:p>
            <w:pPr>
              <w:spacing w:after="0" w:line="141" w:lineRule="exact"/>
              <w:rPr>
                <w:sz w:val="20"/>
                <w:szCs w:val="20"/>
                <w:color w:val="auto"/>
              </w:rPr>
            </w:pPr>
            <w:r>
              <w:rPr>
                <w:rFonts w:ascii="Arial" w:cs="Arial" w:eastAsia="Arial" w:hAnsi="Arial"/>
                <w:sz w:val="13"/>
                <w:szCs w:val="13"/>
                <w:color w:val="auto"/>
                <w:w w:val="98"/>
              </w:rPr>
              <w:t>3831790</w:t>
            </w:r>
          </w:p>
        </w:tc>
        <w:tc>
          <w:tcPr>
            <w:tcW w:w="2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w w:val="95"/>
              </w:rPr>
              <w:t>Bridge Capital Leasing, Inc. -</w:t>
            </w:r>
          </w:p>
        </w:tc>
        <w:tc>
          <w:tcPr>
            <w:tcW w:w="5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Active</w:t>
            </w:r>
          </w:p>
        </w:tc>
        <w:tc>
          <w:tcPr>
            <w:tcW w:w="270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Store fixtures</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This was assigned</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by Banc of America</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Leasing &amp; Capital, LLC</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on 10/25/2013</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Destination XL Group, Inc.</w:t>
            </w:r>
          </w:p>
        </w:tc>
        <w:tc>
          <w:tcPr>
            <w:tcW w:w="9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Delaware</w:t>
            </w:r>
          </w:p>
        </w:tc>
        <w:tc>
          <w:tcPr>
            <w:tcW w:w="5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UCC-1</w:t>
            </w:r>
          </w:p>
        </w:tc>
        <w:tc>
          <w:tcPr>
            <w:tcW w:w="600" w:type="dxa"/>
            <w:vAlign w:val="bottom"/>
          </w:tcPr>
          <w:p>
            <w:pPr>
              <w:spacing w:after="0" w:line="141" w:lineRule="exact"/>
              <w:rPr>
                <w:sz w:val="20"/>
                <w:szCs w:val="20"/>
                <w:color w:val="auto"/>
              </w:rPr>
            </w:pPr>
            <w:r>
              <w:rPr>
                <w:rFonts w:ascii="Arial" w:cs="Arial" w:eastAsia="Arial" w:hAnsi="Arial"/>
                <w:sz w:val="13"/>
                <w:szCs w:val="13"/>
                <w:color w:val="auto"/>
                <w:w w:val="89"/>
              </w:rPr>
              <w:t>12/22/2013</w:t>
            </w:r>
          </w:p>
        </w:tc>
        <w:tc>
          <w:tcPr>
            <w:tcW w:w="180" w:type="dxa"/>
            <w:vAlign w:val="bottom"/>
            <w:tcBorders>
              <w:right w:val="single" w:sz="8" w:color="auto"/>
            </w:tcBorders>
          </w:tcPr>
          <w:p>
            <w:pPr>
              <w:spacing w:after="0"/>
              <w:rPr>
                <w:sz w:val="12"/>
                <w:szCs w:val="12"/>
                <w:color w:val="auto"/>
              </w:rPr>
            </w:pPr>
          </w:p>
        </w:tc>
        <w:tc>
          <w:tcPr>
            <w:tcW w:w="520" w:type="dxa"/>
            <w:vAlign w:val="bottom"/>
          </w:tcPr>
          <w:p>
            <w:pPr>
              <w:spacing w:after="0" w:line="141" w:lineRule="exact"/>
              <w:rPr>
                <w:sz w:val="20"/>
                <w:szCs w:val="20"/>
                <w:color w:val="auto"/>
              </w:rPr>
            </w:pPr>
            <w:r>
              <w:rPr>
                <w:rFonts w:ascii="Arial" w:cs="Arial" w:eastAsia="Arial" w:hAnsi="Arial"/>
                <w:sz w:val="13"/>
                <w:szCs w:val="13"/>
                <w:color w:val="auto"/>
                <w:w w:val="98"/>
              </w:rPr>
              <w:t>5069506</w:t>
            </w:r>
          </w:p>
        </w:tc>
        <w:tc>
          <w:tcPr>
            <w:tcW w:w="2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Berkshire Bank - This</w:t>
            </w:r>
          </w:p>
        </w:tc>
        <w:tc>
          <w:tcPr>
            <w:tcW w:w="5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Active</w:t>
            </w:r>
          </w:p>
        </w:tc>
        <w:tc>
          <w:tcPr>
            <w:tcW w:w="270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Distribution Center</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was assigned by Banc of</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w w:val="98"/>
              </w:rPr>
              <w:t>equipment, signage, corporate security system</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America Leasing &amp; Capital,</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and corporate computer and communication</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LLC on</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equipment</w:t>
            </w: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03/31/2014</w:t>
            </w:r>
          </w:p>
        </w:tc>
        <w:tc>
          <w:tcPr>
            <w:tcW w:w="6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Destination XL Group, Inc.</w:t>
            </w:r>
          </w:p>
        </w:tc>
        <w:tc>
          <w:tcPr>
            <w:tcW w:w="9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Delaware</w:t>
            </w:r>
          </w:p>
        </w:tc>
        <w:tc>
          <w:tcPr>
            <w:tcW w:w="5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UCC-1</w:t>
            </w:r>
          </w:p>
        </w:tc>
        <w:tc>
          <w:tcPr>
            <w:tcW w:w="600" w:type="dxa"/>
            <w:vAlign w:val="bottom"/>
          </w:tcPr>
          <w:p>
            <w:pPr>
              <w:spacing w:after="0" w:line="141" w:lineRule="exact"/>
              <w:rPr>
                <w:sz w:val="20"/>
                <w:szCs w:val="20"/>
                <w:color w:val="auto"/>
              </w:rPr>
            </w:pPr>
            <w:r>
              <w:rPr>
                <w:rFonts w:ascii="Arial" w:cs="Arial" w:eastAsia="Arial" w:hAnsi="Arial"/>
                <w:sz w:val="13"/>
                <w:szCs w:val="13"/>
                <w:color w:val="auto"/>
                <w:w w:val="89"/>
              </w:rPr>
              <w:t>03/31/2014</w:t>
            </w:r>
          </w:p>
        </w:tc>
        <w:tc>
          <w:tcPr>
            <w:tcW w:w="180" w:type="dxa"/>
            <w:vAlign w:val="bottom"/>
            <w:tcBorders>
              <w:right w:val="single" w:sz="8" w:color="auto"/>
            </w:tcBorders>
          </w:tcPr>
          <w:p>
            <w:pPr>
              <w:spacing w:after="0"/>
              <w:rPr>
                <w:sz w:val="12"/>
                <w:szCs w:val="12"/>
                <w:color w:val="auto"/>
              </w:rPr>
            </w:pPr>
          </w:p>
        </w:tc>
        <w:tc>
          <w:tcPr>
            <w:tcW w:w="520" w:type="dxa"/>
            <w:vAlign w:val="bottom"/>
          </w:tcPr>
          <w:p>
            <w:pPr>
              <w:spacing w:after="0" w:line="141" w:lineRule="exact"/>
              <w:rPr>
                <w:sz w:val="20"/>
                <w:szCs w:val="20"/>
                <w:color w:val="auto"/>
              </w:rPr>
            </w:pPr>
            <w:r>
              <w:rPr>
                <w:rFonts w:ascii="Arial" w:cs="Arial" w:eastAsia="Arial" w:hAnsi="Arial"/>
                <w:sz w:val="13"/>
                <w:szCs w:val="13"/>
                <w:color w:val="auto"/>
                <w:w w:val="98"/>
              </w:rPr>
              <w:t>1247402</w:t>
            </w:r>
          </w:p>
        </w:tc>
        <w:tc>
          <w:tcPr>
            <w:tcW w:w="2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Berkshire Bank - This</w:t>
            </w:r>
          </w:p>
        </w:tc>
        <w:tc>
          <w:tcPr>
            <w:tcW w:w="5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Active</w:t>
            </w:r>
          </w:p>
        </w:tc>
        <w:tc>
          <w:tcPr>
            <w:tcW w:w="270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Distribution Center</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was assigned by Banc of</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w w:val="98"/>
              </w:rPr>
              <w:t>equipment, signage, corporate security system</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America Leasing &amp; Capital,</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and corporate</w:t>
            </w: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LLC on</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940" w:type="dxa"/>
            <w:vAlign w:val="bottom"/>
            <w:tcBorders>
              <w:lef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60" w:type="dxa"/>
            <w:vAlign w:val="bottom"/>
          </w:tcPr>
          <w:p>
            <w:pPr>
              <w:spacing w:after="0" w:line="141" w:lineRule="exact"/>
              <w:rPr>
                <w:sz w:val="20"/>
                <w:szCs w:val="20"/>
                <w:color w:val="auto"/>
              </w:rPr>
            </w:pPr>
            <w:r>
              <w:rPr>
                <w:rFonts w:ascii="Arial" w:cs="Arial" w:eastAsia="Arial" w:hAnsi="Arial"/>
                <w:sz w:val="13"/>
                <w:szCs w:val="13"/>
                <w:color w:val="auto"/>
              </w:rPr>
              <w:t>04/09/2014</w:t>
            </w:r>
          </w:p>
        </w:tc>
        <w:tc>
          <w:tcPr>
            <w:tcW w:w="6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70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computer and</w:t>
            </w: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communication equipment</w:t>
            </w: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Destination XL Group, Inc.</w:t>
            </w:r>
          </w:p>
        </w:tc>
        <w:tc>
          <w:tcPr>
            <w:tcW w:w="9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Delaware</w:t>
            </w:r>
          </w:p>
        </w:tc>
        <w:tc>
          <w:tcPr>
            <w:tcW w:w="5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UCC-1</w:t>
            </w:r>
          </w:p>
        </w:tc>
        <w:tc>
          <w:tcPr>
            <w:tcW w:w="600" w:type="dxa"/>
            <w:vAlign w:val="bottom"/>
          </w:tcPr>
          <w:p>
            <w:pPr>
              <w:spacing w:after="0" w:line="141" w:lineRule="exact"/>
              <w:rPr>
                <w:sz w:val="20"/>
                <w:szCs w:val="20"/>
                <w:color w:val="auto"/>
              </w:rPr>
            </w:pPr>
            <w:r>
              <w:rPr>
                <w:rFonts w:ascii="Arial" w:cs="Arial" w:eastAsia="Arial" w:hAnsi="Arial"/>
                <w:sz w:val="13"/>
                <w:szCs w:val="13"/>
                <w:color w:val="auto"/>
                <w:w w:val="89"/>
              </w:rPr>
              <w:t>06/20/2014</w:t>
            </w:r>
          </w:p>
        </w:tc>
        <w:tc>
          <w:tcPr>
            <w:tcW w:w="180" w:type="dxa"/>
            <w:vAlign w:val="bottom"/>
            <w:tcBorders>
              <w:right w:val="single" w:sz="8" w:color="auto"/>
            </w:tcBorders>
          </w:tcPr>
          <w:p>
            <w:pPr>
              <w:spacing w:after="0"/>
              <w:rPr>
                <w:sz w:val="12"/>
                <w:szCs w:val="12"/>
                <w:color w:val="auto"/>
              </w:rPr>
            </w:pPr>
          </w:p>
        </w:tc>
        <w:tc>
          <w:tcPr>
            <w:tcW w:w="520" w:type="dxa"/>
            <w:vAlign w:val="bottom"/>
          </w:tcPr>
          <w:p>
            <w:pPr>
              <w:spacing w:after="0" w:line="141" w:lineRule="exact"/>
              <w:rPr>
                <w:sz w:val="20"/>
                <w:szCs w:val="20"/>
                <w:color w:val="auto"/>
              </w:rPr>
            </w:pPr>
            <w:r>
              <w:rPr>
                <w:rFonts w:ascii="Arial" w:cs="Arial" w:eastAsia="Arial" w:hAnsi="Arial"/>
                <w:sz w:val="13"/>
                <w:szCs w:val="13"/>
                <w:color w:val="auto"/>
                <w:w w:val="98"/>
              </w:rPr>
              <w:t>2440402</w:t>
            </w:r>
          </w:p>
        </w:tc>
        <w:tc>
          <w:tcPr>
            <w:tcW w:w="2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Berkshire Bank - This was</w:t>
            </w:r>
          </w:p>
        </w:tc>
        <w:tc>
          <w:tcPr>
            <w:tcW w:w="5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Active</w:t>
            </w:r>
          </w:p>
        </w:tc>
        <w:tc>
          <w:tcPr>
            <w:tcW w:w="270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Distribution Center equipment, signage,</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assigned by Banc of</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corporate security system and corporate</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America Leasing &amp; Capital,</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computer and</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LLC on</w:t>
            </w:r>
          </w:p>
        </w:tc>
        <w:tc>
          <w:tcPr>
            <w:tcW w:w="4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communication equipment</w:t>
            </w: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06/26/2014</w:t>
            </w:r>
          </w:p>
        </w:tc>
        <w:tc>
          <w:tcPr>
            <w:tcW w:w="680" w:type="dxa"/>
            <w:vAlign w:val="bottom"/>
            <w:tcBorders>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880" w:type="dxa"/>
            <w:vAlign w:val="bottom"/>
            <w:tcBorders>
              <w:left w:val="single" w:sz="8" w:color="auto"/>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Destination XL Group, Inc.</w:t>
            </w:r>
          </w:p>
        </w:tc>
        <w:tc>
          <w:tcPr>
            <w:tcW w:w="9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Delaware</w:t>
            </w:r>
          </w:p>
        </w:tc>
        <w:tc>
          <w:tcPr>
            <w:tcW w:w="52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UCC-1</w:t>
            </w:r>
          </w:p>
        </w:tc>
        <w:tc>
          <w:tcPr>
            <w:tcW w:w="600" w:type="dxa"/>
            <w:vAlign w:val="bottom"/>
          </w:tcPr>
          <w:p>
            <w:pPr>
              <w:spacing w:after="0" w:line="141" w:lineRule="exact"/>
              <w:rPr>
                <w:sz w:val="20"/>
                <w:szCs w:val="20"/>
                <w:color w:val="auto"/>
              </w:rPr>
            </w:pPr>
            <w:r>
              <w:rPr>
                <w:rFonts w:ascii="Arial" w:cs="Arial" w:eastAsia="Arial" w:hAnsi="Arial"/>
                <w:sz w:val="13"/>
                <w:szCs w:val="13"/>
                <w:color w:val="auto"/>
                <w:w w:val="89"/>
              </w:rPr>
              <w:t>09/11/2014</w:t>
            </w:r>
          </w:p>
        </w:tc>
        <w:tc>
          <w:tcPr>
            <w:tcW w:w="180" w:type="dxa"/>
            <w:vAlign w:val="bottom"/>
            <w:tcBorders>
              <w:right w:val="single" w:sz="8" w:color="auto"/>
            </w:tcBorders>
          </w:tcPr>
          <w:p>
            <w:pPr>
              <w:spacing w:after="0"/>
              <w:rPr>
                <w:sz w:val="12"/>
                <w:szCs w:val="12"/>
                <w:color w:val="auto"/>
              </w:rPr>
            </w:pPr>
          </w:p>
        </w:tc>
        <w:tc>
          <w:tcPr>
            <w:tcW w:w="520" w:type="dxa"/>
            <w:vAlign w:val="bottom"/>
          </w:tcPr>
          <w:p>
            <w:pPr>
              <w:spacing w:after="0" w:line="141" w:lineRule="exact"/>
              <w:rPr>
                <w:sz w:val="20"/>
                <w:szCs w:val="20"/>
                <w:color w:val="auto"/>
              </w:rPr>
            </w:pPr>
            <w:r>
              <w:rPr>
                <w:rFonts w:ascii="Arial" w:cs="Arial" w:eastAsia="Arial" w:hAnsi="Arial"/>
                <w:sz w:val="13"/>
                <w:szCs w:val="13"/>
                <w:color w:val="auto"/>
                <w:w w:val="98"/>
              </w:rPr>
              <w:t>3636099</w:t>
            </w:r>
          </w:p>
        </w:tc>
        <w:tc>
          <w:tcPr>
            <w:tcW w:w="2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Everbank Commercial</w:t>
            </w:r>
          </w:p>
        </w:tc>
        <w:tc>
          <w:tcPr>
            <w:tcW w:w="54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Active</w:t>
            </w:r>
          </w:p>
        </w:tc>
        <w:tc>
          <w:tcPr>
            <w:tcW w:w="2700" w:type="dxa"/>
            <w:vAlign w:val="bottom"/>
            <w:tcBorders>
              <w:right w:val="single" w:sz="8" w:color="auto"/>
            </w:tcBorders>
            <w:gridSpan w:val="2"/>
          </w:tcPr>
          <w:p>
            <w:pPr>
              <w:spacing w:after="0" w:line="141" w:lineRule="exact"/>
              <w:rPr>
                <w:sz w:val="20"/>
                <w:szCs w:val="20"/>
                <w:color w:val="auto"/>
              </w:rPr>
            </w:pPr>
            <w:r>
              <w:rPr>
                <w:rFonts w:ascii="Arial" w:cs="Arial" w:eastAsia="Arial" w:hAnsi="Arial"/>
                <w:sz w:val="13"/>
                <w:szCs w:val="13"/>
                <w:color w:val="auto"/>
              </w:rPr>
              <w:t>Equipment leased pursuant to Payment</w:t>
            </w:r>
          </w:p>
        </w:tc>
        <w:tc>
          <w:tcPr>
            <w:tcW w:w="0" w:type="dxa"/>
            <w:vAlign w:val="bottom"/>
          </w:tcPr>
          <w:p>
            <w:pPr>
              <w:spacing w:after="0"/>
              <w:rPr>
                <w:sz w:val="1"/>
                <w:szCs w:val="1"/>
                <w:color w:val="auto"/>
              </w:rPr>
            </w:pPr>
          </w:p>
        </w:tc>
      </w:tr>
      <w:tr>
        <w:trPr>
          <w:trHeight w:val="172"/>
        </w:trPr>
        <w:tc>
          <w:tcPr>
            <w:tcW w:w="940" w:type="dxa"/>
            <w:vAlign w:val="bottom"/>
            <w:tcBorders>
              <w:left w:val="single" w:sz="8" w:color="auto"/>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Finance, Inc.</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27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Plan Agreement</w:t>
            </w:r>
          </w:p>
        </w:tc>
        <w:tc>
          <w:tcPr>
            <w:tcW w:w="0" w:type="dxa"/>
            <w:vAlign w:val="bottom"/>
          </w:tcPr>
          <w:p>
            <w:pPr>
              <w:spacing w:after="0"/>
              <w:rPr>
                <w:sz w:val="1"/>
                <w:szCs w:val="1"/>
                <w:color w:val="auto"/>
              </w:rPr>
            </w:pPr>
          </w:p>
        </w:tc>
      </w:tr>
    </w:tbl>
    <w:p>
      <w:pPr>
        <w:sectPr>
          <w:pgSz w:w="11900" w:h="16838" w:orient="portrait"/>
          <w:cols w:equalWidth="0" w:num="1">
            <w:col w:w="9680"/>
          </w:cols>
          <w:pgMar w:left="1120" w:top="300" w:right="109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3"/>
          <w:szCs w:val="13"/>
          <w:b w:val="1"/>
          <w:bCs w:val="1"/>
          <w:color w:val="auto"/>
        </w:rPr>
        <w:t>EXHIBIT 2.10</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Term Note</w:t>
      </w:r>
    </w:p>
    <w:p>
      <w:pPr>
        <w:spacing w:after="0" w:line="262"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auto"/>
        </w:rPr>
        <w:t>CHOATE DRAFT DATED OCTOBER 8, 2014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NOTE</w:t>
      </w:r>
    </w:p>
    <w:p>
      <w:pPr>
        <w:spacing w:after="0" w:line="240" w:lineRule="exact"/>
        <w:rPr>
          <w:sz w:val="20"/>
          <w:szCs w:val="20"/>
          <w:color w:val="auto"/>
        </w:rPr>
      </w:pPr>
    </w:p>
    <w:p>
      <w:pPr>
        <w:spacing w:after="0"/>
        <w:tabs>
          <w:tab w:leader="none" w:pos="10340" w:val="left"/>
        </w:tabs>
        <w:rPr>
          <w:sz w:val="20"/>
          <w:szCs w:val="20"/>
          <w:color w:val="auto"/>
        </w:rPr>
      </w:pPr>
      <w:r>
        <w:rPr>
          <w:rFonts w:ascii="Arial" w:cs="Arial" w:eastAsia="Arial" w:hAnsi="Arial"/>
          <w:sz w:val="16"/>
          <w:szCs w:val="16"/>
          <w:color w:val="auto"/>
        </w:rPr>
        <w:t>$15,000,000.00</w:t>
      </w:r>
      <w:r>
        <w:rPr>
          <w:sz w:val="20"/>
          <w:szCs w:val="20"/>
          <w:color w:val="auto"/>
        </w:rPr>
        <w:tab/>
      </w:r>
      <w:r>
        <w:rPr>
          <w:rFonts w:ascii="Arial" w:cs="Arial" w:eastAsia="Arial" w:hAnsi="Arial"/>
          <w:sz w:val="14"/>
          <w:szCs w:val="14"/>
          <w:color w:val="auto"/>
        </w:rPr>
        <w:t>October [ ], 2014</w:t>
      </w:r>
    </w:p>
    <w:p>
      <w:pPr>
        <w:spacing w:after="0" w:line="149"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Boston, Massachusetts</w:t>
      </w:r>
    </w:p>
    <w:p>
      <w:pPr>
        <w:spacing w:after="0" w:line="166" w:lineRule="exact"/>
        <w:rPr>
          <w:sz w:val="20"/>
          <w:szCs w:val="20"/>
          <w:color w:val="auto"/>
        </w:rPr>
      </w:pPr>
    </w:p>
    <w:p>
      <w:pPr>
        <w:jc w:val="both"/>
        <w:ind w:firstLine="765"/>
        <w:spacing w:after="0" w:line="282" w:lineRule="auto"/>
        <w:rPr>
          <w:sz w:val="20"/>
          <w:szCs w:val="20"/>
          <w:color w:val="auto"/>
        </w:rPr>
      </w:pPr>
      <w:r>
        <w:rPr>
          <w:rFonts w:ascii="Arial" w:cs="Arial" w:eastAsia="Arial" w:hAnsi="Arial"/>
          <w:sz w:val="14"/>
          <w:szCs w:val="14"/>
          <w:color w:val="auto"/>
        </w:rPr>
        <w:t>FOR VALUE RECEIVED, the undersigned (individually, a “</w:t>
      </w:r>
      <w:r>
        <w:rPr>
          <w:rFonts w:ascii="Arial" w:cs="Arial" w:eastAsia="Arial" w:hAnsi="Arial"/>
          <w:sz w:val="14"/>
          <w:szCs w:val="14"/>
          <w:b w:val="1"/>
          <w:bCs w:val="1"/>
          <w:color w:val="auto"/>
        </w:rPr>
        <w:t>Borrower</w:t>
      </w:r>
      <w:r>
        <w:rPr>
          <w:rFonts w:ascii="Arial" w:cs="Arial" w:eastAsia="Arial" w:hAnsi="Arial"/>
          <w:sz w:val="14"/>
          <w:szCs w:val="14"/>
          <w:color w:val="auto"/>
        </w:rPr>
        <w:t>” and collectively, the “</w:t>
      </w:r>
      <w:r>
        <w:rPr>
          <w:rFonts w:ascii="Arial" w:cs="Arial" w:eastAsia="Arial" w:hAnsi="Arial"/>
          <w:sz w:val="14"/>
          <w:szCs w:val="14"/>
          <w:b w:val="1"/>
          <w:bCs w:val="1"/>
          <w:color w:val="auto"/>
        </w:rPr>
        <w:t>Borrowers</w:t>
      </w:r>
      <w:r>
        <w:rPr>
          <w:rFonts w:ascii="Arial" w:cs="Arial" w:eastAsia="Arial" w:hAnsi="Arial"/>
          <w:sz w:val="14"/>
          <w:szCs w:val="14"/>
          <w:color w:val="auto"/>
        </w:rPr>
        <w:t>”), jointly and severally promise to pay to the order of WELLS FARGO BANK, NATIONAL ASSOCIATION (hereinafter, with any subsequent holders, the “</w:t>
      </w:r>
      <w:r>
        <w:rPr>
          <w:rFonts w:ascii="Arial" w:cs="Arial" w:eastAsia="Arial" w:hAnsi="Arial"/>
          <w:sz w:val="14"/>
          <w:szCs w:val="14"/>
          <w:b w:val="1"/>
          <w:bCs w:val="1"/>
          <w:color w:val="auto"/>
        </w:rPr>
        <w:t>Term Lender</w:t>
      </w:r>
      <w:r>
        <w:rPr>
          <w:rFonts w:ascii="Arial" w:cs="Arial" w:eastAsia="Arial" w:hAnsi="Arial"/>
          <w:sz w:val="14"/>
          <w:szCs w:val="14"/>
          <w:color w:val="auto"/>
        </w:rPr>
        <w:t>”), a national banking association having an office at One Boston Place, 18</w:t>
      </w:r>
      <w:r>
        <w:rPr>
          <w:rFonts w:ascii="Arial" w:cs="Arial" w:eastAsia="Arial" w:hAnsi="Arial"/>
          <w:sz w:val="8"/>
          <w:szCs w:val="8"/>
          <w:color w:val="auto"/>
        </w:rPr>
        <w:t>th</w:t>
      </w:r>
      <w:r>
        <w:rPr>
          <w:rFonts w:ascii="Arial" w:cs="Arial" w:eastAsia="Arial" w:hAnsi="Arial"/>
          <w:sz w:val="14"/>
          <w:szCs w:val="14"/>
          <w:color w:val="auto"/>
        </w:rPr>
        <w:t xml:space="preserve"> Floor, Boston, Massachusetts 02108, the principal sum of FIFTEEN MILLION DOLLARS ($15,000,000.00) or, if less, the aggregate unpaid principal balance of Term Loans made to or for the account of the Borrowers pursuant to the Term Loan and Security Agreement dated as of October [ ], 2014 (as amended, modified, supplemented or restated and in effect from time to time, the “</w:t>
      </w:r>
      <w:r>
        <w:rPr>
          <w:rFonts w:ascii="Arial" w:cs="Arial" w:eastAsia="Arial" w:hAnsi="Arial"/>
          <w:sz w:val="14"/>
          <w:szCs w:val="14"/>
          <w:b w:val="1"/>
          <w:bCs w:val="1"/>
          <w:color w:val="auto"/>
        </w:rPr>
        <w:t>Loan Agreement</w:t>
      </w:r>
      <w:r>
        <w:rPr>
          <w:rFonts w:ascii="Arial" w:cs="Arial" w:eastAsia="Arial" w:hAnsi="Arial"/>
          <w:sz w:val="14"/>
          <w:szCs w:val="14"/>
          <w:color w:val="auto"/>
        </w:rPr>
        <w:t>”) between Wells Fargo Bank, National Association, a national banking association having an office at One Boston Place, 18</w:t>
      </w:r>
      <w:r>
        <w:rPr>
          <w:rFonts w:ascii="Arial" w:cs="Arial" w:eastAsia="Arial" w:hAnsi="Arial"/>
          <w:sz w:val="8"/>
          <w:szCs w:val="8"/>
          <w:color w:val="auto"/>
        </w:rPr>
        <w:t>th</w:t>
      </w:r>
      <w:r>
        <w:rPr>
          <w:rFonts w:ascii="Arial" w:cs="Arial" w:eastAsia="Arial" w:hAnsi="Arial"/>
          <w:sz w:val="14"/>
          <w:szCs w:val="14"/>
          <w:color w:val="auto"/>
        </w:rPr>
        <w:t xml:space="preserve"> Floor, Boston, Massachusetts 02108, as </w:t>
      </w:r>
      <w:r>
        <w:rPr>
          <w:rFonts w:ascii="Arial" w:cs="Arial" w:eastAsia="Arial" w:hAnsi="Arial"/>
          <w:sz w:val="14"/>
          <w:szCs w:val="14"/>
          <w:b w:val="1"/>
          <w:bCs w:val="1"/>
          <w:color w:val="auto"/>
        </w:rPr>
        <w:t>Administrative Agent</w:t>
      </w:r>
      <w:r>
        <w:rPr>
          <w:rFonts w:ascii="Arial" w:cs="Arial" w:eastAsia="Arial" w:hAnsi="Arial"/>
          <w:sz w:val="14"/>
          <w:szCs w:val="14"/>
          <w:color w:val="auto"/>
        </w:rPr>
        <w:t xml:space="preserve"> and as </w:t>
      </w:r>
      <w:r>
        <w:rPr>
          <w:rFonts w:ascii="Arial" w:cs="Arial" w:eastAsia="Arial" w:hAnsi="Arial"/>
          <w:sz w:val="14"/>
          <w:szCs w:val="14"/>
          <w:b w:val="1"/>
          <w:bCs w:val="1"/>
          <w:color w:val="auto"/>
        </w:rPr>
        <w:t>Collateral Agent</w:t>
      </w:r>
      <w:r>
        <w:rPr>
          <w:rFonts w:ascii="Arial" w:cs="Arial" w:eastAsia="Arial" w:hAnsi="Arial"/>
          <w:sz w:val="14"/>
          <w:szCs w:val="14"/>
          <w:color w:val="auto"/>
        </w:rPr>
        <w:t xml:space="preserve"> (with any successor in such capacities, so referred to herein) for the benefit of the Term Lenders, on the one hand, and each of the Borrowers, on the other hand, with interest at the rate and payable in the manner stated therein.</w:t>
      </w:r>
    </w:p>
    <w:p>
      <w:pPr>
        <w:spacing w:after="0" w:line="112"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6"/>
          <w:szCs w:val="16"/>
          <w:color w:val="auto"/>
        </w:rPr>
        <w:t>This Term Note is a “Term Note” to which reference is made in the Loan Agreement and is subject to all terms and provisions thereof. Terms used herein which are defined in the Loan Agreement are used as so defined.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of, and interest on, this Term Note shall be payable as provided in the Loan Agreement and shall be subject to acceleration as provided therein.</w:t>
      </w:r>
    </w:p>
    <w:p>
      <w:pPr>
        <w:spacing w:after="0" w:line="159"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6"/>
          <w:szCs w:val="16"/>
          <w:color w:val="auto"/>
        </w:rPr>
        <w:t>The Administrative Agent’s books and records concerning loans and advances pursuant to the Term Facility, the accrual of interest thereon, and the repayment of such loans and advances, shall be prima facie evidence of the indebtedness hereunder.</w:t>
      </w:r>
    </w:p>
    <w:p>
      <w:pPr>
        <w:spacing w:after="0" w:line="118" w:lineRule="exact"/>
        <w:rPr>
          <w:sz w:val="20"/>
          <w:szCs w:val="20"/>
          <w:color w:val="auto"/>
        </w:rPr>
      </w:pPr>
    </w:p>
    <w:p>
      <w:pPr>
        <w:jc w:val="both"/>
        <w:ind w:firstLine="765"/>
        <w:spacing w:after="0" w:line="251" w:lineRule="auto"/>
        <w:rPr>
          <w:sz w:val="20"/>
          <w:szCs w:val="20"/>
          <w:color w:val="auto"/>
        </w:rPr>
      </w:pPr>
      <w:r>
        <w:rPr>
          <w:rFonts w:ascii="Arial" w:cs="Arial" w:eastAsia="Arial" w:hAnsi="Arial"/>
          <w:sz w:val="16"/>
          <w:szCs w:val="16"/>
          <w:color w:val="auto"/>
        </w:rPr>
        <w:t>No delay or omission by the Administrative Agent or the Term Lender in exercising or enforcing any of the Administrative Agent’s or the Term Lender’s powers, rights, privileges, remedies, or discretions hereunder shall operate as a waiver thereof on that occasion nor on any other occasion. No waiver of any default hereunder shall operate as a waiver of any other default hereunder, nor as a continuing waiver.</w:t>
      </w:r>
    </w:p>
    <w:p>
      <w:pPr>
        <w:spacing w:after="0" w:line="129" w:lineRule="exact"/>
        <w:rPr>
          <w:sz w:val="20"/>
          <w:szCs w:val="20"/>
          <w:color w:val="auto"/>
        </w:rPr>
      </w:pPr>
    </w:p>
    <w:p>
      <w:pPr>
        <w:jc w:val="both"/>
        <w:ind w:firstLine="765"/>
        <w:spacing w:after="0" w:line="246" w:lineRule="auto"/>
        <w:rPr>
          <w:sz w:val="20"/>
          <w:szCs w:val="20"/>
          <w:color w:val="auto"/>
        </w:rPr>
      </w:pPr>
      <w:r>
        <w:rPr>
          <w:rFonts w:ascii="Arial" w:cs="Arial" w:eastAsia="Arial" w:hAnsi="Arial"/>
          <w:sz w:val="16"/>
          <w:szCs w:val="16"/>
          <w:color w:val="auto"/>
        </w:rPr>
        <w:t>The Borrowers, and each endorser and guarantor of this Term Note, respectively waives presentment, demand, notice, and protest, and also waives any delay on the part of the holder hereof. Each assents to any extension or other indulgence (including, without limitation, the release or substitution of Collateral) permitted by the Administrative Agent with respect to this Term Note and/or any Collateral or any extension or other indulgence with respect to any other liability or any collateral given to secure any other liability of any Borrower or any other Person obligated on account of this Term Note.</w:t>
      </w:r>
    </w:p>
    <w:p>
      <w:pPr>
        <w:spacing w:after="0" w:line="133" w:lineRule="exact"/>
        <w:rPr>
          <w:sz w:val="20"/>
          <w:szCs w:val="20"/>
          <w:color w:val="auto"/>
        </w:rPr>
      </w:pPr>
    </w:p>
    <w:p>
      <w:pPr>
        <w:jc w:val="both"/>
        <w:ind w:firstLine="765"/>
        <w:spacing w:after="0" w:line="265" w:lineRule="auto"/>
        <w:rPr>
          <w:sz w:val="20"/>
          <w:szCs w:val="20"/>
          <w:color w:val="auto"/>
        </w:rPr>
      </w:pPr>
      <w:r>
        <w:rPr>
          <w:rFonts w:ascii="Arial" w:cs="Arial" w:eastAsia="Arial" w:hAnsi="Arial"/>
          <w:sz w:val="16"/>
          <w:szCs w:val="16"/>
          <w:color w:val="auto"/>
        </w:rPr>
        <w:t>This Term Note shall be binding upon each Borrower, and each endorser and guarantor hereof, and upon their respective heirs, successors, assigns, and representatives, and shall inure to the benefit of the Term Lender and its successors, endorsees, and assigns.</w:t>
      </w:r>
    </w:p>
    <w:p>
      <w:pPr>
        <w:sectPr>
          <w:pgSz w:w="11900" w:h="16838" w:orient="portrait"/>
          <w:cols w:equalWidth="0" w:num="1">
            <w:col w:w="11460"/>
          </w:cols>
          <w:pgMar w:left="220" w:top="349" w:right="219" w:bottom="1440" w:gutter="0" w:footer="0" w:header="0"/>
        </w:sectPr>
      </w:pPr>
    </w:p>
    <w:bookmarkStart w:id="150" w:name="page151"/>
    <w:bookmarkEnd w:id="150"/>
    <w:p>
      <w:pPr>
        <w:jc w:val="both"/>
        <w:ind w:firstLine="765"/>
        <w:spacing w:after="0" w:line="243" w:lineRule="auto"/>
        <w:rPr>
          <w:sz w:val="20"/>
          <w:szCs w:val="20"/>
          <w:color w:val="auto"/>
        </w:rPr>
      </w:pPr>
      <w:r>
        <w:rPr>
          <w:rFonts w:ascii="Arial" w:cs="Arial" w:eastAsia="Arial" w:hAnsi="Arial"/>
          <w:sz w:val="16"/>
          <w:szCs w:val="16"/>
          <w:color w:val="auto"/>
        </w:rPr>
        <w:t xml:space="preserve">The liabilities of each Borrower, and of any endorser or guarantor of this Term Note, are joint and several;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the release by the Administrative Agent or the Term Lender of any one or more such Persons, endorsers or guarantors shall not release any other Person obligated on account of this Term Note. Each reference in this Term Note to each Borrower, any endorser, and any guarantor, is to such Person individually and also to all such Persons jointly. No Person obligated on account of this Term Note may seek contribution from any other Person also obligated unless and until all Liabilities, obligations and indebtedness to the Term Lender of the Person from whom contribution is sought have been satisfied in full.</w:t>
      </w:r>
    </w:p>
    <w:p>
      <w:pPr>
        <w:spacing w:after="0" w:line="138" w:lineRule="exact"/>
        <w:rPr>
          <w:sz w:val="20"/>
          <w:szCs w:val="20"/>
          <w:color w:val="auto"/>
        </w:rPr>
      </w:pPr>
    </w:p>
    <w:p>
      <w:pPr>
        <w:jc w:val="both"/>
        <w:ind w:firstLine="765"/>
        <w:spacing w:after="0" w:line="298" w:lineRule="auto"/>
        <w:rPr>
          <w:sz w:val="20"/>
          <w:szCs w:val="20"/>
          <w:color w:val="auto"/>
        </w:rPr>
      </w:pPr>
      <w:r>
        <w:rPr>
          <w:rFonts w:ascii="Arial" w:cs="Arial" w:eastAsia="Arial" w:hAnsi="Arial"/>
          <w:sz w:val="15"/>
          <w:szCs w:val="15"/>
          <w:color w:val="auto"/>
        </w:rPr>
        <w:t>This Term Note is delivered at the offices of the Administrative Agent in Boston, Massachusetts, shall be governed by the laws of the State of New York (without regard to the conflict of laws principles thereof, but including Section 5-1401 of the New York General Obligations Law), and shall take effect as a sealed instrument.</w:t>
      </w:r>
    </w:p>
    <w:p>
      <w:pPr>
        <w:spacing w:after="0" w:line="96" w:lineRule="exact"/>
        <w:rPr>
          <w:sz w:val="20"/>
          <w:szCs w:val="20"/>
          <w:color w:val="auto"/>
        </w:rPr>
      </w:pPr>
    </w:p>
    <w:p>
      <w:pPr>
        <w:jc w:val="both"/>
        <w:ind w:firstLine="765"/>
        <w:spacing w:after="0"/>
        <w:rPr>
          <w:sz w:val="20"/>
          <w:szCs w:val="20"/>
          <w:color w:val="auto"/>
        </w:rPr>
      </w:pPr>
      <w:r>
        <w:rPr>
          <w:rFonts w:ascii="Arial" w:cs="Arial" w:eastAsia="Arial" w:hAnsi="Arial"/>
          <w:sz w:val="16"/>
          <w:szCs w:val="16"/>
          <w:color w:val="auto"/>
        </w:rPr>
        <w:t xml:space="preserve">Each Borrower makes the following waiver knowingly, voluntarily, and intentionally, and understands that the Administrative Agent and the Term Lender, in the establishment and maintenance of their respective relationship with the Borrowers contemplated by this Term Note, is relying thereon. EACH BORROWER, TO THE EXTENT ENTITLED THERETO, </w:t>
      </w:r>
      <w:r>
        <w:rPr>
          <w:rFonts w:ascii="Arial" w:cs="Arial" w:eastAsia="Arial" w:hAnsi="Arial"/>
          <w:sz w:val="16"/>
          <w:szCs w:val="16"/>
          <w:b w:val="1"/>
          <w:bCs w:val="1"/>
          <w:i w:val="1"/>
          <w:iCs w:val="1"/>
          <w:color w:val="auto"/>
        </w:rPr>
        <w:t>WAIVES</w:t>
      </w:r>
      <w:r>
        <w:rPr>
          <w:rFonts w:ascii="Arial" w:cs="Arial" w:eastAsia="Arial" w:hAnsi="Arial"/>
          <w:sz w:val="16"/>
          <w:szCs w:val="16"/>
          <w:color w:val="auto"/>
        </w:rPr>
        <w:t xml:space="preserve"> ANY PRESENT OR FUTURE RIGHT OF THAT BORROWER, OR OF ANY GUARANTOR OR ENDORSER OF THAT BORROWER OR OF ANY OTHER PERSON LIABLE TO THE TERM LENDER ON ACCOUNT OF OR IN RESPECT TO THE LIABILITIES, TO A TRIAL BY JURY IN ANY CASE OR CONTROVERSY IN WHICH THE ADMINISTRATIVE AGENT AND/OR THE TERM LENDER IS OR BECOMES A PARTY (WHETHER SUCH CASE OR CONTROVERSY IS INITIATED BY OR AGAINST THE ADMINISTRATIVE AGENT AND/OR THE TERM LENDER OR IN WHICH THE ADMINISTRATIVE AGENT AND/OR THE TERM LENDER IS JOINED AS A PARTY LITIGANT), WHICH CASE OR CONTROVERSY ARISES OUT OF, OR IS IN RESPECT TO, ANY RELATIONSHIP AMONGST OR BETWEEN ANY BORROWER, ANY SUCH PERSON, AND THE ADMINISTRATIVE AGENT AND/OR THE TERM LENDER.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60"/>
          </w:cols>
          <w:pgMar w:left="220" w:top="466" w:right="2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72"/>
        </w:trPr>
        <w:tc>
          <w:tcPr>
            <w:tcW w:w="2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9"/>
              </w:rPr>
              <w:t>The Borrowers:</w:t>
            </w:r>
          </w:p>
        </w:tc>
        <w:tc>
          <w:tcPr>
            <w:tcW w:w="4080" w:type="dxa"/>
            <w:vAlign w:val="bottom"/>
          </w:tcPr>
          <w:p>
            <w:pPr>
              <w:spacing w:after="0"/>
              <w:rPr>
                <w:sz w:val="14"/>
                <w:szCs w:val="14"/>
                <w:color w:val="auto"/>
              </w:rPr>
            </w:pPr>
          </w:p>
        </w:tc>
      </w:tr>
      <w:tr>
        <w:trPr>
          <w:trHeight w:val="437"/>
        </w:trPr>
        <w:tc>
          <w:tcPr>
            <w:tcW w:w="2720" w:type="dxa"/>
            <w:vAlign w:val="bottom"/>
          </w:tcPr>
          <w:p>
            <w:pPr>
              <w:spacing w:after="0"/>
              <w:rPr>
                <w:sz w:val="20"/>
                <w:szCs w:val="20"/>
                <w:color w:val="auto"/>
              </w:rPr>
            </w:pPr>
            <w:r>
              <w:rPr>
                <w:rFonts w:ascii="Arial" w:cs="Arial" w:eastAsia="Arial" w:hAnsi="Arial"/>
                <w:sz w:val="15"/>
                <w:szCs w:val="15"/>
                <w:color w:val="auto"/>
              </w:rPr>
              <w:t>Witness:</w:t>
            </w: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5"/>
                <w:szCs w:val="15"/>
                <w:b w:val="1"/>
                <w:bCs w:val="1"/>
                <w:color w:val="auto"/>
              </w:rPr>
              <w:t>DESTINATION XL GROUP, INC.</w:t>
            </w:r>
          </w:p>
        </w:tc>
      </w:tr>
      <w:tr>
        <w:trPr>
          <w:trHeight w:val="420"/>
        </w:trPr>
        <w:tc>
          <w:tcPr>
            <w:tcW w:w="27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By:</w:t>
            </w:r>
          </w:p>
        </w:tc>
        <w:tc>
          <w:tcPr>
            <w:tcW w:w="4660" w:type="dxa"/>
            <w:vAlign w:val="bottom"/>
            <w:tcBorders>
              <w:bottom w:val="single" w:sz="8" w:color="auto"/>
            </w:tcBorders>
            <w:gridSpan w:val="2"/>
          </w:tcPr>
          <w:p>
            <w:pPr>
              <w:spacing w:after="0"/>
              <w:rPr>
                <w:sz w:val="24"/>
                <w:szCs w:val="24"/>
                <w:color w:val="auto"/>
              </w:rPr>
            </w:pPr>
          </w:p>
        </w:tc>
      </w:tr>
      <w:tr>
        <w:trPr>
          <w:trHeight w:val="189"/>
        </w:trPr>
        <w:tc>
          <w:tcPr>
            <w:tcW w:w="27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20" w:type="dxa"/>
            <w:vAlign w:val="bottom"/>
            <w:gridSpan w:val="3"/>
          </w:tcPr>
          <w:p>
            <w:pPr>
              <w:ind w:left="360"/>
              <w:spacing w:after="0"/>
              <w:rPr>
                <w:sz w:val="20"/>
                <w:szCs w:val="20"/>
                <w:color w:val="auto"/>
              </w:rPr>
            </w:pPr>
            <w:r>
              <w:rPr>
                <w:rFonts w:ascii="Arial" w:cs="Arial" w:eastAsia="Arial" w:hAnsi="Arial"/>
                <w:sz w:val="15"/>
                <w:szCs w:val="15"/>
                <w:color w:val="auto"/>
              </w:rPr>
              <w:t>Name:</w:t>
            </w:r>
          </w:p>
        </w:tc>
      </w:tr>
      <w:tr>
        <w:trPr>
          <w:trHeight w:val="188"/>
        </w:trPr>
        <w:tc>
          <w:tcPr>
            <w:tcW w:w="27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20" w:type="dxa"/>
            <w:vAlign w:val="bottom"/>
            <w:gridSpan w:val="3"/>
          </w:tcPr>
          <w:p>
            <w:pPr>
              <w:ind w:left="360"/>
              <w:spacing w:after="0"/>
              <w:rPr>
                <w:sz w:val="20"/>
                <w:szCs w:val="20"/>
                <w:color w:val="auto"/>
              </w:rPr>
            </w:pPr>
            <w:r>
              <w:rPr>
                <w:rFonts w:ascii="Arial" w:cs="Arial" w:eastAsia="Arial" w:hAnsi="Arial"/>
                <w:sz w:val="15"/>
                <w:szCs w:val="15"/>
                <w:color w:val="auto"/>
              </w:rPr>
              <w:t>Title:</w:t>
            </w:r>
          </w:p>
        </w:tc>
      </w:tr>
      <w:tr>
        <w:trPr>
          <w:trHeight w:val="424"/>
        </w:trPr>
        <w:tc>
          <w:tcPr>
            <w:tcW w:w="2720" w:type="dxa"/>
            <w:vAlign w:val="bottom"/>
          </w:tcPr>
          <w:p>
            <w:pPr>
              <w:spacing w:after="0"/>
              <w:rPr>
                <w:sz w:val="20"/>
                <w:szCs w:val="20"/>
                <w:color w:val="auto"/>
              </w:rPr>
            </w:pPr>
            <w:r>
              <w:rPr>
                <w:rFonts w:ascii="Arial" w:cs="Arial" w:eastAsia="Arial" w:hAnsi="Arial"/>
                <w:sz w:val="15"/>
                <w:szCs w:val="15"/>
                <w:color w:val="auto"/>
              </w:rPr>
              <w:t>Witness:</w:t>
            </w: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3"/>
          </w:tcPr>
          <w:p>
            <w:pPr>
              <w:spacing w:after="0"/>
              <w:rPr>
                <w:sz w:val="20"/>
                <w:szCs w:val="20"/>
                <w:color w:val="auto"/>
              </w:rPr>
            </w:pPr>
            <w:r>
              <w:rPr>
                <w:rFonts w:ascii="Arial" w:cs="Arial" w:eastAsia="Arial" w:hAnsi="Arial"/>
                <w:sz w:val="15"/>
                <w:szCs w:val="15"/>
                <w:b w:val="1"/>
                <w:bCs w:val="1"/>
                <w:color w:val="auto"/>
              </w:rPr>
              <w:t>CMRG APPAREL, LLC</w:t>
            </w:r>
          </w:p>
        </w:tc>
      </w:tr>
      <w:tr>
        <w:trPr>
          <w:trHeight w:val="420"/>
        </w:trPr>
        <w:tc>
          <w:tcPr>
            <w:tcW w:w="27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5"/>
                <w:szCs w:val="15"/>
                <w:color w:val="auto"/>
              </w:rPr>
              <w:t>By:</w:t>
            </w:r>
          </w:p>
        </w:tc>
        <w:tc>
          <w:tcPr>
            <w:tcW w:w="4660" w:type="dxa"/>
            <w:vAlign w:val="bottom"/>
            <w:tcBorders>
              <w:bottom w:val="single" w:sz="8" w:color="auto"/>
            </w:tcBorders>
            <w:gridSpan w:val="2"/>
          </w:tcPr>
          <w:p>
            <w:pPr>
              <w:spacing w:after="0"/>
              <w:rPr>
                <w:sz w:val="24"/>
                <w:szCs w:val="24"/>
                <w:color w:val="auto"/>
              </w:rPr>
            </w:pPr>
          </w:p>
        </w:tc>
      </w:tr>
      <w:tr>
        <w:trPr>
          <w:trHeight w:val="189"/>
        </w:trPr>
        <w:tc>
          <w:tcPr>
            <w:tcW w:w="27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20" w:type="dxa"/>
            <w:vAlign w:val="bottom"/>
            <w:gridSpan w:val="3"/>
          </w:tcPr>
          <w:p>
            <w:pPr>
              <w:ind w:left="360"/>
              <w:spacing w:after="0"/>
              <w:rPr>
                <w:sz w:val="20"/>
                <w:szCs w:val="20"/>
                <w:color w:val="auto"/>
              </w:rPr>
            </w:pPr>
            <w:r>
              <w:rPr>
                <w:rFonts w:ascii="Arial" w:cs="Arial" w:eastAsia="Arial" w:hAnsi="Arial"/>
                <w:sz w:val="15"/>
                <w:szCs w:val="15"/>
                <w:color w:val="auto"/>
              </w:rPr>
              <w:t>Name:</w:t>
            </w:r>
          </w:p>
        </w:tc>
      </w:tr>
      <w:tr>
        <w:trPr>
          <w:trHeight w:val="188"/>
        </w:trPr>
        <w:tc>
          <w:tcPr>
            <w:tcW w:w="27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20" w:type="dxa"/>
            <w:vAlign w:val="bottom"/>
            <w:gridSpan w:val="3"/>
          </w:tcPr>
          <w:p>
            <w:pPr>
              <w:ind w:left="360"/>
              <w:spacing w:after="0"/>
              <w:rPr>
                <w:sz w:val="20"/>
                <w:szCs w:val="20"/>
                <w:color w:val="auto"/>
              </w:rPr>
            </w:pPr>
            <w:r>
              <w:rPr>
                <w:rFonts w:ascii="Arial" w:cs="Arial" w:eastAsia="Arial" w:hAnsi="Arial"/>
                <w:sz w:val="15"/>
                <w:szCs w:val="15"/>
                <w:color w:val="auto"/>
              </w:rPr>
              <w:t>Title:</w:t>
            </w:r>
          </w:p>
        </w:tc>
      </w:tr>
      <w:tr>
        <w:trPr>
          <w:trHeight w:val="319"/>
        </w:trPr>
        <w:tc>
          <w:tcPr>
            <w:tcW w:w="2720" w:type="dxa"/>
            <w:vAlign w:val="bottom"/>
          </w:tcPr>
          <w:p>
            <w:pPr>
              <w:spacing w:after="0"/>
              <w:rPr>
                <w:sz w:val="24"/>
                <w:szCs w:val="24"/>
                <w:color w:val="auto"/>
              </w:rPr>
            </w:pPr>
          </w:p>
        </w:tc>
        <w:tc>
          <w:tcPr>
            <w:tcW w:w="8740" w:type="dxa"/>
            <w:vAlign w:val="bottom"/>
            <w:gridSpan w:val="5"/>
          </w:tcPr>
          <w:p>
            <w:pPr>
              <w:ind w:left="2200"/>
              <w:spacing w:after="0"/>
              <w:rPr>
                <w:sz w:val="20"/>
                <w:szCs w:val="20"/>
                <w:color w:val="auto"/>
              </w:rPr>
            </w:pPr>
            <w:r>
              <w:rPr>
                <w:rFonts w:ascii="Arial" w:cs="Arial" w:eastAsia="Arial" w:hAnsi="Arial"/>
                <w:sz w:val="13"/>
                <w:szCs w:val="13"/>
                <w:color w:val="auto"/>
              </w:rPr>
              <w:t>[Signature Page to Term Note]</w:t>
            </w:r>
          </w:p>
        </w:tc>
      </w:tr>
    </w:tbl>
    <w:p>
      <w:pPr>
        <w:sectPr>
          <w:pgSz w:w="11900" w:h="16838" w:orient="portrait"/>
          <w:cols w:equalWidth="0" w:num="1">
            <w:col w:w="11460"/>
          </w:cols>
          <w:pgMar w:left="220" w:top="491" w:right="219" w:bottom="1440" w:gutter="0" w:footer="0" w:header="0"/>
        </w:sectPr>
      </w:pPr>
    </w:p>
    <w:bookmarkStart w:id="152" w:name="page153"/>
    <w:bookmarkEnd w:id="1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5"/>
              </w:rPr>
              <w:t xml:space="preserve">Exhibit </w:t>
            </w:r>
            <w:r>
              <w:rPr>
                <w:rFonts w:ascii="Arial" w:cs="Arial" w:eastAsia="Arial" w:hAnsi="Arial"/>
                <w:sz w:val="13"/>
                <w:szCs w:val="13"/>
                <w:b w:val="1"/>
                <w:bCs w:val="1"/>
                <w:color w:val="080808"/>
                <w:w w:val="95"/>
              </w:rPr>
              <w:t>2.21</w:t>
            </w: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8080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2"/>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jc w:val="center"/>
              <w:ind w:left="1353"/>
              <w:spacing w:after="0"/>
              <w:rPr>
                <w:sz w:val="20"/>
                <w:szCs w:val="20"/>
                <w:color w:val="auto"/>
              </w:rPr>
            </w:pPr>
            <w:r>
              <w:rPr>
                <w:rFonts w:ascii="Arial" w:cs="Arial" w:eastAsia="Arial" w:hAnsi="Arial"/>
                <w:sz w:val="13"/>
                <w:szCs w:val="13"/>
                <w:b w:val="1"/>
                <w:bCs w:val="1"/>
                <w:color w:val="080808"/>
                <w:w w:val="95"/>
              </w:rPr>
              <w:t>Term Lenders’ Commitments</w:t>
            </w:r>
          </w:p>
        </w:tc>
      </w:tr>
      <w:tr>
        <w:trPr>
          <w:trHeight w:val="575"/>
        </w:trPr>
        <w:tc>
          <w:tcPr>
            <w:tcW w:w="5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080808"/>
              </w:rPr>
              <w:t>Term Lender</w:t>
            </w:r>
          </w:p>
        </w:tc>
        <w:tc>
          <w:tcPr>
            <w:tcW w:w="1800" w:type="dxa"/>
            <w:vAlign w:val="bottom"/>
            <w:gridSpan w:val="3"/>
          </w:tcPr>
          <w:p>
            <w:pPr>
              <w:ind w:left="20"/>
              <w:spacing w:after="0"/>
              <w:rPr>
                <w:sz w:val="20"/>
                <w:szCs w:val="20"/>
                <w:color w:val="auto"/>
              </w:rPr>
            </w:pPr>
            <w:r>
              <w:rPr>
                <w:rFonts w:ascii="Arial" w:cs="Arial" w:eastAsia="Arial" w:hAnsi="Arial"/>
                <w:sz w:val="13"/>
                <w:szCs w:val="13"/>
                <w:color w:val="080808"/>
                <w:w w:val="99"/>
              </w:rPr>
              <w:t>Term Percentage Commitment</w:t>
            </w:r>
          </w:p>
        </w:tc>
        <w:tc>
          <w:tcPr>
            <w:tcW w:w="3140" w:type="dxa"/>
            <w:vAlign w:val="bottom"/>
            <w:gridSpan w:val="5"/>
          </w:tcPr>
          <w:p>
            <w:pPr>
              <w:spacing w:after="0"/>
              <w:rPr>
                <w:sz w:val="20"/>
                <w:szCs w:val="20"/>
                <w:color w:val="auto"/>
              </w:rPr>
            </w:pPr>
            <w:r>
              <w:rPr>
                <w:rFonts w:ascii="Arial" w:cs="Arial" w:eastAsia="Arial" w:hAnsi="Arial"/>
                <w:sz w:val="13"/>
                <w:szCs w:val="13"/>
                <w:color w:val="080808"/>
              </w:rPr>
              <w:t>Term Dollar Commitment</w:t>
            </w:r>
          </w:p>
        </w:tc>
      </w:tr>
      <w:tr>
        <w:trPr>
          <w:trHeight w:val="20"/>
        </w:trPr>
        <w:tc>
          <w:tcPr>
            <w:tcW w:w="560" w:type="dxa"/>
            <w:vAlign w:val="bottom"/>
          </w:tcPr>
          <w:p>
            <w:pPr>
              <w:spacing w:after="0" w:line="20" w:lineRule="exact"/>
              <w:rPr>
                <w:sz w:val="1"/>
                <w:szCs w:val="1"/>
                <w:color w:val="auto"/>
              </w:rPr>
            </w:pPr>
          </w:p>
        </w:tc>
        <w:tc>
          <w:tcPr>
            <w:tcW w:w="700" w:type="dxa"/>
            <w:vAlign w:val="bottom"/>
            <w:shd w:val="clear" w:color="auto" w:fill="08080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8080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8080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42"/>
        </w:trPr>
        <w:tc>
          <w:tcPr>
            <w:tcW w:w="1540" w:type="dxa"/>
            <w:vAlign w:val="bottom"/>
            <w:gridSpan w:val="3"/>
          </w:tcPr>
          <w:p>
            <w:pPr>
              <w:spacing w:after="0"/>
              <w:rPr>
                <w:sz w:val="20"/>
                <w:szCs w:val="20"/>
                <w:color w:val="auto"/>
              </w:rPr>
            </w:pPr>
            <w:r>
              <w:rPr>
                <w:rFonts w:ascii="Arial" w:cs="Arial" w:eastAsia="Arial" w:hAnsi="Arial"/>
                <w:sz w:val="13"/>
                <w:szCs w:val="13"/>
                <w:color w:val="080808"/>
                <w:w w:val="96"/>
              </w:rPr>
              <w:t>Wells Fargo Bank, National</w:t>
            </w:r>
          </w:p>
        </w:tc>
        <w:tc>
          <w:tcPr>
            <w:tcW w:w="1680" w:type="dxa"/>
            <w:vAlign w:val="bottom"/>
            <w:gridSpan w:val="2"/>
          </w:tcPr>
          <w:p>
            <w:pPr>
              <w:jc w:val="right"/>
              <w:ind w:right="240"/>
              <w:spacing w:after="0"/>
              <w:rPr>
                <w:sz w:val="20"/>
                <w:szCs w:val="20"/>
                <w:color w:val="auto"/>
              </w:rPr>
            </w:pPr>
            <w:r>
              <w:rPr>
                <w:rFonts w:ascii="Arial" w:cs="Arial" w:eastAsia="Arial" w:hAnsi="Arial"/>
                <w:sz w:val="13"/>
                <w:szCs w:val="13"/>
                <w:color w:val="080808"/>
              </w:rPr>
              <w:t>100.000000000%</w:t>
            </w:r>
          </w:p>
        </w:tc>
        <w:tc>
          <w:tcPr>
            <w:tcW w:w="120" w:type="dxa"/>
            <w:vAlign w:val="bottom"/>
          </w:tcPr>
          <w:p>
            <w:pPr>
              <w:spacing w:after="0"/>
              <w:rPr>
                <w:sz w:val="24"/>
                <w:szCs w:val="24"/>
                <w:color w:val="auto"/>
              </w:rPr>
            </w:pPr>
          </w:p>
        </w:tc>
        <w:tc>
          <w:tcPr>
            <w:tcW w:w="1420" w:type="dxa"/>
            <w:vAlign w:val="bottom"/>
          </w:tcPr>
          <w:p>
            <w:pPr>
              <w:jc w:val="right"/>
              <w:ind w:right="193"/>
              <w:spacing w:after="0"/>
              <w:rPr>
                <w:sz w:val="20"/>
                <w:szCs w:val="20"/>
                <w:color w:val="auto"/>
              </w:rPr>
            </w:pPr>
            <w:r>
              <w:rPr>
                <w:rFonts w:ascii="Arial" w:cs="Arial" w:eastAsia="Arial" w:hAnsi="Arial"/>
                <w:sz w:val="13"/>
                <w:szCs w:val="13"/>
                <w:color w:val="080808"/>
              </w:rPr>
              <w:t>$15,000,000</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2"/>
        </w:trPr>
        <w:tc>
          <w:tcPr>
            <w:tcW w:w="1540" w:type="dxa"/>
            <w:vAlign w:val="bottom"/>
            <w:gridSpan w:val="3"/>
          </w:tcPr>
          <w:p>
            <w:pPr>
              <w:ind w:left="340"/>
              <w:spacing w:after="0"/>
              <w:rPr>
                <w:sz w:val="20"/>
                <w:szCs w:val="20"/>
                <w:color w:val="auto"/>
              </w:rPr>
            </w:pPr>
            <w:r>
              <w:rPr>
                <w:rFonts w:ascii="Arial" w:cs="Arial" w:eastAsia="Arial" w:hAnsi="Arial"/>
                <w:sz w:val="13"/>
                <w:szCs w:val="13"/>
                <w:color w:val="080808"/>
              </w:rPr>
              <w:t>Association</w:t>
            </w:r>
          </w:p>
        </w:tc>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38" w:orient="portrait"/>
          <w:cols w:equalWidth="0" w:num="1">
            <w:col w:w="10019"/>
          </w:cols>
          <w:pgMar w:left="440" w:top="300" w:right="1440" w:bottom="1440" w:gutter="0" w:footer="0" w:header="0"/>
        </w:sectPr>
      </w:pPr>
    </w:p>
    <w:bookmarkStart w:id="154" w:name="page155"/>
    <w:bookmarkEnd w:id="154"/>
    <w:p>
      <w:pPr>
        <w:jc w:val="center"/>
        <w:ind w:right="-1280"/>
        <w:spacing w:after="0"/>
        <w:rPr>
          <w:sz w:val="20"/>
          <w:szCs w:val="20"/>
          <w:color w:val="auto"/>
        </w:rPr>
      </w:pPr>
      <w:r>
        <w:rPr>
          <w:rFonts w:ascii="Arial" w:cs="Arial" w:eastAsia="Arial" w:hAnsi="Arial"/>
          <w:sz w:val="15"/>
          <w:szCs w:val="15"/>
          <w:b w:val="1"/>
          <w:bCs w:val="1"/>
          <w:u w:val="single" w:color="auto"/>
          <w:color w:val="auto"/>
        </w:rPr>
        <w:t>EXHIBIT 3.8(b)</w:t>
      </w:r>
    </w:p>
    <w:p>
      <w:pPr>
        <w:spacing w:after="0" w:line="15" w:lineRule="exact"/>
        <w:rPr>
          <w:sz w:val="20"/>
          <w:szCs w:val="20"/>
          <w:color w:val="auto"/>
        </w:rPr>
      </w:pPr>
    </w:p>
    <w:p>
      <w:pPr>
        <w:jc w:val="center"/>
        <w:ind w:right="-1300"/>
        <w:spacing w:after="0"/>
        <w:rPr>
          <w:sz w:val="20"/>
          <w:szCs w:val="20"/>
          <w:color w:val="auto"/>
        </w:rPr>
      </w:pPr>
      <w:r>
        <w:rPr>
          <w:rFonts w:ascii="Arial" w:cs="Arial" w:eastAsia="Arial" w:hAnsi="Arial"/>
          <w:sz w:val="13"/>
          <w:szCs w:val="13"/>
          <w:b w:val="1"/>
          <w:bCs w:val="1"/>
          <w:u w:val="single" w:color="auto"/>
          <w:color w:val="auto"/>
        </w:rPr>
        <w:t>Existing Defaults under Material Contracts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0239"/>
          </w:cols>
          <w:pgMar w:left="220" w:top="315" w:right="1440" w:bottom="1440" w:gutter="0" w:footer="0" w:header="0"/>
        </w:sectPr>
      </w:pPr>
    </w:p>
    <w:bookmarkStart w:id="155" w:name="page156"/>
    <w:bookmarkEnd w:id="155"/>
    <w:p>
      <w:pPr>
        <w:jc w:val="center"/>
        <w:ind w:right="-280"/>
        <w:spacing w:after="0"/>
        <w:rPr>
          <w:sz w:val="20"/>
          <w:szCs w:val="20"/>
          <w:color w:val="auto"/>
        </w:rPr>
      </w:pPr>
      <w:r>
        <w:rPr>
          <w:rFonts w:ascii="Arial" w:cs="Arial" w:eastAsia="Arial" w:hAnsi="Arial"/>
          <w:sz w:val="16"/>
          <w:szCs w:val="16"/>
          <w:b w:val="1"/>
          <w:bCs w:val="1"/>
          <w:u w:val="single" w:color="auto"/>
          <w:color w:val="auto"/>
        </w:rPr>
        <w:t>EXHIBIT 4.2</w:t>
      </w:r>
    </w:p>
    <w:p>
      <w:pPr>
        <w:spacing w:after="0" w:line="26"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u w:val="single" w:color="auto"/>
          <w:color w:val="auto"/>
        </w:rPr>
        <w:t>Loan Parties' Information</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2520" w:type="dxa"/>
            <w:vAlign w:val="bottom"/>
          </w:tcPr>
          <w:p>
            <w:pPr>
              <w:ind w:left="1420"/>
              <w:spacing w:after="0"/>
              <w:rPr>
                <w:sz w:val="20"/>
                <w:szCs w:val="20"/>
                <w:color w:val="auto"/>
              </w:rPr>
            </w:pPr>
            <w:r>
              <w:rPr>
                <w:rFonts w:ascii="Arial" w:cs="Arial" w:eastAsia="Arial" w:hAnsi="Arial"/>
                <w:sz w:val="16"/>
                <w:szCs w:val="16"/>
                <w:b w:val="1"/>
                <w:bCs w:val="1"/>
                <w:color w:val="auto"/>
              </w:rPr>
              <w:t>Name</w:t>
            </w:r>
          </w:p>
        </w:tc>
        <w:tc>
          <w:tcPr>
            <w:tcW w:w="264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Jurisdiction of Organization</w:t>
            </w:r>
          </w:p>
        </w:tc>
        <w:tc>
          <w:tcPr>
            <w:tcW w:w="1760" w:type="dxa"/>
            <w:vAlign w:val="bottom"/>
          </w:tcPr>
          <w:p>
            <w:pPr>
              <w:jc w:val="center"/>
              <w:ind w:left="319"/>
              <w:spacing w:after="0"/>
              <w:rPr>
                <w:sz w:val="20"/>
                <w:szCs w:val="20"/>
                <w:color w:val="auto"/>
              </w:rPr>
            </w:pPr>
            <w:r>
              <w:rPr>
                <w:rFonts w:ascii="Arial" w:cs="Arial" w:eastAsia="Arial" w:hAnsi="Arial"/>
                <w:sz w:val="16"/>
                <w:szCs w:val="16"/>
                <w:b w:val="1"/>
                <w:bCs w:val="1"/>
                <w:color w:val="auto"/>
                <w:w w:val="94"/>
              </w:rPr>
              <w:t>Federal Tax ID #</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Destination XL Group, Inc.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04-2623104</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CMRG Apparel, LLC</w:t>
            </w:r>
          </w:p>
        </w:tc>
        <w:tc>
          <w:tcPr>
            <w:tcW w:w="2640" w:type="dxa"/>
            <w:vAlign w:val="bottom"/>
          </w:tcPr>
          <w:p>
            <w:pPr>
              <w:jc w:val="center"/>
              <w:ind w:right="39"/>
              <w:spacing w:after="0"/>
              <w:rPr>
                <w:sz w:val="20"/>
                <w:szCs w:val="20"/>
                <w:color w:val="auto"/>
              </w:rPr>
            </w:pPr>
            <w:r>
              <w:rPr>
                <w:rFonts w:ascii="Arial" w:cs="Arial" w:eastAsia="Arial" w:hAnsi="Arial"/>
                <w:sz w:val="16"/>
                <w:szCs w:val="16"/>
                <w:color w:val="auto"/>
                <w:w w:val="88"/>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02-0525277</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Casual Male RBT, LLC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20-1653061</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Casual Male RBT (U.K.) LLC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20-1653147</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Casual Male CANADA Inc.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0"/>
              </w:rPr>
              <w:t>Ontario, Canada</w:t>
            </w:r>
          </w:p>
        </w:tc>
        <w:tc>
          <w:tcPr>
            <w:tcW w:w="1760" w:type="dxa"/>
            <w:vAlign w:val="bottom"/>
          </w:tcPr>
          <w:p>
            <w:pPr>
              <w:jc w:val="center"/>
              <w:ind w:left="319"/>
              <w:spacing w:after="0"/>
              <w:rPr>
                <w:sz w:val="20"/>
                <w:szCs w:val="20"/>
                <w:color w:val="auto"/>
              </w:rPr>
            </w:pPr>
            <w:r>
              <w:rPr>
                <w:rFonts w:ascii="Arial" w:cs="Arial" w:eastAsia="Arial" w:hAnsi="Arial"/>
                <w:sz w:val="16"/>
                <w:szCs w:val="16"/>
                <w:color w:val="auto"/>
                <w:w w:val="92"/>
              </w:rPr>
              <w:t>BN 86224-0074</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Capture, LLC</w:t>
            </w:r>
          </w:p>
        </w:tc>
        <w:tc>
          <w:tcPr>
            <w:tcW w:w="2640" w:type="dxa"/>
            <w:vAlign w:val="bottom"/>
          </w:tcPr>
          <w:p>
            <w:pPr>
              <w:ind w:left="1480"/>
              <w:spacing w:after="0"/>
              <w:rPr>
                <w:sz w:val="20"/>
                <w:szCs w:val="20"/>
                <w:color w:val="auto"/>
              </w:rPr>
            </w:pPr>
            <w:r>
              <w:rPr>
                <w:rFonts w:ascii="Arial" w:cs="Arial" w:eastAsia="Arial" w:hAnsi="Arial"/>
                <w:sz w:val="16"/>
                <w:szCs w:val="16"/>
                <w:color w:val="auto"/>
              </w:rPr>
              <w:t>Virginia</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33-1003155</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Casual Male Store, LLC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20-1627444</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Casual Male Retail Store, LLC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20-1628392</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Casual Male Direct, LLC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20-1628414</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Think Big Products LLC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20-5572744</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Canton PL Liquidating Corp.</w:t>
            </w:r>
          </w:p>
        </w:tc>
        <w:tc>
          <w:tcPr>
            <w:tcW w:w="2640" w:type="dxa"/>
            <w:vAlign w:val="bottom"/>
          </w:tcPr>
          <w:p>
            <w:pPr>
              <w:ind w:left="1500"/>
              <w:spacing w:after="0"/>
              <w:rPr>
                <w:sz w:val="20"/>
                <w:szCs w:val="20"/>
                <w:color w:val="auto"/>
              </w:rPr>
            </w:pPr>
            <w:r>
              <w:rPr>
                <w:rFonts w:ascii="Arial" w:cs="Arial" w:eastAsia="Arial" w:hAnsi="Arial"/>
                <w:sz w:val="16"/>
                <w:szCs w:val="16"/>
                <w:color w:val="auto"/>
              </w:rPr>
              <w:t>Nevada</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13-4222128</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Casual Male (Europe) LLC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26-0854419</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CMRG Holdco, LLC</w:t>
            </w:r>
          </w:p>
        </w:tc>
        <w:tc>
          <w:tcPr>
            <w:tcW w:w="2640" w:type="dxa"/>
            <w:vAlign w:val="bottom"/>
          </w:tcPr>
          <w:p>
            <w:pPr>
              <w:jc w:val="center"/>
              <w:ind w:right="39"/>
              <w:spacing w:after="0"/>
              <w:rPr>
                <w:sz w:val="20"/>
                <w:szCs w:val="20"/>
                <w:color w:val="auto"/>
              </w:rPr>
            </w:pPr>
            <w:r>
              <w:rPr>
                <w:rFonts w:ascii="Arial" w:cs="Arial" w:eastAsia="Arial" w:hAnsi="Arial"/>
                <w:sz w:val="16"/>
                <w:szCs w:val="16"/>
                <w:color w:val="auto"/>
                <w:w w:val="88"/>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26-1530177</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CMRG Apparel Management, Inc.</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1"/>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26-1530263</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CMXL Apparel, LP</w:t>
            </w:r>
          </w:p>
        </w:tc>
        <w:tc>
          <w:tcPr>
            <w:tcW w:w="2640" w:type="dxa"/>
            <w:vAlign w:val="bottom"/>
          </w:tcPr>
          <w:p>
            <w:pPr>
              <w:jc w:val="center"/>
              <w:ind w:right="39"/>
              <w:spacing w:after="0"/>
              <w:rPr>
                <w:sz w:val="20"/>
                <w:szCs w:val="20"/>
                <w:color w:val="auto"/>
              </w:rPr>
            </w:pPr>
            <w:r>
              <w:rPr>
                <w:rFonts w:ascii="Arial" w:cs="Arial" w:eastAsia="Arial" w:hAnsi="Arial"/>
                <w:sz w:val="16"/>
                <w:szCs w:val="16"/>
                <w:color w:val="auto"/>
                <w:w w:val="88"/>
              </w:rPr>
              <w:t>Delaware</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1"/>
              </w:rPr>
              <w:t>26-153065</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CMRG Global Holdings, Ltd.*</w:t>
            </w:r>
          </w:p>
        </w:tc>
        <w:tc>
          <w:tcPr>
            <w:tcW w:w="2640" w:type="dxa"/>
            <w:vAlign w:val="bottom"/>
          </w:tcPr>
          <w:p>
            <w:pPr>
              <w:jc w:val="center"/>
              <w:ind w:right="39"/>
              <w:spacing w:after="0"/>
              <w:rPr>
                <w:sz w:val="20"/>
                <w:szCs w:val="20"/>
                <w:color w:val="auto"/>
              </w:rPr>
            </w:pPr>
            <w:r>
              <w:rPr>
                <w:rFonts w:ascii="Arial" w:cs="Arial" w:eastAsia="Arial" w:hAnsi="Arial"/>
                <w:sz w:val="16"/>
                <w:szCs w:val="16"/>
                <w:color w:val="auto"/>
                <w:w w:val="90"/>
              </w:rPr>
              <w:t>Cayman Islands</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2"/>
              </w:rPr>
              <w:t>TR-208869</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CMRG Europe B.V.*</w:t>
            </w:r>
          </w:p>
        </w:tc>
        <w:tc>
          <w:tcPr>
            <w:tcW w:w="2640" w:type="dxa"/>
            <w:vAlign w:val="bottom"/>
          </w:tcPr>
          <w:p>
            <w:pPr>
              <w:jc w:val="center"/>
              <w:ind w:right="59"/>
              <w:spacing w:after="0"/>
              <w:rPr>
                <w:sz w:val="20"/>
                <w:szCs w:val="20"/>
                <w:color w:val="auto"/>
              </w:rPr>
            </w:pPr>
            <w:r>
              <w:rPr>
                <w:rFonts w:ascii="Arial" w:cs="Arial" w:eastAsia="Arial" w:hAnsi="Arial"/>
                <w:sz w:val="16"/>
                <w:szCs w:val="16"/>
                <w:color w:val="auto"/>
                <w:w w:val="90"/>
              </w:rPr>
              <w:t>Netherlands</w:t>
            </w:r>
          </w:p>
        </w:tc>
        <w:tc>
          <w:tcPr>
            <w:tcW w:w="1760" w:type="dxa"/>
            <w:vAlign w:val="bottom"/>
          </w:tcPr>
          <w:p>
            <w:pPr>
              <w:jc w:val="center"/>
              <w:ind w:left="339"/>
              <w:spacing w:after="0"/>
              <w:rPr>
                <w:sz w:val="20"/>
                <w:szCs w:val="20"/>
                <w:color w:val="auto"/>
              </w:rPr>
            </w:pPr>
            <w:r>
              <w:rPr>
                <w:rFonts w:ascii="Arial" w:cs="Arial" w:eastAsia="Arial" w:hAnsi="Arial"/>
                <w:sz w:val="16"/>
                <w:szCs w:val="16"/>
                <w:color w:val="auto"/>
                <w:w w:val="94"/>
              </w:rPr>
              <w:t>NL8194.91.524.B01</w:t>
            </w:r>
          </w:p>
        </w:tc>
      </w:tr>
      <w:tr>
        <w:trPr>
          <w:trHeight w:val="262"/>
        </w:trPr>
        <w:tc>
          <w:tcPr>
            <w:tcW w:w="2520" w:type="dxa"/>
            <w:vAlign w:val="bottom"/>
          </w:tcPr>
          <w:p>
            <w:pPr>
              <w:spacing w:after="0"/>
              <w:rPr>
                <w:sz w:val="20"/>
                <w:szCs w:val="20"/>
                <w:color w:val="auto"/>
              </w:rPr>
            </w:pPr>
            <w:r>
              <w:rPr>
                <w:rFonts w:ascii="Arial" w:cs="Arial" w:eastAsia="Arial" w:hAnsi="Arial"/>
                <w:sz w:val="16"/>
                <w:szCs w:val="16"/>
                <w:color w:val="auto"/>
              </w:rPr>
              <w:t>*Affiliate</w:t>
            </w:r>
          </w:p>
        </w:tc>
        <w:tc>
          <w:tcPr>
            <w:tcW w:w="2640" w:type="dxa"/>
            <w:vAlign w:val="bottom"/>
          </w:tcPr>
          <w:p>
            <w:pPr>
              <w:spacing w:after="0"/>
              <w:rPr>
                <w:sz w:val="22"/>
                <w:szCs w:val="22"/>
                <w:color w:val="auto"/>
              </w:rPr>
            </w:pPr>
          </w:p>
        </w:tc>
        <w:tc>
          <w:tcPr>
            <w:tcW w:w="1760" w:type="dxa"/>
            <w:vAlign w:val="bottom"/>
          </w:tcPr>
          <w:p>
            <w:pPr>
              <w:spacing w:after="0"/>
              <w:rPr>
                <w:sz w:val="22"/>
                <w:szCs w:val="22"/>
                <w:color w:val="auto"/>
              </w:rPr>
            </w:pPr>
          </w:p>
        </w:tc>
      </w:tr>
    </w:tbl>
    <w:p>
      <w:pPr>
        <w:sectPr>
          <w:pgSz w:w="11900" w:h="16838" w:orient="portrait"/>
          <w:cols w:equalWidth="0" w:num="1">
            <w:col w:w="9019"/>
          </w:cols>
          <w:pgMar w:left="1440" w:top="341"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5"/>
          <w:szCs w:val="15"/>
          <w:b w:val="1"/>
          <w:bCs w:val="1"/>
          <w:color w:val="auto"/>
        </w:rPr>
        <w:t>EXHIBIT 4.3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TRADE NAMES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UNITED STATES TRADEMARK REGISTRATIONS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0" w:type="dxa"/>
            <w:vAlign w:val="bottom"/>
            <w:tcBorders>
              <w:top w:val="single" w:sz="8" w:color="auto"/>
              <w:left w:val="single" w:sz="8" w:color="auto"/>
            </w:tcBorders>
          </w:tcPr>
          <w:p>
            <w:pPr>
              <w:spacing w:after="0"/>
              <w:rPr>
                <w:sz w:val="15"/>
                <w:szCs w:val="15"/>
                <w:color w:val="auto"/>
              </w:rPr>
            </w:pPr>
          </w:p>
        </w:tc>
        <w:tc>
          <w:tcPr>
            <w:tcW w:w="56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5"/>
                <w:szCs w:val="15"/>
                <w:b w:val="1"/>
                <w:bCs w:val="1"/>
                <w:color w:val="auto"/>
              </w:rPr>
              <w:t>TRADEMARK/SERVICE MARK</w:t>
            </w:r>
          </w:p>
        </w:tc>
        <w:tc>
          <w:tcPr>
            <w:tcW w:w="318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REGISTRATION NUMBER</w:t>
            </w:r>
          </w:p>
        </w:tc>
        <w:tc>
          <w:tcPr>
            <w:tcW w:w="2660" w:type="dxa"/>
            <w:vAlign w:val="bottom"/>
            <w:tcBorders>
              <w:top w:val="single" w:sz="8" w:color="auto"/>
              <w:right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REGISTRATION DATE</w:t>
            </w: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40" w:type="dxa"/>
            <w:vAlign w:val="bottom"/>
            <w:tcBorders>
              <w:left w:val="single" w:sz="8" w:color="auto"/>
              <w:bottom w:val="single" w:sz="8" w:color="auto"/>
            </w:tcBorders>
          </w:tcPr>
          <w:p>
            <w:pPr>
              <w:spacing w:after="0"/>
              <w:rPr>
                <w:sz w:val="13"/>
                <w:szCs w:val="13"/>
                <w:color w:val="auto"/>
              </w:rPr>
            </w:pPr>
          </w:p>
        </w:tc>
        <w:tc>
          <w:tcPr>
            <w:tcW w:w="5600" w:type="dxa"/>
            <w:vAlign w:val="bottom"/>
            <w:tcBorders>
              <w:bottom w:val="single" w:sz="8" w:color="auto"/>
              <w:right w:val="single" w:sz="8" w:color="auto"/>
            </w:tcBorders>
            <w:gridSpan w:val="2"/>
          </w:tcPr>
          <w:p>
            <w:pPr>
              <w:spacing w:after="0" w:line="152" w:lineRule="exact"/>
              <w:rPr>
                <w:sz w:val="20"/>
                <w:szCs w:val="20"/>
                <w:color w:val="auto"/>
              </w:rPr>
            </w:pPr>
            <w:r>
              <w:rPr>
                <w:rFonts w:ascii="Arial" w:cs="Arial" w:eastAsia="Arial" w:hAnsi="Arial"/>
                <w:sz w:val="15"/>
                <w:szCs w:val="15"/>
                <w:color w:val="auto"/>
              </w:rPr>
              <w:t>ALEXANDER LLOYD</w:t>
            </w:r>
          </w:p>
        </w:tc>
        <w:tc>
          <w:tcPr>
            <w:tcW w:w="1260" w:type="dxa"/>
            <w:vAlign w:val="bottom"/>
            <w:tcBorders>
              <w:bottom w:val="single" w:sz="8" w:color="auto"/>
            </w:tcBorders>
          </w:tcPr>
          <w:p>
            <w:pPr>
              <w:ind w:left="80"/>
              <w:spacing w:after="0" w:line="152" w:lineRule="exact"/>
              <w:rPr>
                <w:sz w:val="20"/>
                <w:szCs w:val="20"/>
                <w:color w:val="auto"/>
              </w:rPr>
            </w:pPr>
            <w:r>
              <w:rPr>
                <w:rFonts w:ascii="Arial" w:cs="Arial" w:eastAsia="Arial" w:hAnsi="Arial"/>
                <w:sz w:val="15"/>
                <w:szCs w:val="15"/>
                <w:color w:val="auto"/>
              </w:rPr>
              <w:t>1792707</w:t>
            </w:r>
          </w:p>
        </w:tc>
        <w:tc>
          <w:tcPr>
            <w:tcW w:w="6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gridSpan w:val="2"/>
          </w:tcPr>
          <w:p>
            <w:pPr>
              <w:ind w:left="100"/>
              <w:spacing w:after="0" w:line="152" w:lineRule="exact"/>
              <w:rPr>
                <w:sz w:val="20"/>
                <w:szCs w:val="20"/>
                <w:color w:val="auto"/>
              </w:rPr>
            </w:pPr>
            <w:r>
              <w:rPr>
                <w:rFonts w:ascii="Arial" w:cs="Arial" w:eastAsia="Arial" w:hAnsi="Arial"/>
                <w:sz w:val="15"/>
                <w:szCs w:val="15"/>
                <w:color w:val="auto"/>
              </w:rPr>
              <w:t>09/14/93</w:t>
            </w:r>
          </w:p>
        </w:tc>
        <w:tc>
          <w:tcPr>
            <w:tcW w:w="1000" w:type="dxa"/>
            <w:vAlign w:val="bottom"/>
            <w:tcBorders>
              <w:bottom w:val="single" w:sz="8" w:color="auto"/>
              <w:right w:val="single" w:sz="8" w:color="auto"/>
            </w:tcBorders>
          </w:tcPr>
          <w:p>
            <w:pPr>
              <w:spacing w:after="0"/>
              <w:rPr>
                <w:sz w:val="13"/>
                <w:szCs w:val="13"/>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B&amp;T FACTORY STORE &amp; design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2443351</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04/01/01</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B&amp;T BIG &amp; TALL FACTORY STORE &amp; design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2415558</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12/26/00</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BIG &amp; TALL &amp; design (SM) (stylized)(yellow)</w:t>
            </w:r>
          </w:p>
        </w:tc>
        <w:tc>
          <w:tcPr>
            <w:tcW w:w="3180" w:type="dxa"/>
            <w:vAlign w:val="bottom"/>
            <w:tcBorders>
              <w:bottom w:val="single" w:sz="8" w:color="auto"/>
              <w:right w:val="single" w:sz="8" w:color="auto"/>
            </w:tcBorders>
            <w:gridSpan w:val="3"/>
          </w:tcPr>
          <w:p>
            <w:pPr>
              <w:ind w:left="80"/>
              <w:spacing w:after="0" w:line="161" w:lineRule="exact"/>
              <w:rPr>
                <w:sz w:val="20"/>
                <w:szCs w:val="20"/>
                <w:color w:val="auto"/>
              </w:rPr>
            </w:pPr>
            <w:r>
              <w:rPr>
                <w:rFonts w:ascii="Arial" w:cs="Arial" w:eastAsia="Arial" w:hAnsi="Arial"/>
                <w:sz w:val="15"/>
                <w:szCs w:val="15"/>
                <w:color w:val="auto"/>
              </w:rPr>
              <w:t>1553379 (Supplemental)</w:t>
            </w: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08/22/89</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BIG &amp; TALL CASUAL MALE &amp; design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2080852</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07/22/97</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BOLDXL</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3576148</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02/17/09</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BIG ON BEING BETTER</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4389472</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08/20/13</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BTDIRECT.COM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3699266</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10/20/09</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CANYON RIDGE</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2159159</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05/19/98</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CASTAGNE (Italian</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English translation</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3354065</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12/11/07</w:t>
            </w:r>
          </w:p>
        </w:tc>
        <w:tc>
          <w:tcPr>
            <w:tcW w:w="1000" w:type="dxa"/>
            <w:vAlign w:val="bottom"/>
            <w:tcBorders>
              <w:bottom w:val="single" w:sz="8" w:color="auto"/>
              <w:right w:val="single" w:sz="8" w:color="auto"/>
            </w:tcBorders>
          </w:tcPr>
          <w:p>
            <w:pPr>
              <w:spacing w:after="0"/>
              <w:rPr>
                <w:sz w:val="14"/>
                <w:szCs w:val="14"/>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“Chestnuts”)</w:t>
            </w: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r>
      <w:tr>
        <w:trPr>
          <w:trHeight w:val="145"/>
        </w:trPr>
        <w:tc>
          <w:tcPr>
            <w:tcW w:w="40" w:type="dxa"/>
            <w:vAlign w:val="bottom"/>
            <w:tcBorders>
              <w:left w:val="single" w:sz="8" w:color="auto"/>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342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CASUAL MALE</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2838614</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05/04/04</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CASUAL MALE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2198042</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10/20/98</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CASUAL MALE BIG &amp; TALL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2036883</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02/11/97</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CASUAL MALE BIG &amp; TALL &amp; design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2080851</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07/22/97</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CASUAL MALE XL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3180088</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12/05/06</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CASUAL MALE XL &amp; design (SM)</w:t>
            </w:r>
          </w:p>
        </w:tc>
        <w:tc>
          <w:tcPr>
            <w:tcW w:w="3180" w:type="dxa"/>
            <w:vAlign w:val="bottom"/>
            <w:tcBorders>
              <w:bottom w:val="single" w:sz="8" w:color="auto"/>
              <w:right w:val="single" w:sz="8" w:color="auto"/>
            </w:tcBorders>
            <w:gridSpan w:val="3"/>
          </w:tcPr>
          <w:p>
            <w:pPr>
              <w:ind w:left="80"/>
              <w:spacing w:after="0" w:line="161" w:lineRule="exact"/>
              <w:rPr>
                <w:sz w:val="20"/>
                <w:szCs w:val="20"/>
                <w:color w:val="auto"/>
              </w:rPr>
            </w:pPr>
            <w:r>
              <w:rPr>
                <w:rFonts w:ascii="Arial" w:cs="Arial" w:eastAsia="Arial" w:hAnsi="Arial"/>
                <w:sz w:val="15"/>
                <w:szCs w:val="15"/>
                <w:color w:val="auto"/>
              </w:rPr>
              <w:t>52289 (Arizona)</w:t>
            </w: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11/09/07</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CASUAL MALE XL &amp; design (SM)</w:t>
            </w:r>
          </w:p>
        </w:tc>
        <w:tc>
          <w:tcPr>
            <w:tcW w:w="3180" w:type="dxa"/>
            <w:vAlign w:val="bottom"/>
            <w:tcBorders>
              <w:bottom w:val="single" w:sz="8" w:color="auto"/>
              <w:right w:val="single" w:sz="8" w:color="auto"/>
            </w:tcBorders>
            <w:gridSpan w:val="3"/>
          </w:tcPr>
          <w:p>
            <w:pPr>
              <w:ind w:left="80"/>
              <w:spacing w:after="0" w:line="161" w:lineRule="exact"/>
              <w:rPr>
                <w:sz w:val="20"/>
                <w:szCs w:val="20"/>
                <w:color w:val="auto"/>
              </w:rPr>
            </w:pPr>
            <w:r>
              <w:rPr>
                <w:rFonts w:ascii="Arial" w:cs="Arial" w:eastAsia="Arial" w:hAnsi="Arial"/>
                <w:sz w:val="15"/>
                <w:szCs w:val="15"/>
                <w:color w:val="auto"/>
              </w:rPr>
              <w:t>T06000000743 (Florida)</w:t>
            </w: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07/16/06</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COMFORT ZONE</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3525088</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10/28/08</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CONTINUOUS COMFORT</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3951882</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04/26/11</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DESTINATIONXL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3933434</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03/22/11</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DESTINATION XL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4377756</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7/30/13</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DRY</w:t>
            </w:r>
            <w:r>
              <w:rPr>
                <w:rFonts w:ascii="MS PGothic" w:cs="MS PGothic" w:eastAsia="MS PGothic" w:hAnsi="MS PGothic"/>
                <w:sz w:val="15"/>
                <w:szCs w:val="15"/>
                <w:color w:val="auto"/>
              </w:rPr>
              <w:t>‐</w:t>
            </w:r>
            <w:r>
              <w:rPr>
                <w:rFonts w:ascii="Arial" w:cs="Arial" w:eastAsia="Arial" w:hAnsi="Arial"/>
                <w:sz w:val="15"/>
                <w:szCs w:val="15"/>
                <w:color w:val="auto"/>
              </w:rPr>
              <w:t>ACTION</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3067127</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03/14/06</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DURABELT</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4075039</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12/20/12</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DXL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3862017</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10/12/10</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DXL (stylized) (color feature of mark) (SM)</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4327582</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04/30/13</w:t>
            </w:r>
          </w:p>
        </w:tc>
        <w:tc>
          <w:tcPr>
            <w:tcW w:w="1000" w:type="dxa"/>
            <w:vAlign w:val="bottom"/>
            <w:tcBorders>
              <w:bottom w:val="single" w:sz="8" w:color="auto"/>
              <w:right w:val="single" w:sz="8" w:color="auto"/>
            </w:tcBorders>
          </w:tcPr>
          <w:p>
            <w:pPr>
              <w:spacing w:after="0"/>
              <w:rPr>
                <w:sz w:val="14"/>
                <w:szCs w:val="14"/>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560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5"/>
                <w:szCs w:val="15"/>
                <w:color w:val="auto"/>
              </w:rPr>
              <w:t>DXL DESTINATIONXL (stylized) (SM)</w:t>
            </w:r>
          </w:p>
        </w:tc>
        <w:tc>
          <w:tcPr>
            <w:tcW w:w="1260" w:type="dxa"/>
            <w:vAlign w:val="bottom"/>
          </w:tcPr>
          <w:p>
            <w:pPr>
              <w:ind w:left="80"/>
              <w:spacing w:after="0" w:line="149" w:lineRule="exact"/>
              <w:rPr>
                <w:sz w:val="20"/>
                <w:szCs w:val="20"/>
                <w:color w:val="auto"/>
              </w:rPr>
            </w:pPr>
            <w:r>
              <w:rPr>
                <w:rFonts w:ascii="Arial" w:cs="Arial" w:eastAsia="Arial" w:hAnsi="Arial"/>
                <w:sz w:val="15"/>
                <w:szCs w:val="15"/>
                <w:color w:val="auto"/>
              </w:rPr>
              <w:t>4030810</w:t>
            </w:r>
          </w:p>
        </w:tc>
        <w:tc>
          <w:tcPr>
            <w:tcW w:w="66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660" w:type="dxa"/>
            <w:vAlign w:val="bottom"/>
            <w:gridSpan w:val="2"/>
          </w:tcPr>
          <w:p>
            <w:pPr>
              <w:ind w:left="100"/>
              <w:spacing w:after="0" w:line="149" w:lineRule="exact"/>
              <w:rPr>
                <w:sz w:val="20"/>
                <w:szCs w:val="20"/>
                <w:color w:val="auto"/>
              </w:rPr>
            </w:pPr>
            <w:r>
              <w:rPr>
                <w:rFonts w:ascii="Arial" w:cs="Arial" w:eastAsia="Arial" w:hAnsi="Arial"/>
                <w:sz w:val="15"/>
                <w:szCs w:val="15"/>
                <w:color w:val="auto"/>
              </w:rPr>
              <w:t>09/27/11</w:t>
            </w:r>
          </w:p>
        </w:tc>
        <w:tc>
          <w:tcPr>
            <w:tcW w:w="1000" w:type="dxa"/>
            <w:vAlign w:val="bottom"/>
            <w:tcBorders>
              <w:right w:val="single" w:sz="8" w:color="auto"/>
            </w:tcBorders>
          </w:tcPr>
          <w:p>
            <w:pPr>
              <w:spacing w:after="0"/>
              <w:rPr>
                <w:sz w:val="12"/>
                <w:szCs w:val="12"/>
                <w:color w:val="auto"/>
              </w:rPr>
            </w:pPr>
          </w:p>
        </w:tc>
      </w:tr>
      <w:tr>
        <w:trPr>
          <w:trHeight w:val="184"/>
        </w:trPr>
        <w:tc>
          <w:tcPr>
            <w:tcW w:w="40" w:type="dxa"/>
            <w:vAlign w:val="bottom"/>
            <w:tcBorders>
              <w:left w:val="single" w:sz="8" w:color="auto"/>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(large DXL on top of smaller DESTINATION XL)</w:t>
            </w:r>
          </w:p>
        </w:tc>
        <w:tc>
          <w:tcPr>
            <w:tcW w:w="1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5600" w:type="dxa"/>
            <w:vAlign w:val="bottom"/>
            <w:tcBorders>
              <w:right w:val="single" w:sz="8" w:color="auto"/>
            </w:tcBorders>
            <w:gridSpan w:val="2"/>
          </w:tcPr>
          <w:p>
            <w:pPr>
              <w:spacing w:after="0" w:line="149" w:lineRule="exact"/>
              <w:rPr>
                <w:sz w:val="20"/>
                <w:szCs w:val="20"/>
                <w:color w:val="auto"/>
              </w:rPr>
            </w:pPr>
            <w:r>
              <w:rPr>
                <w:rFonts w:ascii="Arial" w:cs="Arial" w:eastAsia="Arial" w:hAnsi="Arial"/>
                <w:sz w:val="15"/>
                <w:szCs w:val="15"/>
                <w:color w:val="auto"/>
              </w:rPr>
              <w:t>DXL DESTINATION XL &amp; design (SM)</w:t>
            </w:r>
          </w:p>
        </w:tc>
        <w:tc>
          <w:tcPr>
            <w:tcW w:w="1260" w:type="dxa"/>
            <w:vAlign w:val="bottom"/>
          </w:tcPr>
          <w:p>
            <w:pPr>
              <w:ind w:left="80"/>
              <w:spacing w:after="0" w:line="149" w:lineRule="exact"/>
              <w:rPr>
                <w:sz w:val="20"/>
                <w:szCs w:val="20"/>
                <w:color w:val="auto"/>
              </w:rPr>
            </w:pPr>
            <w:r>
              <w:rPr>
                <w:rFonts w:ascii="Arial" w:cs="Arial" w:eastAsia="Arial" w:hAnsi="Arial"/>
                <w:sz w:val="15"/>
                <w:szCs w:val="15"/>
                <w:color w:val="auto"/>
              </w:rPr>
              <w:t>4381307</w:t>
            </w:r>
          </w:p>
        </w:tc>
        <w:tc>
          <w:tcPr>
            <w:tcW w:w="66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660" w:type="dxa"/>
            <w:vAlign w:val="bottom"/>
            <w:gridSpan w:val="2"/>
          </w:tcPr>
          <w:p>
            <w:pPr>
              <w:ind w:left="100"/>
              <w:spacing w:after="0" w:line="149" w:lineRule="exact"/>
              <w:rPr>
                <w:sz w:val="20"/>
                <w:szCs w:val="20"/>
                <w:color w:val="auto"/>
              </w:rPr>
            </w:pPr>
            <w:r>
              <w:rPr>
                <w:rFonts w:ascii="Arial" w:cs="Arial" w:eastAsia="Arial" w:hAnsi="Arial"/>
                <w:sz w:val="15"/>
                <w:szCs w:val="15"/>
                <w:color w:val="auto"/>
              </w:rPr>
              <w:t>08/06/13</w:t>
            </w:r>
          </w:p>
        </w:tc>
        <w:tc>
          <w:tcPr>
            <w:tcW w:w="1000" w:type="dxa"/>
            <w:vAlign w:val="bottom"/>
            <w:tcBorders>
              <w:right w:val="single" w:sz="8" w:color="auto"/>
            </w:tcBorders>
          </w:tcPr>
          <w:p>
            <w:pPr>
              <w:spacing w:after="0"/>
              <w:rPr>
                <w:sz w:val="12"/>
                <w:szCs w:val="12"/>
                <w:color w:val="auto"/>
              </w:rPr>
            </w:pPr>
          </w:p>
        </w:tc>
      </w:tr>
      <w:tr>
        <w:trPr>
          <w:trHeight w:val="184"/>
        </w:trPr>
        <w:tc>
          <w:tcPr>
            <w:tcW w:w="40" w:type="dxa"/>
            <w:vAlign w:val="bottom"/>
            <w:tcBorders>
              <w:left w:val="single" w:sz="8" w:color="auto"/>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(large DXL in front of smaller DESTINATION XL)</w:t>
            </w:r>
          </w:p>
        </w:tc>
        <w:tc>
          <w:tcPr>
            <w:tcW w:w="1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FLEX</w:t>
            </w:r>
            <w:r>
              <w:rPr>
                <w:rFonts w:ascii="MS PGothic" w:cs="MS PGothic" w:eastAsia="MS PGothic" w:hAnsi="MS PGothic"/>
                <w:sz w:val="15"/>
                <w:szCs w:val="15"/>
                <w:color w:val="auto"/>
              </w:rPr>
              <w:t>‐</w:t>
            </w:r>
            <w:r>
              <w:rPr>
                <w:rFonts w:ascii="Arial" w:cs="Arial" w:eastAsia="Arial" w:hAnsi="Arial"/>
                <w:sz w:val="15"/>
                <w:szCs w:val="15"/>
                <w:color w:val="auto"/>
              </w:rPr>
              <w:t>ZONE</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2997389</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09/20/05</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GLACIER TEC</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2810224</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02/03/04</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GRADE A JEANS</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2490404</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09/18/01</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GRANDE CENTRAL BIG &amp; TALL CLOTHING CO.</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2635630</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10/15/02</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HARBOR BAY</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2531456</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07/24/01</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HB SPORT HARBOR BAY</w:t>
            </w:r>
          </w:p>
        </w:tc>
        <w:tc>
          <w:tcPr>
            <w:tcW w:w="1260" w:type="dxa"/>
            <w:vAlign w:val="bottom"/>
            <w:tcBorders>
              <w:bottom w:val="single" w:sz="8" w:color="auto"/>
            </w:tcBorders>
          </w:tcPr>
          <w:p>
            <w:pPr>
              <w:ind w:left="80"/>
              <w:spacing w:after="0" w:line="161" w:lineRule="exact"/>
              <w:rPr>
                <w:sz w:val="20"/>
                <w:szCs w:val="20"/>
                <w:color w:val="auto"/>
              </w:rPr>
            </w:pPr>
            <w:r>
              <w:rPr>
                <w:rFonts w:ascii="Arial" w:cs="Arial" w:eastAsia="Arial" w:hAnsi="Arial"/>
                <w:sz w:val="15"/>
                <w:szCs w:val="15"/>
                <w:color w:val="auto"/>
              </w:rPr>
              <w:t>2471393</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01/22/02</w:t>
            </w:r>
          </w:p>
        </w:tc>
        <w:tc>
          <w:tcPr>
            <w:tcW w:w="1000" w:type="dxa"/>
            <w:vAlign w:val="bottom"/>
            <w:tcBorders>
              <w:bottom w:val="single" w:sz="8" w:color="auto"/>
              <w:right w:val="single" w:sz="8" w:color="auto"/>
            </w:tcBorders>
          </w:tcPr>
          <w:p>
            <w:pPr>
              <w:spacing w:after="0"/>
              <w:rPr>
                <w:sz w:val="14"/>
                <w:szCs w:val="14"/>
                <w:color w:val="auto"/>
              </w:rPr>
            </w:pPr>
          </w:p>
        </w:tc>
      </w:tr>
      <w:tr>
        <w:trPr>
          <w:trHeight w:val="192"/>
        </w:trPr>
        <w:tc>
          <w:tcPr>
            <w:tcW w:w="40" w:type="dxa"/>
            <w:vAlign w:val="bottom"/>
            <w:tcBorders>
              <w:left w:val="single" w:sz="8" w:color="auto"/>
              <w:bottom w:val="single" w:sz="8" w:color="auto"/>
            </w:tcBorders>
          </w:tcPr>
          <w:p>
            <w:pPr>
              <w:spacing w:after="0"/>
              <w:rPr>
                <w:sz w:val="16"/>
                <w:szCs w:val="16"/>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5"/>
                <w:szCs w:val="15"/>
                <w:color w:val="auto"/>
              </w:rPr>
              <w:t>HB SPORT HARBOR BAY &amp; design</w:t>
            </w: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2566969</w:t>
            </w: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05/07/02</w:t>
            </w:r>
          </w:p>
        </w:tc>
        <w:tc>
          <w:tcPr>
            <w:tcW w:w="1000" w:type="dxa"/>
            <w:vAlign w:val="bottom"/>
            <w:tcBorders>
              <w:bottom w:val="single" w:sz="8" w:color="auto"/>
              <w:right w:val="single" w:sz="8" w:color="auto"/>
            </w:tcBorders>
          </w:tcPr>
          <w:p>
            <w:pPr>
              <w:spacing w:after="0"/>
              <w:rPr>
                <w:sz w:val="16"/>
                <w:szCs w:val="16"/>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HIGH AND MIGHTY</w:t>
            </w:r>
          </w:p>
        </w:tc>
        <w:tc>
          <w:tcPr>
            <w:tcW w:w="1260" w:type="dxa"/>
            <w:vAlign w:val="bottom"/>
            <w:tcBorders>
              <w:bottom w:val="single" w:sz="8" w:color="auto"/>
            </w:tcBorders>
          </w:tcPr>
          <w:p>
            <w:pPr>
              <w:ind w:left="160"/>
              <w:spacing w:after="0" w:line="161" w:lineRule="exact"/>
              <w:rPr>
                <w:sz w:val="20"/>
                <w:szCs w:val="20"/>
                <w:color w:val="auto"/>
              </w:rPr>
            </w:pPr>
            <w:r>
              <w:rPr>
                <w:rFonts w:ascii="Arial" w:cs="Arial" w:eastAsia="Arial" w:hAnsi="Arial"/>
                <w:sz w:val="15"/>
                <w:szCs w:val="15"/>
                <w:color w:val="auto"/>
              </w:rPr>
              <w:t>1034385</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02/24/76</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HIGH &amp; MIGHTY (SM)</w:t>
            </w:r>
          </w:p>
        </w:tc>
        <w:tc>
          <w:tcPr>
            <w:tcW w:w="1260" w:type="dxa"/>
            <w:vAlign w:val="bottom"/>
            <w:tcBorders>
              <w:bottom w:val="single" w:sz="8" w:color="auto"/>
            </w:tcBorders>
          </w:tcPr>
          <w:p>
            <w:pPr>
              <w:ind w:left="160"/>
              <w:spacing w:after="0" w:line="161" w:lineRule="exact"/>
              <w:rPr>
                <w:sz w:val="20"/>
                <w:szCs w:val="20"/>
                <w:color w:val="auto"/>
              </w:rPr>
            </w:pPr>
            <w:r>
              <w:rPr>
                <w:rFonts w:ascii="Arial" w:cs="Arial" w:eastAsia="Arial" w:hAnsi="Arial"/>
                <w:sz w:val="15"/>
                <w:szCs w:val="15"/>
                <w:color w:val="auto"/>
              </w:rPr>
              <w:t>1171694</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09/29/81</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HIMALAYA</w:t>
            </w:r>
          </w:p>
        </w:tc>
        <w:tc>
          <w:tcPr>
            <w:tcW w:w="1260" w:type="dxa"/>
            <w:vAlign w:val="bottom"/>
            <w:tcBorders>
              <w:bottom w:val="single" w:sz="8" w:color="auto"/>
            </w:tcBorders>
          </w:tcPr>
          <w:p>
            <w:pPr>
              <w:ind w:left="160"/>
              <w:spacing w:after="0" w:line="161" w:lineRule="exact"/>
              <w:rPr>
                <w:sz w:val="20"/>
                <w:szCs w:val="20"/>
                <w:color w:val="auto"/>
              </w:rPr>
            </w:pPr>
            <w:r>
              <w:rPr>
                <w:rFonts w:ascii="Arial" w:cs="Arial" w:eastAsia="Arial" w:hAnsi="Arial"/>
                <w:sz w:val="15"/>
                <w:szCs w:val="15"/>
                <w:color w:val="auto"/>
              </w:rPr>
              <w:t>1974456</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05/21/96</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HIMALAYA OUTFITTERS</w:t>
            </w:r>
          </w:p>
        </w:tc>
        <w:tc>
          <w:tcPr>
            <w:tcW w:w="1260" w:type="dxa"/>
            <w:vAlign w:val="bottom"/>
            <w:tcBorders>
              <w:bottom w:val="single" w:sz="8" w:color="auto"/>
            </w:tcBorders>
          </w:tcPr>
          <w:p>
            <w:pPr>
              <w:ind w:left="160"/>
              <w:spacing w:after="0" w:line="161" w:lineRule="exact"/>
              <w:rPr>
                <w:sz w:val="20"/>
                <w:szCs w:val="20"/>
                <w:color w:val="auto"/>
              </w:rPr>
            </w:pPr>
            <w:r>
              <w:rPr>
                <w:rFonts w:ascii="Arial" w:cs="Arial" w:eastAsia="Arial" w:hAnsi="Arial"/>
                <w:sz w:val="15"/>
                <w:szCs w:val="15"/>
                <w:color w:val="auto"/>
              </w:rPr>
              <w:t>1975575</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05/28/96</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ISLAND OUTFITTERS</w:t>
            </w:r>
          </w:p>
        </w:tc>
        <w:tc>
          <w:tcPr>
            <w:tcW w:w="1260" w:type="dxa"/>
            <w:vAlign w:val="bottom"/>
            <w:tcBorders>
              <w:bottom w:val="single" w:sz="8" w:color="auto"/>
            </w:tcBorders>
          </w:tcPr>
          <w:p>
            <w:pPr>
              <w:ind w:left="160"/>
              <w:spacing w:after="0" w:line="161" w:lineRule="exact"/>
              <w:rPr>
                <w:sz w:val="20"/>
                <w:szCs w:val="20"/>
                <w:color w:val="auto"/>
              </w:rPr>
            </w:pPr>
            <w:r>
              <w:rPr>
                <w:rFonts w:ascii="Arial" w:cs="Arial" w:eastAsia="Arial" w:hAnsi="Arial"/>
                <w:sz w:val="15"/>
                <w:szCs w:val="15"/>
                <w:color w:val="auto"/>
              </w:rPr>
              <w:t>3257541</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07/03/07</w:t>
            </w:r>
          </w:p>
        </w:tc>
        <w:tc>
          <w:tcPr>
            <w:tcW w:w="1000" w:type="dxa"/>
            <w:vAlign w:val="bottom"/>
            <w:tcBorders>
              <w:bottom w:val="single" w:sz="8" w:color="auto"/>
              <w:right w:val="single" w:sz="8" w:color="auto"/>
            </w:tcBorders>
          </w:tcPr>
          <w:p>
            <w:pPr>
              <w:spacing w:after="0"/>
              <w:rPr>
                <w:sz w:val="14"/>
                <w:szCs w:val="14"/>
                <w:color w:val="auto"/>
              </w:rPr>
            </w:pPr>
          </w:p>
        </w:tc>
      </w:tr>
      <w:tr>
        <w:trPr>
          <w:trHeight w:val="162"/>
        </w:trPr>
        <w:tc>
          <w:tcPr>
            <w:tcW w:w="40" w:type="dxa"/>
            <w:vAlign w:val="bottom"/>
            <w:tcBorders>
              <w:left w:val="single" w:sz="8" w:color="auto"/>
              <w:bottom w:val="single" w:sz="8" w:color="auto"/>
            </w:tcBorders>
          </w:tcPr>
          <w:p>
            <w:pPr>
              <w:spacing w:after="0"/>
              <w:rPr>
                <w:sz w:val="14"/>
                <w:szCs w:val="14"/>
                <w:color w:val="auto"/>
              </w:rPr>
            </w:pPr>
          </w:p>
        </w:tc>
        <w:tc>
          <w:tcPr>
            <w:tcW w:w="5600" w:type="dxa"/>
            <w:vAlign w:val="bottom"/>
            <w:tcBorders>
              <w:bottom w:val="single" w:sz="8" w:color="auto"/>
              <w:right w:val="single" w:sz="8" w:color="auto"/>
            </w:tcBorders>
            <w:gridSpan w:val="2"/>
          </w:tcPr>
          <w:p>
            <w:pPr>
              <w:spacing w:after="0" w:line="161" w:lineRule="exact"/>
              <w:rPr>
                <w:sz w:val="20"/>
                <w:szCs w:val="20"/>
                <w:color w:val="auto"/>
              </w:rPr>
            </w:pPr>
            <w:r>
              <w:rPr>
                <w:rFonts w:ascii="Arial" w:cs="Arial" w:eastAsia="Arial" w:hAnsi="Arial"/>
                <w:sz w:val="15"/>
                <w:szCs w:val="15"/>
                <w:color w:val="auto"/>
              </w:rPr>
              <w:t>ISLAND PASSPORT</w:t>
            </w:r>
          </w:p>
        </w:tc>
        <w:tc>
          <w:tcPr>
            <w:tcW w:w="1260" w:type="dxa"/>
            <w:vAlign w:val="bottom"/>
            <w:tcBorders>
              <w:bottom w:val="single" w:sz="8" w:color="auto"/>
            </w:tcBorders>
          </w:tcPr>
          <w:p>
            <w:pPr>
              <w:ind w:left="160"/>
              <w:spacing w:after="0" w:line="161" w:lineRule="exact"/>
              <w:rPr>
                <w:sz w:val="20"/>
                <w:szCs w:val="20"/>
                <w:color w:val="auto"/>
              </w:rPr>
            </w:pPr>
            <w:r>
              <w:rPr>
                <w:rFonts w:ascii="Arial" w:cs="Arial" w:eastAsia="Arial" w:hAnsi="Arial"/>
                <w:sz w:val="15"/>
                <w:szCs w:val="15"/>
                <w:color w:val="auto"/>
              </w:rPr>
              <w:t>3559858</w:t>
            </w: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00"/>
              <w:spacing w:after="0" w:line="161" w:lineRule="exact"/>
              <w:rPr>
                <w:sz w:val="20"/>
                <w:szCs w:val="20"/>
                <w:color w:val="auto"/>
              </w:rPr>
            </w:pPr>
            <w:r>
              <w:rPr>
                <w:rFonts w:ascii="Arial" w:cs="Arial" w:eastAsia="Arial" w:hAnsi="Arial"/>
                <w:sz w:val="15"/>
                <w:szCs w:val="15"/>
                <w:color w:val="auto"/>
              </w:rPr>
              <w:t>01/13/09</w:t>
            </w:r>
          </w:p>
        </w:tc>
        <w:tc>
          <w:tcPr>
            <w:tcW w:w="100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460"/>
          </w:cols>
          <w:pgMar w:left="220" w:top="305" w:right="219" w:bottom="1440" w:gutter="0" w:footer="0" w:header="0"/>
        </w:sectPr>
      </w:pPr>
    </w:p>
    <w:bookmarkStart w:id="157" w:name="page158"/>
    <w:bookmarkEnd w:id="1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5"/>
                <w:szCs w:val="15"/>
                <w:color w:val="auto"/>
              </w:rPr>
              <w:t>LIVINGXL (SM)</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3391690</w:t>
            </w:r>
          </w:p>
        </w:tc>
        <w:tc>
          <w:tcPr>
            <w:tcW w:w="2500" w:type="dxa"/>
            <w:vAlign w:val="bottom"/>
            <w:tcBorders>
              <w:top w:val="single" w:sz="8" w:color="auto"/>
              <w:bottom w:val="single" w:sz="8" w:color="auto"/>
              <w:right w:val="single" w:sz="8" w:color="auto"/>
            </w:tcBorders>
          </w:tcPr>
          <w:p>
            <w:pPr>
              <w:spacing w:after="0"/>
              <w:rPr>
                <w:sz w:val="15"/>
                <w:szCs w:val="15"/>
                <w:color w:val="auto"/>
              </w:rPr>
            </w:pPr>
          </w:p>
        </w:tc>
        <w:tc>
          <w:tcPr>
            <w:tcW w:w="2660" w:type="dxa"/>
            <w:vAlign w:val="bottom"/>
            <w:tcBorders>
              <w:top w:val="single" w:sz="8" w:color="auto"/>
              <w:bottom w:val="single" w:sz="8" w:color="auto"/>
              <w:right w:val="single" w:sz="8" w:color="auto"/>
            </w:tcBorders>
          </w:tcPr>
          <w:p>
            <w:pPr>
              <w:jc w:val="right"/>
              <w:ind w:right="1966"/>
              <w:spacing w:after="0"/>
              <w:rPr>
                <w:sz w:val="20"/>
                <w:szCs w:val="20"/>
                <w:color w:val="auto"/>
              </w:rPr>
            </w:pPr>
            <w:r>
              <w:rPr>
                <w:rFonts w:ascii="Arial" w:cs="Arial" w:eastAsia="Arial" w:hAnsi="Arial"/>
                <w:sz w:val="15"/>
                <w:szCs w:val="15"/>
                <w:color w:val="auto"/>
              </w:rPr>
              <w:t>03/04/08</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METROFUSION</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3614535</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05/05/09</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NATURAL EXCHANGE BY ALEXANDER LLOYD</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2018824</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11/26/96</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NECK</w:t>
            </w:r>
            <w:r>
              <w:rPr>
                <w:rFonts w:ascii="MS PGothic" w:cs="MS PGothic" w:eastAsia="MS PGothic" w:hAnsi="MS PGothic"/>
                <w:sz w:val="15"/>
                <w:szCs w:val="15"/>
                <w:color w:val="auto"/>
              </w:rPr>
              <w:t>‐</w:t>
            </w:r>
            <w:r>
              <w:rPr>
                <w:rFonts w:ascii="Arial" w:cs="Arial" w:eastAsia="Arial" w:hAnsi="Arial"/>
                <w:sz w:val="15"/>
                <w:szCs w:val="15"/>
                <w:color w:val="auto"/>
              </w:rPr>
              <w:t>RELAXER</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2938844</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04/15/05</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OAK HILL</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3355267</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12/18/07</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OAKHILL ESTABLISHED 1972 &amp; Tree Design</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3351230</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12/11/07</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REPP</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2652826</w:t>
            </w:r>
          </w:p>
        </w:tc>
        <w:tc>
          <w:tcPr>
            <w:tcW w:w="2500" w:type="dxa"/>
            <w:vAlign w:val="bottom"/>
            <w:tcBorders>
              <w:bottom w:val="single" w:sz="8" w:color="auto"/>
              <w:right w:val="single" w:sz="8" w:color="auto"/>
            </w:tcBorders>
          </w:tcPr>
          <w:p>
            <w:pPr>
              <w:ind w:left="20"/>
              <w:spacing w:after="0" w:line="161" w:lineRule="exact"/>
              <w:rPr>
                <w:sz w:val="20"/>
                <w:szCs w:val="20"/>
                <w:color w:val="auto"/>
              </w:rPr>
            </w:pPr>
            <w:r>
              <w:rPr>
                <w:rFonts w:ascii="Arial" w:cs="Arial" w:eastAsia="Arial" w:hAnsi="Arial"/>
                <w:sz w:val="15"/>
                <w:szCs w:val="15"/>
                <w:color w:val="auto"/>
              </w:rPr>
              <w:t>(Supplemental)</w:t>
            </w: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11/19/02</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REPP</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3622362</w:t>
            </w:r>
          </w:p>
        </w:tc>
        <w:tc>
          <w:tcPr>
            <w:tcW w:w="2500" w:type="dxa"/>
            <w:vAlign w:val="bottom"/>
            <w:tcBorders>
              <w:bottom w:val="single" w:sz="8" w:color="auto"/>
              <w:right w:val="single" w:sz="8" w:color="auto"/>
            </w:tcBorders>
          </w:tcPr>
          <w:p>
            <w:pPr>
              <w:ind w:left="20"/>
              <w:spacing w:after="0" w:line="161" w:lineRule="exact"/>
              <w:rPr>
                <w:sz w:val="20"/>
                <w:szCs w:val="20"/>
                <w:color w:val="auto"/>
              </w:rPr>
            </w:pPr>
            <w:r>
              <w:rPr>
                <w:rFonts w:ascii="Arial" w:cs="Arial" w:eastAsia="Arial" w:hAnsi="Arial"/>
                <w:sz w:val="15"/>
                <w:szCs w:val="15"/>
                <w:color w:val="auto"/>
              </w:rPr>
              <w:t>(Principal)</w:t>
            </w: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05/19/09</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REPP (SM)</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2667795</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12/31/02</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REPP, LTD. &amp; design</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1242946</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06/21/83</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REPP TECH</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2346534</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05/02/00</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ROCHESTER</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3262383</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07/10/07</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ROCHESTER BIG &amp; TALL (SM)</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3218730</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03/13/07</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ROCHESTER CLOTHING</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4182387</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07/31/12</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ROCHESTER SPORT FOR BIG &amp; TALL MEN *</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2975701</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07/26/05</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SHOESXL</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3482602</w:t>
            </w:r>
          </w:p>
        </w:tc>
        <w:tc>
          <w:tcPr>
            <w:tcW w:w="2500" w:type="dxa"/>
            <w:vAlign w:val="bottom"/>
            <w:tcBorders>
              <w:bottom w:val="single" w:sz="8" w:color="auto"/>
              <w:right w:val="single" w:sz="8" w:color="auto"/>
            </w:tcBorders>
          </w:tcPr>
          <w:p>
            <w:pPr>
              <w:ind w:left="20"/>
              <w:spacing w:after="0" w:line="161" w:lineRule="exact"/>
              <w:rPr>
                <w:sz w:val="20"/>
                <w:szCs w:val="20"/>
                <w:color w:val="auto"/>
              </w:rPr>
            </w:pPr>
            <w:r>
              <w:rPr>
                <w:rFonts w:ascii="Arial" w:cs="Arial" w:eastAsia="Arial" w:hAnsi="Arial"/>
                <w:sz w:val="15"/>
                <w:szCs w:val="15"/>
                <w:color w:val="auto"/>
              </w:rPr>
              <w:t>(Supplemental)</w:t>
            </w: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08/05/08</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SOCIETY OF ONE</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3515729</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10/14/08</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STAIN</w:t>
            </w:r>
            <w:r>
              <w:rPr>
                <w:rFonts w:ascii="MS PGothic" w:cs="MS PGothic" w:eastAsia="MS PGothic" w:hAnsi="MS PGothic"/>
                <w:sz w:val="15"/>
                <w:szCs w:val="15"/>
                <w:color w:val="auto"/>
              </w:rPr>
              <w:t>‐</w:t>
            </w:r>
            <w:r>
              <w:rPr>
                <w:rFonts w:ascii="Arial" w:cs="Arial" w:eastAsia="Arial" w:hAnsi="Arial"/>
                <w:sz w:val="15"/>
                <w:szCs w:val="15"/>
                <w:color w:val="auto"/>
              </w:rPr>
              <w:t>FIGHTER</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2997388</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09/20/05</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THINK BIG</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2643269</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10/29/02</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THINK BIG (SM)</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2324049</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02/29/00</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THINK BIG (multi</w:t>
            </w:r>
            <w:r>
              <w:rPr>
                <w:rFonts w:ascii="MS PGothic" w:cs="MS PGothic" w:eastAsia="MS PGothic" w:hAnsi="MS PGothic"/>
                <w:sz w:val="15"/>
                <w:szCs w:val="15"/>
                <w:color w:val="auto"/>
              </w:rPr>
              <w:t>‐</w:t>
            </w:r>
            <w:r>
              <w:rPr>
                <w:rFonts w:ascii="Arial" w:cs="Arial" w:eastAsia="Arial" w:hAnsi="Arial"/>
                <w:sz w:val="15"/>
                <w:szCs w:val="15"/>
                <w:color w:val="auto"/>
              </w:rPr>
              <w:t>classification novelty items)</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2802643</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01/06/04</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TRAVELER TECHNOLOGY</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3265921</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07/17/07</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TRUE NATION</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3946344</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04/12/11</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WAIST</w:t>
            </w:r>
            <w:r>
              <w:rPr>
                <w:rFonts w:ascii="MS PGothic" w:cs="MS PGothic" w:eastAsia="MS PGothic" w:hAnsi="MS PGothic"/>
                <w:sz w:val="15"/>
                <w:szCs w:val="15"/>
                <w:color w:val="auto"/>
              </w:rPr>
              <w:t>‐</w:t>
            </w:r>
            <w:r>
              <w:rPr>
                <w:rFonts w:ascii="Arial" w:cs="Arial" w:eastAsia="Arial" w:hAnsi="Arial"/>
                <w:sz w:val="15"/>
                <w:szCs w:val="15"/>
                <w:color w:val="auto"/>
              </w:rPr>
              <w:t>RELAXER</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2650656</w:t>
            </w:r>
          </w:p>
        </w:tc>
        <w:tc>
          <w:tcPr>
            <w:tcW w:w="250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11/12/02</w:t>
            </w:r>
          </w:p>
        </w:tc>
      </w:tr>
      <w:tr>
        <w:trPr>
          <w:trHeight w:val="162"/>
        </w:trPr>
        <w:tc>
          <w:tcPr>
            <w:tcW w:w="564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5"/>
                <w:szCs w:val="15"/>
                <w:color w:val="auto"/>
              </w:rPr>
              <w:t>WORKWEARXL (SM)</w:t>
            </w:r>
          </w:p>
        </w:tc>
        <w:tc>
          <w:tcPr>
            <w:tcW w:w="680" w:type="dxa"/>
            <w:vAlign w:val="bottom"/>
            <w:tcBorders>
              <w:bottom w:val="single" w:sz="8" w:color="auto"/>
            </w:tcBorders>
          </w:tcPr>
          <w:p>
            <w:pPr>
              <w:jc w:val="right"/>
              <w:spacing w:after="0" w:line="161" w:lineRule="exact"/>
              <w:rPr>
                <w:sz w:val="20"/>
                <w:szCs w:val="20"/>
                <w:color w:val="auto"/>
              </w:rPr>
            </w:pPr>
            <w:r>
              <w:rPr>
                <w:rFonts w:ascii="Arial" w:cs="Arial" w:eastAsia="Arial" w:hAnsi="Arial"/>
                <w:sz w:val="15"/>
                <w:szCs w:val="15"/>
                <w:color w:val="auto"/>
              </w:rPr>
              <w:t>4273579</w:t>
            </w:r>
          </w:p>
        </w:tc>
        <w:tc>
          <w:tcPr>
            <w:tcW w:w="2500" w:type="dxa"/>
            <w:vAlign w:val="bottom"/>
            <w:tcBorders>
              <w:bottom w:val="single" w:sz="8" w:color="auto"/>
              <w:right w:val="single" w:sz="8" w:color="auto"/>
            </w:tcBorders>
          </w:tcPr>
          <w:p>
            <w:pPr>
              <w:ind w:left="20"/>
              <w:spacing w:after="0" w:line="161" w:lineRule="exact"/>
              <w:rPr>
                <w:sz w:val="20"/>
                <w:szCs w:val="20"/>
                <w:color w:val="auto"/>
              </w:rPr>
            </w:pPr>
            <w:r>
              <w:rPr>
                <w:rFonts w:ascii="Arial" w:cs="Arial" w:eastAsia="Arial" w:hAnsi="Arial"/>
                <w:sz w:val="15"/>
                <w:szCs w:val="15"/>
                <w:color w:val="auto"/>
              </w:rPr>
              <w:t>(Supplemental)</w:t>
            </w:r>
          </w:p>
        </w:tc>
        <w:tc>
          <w:tcPr>
            <w:tcW w:w="2660" w:type="dxa"/>
            <w:vAlign w:val="bottom"/>
            <w:tcBorders>
              <w:bottom w:val="single" w:sz="8" w:color="auto"/>
              <w:right w:val="single" w:sz="8" w:color="auto"/>
            </w:tcBorders>
          </w:tcPr>
          <w:p>
            <w:pPr>
              <w:jc w:val="right"/>
              <w:ind w:right="1966"/>
              <w:spacing w:after="0" w:line="161" w:lineRule="exact"/>
              <w:rPr>
                <w:sz w:val="20"/>
                <w:szCs w:val="20"/>
                <w:color w:val="auto"/>
              </w:rPr>
            </w:pPr>
            <w:r>
              <w:rPr>
                <w:rFonts w:ascii="Arial" w:cs="Arial" w:eastAsia="Arial" w:hAnsi="Arial"/>
                <w:sz w:val="15"/>
                <w:szCs w:val="15"/>
                <w:color w:val="auto"/>
              </w:rPr>
              <w:t>01/08/13</w:t>
            </w:r>
          </w:p>
        </w:tc>
      </w:tr>
    </w:tbl>
    <w:p>
      <w:pPr>
        <w:spacing w:after="0" w:line="64" w:lineRule="exact"/>
        <w:rPr>
          <w:sz w:val="20"/>
          <w:szCs w:val="20"/>
          <w:color w:val="auto"/>
        </w:rPr>
      </w:pPr>
    </w:p>
    <w:p>
      <w:pPr>
        <w:ind w:left="320" w:right="5820" w:hanging="319"/>
        <w:spacing w:after="0" w:line="265" w:lineRule="auto"/>
        <w:tabs>
          <w:tab w:leader="none" w:pos="3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By way of assignment pursuant to acquisition of Rochester Big &amp; Tall Clothing on October 29, 2004.</w:t>
      </w:r>
    </w:p>
    <w:p>
      <w:pPr>
        <w:sectPr>
          <w:pgSz w:w="11900" w:h="16838" w:orient="portrait"/>
          <w:cols w:equalWidth="0" w:num="1">
            <w:col w:w="11460"/>
          </w:cols>
          <w:pgMar w:left="220" w:top="301"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5"/>
          <w:szCs w:val="15"/>
          <w:b w:val="1"/>
          <w:bCs w:val="1"/>
          <w:u w:val="single" w:color="auto"/>
          <w:color w:val="auto"/>
        </w:rPr>
        <w:t>UNITED STATES TRADEMARK APPLICATIONS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3060" w:type="dxa"/>
            <w:vAlign w:val="bottom"/>
            <w:tcBorders>
              <w:top w:val="single" w:sz="8" w:color="auto"/>
              <w:left w:val="single" w:sz="8" w:color="auto"/>
            </w:tcBorders>
            <w:gridSpan w:val="2"/>
          </w:tcPr>
          <w:p>
            <w:pPr>
              <w:ind w:left="20"/>
              <w:spacing w:after="0" w:line="151" w:lineRule="exact"/>
              <w:rPr>
                <w:sz w:val="20"/>
                <w:szCs w:val="20"/>
                <w:color w:val="auto"/>
              </w:rPr>
            </w:pPr>
            <w:r>
              <w:rPr>
                <w:rFonts w:ascii="Arial" w:cs="Arial" w:eastAsia="Arial" w:hAnsi="Arial"/>
                <w:sz w:val="15"/>
                <w:szCs w:val="15"/>
                <w:b w:val="1"/>
                <w:bCs w:val="1"/>
                <w:color w:val="auto"/>
              </w:rPr>
              <w:t>TRADEMARK/SERVICE MARK</w:t>
            </w:r>
          </w:p>
        </w:tc>
        <w:tc>
          <w:tcPr>
            <w:tcW w:w="1740" w:type="dxa"/>
            <w:vAlign w:val="bottom"/>
            <w:tcBorders>
              <w:top w:val="single" w:sz="8" w:color="auto"/>
              <w:right w:val="single" w:sz="8" w:color="auto"/>
            </w:tcBorders>
          </w:tcPr>
          <w:p>
            <w:pPr>
              <w:spacing w:after="0"/>
              <w:rPr>
                <w:sz w:val="13"/>
                <w:szCs w:val="13"/>
                <w:color w:val="auto"/>
              </w:rPr>
            </w:pPr>
          </w:p>
        </w:tc>
        <w:tc>
          <w:tcPr>
            <w:tcW w:w="3480" w:type="dxa"/>
            <w:vAlign w:val="bottom"/>
            <w:tcBorders>
              <w:top w:val="single" w:sz="8" w:color="auto"/>
              <w:right w:val="single" w:sz="8" w:color="auto"/>
            </w:tcBorders>
            <w:gridSpan w:val="4"/>
          </w:tcPr>
          <w:p>
            <w:pPr>
              <w:spacing w:after="0" w:line="151" w:lineRule="exact"/>
              <w:rPr>
                <w:sz w:val="20"/>
                <w:szCs w:val="20"/>
                <w:color w:val="auto"/>
              </w:rPr>
            </w:pPr>
            <w:r>
              <w:rPr>
                <w:rFonts w:ascii="Arial" w:cs="Arial" w:eastAsia="Arial" w:hAnsi="Arial"/>
                <w:sz w:val="15"/>
                <w:szCs w:val="15"/>
                <w:b w:val="1"/>
                <w:bCs w:val="1"/>
                <w:color w:val="auto"/>
              </w:rPr>
              <w:t>APPLICATION NUMBER</w:t>
            </w:r>
          </w:p>
        </w:tc>
        <w:tc>
          <w:tcPr>
            <w:tcW w:w="3200" w:type="dxa"/>
            <w:vAlign w:val="bottom"/>
            <w:tcBorders>
              <w:top w:val="single" w:sz="8" w:color="auto"/>
              <w:right w:val="single" w:sz="8" w:color="auto"/>
            </w:tcBorders>
            <w:gridSpan w:val="3"/>
          </w:tcPr>
          <w:p>
            <w:pPr>
              <w:spacing w:after="0" w:line="151" w:lineRule="exact"/>
              <w:rPr>
                <w:sz w:val="20"/>
                <w:szCs w:val="20"/>
                <w:color w:val="auto"/>
              </w:rPr>
            </w:pPr>
            <w:r>
              <w:rPr>
                <w:rFonts w:ascii="Arial" w:cs="Arial" w:eastAsia="Arial" w:hAnsi="Arial"/>
                <w:sz w:val="15"/>
                <w:szCs w:val="15"/>
                <w:b w:val="1"/>
                <w:bCs w:val="1"/>
                <w:color w:val="auto"/>
              </w:rPr>
              <w:t>APPLICATION DATE</w:t>
            </w:r>
          </w:p>
        </w:tc>
      </w:tr>
      <w:tr>
        <w:trPr>
          <w:trHeight w:val="20"/>
        </w:trPr>
        <w:tc>
          <w:tcPr>
            <w:tcW w:w="21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3060" w:type="dxa"/>
            <w:vAlign w:val="bottom"/>
            <w:tcBorders>
              <w:left w:val="single" w:sz="8" w:color="auto"/>
              <w:bottom w:val="single" w:sz="8" w:color="auto"/>
            </w:tcBorders>
            <w:gridSpan w:val="2"/>
          </w:tcPr>
          <w:p>
            <w:pPr>
              <w:ind w:left="20"/>
              <w:spacing w:after="0" w:line="152" w:lineRule="exact"/>
              <w:rPr>
                <w:sz w:val="20"/>
                <w:szCs w:val="20"/>
                <w:color w:val="auto"/>
              </w:rPr>
            </w:pPr>
            <w:r>
              <w:rPr>
                <w:rFonts w:ascii="Arial" w:cs="Arial" w:eastAsia="Arial" w:hAnsi="Arial"/>
                <w:sz w:val="15"/>
                <w:szCs w:val="15"/>
                <w:color w:val="auto"/>
              </w:rPr>
              <w:t>YOU’RE LOOKING GOOD</w:t>
            </w:r>
          </w:p>
        </w:tc>
        <w:tc>
          <w:tcPr>
            <w:tcW w:w="174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tcBorders>
            <w:gridSpan w:val="2"/>
          </w:tcPr>
          <w:p>
            <w:pPr>
              <w:spacing w:after="0" w:line="152" w:lineRule="exact"/>
              <w:rPr>
                <w:sz w:val="20"/>
                <w:szCs w:val="20"/>
                <w:color w:val="auto"/>
              </w:rPr>
            </w:pPr>
            <w:r>
              <w:rPr>
                <w:rFonts w:ascii="Arial" w:cs="Arial" w:eastAsia="Arial" w:hAnsi="Arial"/>
                <w:sz w:val="15"/>
                <w:szCs w:val="15"/>
                <w:color w:val="auto"/>
              </w:rPr>
              <w:t>86/245647</w:t>
            </w:r>
          </w:p>
        </w:tc>
        <w:tc>
          <w:tcPr>
            <w:tcW w:w="520" w:type="dxa"/>
            <w:vAlign w:val="bottom"/>
            <w:tcBorders>
              <w:bottom w:val="single" w:sz="8" w:color="auto"/>
            </w:tcBorders>
          </w:tcPr>
          <w:p>
            <w:pPr>
              <w:spacing w:after="0"/>
              <w:rPr>
                <w:sz w:val="13"/>
                <w:szCs w:val="13"/>
                <w:color w:val="auto"/>
              </w:rPr>
            </w:pPr>
          </w:p>
        </w:tc>
        <w:tc>
          <w:tcPr>
            <w:tcW w:w="178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04/18/14</w:t>
            </w:r>
          </w:p>
        </w:tc>
        <w:tc>
          <w:tcPr>
            <w:tcW w:w="14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r>
      <w:tr>
        <w:trPr>
          <w:trHeight w:val="373"/>
        </w:trPr>
        <w:tc>
          <w:tcPr>
            <w:tcW w:w="2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20" w:type="dxa"/>
            <w:vAlign w:val="bottom"/>
            <w:gridSpan w:val="5"/>
          </w:tcPr>
          <w:p>
            <w:pPr>
              <w:spacing w:after="0"/>
              <w:rPr>
                <w:sz w:val="20"/>
                <w:szCs w:val="20"/>
                <w:color w:val="auto"/>
              </w:rPr>
            </w:pPr>
            <w:r>
              <w:rPr>
                <w:rFonts w:ascii="Arial" w:cs="Arial" w:eastAsia="Arial" w:hAnsi="Arial"/>
                <w:sz w:val="15"/>
                <w:szCs w:val="15"/>
                <w:b w:val="1"/>
                <w:bCs w:val="1"/>
                <w:color w:val="auto"/>
              </w:rPr>
              <w:t>CANADA TRADEMARK REGISTRATIONS</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2"/>
        </w:trPr>
        <w:tc>
          <w:tcPr>
            <w:tcW w:w="2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r>
      <w:tr>
        <w:trPr>
          <w:trHeight w:val="226"/>
        </w:trPr>
        <w:tc>
          <w:tcPr>
            <w:tcW w:w="2180" w:type="dxa"/>
            <w:vAlign w:val="bottom"/>
            <w:tcBorders>
              <w:lef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3480" w:type="dxa"/>
            <w:vAlign w:val="bottom"/>
            <w:tcBorders>
              <w:right w:val="single" w:sz="8" w:color="auto"/>
            </w:tcBorders>
            <w:gridSpan w:val="4"/>
          </w:tcPr>
          <w:p>
            <w:pPr>
              <w:spacing w:after="0"/>
              <w:rPr>
                <w:sz w:val="20"/>
                <w:szCs w:val="20"/>
                <w:color w:val="auto"/>
              </w:rPr>
            </w:pPr>
            <w:r>
              <w:rPr>
                <w:rFonts w:ascii="Arial" w:cs="Arial" w:eastAsia="Arial" w:hAnsi="Arial"/>
                <w:sz w:val="15"/>
                <w:szCs w:val="15"/>
                <w:b w:val="1"/>
                <w:bCs w:val="1"/>
                <w:color w:val="auto"/>
              </w:rPr>
              <w:t>REGISTRATION</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r>
      <w:tr>
        <w:trPr>
          <w:trHeight w:val="168"/>
        </w:trPr>
        <w:tc>
          <w:tcPr>
            <w:tcW w:w="3060" w:type="dxa"/>
            <w:vAlign w:val="bottom"/>
            <w:tcBorders>
              <w:left w:val="single" w:sz="8" w:color="auto"/>
            </w:tcBorders>
            <w:gridSpan w:val="2"/>
          </w:tcPr>
          <w:p>
            <w:pPr>
              <w:ind w:left="20"/>
              <w:spacing w:after="0" w:line="168" w:lineRule="exact"/>
              <w:rPr>
                <w:sz w:val="20"/>
                <w:szCs w:val="20"/>
                <w:color w:val="auto"/>
              </w:rPr>
            </w:pPr>
            <w:r>
              <w:rPr>
                <w:rFonts w:ascii="Arial" w:cs="Arial" w:eastAsia="Arial" w:hAnsi="Arial"/>
                <w:sz w:val="15"/>
                <w:szCs w:val="15"/>
                <w:b w:val="1"/>
                <w:bCs w:val="1"/>
                <w:color w:val="auto"/>
              </w:rPr>
              <w:t>TRADEMARK/SERVICE MARK</w:t>
            </w:r>
          </w:p>
        </w:tc>
        <w:tc>
          <w:tcPr>
            <w:tcW w:w="1740" w:type="dxa"/>
            <w:vAlign w:val="bottom"/>
            <w:tcBorders>
              <w:right w:val="single" w:sz="8" w:color="auto"/>
            </w:tcBorders>
          </w:tcPr>
          <w:p>
            <w:pPr>
              <w:spacing w:after="0"/>
              <w:rPr>
                <w:sz w:val="14"/>
                <w:szCs w:val="14"/>
                <w:color w:val="auto"/>
              </w:rPr>
            </w:pPr>
          </w:p>
        </w:tc>
        <w:tc>
          <w:tcPr>
            <w:tcW w:w="3480" w:type="dxa"/>
            <w:vAlign w:val="bottom"/>
            <w:tcBorders>
              <w:right w:val="single" w:sz="8" w:color="auto"/>
            </w:tcBorders>
            <w:gridSpan w:val="4"/>
          </w:tcPr>
          <w:p>
            <w:pPr>
              <w:spacing w:after="0" w:line="168" w:lineRule="exact"/>
              <w:rPr>
                <w:sz w:val="20"/>
                <w:szCs w:val="20"/>
                <w:color w:val="auto"/>
              </w:rPr>
            </w:pPr>
            <w:r>
              <w:rPr>
                <w:rFonts w:ascii="Arial" w:cs="Arial" w:eastAsia="Arial" w:hAnsi="Arial"/>
                <w:sz w:val="15"/>
                <w:szCs w:val="15"/>
                <w:b w:val="1"/>
                <w:bCs w:val="1"/>
                <w:color w:val="auto"/>
              </w:rPr>
              <w:t>NUMBER</w:t>
            </w:r>
          </w:p>
        </w:tc>
        <w:tc>
          <w:tcPr>
            <w:tcW w:w="3200" w:type="dxa"/>
            <w:vAlign w:val="bottom"/>
            <w:tcBorders>
              <w:right w:val="single" w:sz="8" w:color="auto"/>
            </w:tcBorders>
            <w:gridSpan w:val="3"/>
          </w:tcPr>
          <w:p>
            <w:pPr>
              <w:spacing w:after="0" w:line="168" w:lineRule="exact"/>
              <w:rPr>
                <w:sz w:val="20"/>
                <w:szCs w:val="20"/>
                <w:color w:val="auto"/>
              </w:rPr>
            </w:pPr>
            <w:r>
              <w:rPr>
                <w:rFonts w:ascii="Arial" w:cs="Arial" w:eastAsia="Arial" w:hAnsi="Arial"/>
                <w:sz w:val="15"/>
                <w:szCs w:val="15"/>
                <w:b w:val="1"/>
                <w:bCs w:val="1"/>
                <w:color w:val="auto"/>
              </w:rPr>
              <w:t>REGISTRATION DATE</w:t>
            </w:r>
          </w:p>
        </w:tc>
      </w:tr>
      <w:tr>
        <w:trPr>
          <w:trHeight w:val="20"/>
        </w:trPr>
        <w:tc>
          <w:tcPr>
            <w:tcW w:w="21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3060" w:type="dxa"/>
            <w:vAlign w:val="bottom"/>
            <w:tcBorders>
              <w:left w:val="single" w:sz="8" w:color="auto"/>
              <w:bottom w:val="single" w:sz="8" w:color="auto"/>
            </w:tcBorders>
            <w:gridSpan w:val="2"/>
          </w:tcPr>
          <w:p>
            <w:pPr>
              <w:ind w:left="20"/>
              <w:spacing w:after="0" w:line="170" w:lineRule="exact"/>
              <w:rPr>
                <w:sz w:val="20"/>
                <w:szCs w:val="20"/>
                <w:color w:val="auto"/>
              </w:rPr>
            </w:pPr>
            <w:r>
              <w:rPr>
                <w:rFonts w:ascii="Arial" w:cs="Arial" w:eastAsia="Arial" w:hAnsi="Arial"/>
                <w:sz w:val="15"/>
                <w:szCs w:val="15"/>
                <w:color w:val="auto"/>
              </w:rPr>
              <w:t>CASUAL MALE</w:t>
            </w:r>
          </w:p>
        </w:tc>
        <w:tc>
          <w:tcPr>
            <w:tcW w:w="1740" w:type="dxa"/>
            <w:vAlign w:val="bottom"/>
            <w:tcBorders>
              <w:bottom w:val="single" w:sz="8" w:color="auto"/>
              <w:right w:val="single" w:sz="8" w:color="auto"/>
            </w:tcBorders>
          </w:tcPr>
          <w:p>
            <w:pPr>
              <w:spacing w:after="0"/>
              <w:rPr>
                <w:sz w:val="14"/>
                <w:szCs w:val="14"/>
                <w:color w:val="auto"/>
              </w:rPr>
            </w:pPr>
          </w:p>
        </w:tc>
        <w:tc>
          <w:tcPr>
            <w:tcW w:w="3480" w:type="dxa"/>
            <w:vAlign w:val="bottom"/>
            <w:tcBorders>
              <w:bottom w:val="single" w:sz="8" w:color="auto"/>
              <w:right w:val="single" w:sz="8" w:color="auto"/>
            </w:tcBorders>
            <w:gridSpan w:val="4"/>
          </w:tcPr>
          <w:p>
            <w:pPr>
              <w:spacing w:after="0" w:line="170" w:lineRule="exact"/>
              <w:rPr>
                <w:sz w:val="20"/>
                <w:szCs w:val="20"/>
                <w:color w:val="auto"/>
              </w:rPr>
            </w:pPr>
            <w:r>
              <w:rPr>
                <w:rFonts w:ascii="Arial" w:cs="Arial" w:eastAsia="Arial" w:hAnsi="Arial"/>
                <w:sz w:val="15"/>
                <w:szCs w:val="15"/>
                <w:color w:val="auto"/>
              </w:rPr>
              <w:t>TMA846671</w:t>
            </w:r>
          </w:p>
        </w:tc>
        <w:tc>
          <w:tcPr>
            <w:tcW w:w="142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03/20/13</w:t>
            </w: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CASUAL MALE BIG &amp; TALL (SM)</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TMA714507</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05/15/08</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CASUAL MALE XL</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TMA715826</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06/03/08</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COMFORT ZONE</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TMA765390</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04/30/10</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COMFORT ZONE *</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TMA499960</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09/02/98</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CONTINUOUS COMFORT</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TMA791599</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02/25/11</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DURABELT</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TMA830692</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08/27/12</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line="173" w:lineRule="exact"/>
              <w:rPr>
                <w:sz w:val="20"/>
                <w:szCs w:val="20"/>
                <w:color w:val="auto"/>
              </w:rPr>
            </w:pPr>
            <w:r>
              <w:rPr>
                <w:rFonts w:ascii="Arial" w:cs="Arial" w:eastAsia="Arial" w:hAnsi="Arial"/>
                <w:sz w:val="15"/>
                <w:szCs w:val="15"/>
                <w:color w:val="auto"/>
              </w:rPr>
              <w:t>FLEX</w:t>
            </w:r>
            <w:r>
              <w:rPr>
                <w:rFonts w:ascii="MS PGothic" w:cs="MS PGothic" w:eastAsia="MS PGothic" w:hAnsi="MS PGothic"/>
                <w:sz w:val="15"/>
                <w:szCs w:val="15"/>
                <w:color w:val="auto"/>
              </w:rPr>
              <w:t>‐</w:t>
            </w:r>
            <w:r>
              <w:rPr>
                <w:rFonts w:ascii="Arial" w:cs="Arial" w:eastAsia="Arial" w:hAnsi="Arial"/>
                <w:sz w:val="15"/>
                <w:szCs w:val="15"/>
                <w:color w:val="auto"/>
              </w:rPr>
              <w:t>ZONE</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TMA689720</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06/13/07</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GLACIER TEC (clothing)</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TMA677140</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11/16/06</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GLACIER TEC (footwear, caps and gloves)</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TMA653857</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11/29/05</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HARBOR BAY</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TMA642520</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06/20/05</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HB SPORT HARBOR BAY</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TMA677612</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11/24/06</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HIMALAYA</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TMA665615</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06/05/06</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HIMALAYA OUTFITTERS</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TMA677613</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11/24/06</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line="173" w:lineRule="exact"/>
              <w:rPr>
                <w:sz w:val="20"/>
                <w:szCs w:val="20"/>
                <w:color w:val="auto"/>
              </w:rPr>
            </w:pPr>
            <w:r>
              <w:rPr>
                <w:rFonts w:ascii="Arial" w:cs="Arial" w:eastAsia="Arial" w:hAnsi="Arial"/>
                <w:sz w:val="15"/>
                <w:szCs w:val="15"/>
                <w:color w:val="auto"/>
              </w:rPr>
              <w:t>NECK</w:t>
            </w:r>
            <w:r>
              <w:rPr>
                <w:rFonts w:ascii="MS PGothic" w:cs="MS PGothic" w:eastAsia="MS PGothic" w:hAnsi="MS PGothic"/>
                <w:sz w:val="15"/>
                <w:szCs w:val="15"/>
                <w:color w:val="auto"/>
              </w:rPr>
              <w:t>‐</w:t>
            </w:r>
            <w:r>
              <w:rPr>
                <w:rFonts w:ascii="Arial" w:cs="Arial" w:eastAsia="Arial" w:hAnsi="Arial"/>
                <w:sz w:val="15"/>
                <w:szCs w:val="15"/>
                <w:color w:val="auto"/>
              </w:rPr>
              <w:t>RELAXER</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TMA654960</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12/13/05</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ROCHESTER</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TMA857204</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08/07/13</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ROCHESTER BIG &amp; TALL</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TMA701192</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11/21/07</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SHOESXL</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TMA726233</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10/16/08</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line="173" w:lineRule="exact"/>
              <w:rPr>
                <w:sz w:val="20"/>
                <w:szCs w:val="20"/>
                <w:color w:val="auto"/>
              </w:rPr>
            </w:pPr>
            <w:r>
              <w:rPr>
                <w:rFonts w:ascii="Arial" w:cs="Arial" w:eastAsia="Arial" w:hAnsi="Arial"/>
                <w:sz w:val="15"/>
                <w:szCs w:val="15"/>
                <w:color w:val="auto"/>
              </w:rPr>
              <w:t>STAIN</w:t>
            </w:r>
            <w:r>
              <w:rPr>
                <w:rFonts w:ascii="MS PGothic" w:cs="MS PGothic" w:eastAsia="MS PGothic" w:hAnsi="MS PGothic"/>
                <w:sz w:val="15"/>
                <w:szCs w:val="15"/>
                <w:color w:val="auto"/>
              </w:rPr>
              <w:t>‐</w:t>
            </w:r>
            <w:r>
              <w:rPr>
                <w:rFonts w:ascii="Arial" w:cs="Arial" w:eastAsia="Arial" w:hAnsi="Arial"/>
                <w:sz w:val="15"/>
                <w:szCs w:val="15"/>
                <w:color w:val="auto"/>
              </w:rPr>
              <w:t>FIGHTER</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TMA670418</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08/16/08</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THINKBIG (SM)</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TMA677300</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11/17/06</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THINKBIGDIRECT.COM</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TMA642522</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06/20/05</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2"/>
        </w:trPr>
        <w:tc>
          <w:tcPr>
            <w:tcW w:w="3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rPr>
              <w:t>TRAVELER TECHNOLOGY</w:t>
            </w:r>
          </w:p>
        </w:tc>
        <w:tc>
          <w:tcPr>
            <w:tcW w:w="1740" w:type="dxa"/>
            <w:vAlign w:val="bottom"/>
            <w:tcBorders>
              <w:bottom w:val="single" w:sz="8" w:color="auto"/>
              <w:right w:val="single" w:sz="8" w:color="auto"/>
            </w:tcBorders>
          </w:tcPr>
          <w:p>
            <w:pPr>
              <w:spacing w:after="0"/>
              <w:rPr>
                <w:sz w:val="15"/>
                <w:szCs w:val="15"/>
                <w:color w:val="auto"/>
              </w:rPr>
            </w:pPr>
          </w:p>
        </w:tc>
        <w:tc>
          <w:tcPr>
            <w:tcW w:w="348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5"/>
                <w:szCs w:val="15"/>
                <w:color w:val="auto"/>
              </w:rPr>
              <w:t>TMA713504</w:t>
            </w:r>
          </w:p>
        </w:tc>
        <w:tc>
          <w:tcPr>
            <w:tcW w:w="1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05/05/08</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r>
      <w:tr>
        <w:trPr>
          <w:trHeight w:val="180"/>
        </w:trPr>
        <w:tc>
          <w:tcPr>
            <w:tcW w:w="3060" w:type="dxa"/>
            <w:vAlign w:val="bottom"/>
            <w:tcBorders>
              <w:left w:val="single" w:sz="8" w:color="auto"/>
            </w:tcBorders>
            <w:gridSpan w:val="2"/>
          </w:tcPr>
          <w:p>
            <w:pPr>
              <w:ind w:left="20"/>
              <w:spacing w:after="0" w:line="173" w:lineRule="exact"/>
              <w:rPr>
                <w:sz w:val="20"/>
                <w:szCs w:val="20"/>
                <w:color w:val="auto"/>
              </w:rPr>
            </w:pPr>
            <w:r>
              <w:rPr>
                <w:rFonts w:ascii="Arial" w:cs="Arial" w:eastAsia="Arial" w:hAnsi="Arial"/>
                <w:sz w:val="15"/>
                <w:szCs w:val="15"/>
                <w:color w:val="auto"/>
              </w:rPr>
              <w:t>WAIST</w:t>
            </w:r>
            <w:r>
              <w:rPr>
                <w:rFonts w:ascii="MS PGothic" w:cs="MS PGothic" w:eastAsia="MS PGothic" w:hAnsi="MS PGothic"/>
                <w:sz w:val="15"/>
                <w:szCs w:val="15"/>
                <w:color w:val="auto"/>
              </w:rPr>
              <w:t>‐</w:t>
            </w:r>
            <w:r>
              <w:rPr>
                <w:rFonts w:ascii="Arial" w:cs="Arial" w:eastAsia="Arial" w:hAnsi="Arial"/>
                <w:sz w:val="15"/>
                <w:szCs w:val="15"/>
                <w:color w:val="auto"/>
              </w:rPr>
              <w:t>RELAXER</w:t>
            </w:r>
          </w:p>
        </w:tc>
        <w:tc>
          <w:tcPr>
            <w:tcW w:w="1740" w:type="dxa"/>
            <w:vAlign w:val="bottom"/>
            <w:tcBorders>
              <w:right w:val="single" w:sz="8" w:color="auto"/>
            </w:tcBorders>
          </w:tcPr>
          <w:p>
            <w:pPr>
              <w:spacing w:after="0"/>
              <w:rPr>
                <w:sz w:val="15"/>
                <w:szCs w:val="15"/>
                <w:color w:val="auto"/>
              </w:rPr>
            </w:pPr>
          </w:p>
        </w:tc>
        <w:tc>
          <w:tcPr>
            <w:tcW w:w="3480" w:type="dxa"/>
            <w:vAlign w:val="bottom"/>
            <w:tcBorders>
              <w:right w:val="single" w:sz="8" w:color="auto"/>
            </w:tcBorders>
            <w:gridSpan w:val="4"/>
          </w:tcPr>
          <w:p>
            <w:pPr>
              <w:spacing w:after="0"/>
              <w:rPr>
                <w:sz w:val="20"/>
                <w:szCs w:val="20"/>
                <w:color w:val="auto"/>
              </w:rPr>
            </w:pPr>
            <w:r>
              <w:rPr>
                <w:rFonts w:ascii="Arial" w:cs="Arial" w:eastAsia="Arial" w:hAnsi="Arial"/>
                <w:sz w:val="15"/>
                <w:szCs w:val="15"/>
                <w:color w:val="auto"/>
              </w:rPr>
              <w:t>TMA642042</w:t>
            </w:r>
          </w:p>
        </w:tc>
        <w:tc>
          <w:tcPr>
            <w:tcW w:w="1420" w:type="dxa"/>
            <w:vAlign w:val="bottom"/>
          </w:tcPr>
          <w:p>
            <w:pPr>
              <w:spacing w:after="0"/>
              <w:rPr>
                <w:sz w:val="20"/>
                <w:szCs w:val="20"/>
                <w:color w:val="auto"/>
              </w:rPr>
            </w:pPr>
            <w:r>
              <w:rPr>
                <w:rFonts w:ascii="Arial" w:cs="Arial" w:eastAsia="Arial" w:hAnsi="Arial"/>
                <w:sz w:val="15"/>
                <w:szCs w:val="15"/>
                <w:color w:val="auto"/>
              </w:rPr>
              <w:t>06/15/05</w:t>
            </w:r>
          </w:p>
        </w:tc>
        <w:tc>
          <w:tcPr>
            <w:tcW w:w="140" w:type="dxa"/>
            <w:vAlign w:val="bottom"/>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r>
      <w:tr>
        <w:trPr>
          <w:trHeight w:val="44"/>
        </w:trPr>
        <w:tc>
          <w:tcPr>
            <w:tcW w:w="2180" w:type="dxa"/>
            <w:vAlign w:val="bottom"/>
            <w:tcBorders>
              <w:left w:val="single" w:sz="8" w:color="auto"/>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 Acquired from Quality Brokerage Ltd. pursuant to Agreement, dated 04/09/07</w:t>
      </w:r>
    </w:p>
    <w:p>
      <w:pPr>
        <w:sectPr>
          <w:pgSz w:w="11900" w:h="16838" w:orient="portrait"/>
          <w:cols w:equalWidth="0" w:num="1">
            <w:col w:w="11460"/>
          </w:cols>
          <w:pgMar w:left="220" w:top="335" w:right="2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5"/>
          <w:szCs w:val="15"/>
          <w:b w:val="1"/>
          <w:bCs w:val="1"/>
          <w:u w:val="single" w:color="auto"/>
          <w:color w:val="auto"/>
        </w:rPr>
        <w:t>CANADA TRADEMARK APPLICATIONS (PENDING)</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620" w:type="dxa"/>
            <w:vAlign w:val="bottom"/>
            <w:tcBorders>
              <w:top w:val="single" w:sz="8" w:color="auto"/>
              <w:left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2100" w:type="dxa"/>
            <w:vAlign w:val="bottom"/>
            <w:tcBorders>
              <w:top w:val="single" w:sz="8" w:color="auto"/>
              <w:right w:val="single" w:sz="8" w:color="auto"/>
            </w:tcBorders>
          </w:tcPr>
          <w:p>
            <w:pPr>
              <w:spacing w:after="0"/>
              <w:rPr>
                <w:sz w:val="22"/>
                <w:szCs w:val="22"/>
                <w:color w:val="auto"/>
              </w:rPr>
            </w:pPr>
          </w:p>
        </w:tc>
        <w:tc>
          <w:tcPr>
            <w:tcW w:w="288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5"/>
                <w:szCs w:val="15"/>
                <w:b w:val="1"/>
                <w:bCs w:val="1"/>
                <w:color w:val="auto"/>
              </w:rPr>
              <w:t>APPLICATION</w:t>
            </w:r>
          </w:p>
        </w:tc>
        <w:tc>
          <w:tcPr>
            <w:tcW w:w="1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20" w:type="dxa"/>
            <w:vAlign w:val="bottom"/>
            <w:tcBorders>
              <w:top w:val="single" w:sz="8" w:color="auto"/>
              <w:right w:val="single" w:sz="8" w:color="auto"/>
            </w:tcBorders>
          </w:tcPr>
          <w:p>
            <w:pPr>
              <w:spacing w:after="0"/>
              <w:rPr>
                <w:sz w:val="22"/>
                <w:szCs w:val="22"/>
                <w:color w:val="auto"/>
              </w:rPr>
            </w:pPr>
          </w:p>
        </w:tc>
      </w:tr>
      <w:tr>
        <w:trPr>
          <w:trHeight w:val="158"/>
        </w:trPr>
        <w:tc>
          <w:tcPr>
            <w:tcW w:w="3640" w:type="dxa"/>
            <w:vAlign w:val="bottom"/>
            <w:tcBorders>
              <w:left w:val="single" w:sz="8" w:color="auto"/>
            </w:tcBorders>
            <w:gridSpan w:val="3"/>
          </w:tcPr>
          <w:p>
            <w:pPr>
              <w:ind w:left="20"/>
              <w:spacing w:after="0" w:line="158" w:lineRule="exact"/>
              <w:rPr>
                <w:sz w:val="20"/>
                <w:szCs w:val="20"/>
                <w:color w:val="auto"/>
              </w:rPr>
            </w:pPr>
            <w:r>
              <w:rPr>
                <w:rFonts w:ascii="Arial" w:cs="Arial" w:eastAsia="Arial" w:hAnsi="Arial"/>
                <w:sz w:val="15"/>
                <w:szCs w:val="15"/>
                <w:b w:val="1"/>
                <w:bCs w:val="1"/>
                <w:color w:val="auto"/>
              </w:rPr>
              <w:t>TRADEMARK/SERVICE MARK</w:t>
            </w:r>
          </w:p>
        </w:tc>
        <w:tc>
          <w:tcPr>
            <w:tcW w:w="2100" w:type="dxa"/>
            <w:vAlign w:val="bottom"/>
            <w:tcBorders>
              <w:right w:val="single" w:sz="8" w:color="auto"/>
            </w:tcBorders>
          </w:tcPr>
          <w:p>
            <w:pPr>
              <w:spacing w:after="0"/>
              <w:rPr>
                <w:sz w:val="13"/>
                <w:szCs w:val="13"/>
                <w:color w:val="auto"/>
              </w:rPr>
            </w:pPr>
          </w:p>
        </w:tc>
        <w:tc>
          <w:tcPr>
            <w:tcW w:w="2880" w:type="dxa"/>
            <w:vAlign w:val="bottom"/>
            <w:tcBorders>
              <w:right w:val="single" w:sz="8" w:color="auto"/>
            </w:tcBorders>
            <w:gridSpan w:val="4"/>
          </w:tcPr>
          <w:p>
            <w:pPr>
              <w:spacing w:after="0" w:line="158" w:lineRule="exact"/>
              <w:rPr>
                <w:sz w:val="20"/>
                <w:szCs w:val="20"/>
                <w:color w:val="auto"/>
              </w:rPr>
            </w:pPr>
            <w:r>
              <w:rPr>
                <w:rFonts w:ascii="Arial" w:cs="Arial" w:eastAsia="Arial" w:hAnsi="Arial"/>
                <w:sz w:val="15"/>
                <w:szCs w:val="15"/>
                <w:b w:val="1"/>
                <w:bCs w:val="1"/>
                <w:color w:val="auto"/>
              </w:rPr>
              <w:t>NUMBER</w:t>
            </w:r>
          </w:p>
        </w:tc>
        <w:tc>
          <w:tcPr>
            <w:tcW w:w="286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APPLICATION DATE</w:t>
            </w:r>
          </w:p>
        </w:tc>
      </w:tr>
      <w:tr>
        <w:trPr>
          <w:trHeight w:val="20"/>
        </w:trPr>
        <w:tc>
          <w:tcPr>
            <w:tcW w:w="162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3640" w:type="dxa"/>
            <w:vAlign w:val="bottom"/>
            <w:tcBorders>
              <w:left w:val="single" w:sz="8" w:color="auto"/>
              <w:bottom w:val="single" w:sz="8" w:color="auto"/>
            </w:tcBorders>
            <w:gridSpan w:val="3"/>
          </w:tcPr>
          <w:p>
            <w:pPr>
              <w:ind w:left="20"/>
              <w:spacing w:after="0" w:line="170" w:lineRule="exact"/>
              <w:rPr>
                <w:sz w:val="20"/>
                <w:szCs w:val="20"/>
                <w:color w:val="auto"/>
              </w:rPr>
            </w:pPr>
            <w:r>
              <w:rPr>
                <w:rFonts w:ascii="Arial" w:cs="Arial" w:eastAsia="Arial" w:hAnsi="Arial"/>
                <w:sz w:val="15"/>
                <w:szCs w:val="15"/>
                <w:color w:val="auto"/>
              </w:rPr>
              <w:t>BIG &amp; TALL &amp; design (SM)</w:t>
            </w:r>
          </w:p>
        </w:tc>
        <w:tc>
          <w:tcPr>
            <w:tcW w:w="21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1210501</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03/17/04</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BIG &amp; TALL CASUAL MALE &amp; design (SM)</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1210536</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03/17/04</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BIG ON BEING BETTER (SM)</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1592493</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08/31/12</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BOLDXL</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1424348</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01/13/09</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CASUAL MALE BIG &amp; TALL &amp; design (SM)</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1210537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03/17/04</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DESTINATION XL</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1479930</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05/06/10</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DXL</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1479920</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05/06/10</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DXL (stylized)</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1592494</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08/31/12</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DXL DESTINATION XL &amp; design (SM)</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1510470</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01/07/10</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SUPERSIZEWORLD</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1347887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11/14/07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0"/>
        </w:trPr>
        <w:tc>
          <w:tcPr>
            <w:tcW w:w="3640" w:type="dxa"/>
            <w:vAlign w:val="bottom"/>
            <w:tcBorders>
              <w:left w:val="single" w:sz="8" w:color="auto"/>
            </w:tcBorders>
            <w:gridSpan w:val="3"/>
          </w:tcPr>
          <w:p>
            <w:pPr>
              <w:ind w:left="20"/>
              <w:spacing w:after="0"/>
              <w:rPr>
                <w:sz w:val="20"/>
                <w:szCs w:val="20"/>
                <w:color w:val="auto"/>
              </w:rPr>
            </w:pPr>
            <w:r>
              <w:rPr>
                <w:rFonts w:ascii="Arial" w:cs="Arial" w:eastAsia="Arial" w:hAnsi="Arial"/>
                <w:sz w:val="15"/>
                <w:szCs w:val="15"/>
                <w:color w:val="auto"/>
              </w:rPr>
              <w:t>TRUE NATION</w:t>
            </w:r>
          </w:p>
        </w:tc>
        <w:tc>
          <w:tcPr>
            <w:tcW w:w="2100" w:type="dxa"/>
            <w:vAlign w:val="bottom"/>
            <w:tcBorders>
              <w:right w:val="single" w:sz="8" w:color="auto"/>
            </w:tcBorders>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5"/>
                <w:szCs w:val="15"/>
                <w:color w:val="auto"/>
              </w:rPr>
              <w:t>1513104</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5"/>
                <w:szCs w:val="15"/>
                <w:color w:val="auto"/>
              </w:rPr>
              <w:t>01/28/11</w:t>
            </w:r>
          </w:p>
        </w:tc>
        <w:tc>
          <w:tcPr>
            <w:tcW w:w="1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44"/>
        </w:trPr>
        <w:tc>
          <w:tcPr>
            <w:tcW w:w="162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93"/>
        </w:trPr>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980" w:type="dxa"/>
            <w:vAlign w:val="bottom"/>
            <w:gridSpan w:val="5"/>
          </w:tcPr>
          <w:p>
            <w:pPr>
              <w:spacing w:after="0"/>
              <w:rPr>
                <w:sz w:val="20"/>
                <w:szCs w:val="20"/>
                <w:color w:val="auto"/>
              </w:rPr>
            </w:pPr>
            <w:r>
              <w:rPr>
                <w:rFonts w:ascii="Arial" w:cs="Arial" w:eastAsia="Arial" w:hAnsi="Arial"/>
                <w:sz w:val="15"/>
                <w:szCs w:val="15"/>
                <w:b w:val="1"/>
                <w:bCs w:val="1"/>
                <w:color w:val="auto"/>
              </w:rPr>
              <w:t>EUROPEAN (COMMUNITY) TRADEMARK REGISTRATIONS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16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36"/>
        </w:trPr>
        <w:tc>
          <w:tcPr>
            <w:tcW w:w="162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2880" w:type="dxa"/>
            <w:vAlign w:val="bottom"/>
            <w:tcBorders>
              <w:right w:val="single" w:sz="8" w:color="auto"/>
            </w:tcBorders>
            <w:gridSpan w:val="4"/>
          </w:tcPr>
          <w:p>
            <w:pPr>
              <w:spacing w:after="0"/>
              <w:rPr>
                <w:sz w:val="20"/>
                <w:szCs w:val="20"/>
                <w:color w:val="auto"/>
              </w:rPr>
            </w:pPr>
            <w:r>
              <w:rPr>
                <w:rFonts w:ascii="Arial" w:cs="Arial" w:eastAsia="Arial" w:hAnsi="Arial"/>
                <w:sz w:val="15"/>
                <w:szCs w:val="15"/>
                <w:b w:val="1"/>
                <w:bCs w:val="1"/>
                <w:color w:val="auto"/>
              </w:rPr>
              <w:t>REGISTRATION</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158"/>
        </w:trPr>
        <w:tc>
          <w:tcPr>
            <w:tcW w:w="3640" w:type="dxa"/>
            <w:vAlign w:val="bottom"/>
            <w:tcBorders>
              <w:left w:val="single" w:sz="8" w:color="auto"/>
            </w:tcBorders>
            <w:gridSpan w:val="3"/>
          </w:tcPr>
          <w:p>
            <w:pPr>
              <w:ind w:left="20"/>
              <w:spacing w:after="0" w:line="158" w:lineRule="exact"/>
              <w:rPr>
                <w:sz w:val="20"/>
                <w:szCs w:val="20"/>
                <w:color w:val="auto"/>
              </w:rPr>
            </w:pPr>
            <w:r>
              <w:rPr>
                <w:rFonts w:ascii="Arial" w:cs="Arial" w:eastAsia="Arial" w:hAnsi="Arial"/>
                <w:sz w:val="15"/>
                <w:szCs w:val="15"/>
                <w:b w:val="1"/>
                <w:bCs w:val="1"/>
                <w:color w:val="auto"/>
              </w:rPr>
              <w:t>TRADEMARK/SERVICE MARK</w:t>
            </w:r>
          </w:p>
        </w:tc>
        <w:tc>
          <w:tcPr>
            <w:tcW w:w="2100" w:type="dxa"/>
            <w:vAlign w:val="bottom"/>
            <w:tcBorders>
              <w:right w:val="single" w:sz="8" w:color="auto"/>
            </w:tcBorders>
          </w:tcPr>
          <w:p>
            <w:pPr>
              <w:spacing w:after="0"/>
              <w:rPr>
                <w:sz w:val="13"/>
                <w:szCs w:val="13"/>
                <w:color w:val="auto"/>
              </w:rPr>
            </w:pPr>
          </w:p>
        </w:tc>
        <w:tc>
          <w:tcPr>
            <w:tcW w:w="2880" w:type="dxa"/>
            <w:vAlign w:val="bottom"/>
            <w:tcBorders>
              <w:right w:val="single" w:sz="8" w:color="auto"/>
            </w:tcBorders>
            <w:gridSpan w:val="4"/>
          </w:tcPr>
          <w:p>
            <w:pPr>
              <w:spacing w:after="0" w:line="158" w:lineRule="exact"/>
              <w:rPr>
                <w:sz w:val="20"/>
                <w:szCs w:val="20"/>
                <w:color w:val="auto"/>
              </w:rPr>
            </w:pPr>
            <w:r>
              <w:rPr>
                <w:rFonts w:ascii="Arial" w:cs="Arial" w:eastAsia="Arial" w:hAnsi="Arial"/>
                <w:sz w:val="15"/>
                <w:szCs w:val="15"/>
                <w:b w:val="1"/>
                <w:bCs w:val="1"/>
                <w:color w:val="auto"/>
              </w:rPr>
              <w:t>NUMBER</w:t>
            </w:r>
          </w:p>
        </w:tc>
        <w:tc>
          <w:tcPr>
            <w:tcW w:w="286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REGISTRATION DATE</w:t>
            </w:r>
          </w:p>
        </w:tc>
      </w:tr>
      <w:tr>
        <w:trPr>
          <w:trHeight w:val="20"/>
        </w:trPr>
        <w:tc>
          <w:tcPr>
            <w:tcW w:w="162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3640" w:type="dxa"/>
            <w:vAlign w:val="bottom"/>
            <w:tcBorders>
              <w:left w:val="single" w:sz="8" w:color="auto"/>
              <w:bottom w:val="single" w:sz="8" w:color="auto"/>
            </w:tcBorders>
            <w:gridSpan w:val="3"/>
          </w:tcPr>
          <w:p>
            <w:pPr>
              <w:ind w:left="20"/>
              <w:spacing w:after="0" w:line="170" w:lineRule="exact"/>
              <w:rPr>
                <w:sz w:val="20"/>
                <w:szCs w:val="20"/>
                <w:color w:val="auto"/>
              </w:rPr>
            </w:pPr>
            <w:r>
              <w:rPr>
                <w:rFonts w:ascii="Arial" w:cs="Arial" w:eastAsia="Arial" w:hAnsi="Arial"/>
                <w:sz w:val="15"/>
                <w:szCs w:val="15"/>
                <w:color w:val="auto"/>
              </w:rPr>
              <w:t>BOLDXL</w:t>
            </w:r>
          </w:p>
        </w:tc>
        <w:tc>
          <w:tcPr>
            <w:tcW w:w="21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5"/>
                <w:szCs w:val="15"/>
                <w:color w:val="auto"/>
                <w:w w:val="98"/>
              </w:rPr>
              <w:t>007518517</w:t>
            </w:r>
          </w:p>
        </w:tc>
        <w:tc>
          <w:tcPr>
            <w:tcW w:w="132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01/13/09</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BT DIRECT</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006183479</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08/09/07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CASUAL MALE</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004325742</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05/17/06</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COMFORT ZONE</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004325783</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04/21/08</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CONTINUOUS COMFORT</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009097321</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06/03/11</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DESTINATION XL</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009097081</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01/03/11</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DURABELT</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009716754</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07/12/11</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DXL</w:t>
            </w:r>
          </w:p>
        </w:tc>
        <w:tc>
          <w:tcPr>
            <w:tcW w:w="21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9097247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08/18/12</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HARBOR BAY</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004325833</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04/18/06</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LIVINGXL</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006183578</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09/21/09</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OAK HILL</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006269112</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09/10/07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OAK HILL ESTABLISHED 1972 &amp; Design</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006269138</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09/10/07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SHOESXL</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005917398</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05/19/09</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SUPERSIZEWORLD</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005917349</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05/18/07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2"/>
        </w:trPr>
        <w:tc>
          <w:tcPr>
            <w:tcW w:w="364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5"/>
                <w:szCs w:val="15"/>
                <w:color w:val="auto"/>
              </w:rPr>
              <w:t>TRUE NATION</w:t>
            </w:r>
          </w:p>
        </w:tc>
        <w:tc>
          <w:tcPr>
            <w:tcW w:w="21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98"/>
              </w:rPr>
              <w:t>009699042</w:t>
            </w:r>
          </w:p>
        </w:tc>
        <w:tc>
          <w:tcPr>
            <w:tcW w:w="1320" w:type="dxa"/>
            <w:vAlign w:val="bottom"/>
            <w:tcBorders>
              <w:bottom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08/17/11</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r>
      <w:tr>
        <w:trPr>
          <w:trHeight w:val="180"/>
        </w:trPr>
        <w:tc>
          <w:tcPr>
            <w:tcW w:w="3640" w:type="dxa"/>
            <w:vAlign w:val="bottom"/>
            <w:tcBorders>
              <w:left w:val="single" w:sz="8" w:color="auto"/>
            </w:tcBorders>
            <w:gridSpan w:val="3"/>
          </w:tcPr>
          <w:p>
            <w:pPr>
              <w:ind w:left="20"/>
              <w:spacing w:after="0"/>
              <w:rPr>
                <w:sz w:val="20"/>
                <w:szCs w:val="20"/>
                <w:color w:val="auto"/>
              </w:rPr>
            </w:pPr>
            <w:r>
              <w:rPr>
                <w:rFonts w:ascii="Arial" w:cs="Arial" w:eastAsia="Arial" w:hAnsi="Arial"/>
                <w:sz w:val="15"/>
                <w:szCs w:val="15"/>
                <w:color w:val="auto"/>
              </w:rPr>
              <w:t>TWENTY EIGHT DEGREES</w:t>
            </w:r>
          </w:p>
        </w:tc>
        <w:tc>
          <w:tcPr>
            <w:tcW w:w="2100" w:type="dxa"/>
            <w:vAlign w:val="bottom"/>
            <w:tcBorders>
              <w:right w:val="single" w:sz="8" w:color="auto"/>
            </w:tcBorders>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5"/>
                <w:szCs w:val="15"/>
                <w:color w:val="auto"/>
                <w:w w:val="98"/>
              </w:rPr>
              <w:t>009619818</w:t>
            </w:r>
          </w:p>
        </w:tc>
        <w:tc>
          <w:tcPr>
            <w:tcW w:w="132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440" w:type="dxa"/>
            <w:vAlign w:val="bottom"/>
          </w:tcPr>
          <w:p>
            <w:pPr>
              <w:spacing w:after="0"/>
              <w:rPr>
                <w:sz w:val="20"/>
                <w:szCs w:val="20"/>
                <w:color w:val="auto"/>
              </w:rPr>
            </w:pPr>
            <w:r>
              <w:rPr>
                <w:rFonts w:ascii="Arial" w:cs="Arial" w:eastAsia="Arial" w:hAnsi="Arial"/>
                <w:sz w:val="15"/>
                <w:szCs w:val="15"/>
                <w:color w:val="auto"/>
              </w:rPr>
              <w:t>06/03/11</w:t>
            </w:r>
          </w:p>
        </w:tc>
        <w:tc>
          <w:tcPr>
            <w:tcW w:w="10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r>
      <w:tr>
        <w:trPr>
          <w:trHeight w:val="44"/>
        </w:trPr>
        <w:tc>
          <w:tcPr>
            <w:tcW w:w="162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560" w:type="dxa"/>
            <w:vAlign w:val="bottom"/>
            <w:tcBorders>
              <w:bottom w:val="single" w:sz="8" w:color="auto"/>
              <w:right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484"/>
        </w:trPr>
        <w:tc>
          <w:tcPr>
            <w:tcW w:w="1620" w:type="dxa"/>
            <w:vAlign w:val="bottom"/>
          </w:tcPr>
          <w:p>
            <w:pPr>
              <w:spacing w:after="0"/>
              <w:rPr>
                <w:sz w:val="24"/>
                <w:szCs w:val="24"/>
                <w:color w:val="auto"/>
              </w:rPr>
            </w:pPr>
          </w:p>
        </w:tc>
        <w:tc>
          <w:tcPr>
            <w:tcW w:w="7000" w:type="dxa"/>
            <w:vAlign w:val="bottom"/>
            <w:gridSpan w:val="7"/>
          </w:tcPr>
          <w:p>
            <w:pPr>
              <w:spacing w:after="0"/>
              <w:rPr>
                <w:sz w:val="20"/>
                <w:szCs w:val="20"/>
                <w:color w:val="auto"/>
              </w:rPr>
            </w:pPr>
            <w:r>
              <w:rPr>
                <w:rFonts w:ascii="Arial" w:cs="Arial" w:eastAsia="Arial" w:hAnsi="Arial"/>
                <w:sz w:val="15"/>
                <w:szCs w:val="15"/>
                <w:b w:val="1"/>
                <w:bCs w:val="1"/>
                <w:color w:val="auto"/>
              </w:rPr>
              <w:t>EUROPEAN (COMMUNITY) TRADEMARK APPLICATIONS (PENDING)</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3"/>
        </w:trPr>
        <w:tc>
          <w:tcPr>
            <w:tcW w:w="162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45"/>
        </w:trPr>
        <w:tc>
          <w:tcPr>
            <w:tcW w:w="162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2880" w:type="dxa"/>
            <w:vAlign w:val="bottom"/>
            <w:tcBorders>
              <w:right w:val="single" w:sz="8" w:color="auto"/>
            </w:tcBorders>
            <w:gridSpan w:val="4"/>
          </w:tcPr>
          <w:p>
            <w:pPr>
              <w:spacing w:after="0" w:line="145" w:lineRule="exact"/>
              <w:rPr>
                <w:sz w:val="20"/>
                <w:szCs w:val="20"/>
                <w:color w:val="auto"/>
              </w:rPr>
            </w:pPr>
            <w:r>
              <w:rPr>
                <w:rFonts w:ascii="Arial" w:cs="Arial" w:eastAsia="Arial" w:hAnsi="Arial"/>
                <w:sz w:val="15"/>
                <w:szCs w:val="15"/>
                <w:b w:val="1"/>
                <w:bCs w:val="1"/>
                <w:color w:val="auto"/>
              </w:rPr>
              <w:t>APPLICATION</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r>
      <w:tr>
        <w:trPr>
          <w:trHeight w:val="158"/>
        </w:trPr>
        <w:tc>
          <w:tcPr>
            <w:tcW w:w="3640" w:type="dxa"/>
            <w:vAlign w:val="bottom"/>
            <w:tcBorders>
              <w:left w:val="single" w:sz="8" w:color="auto"/>
            </w:tcBorders>
            <w:gridSpan w:val="3"/>
          </w:tcPr>
          <w:p>
            <w:pPr>
              <w:ind w:left="20"/>
              <w:spacing w:after="0" w:line="158" w:lineRule="exact"/>
              <w:rPr>
                <w:sz w:val="20"/>
                <w:szCs w:val="20"/>
                <w:color w:val="auto"/>
              </w:rPr>
            </w:pPr>
            <w:r>
              <w:rPr>
                <w:rFonts w:ascii="Arial" w:cs="Arial" w:eastAsia="Arial" w:hAnsi="Arial"/>
                <w:sz w:val="15"/>
                <w:szCs w:val="15"/>
                <w:b w:val="1"/>
                <w:bCs w:val="1"/>
                <w:color w:val="auto"/>
              </w:rPr>
              <w:t>TRADEMARK/SERVICE MARK</w:t>
            </w:r>
          </w:p>
        </w:tc>
        <w:tc>
          <w:tcPr>
            <w:tcW w:w="2100" w:type="dxa"/>
            <w:vAlign w:val="bottom"/>
            <w:tcBorders>
              <w:right w:val="single" w:sz="8" w:color="auto"/>
            </w:tcBorders>
          </w:tcPr>
          <w:p>
            <w:pPr>
              <w:spacing w:after="0"/>
              <w:rPr>
                <w:sz w:val="13"/>
                <w:szCs w:val="13"/>
                <w:color w:val="auto"/>
              </w:rPr>
            </w:pPr>
          </w:p>
        </w:tc>
        <w:tc>
          <w:tcPr>
            <w:tcW w:w="2880" w:type="dxa"/>
            <w:vAlign w:val="bottom"/>
            <w:tcBorders>
              <w:right w:val="single" w:sz="8" w:color="auto"/>
            </w:tcBorders>
            <w:gridSpan w:val="4"/>
          </w:tcPr>
          <w:p>
            <w:pPr>
              <w:spacing w:after="0" w:line="158" w:lineRule="exact"/>
              <w:rPr>
                <w:sz w:val="20"/>
                <w:szCs w:val="20"/>
                <w:color w:val="auto"/>
              </w:rPr>
            </w:pPr>
            <w:r>
              <w:rPr>
                <w:rFonts w:ascii="Arial" w:cs="Arial" w:eastAsia="Arial" w:hAnsi="Arial"/>
                <w:sz w:val="15"/>
                <w:szCs w:val="15"/>
                <w:b w:val="1"/>
                <w:bCs w:val="1"/>
                <w:color w:val="auto"/>
              </w:rPr>
              <w:t>NUMBER</w:t>
            </w:r>
          </w:p>
        </w:tc>
        <w:tc>
          <w:tcPr>
            <w:tcW w:w="286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APPLICATION DATE</w:t>
            </w:r>
          </w:p>
        </w:tc>
      </w:tr>
      <w:tr>
        <w:trPr>
          <w:trHeight w:val="20"/>
        </w:trPr>
        <w:tc>
          <w:tcPr>
            <w:tcW w:w="162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3640" w:type="dxa"/>
            <w:vAlign w:val="bottom"/>
            <w:tcBorders>
              <w:left w:val="single" w:sz="8" w:color="auto"/>
              <w:bottom w:val="single" w:sz="8" w:color="auto"/>
            </w:tcBorders>
            <w:gridSpan w:val="3"/>
          </w:tcPr>
          <w:p>
            <w:pPr>
              <w:ind w:left="20"/>
              <w:spacing w:after="0" w:line="152" w:lineRule="exact"/>
              <w:rPr>
                <w:sz w:val="20"/>
                <w:szCs w:val="20"/>
                <w:color w:val="auto"/>
              </w:rPr>
            </w:pPr>
            <w:r>
              <w:rPr>
                <w:rFonts w:ascii="Arial" w:cs="Arial" w:eastAsia="Arial" w:hAnsi="Arial"/>
                <w:sz w:val="15"/>
                <w:szCs w:val="15"/>
                <w:color w:val="auto"/>
              </w:rPr>
              <w:t>CASUAL MALE XL</w:t>
            </w:r>
          </w:p>
        </w:tc>
        <w:tc>
          <w:tcPr>
            <w:tcW w:w="21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6120752</w:t>
            </w: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07/20/07</w:t>
            </w: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r>
      <w:tr>
        <w:trPr>
          <w:trHeight w:val="192"/>
        </w:trPr>
        <w:tc>
          <w:tcPr>
            <w:tcW w:w="364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5"/>
                <w:szCs w:val="15"/>
                <w:color w:val="auto"/>
              </w:rPr>
              <w:t>DXL DESTINATION XL</w:t>
            </w:r>
          </w:p>
        </w:tc>
        <w:tc>
          <w:tcPr>
            <w:tcW w:w="21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9648452</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01/10/11</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r>
      <w:tr>
        <w:trPr>
          <w:trHeight w:val="162"/>
        </w:trPr>
        <w:tc>
          <w:tcPr>
            <w:tcW w:w="3640" w:type="dxa"/>
            <w:vAlign w:val="bottom"/>
            <w:tcBorders>
              <w:left w:val="single" w:sz="8" w:color="auto"/>
              <w:bottom w:val="single" w:sz="8" w:color="auto"/>
            </w:tcBorders>
            <w:gridSpan w:val="3"/>
          </w:tcPr>
          <w:p>
            <w:pPr>
              <w:ind w:left="40"/>
              <w:spacing w:after="0" w:line="161" w:lineRule="exact"/>
              <w:rPr>
                <w:sz w:val="20"/>
                <w:szCs w:val="20"/>
                <w:color w:val="auto"/>
              </w:rPr>
            </w:pPr>
            <w:r>
              <w:rPr>
                <w:rFonts w:ascii="Arial" w:cs="Arial" w:eastAsia="Arial" w:hAnsi="Arial"/>
                <w:sz w:val="15"/>
                <w:szCs w:val="15"/>
                <w:color w:val="auto"/>
              </w:rPr>
              <w:t>ROCHESTER</w:t>
            </w:r>
          </w:p>
        </w:tc>
        <w:tc>
          <w:tcPr>
            <w:tcW w:w="21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color w:val="auto"/>
              </w:rPr>
              <w:t>4325809</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color w:val="auto"/>
              </w:rPr>
              <w:t>03/07/05</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r>
      <w:tr>
        <w:trPr>
          <w:trHeight w:val="162"/>
        </w:trPr>
        <w:tc>
          <w:tcPr>
            <w:tcW w:w="3640" w:type="dxa"/>
            <w:vAlign w:val="bottom"/>
            <w:tcBorders>
              <w:left w:val="single" w:sz="8" w:color="auto"/>
              <w:bottom w:val="single" w:sz="8" w:color="auto"/>
            </w:tcBorders>
            <w:gridSpan w:val="3"/>
          </w:tcPr>
          <w:p>
            <w:pPr>
              <w:ind w:left="40"/>
              <w:spacing w:after="0" w:line="161" w:lineRule="exact"/>
              <w:rPr>
                <w:sz w:val="20"/>
                <w:szCs w:val="20"/>
                <w:color w:val="auto"/>
              </w:rPr>
            </w:pPr>
            <w:r>
              <w:rPr>
                <w:rFonts w:ascii="Arial" w:cs="Arial" w:eastAsia="Arial" w:hAnsi="Arial"/>
                <w:sz w:val="15"/>
                <w:szCs w:val="15"/>
                <w:color w:val="auto"/>
              </w:rPr>
              <w:t>ROCHESTER SPORT</w:t>
            </w:r>
          </w:p>
        </w:tc>
        <w:tc>
          <w:tcPr>
            <w:tcW w:w="21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color w:val="auto"/>
              </w:rPr>
              <w:t>4325825</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color w:val="auto"/>
              </w:rPr>
              <w:t>03/07/05</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460"/>
          </w:cols>
          <w:pgMar w:left="220" w:top="304" w:right="219" w:bottom="1440" w:gutter="0" w:footer="0" w:header="0"/>
        </w:sectPr>
      </w:pPr>
    </w:p>
    <w:bookmarkStart w:id="160" w:name="page161"/>
    <w:bookmarkEnd w:id="160"/>
    <w:p>
      <w:pPr>
        <w:ind w:left="3180"/>
        <w:spacing w:after="0"/>
        <w:rPr>
          <w:sz w:val="20"/>
          <w:szCs w:val="20"/>
          <w:color w:val="auto"/>
        </w:rPr>
      </w:pPr>
      <w:r>
        <w:rPr>
          <w:rFonts w:ascii="Arial" w:cs="Arial" w:eastAsia="Arial" w:hAnsi="Arial"/>
          <w:sz w:val="15"/>
          <w:szCs w:val="15"/>
          <w:b w:val="1"/>
          <w:bCs w:val="1"/>
          <w:u w:val="single" w:color="auto"/>
          <w:color w:val="auto"/>
        </w:rPr>
        <w:t>CHINA TRADEMARK REGISTRATIONS</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180" w:type="dxa"/>
            <w:vAlign w:val="bottom"/>
            <w:tcBorders>
              <w:top w:val="single" w:sz="8" w:color="auto"/>
              <w:left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60" w:type="dxa"/>
            <w:vAlign w:val="bottom"/>
            <w:tcBorders>
              <w:top w:val="single" w:sz="8" w:color="auto"/>
              <w:right w:val="single" w:sz="8" w:color="auto"/>
            </w:tcBorders>
          </w:tcPr>
          <w:p>
            <w:pPr>
              <w:spacing w:after="0"/>
              <w:rPr>
                <w:sz w:val="14"/>
                <w:szCs w:val="14"/>
                <w:color w:val="auto"/>
              </w:rPr>
            </w:pPr>
          </w:p>
        </w:tc>
        <w:tc>
          <w:tcPr>
            <w:tcW w:w="2780" w:type="dxa"/>
            <w:vAlign w:val="bottom"/>
            <w:tcBorders>
              <w:top w:val="single" w:sz="8" w:color="auto"/>
            </w:tcBorders>
            <w:gridSpan w:val="5"/>
          </w:tcPr>
          <w:p>
            <w:pPr>
              <w:spacing w:after="0" w:line="165" w:lineRule="exact"/>
              <w:rPr>
                <w:sz w:val="20"/>
                <w:szCs w:val="20"/>
                <w:color w:val="auto"/>
              </w:rPr>
            </w:pPr>
            <w:r>
              <w:rPr>
                <w:rFonts w:ascii="Arial" w:cs="Arial" w:eastAsia="Arial" w:hAnsi="Arial"/>
                <w:sz w:val="15"/>
                <w:szCs w:val="15"/>
                <w:b w:val="1"/>
                <w:bCs w:val="1"/>
                <w:color w:val="auto"/>
              </w:rPr>
              <w:t>APPLICATION</w:t>
            </w:r>
          </w:p>
        </w:tc>
        <w:tc>
          <w:tcPr>
            <w:tcW w:w="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60" w:type="dxa"/>
            <w:vAlign w:val="bottom"/>
            <w:tcBorders>
              <w:top w:val="single" w:sz="8" w:color="auto"/>
              <w:right w:val="single" w:sz="8" w:color="auto"/>
            </w:tcBorders>
          </w:tcPr>
          <w:p>
            <w:pPr>
              <w:spacing w:after="0"/>
              <w:rPr>
                <w:sz w:val="14"/>
                <w:szCs w:val="14"/>
                <w:color w:val="auto"/>
              </w:rPr>
            </w:pPr>
          </w:p>
        </w:tc>
      </w:tr>
      <w:tr>
        <w:trPr>
          <w:trHeight w:val="158"/>
        </w:trPr>
        <w:tc>
          <w:tcPr>
            <w:tcW w:w="2960" w:type="dxa"/>
            <w:vAlign w:val="bottom"/>
            <w:tcBorders>
              <w:left w:val="single" w:sz="8" w:color="auto"/>
            </w:tcBorders>
            <w:gridSpan w:val="4"/>
          </w:tcPr>
          <w:p>
            <w:pPr>
              <w:ind w:left="20"/>
              <w:spacing w:after="0" w:line="158" w:lineRule="exact"/>
              <w:rPr>
                <w:sz w:val="20"/>
                <w:szCs w:val="20"/>
                <w:color w:val="auto"/>
              </w:rPr>
            </w:pPr>
            <w:r>
              <w:rPr>
                <w:rFonts w:ascii="Arial" w:cs="Arial" w:eastAsia="Arial" w:hAnsi="Arial"/>
                <w:sz w:val="15"/>
                <w:szCs w:val="15"/>
                <w:b w:val="1"/>
                <w:bCs w:val="1"/>
                <w:color w:val="auto"/>
              </w:rPr>
              <w:t>TRADEMARK/SERVICE MARK</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780" w:type="dxa"/>
            <w:vAlign w:val="bottom"/>
            <w:gridSpan w:val="5"/>
          </w:tcPr>
          <w:p>
            <w:pPr>
              <w:spacing w:after="0" w:line="158" w:lineRule="exact"/>
              <w:rPr>
                <w:sz w:val="20"/>
                <w:szCs w:val="20"/>
                <w:color w:val="auto"/>
              </w:rPr>
            </w:pPr>
            <w:r>
              <w:rPr>
                <w:rFonts w:ascii="Arial" w:cs="Arial" w:eastAsia="Arial" w:hAnsi="Arial"/>
                <w:sz w:val="15"/>
                <w:szCs w:val="15"/>
                <w:b w:val="1"/>
                <w:bCs w:val="1"/>
                <w:color w:val="auto"/>
              </w:rPr>
              <w:t>NUMBER</w:t>
            </w:r>
          </w:p>
        </w:tc>
        <w:tc>
          <w:tcPr>
            <w:tcW w:w="80" w:type="dxa"/>
            <w:vAlign w:val="bottom"/>
            <w:tcBorders>
              <w:right w:val="single" w:sz="8" w:color="auto"/>
            </w:tcBorders>
          </w:tcPr>
          <w:p>
            <w:pPr>
              <w:spacing w:after="0"/>
              <w:rPr>
                <w:sz w:val="13"/>
                <w:szCs w:val="13"/>
                <w:color w:val="auto"/>
              </w:rPr>
            </w:pPr>
          </w:p>
        </w:tc>
        <w:tc>
          <w:tcPr>
            <w:tcW w:w="286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APPLICATION DATE</w:t>
            </w:r>
          </w:p>
        </w:tc>
      </w:tr>
      <w:tr>
        <w:trPr>
          <w:trHeight w:val="20"/>
        </w:trPr>
        <w:tc>
          <w:tcPr>
            <w:tcW w:w="1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2960" w:type="dxa"/>
            <w:vAlign w:val="bottom"/>
            <w:tcBorders>
              <w:left w:val="single" w:sz="8" w:color="auto"/>
              <w:bottom w:val="single" w:sz="8" w:color="auto"/>
            </w:tcBorders>
            <w:gridSpan w:val="4"/>
          </w:tcPr>
          <w:p>
            <w:pPr>
              <w:ind w:left="20"/>
              <w:spacing w:after="0" w:line="152" w:lineRule="exact"/>
              <w:rPr>
                <w:sz w:val="20"/>
                <w:szCs w:val="20"/>
                <w:color w:val="auto"/>
              </w:rPr>
            </w:pPr>
            <w:r>
              <w:rPr>
                <w:rFonts w:ascii="Arial" w:cs="Arial" w:eastAsia="Arial" w:hAnsi="Arial"/>
                <w:sz w:val="15"/>
                <w:szCs w:val="15"/>
                <w:color w:val="auto"/>
              </w:rPr>
              <w:t>ROCHESTER BIG &amp; TALL</w:t>
            </w: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5475384</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01/28/11</w:t>
            </w:r>
          </w:p>
        </w:tc>
        <w:tc>
          <w:tcPr>
            <w:tcW w:w="17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r>
      <w:tr>
        <w:trPr>
          <w:trHeight w:val="454"/>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40" w:type="dxa"/>
            <w:vAlign w:val="bottom"/>
            <w:gridSpan w:val="9"/>
          </w:tcPr>
          <w:p>
            <w:pPr>
              <w:jc w:val="center"/>
              <w:ind w:right="1380"/>
              <w:spacing w:after="0"/>
              <w:rPr>
                <w:sz w:val="20"/>
                <w:szCs w:val="20"/>
                <w:color w:val="auto"/>
              </w:rPr>
            </w:pPr>
            <w:r>
              <w:rPr>
                <w:rFonts w:ascii="Arial" w:cs="Arial" w:eastAsia="Arial" w:hAnsi="Arial"/>
                <w:sz w:val="15"/>
                <w:szCs w:val="15"/>
                <w:b w:val="1"/>
                <w:bCs w:val="1"/>
                <w:color w:val="auto"/>
                <w:w w:val="99"/>
              </w:rPr>
              <w:t>FRANCE TRADEMARK APPLICATIONS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2"/>
        </w:trPr>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45"/>
        </w:trPr>
        <w:tc>
          <w:tcPr>
            <w:tcW w:w="18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780" w:type="dxa"/>
            <w:vAlign w:val="bottom"/>
            <w:gridSpan w:val="5"/>
          </w:tcPr>
          <w:p>
            <w:pPr>
              <w:spacing w:after="0" w:line="145" w:lineRule="exact"/>
              <w:rPr>
                <w:sz w:val="20"/>
                <w:szCs w:val="20"/>
                <w:color w:val="auto"/>
              </w:rPr>
            </w:pPr>
            <w:r>
              <w:rPr>
                <w:rFonts w:ascii="Arial" w:cs="Arial" w:eastAsia="Arial" w:hAnsi="Arial"/>
                <w:sz w:val="15"/>
                <w:szCs w:val="15"/>
                <w:b w:val="1"/>
                <w:bCs w:val="1"/>
                <w:color w:val="auto"/>
              </w:rPr>
              <w:t>APPLICATION</w:t>
            </w:r>
          </w:p>
        </w:tc>
        <w:tc>
          <w:tcPr>
            <w:tcW w:w="8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r>
      <w:tr>
        <w:trPr>
          <w:trHeight w:val="158"/>
        </w:trPr>
        <w:tc>
          <w:tcPr>
            <w:tcW w:w="2960" w:type="dxa"/>
            <w:vAlign w:val="bottom"/>
            <w:tcBorders>
              <w:left w:val="single" w:sz="8" w:color="auto"/>
            </w:tcBorders>
            <w:gridSpan w:val="4"/>
          </w:tcPr>
          <w:p>
            <w:pPr>
              <w:ind w:left="20"/>
              <w:spacing w:after="0" w:line="158" w:lineRule="exact"/>
              <w:rPr>
                <w:sz w:val="20"/>
                <w:szCs w:val="20"/>
                <w:color w:val="auto"/>
              </w:rPr>
            </w:pPr>
            <w:r>
              <w:rPr>
                <w:rFonts w:ascii="Arial" w:cs="Arial" w:eastAsia="Arial" w:hAnsi="Arial"/>
                <w:sz w:val="15"/>
                <w:szCs w:val="15"/>
                <w:b w:val="1"/>
                <w:bCs w:val="1"/>
                <w:color w:val="auto"/>
              </w:rPr>
              <w:t>TRADEMARK/SERVICE MARK</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780" w:type="dxa"/>
            <w:vAlign w:val="bottom"/>
            <w:gridSpan w:val="5"/>
          </w:tcPr>
          <w:p>
            <w:pPr>
              <w:spacing w:after="0" w:line="158" w:lineRule="exact"/>
              <w:rPr>
                <w:sz w:val="20"/>
                <w:szCs w:val="20"/>
                <w:color w:val="auto"/>
              </w:rPr>
            </w:pPr>
            <w:r>
              <w:rPr>
                <w:rFonts w:ascii="Arial" w:cs="Arial" w:eastAsia="Arial" w:hAnsi="Arial"/>
                <w:sz w:val="15"/>
                <w:szCs w:val="15"/>
                <w:b w:val="1"/>
                <w:bCs w:val="1"/>
                <w:color w:val="auto"/>
              </w:rPr>
              <w:t>NUMBER</w:t>
            </w:r>
          </w:p>
        </w:tc>
        <w:tc>
          <w:tcPr>
            <w:tcW w:w="80" w:type="dxa"/>
            <w:vAlign w:val="bottom"/>
            <w:tcBorders>
              <w:right w:val="single" w:sz="8" w:color="auto"/>
            </w:tcBorders>
          </w:tcPr>
          <w:p>
            <w:pPr>
              <w:spacing w:after="0"/>
              <w:rPr>
                <w:sz w:val="13"/>
                <w:szCs w:val="13"/>
                <w:color w:val="auto"/>
              </w:rPr>
            </w:pPr>
          </w:p>
        </w:tc>
        <w:tc>
          <w:tcPr>
            <w:tcW w:w="286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APPLICATION DATE</w:t>
            </w:r>
          </w:p>
        </w:tc>
      </w:tr>
      <w:tr>
        <w:trPr>
          <w:trHeight w:val="20"/>
        </w:trPr>
        <w:tc>
          <w:tcPr>
            <w:tcW w:w="1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2960" w:type="dxa"/>
            <w:vAlign w:val="bottom"/>
            <w:tcBorders>
              <w:left w:val="single" w:sz="8" w:color="auto"/>
              <w:bottom w:val="single" w:sz="8" w:color="auto"/>
            </w:tcBorders>
            <w:gridSpan w:val="4"/>
          </w:tcPr>
          <w:p>
            <w:pPr>
              <w:ind w:left="20"/>
              <w:spacing w:after="0" w:line="152" w:lineRule="exact"/>
              <w:rPr>
                <w:sz w:val="20"/>
                <w:szCs w:val="20"/>
                <w:color w:val="auto"/>
              </w:rPr>
            </w:pPr>
            <w:r>
              <w:rPr>
                <w:rFonts w:ascii="Arial" w:cs="Arial" w:eastAsia="Arial" w:hAnsi="Arial"/>
                <w:sz w:val="15"/>
                <w:szCs w:val="15"/>
                <w:color w:val="auto"/>
              </w:rPr>
              <w:t>BT DIRECT</w:t>
            </w: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gridSpan w:val="2"/>
          </w:tcPr>
          <w:p>
            <w:pPr>
              <w:spacing w:after="0" w:line="152" w:lineRule="exact"/>
              <w:rPr>
                <w:sz w:val="20"/>
                <w:szCs w:val="20"/>
                <w:color w:val="auto"/>
              </w:rPr>
            </w:pPr>
            <w:r>
              <w:rPr>
                <w:rFonts w:ascii="Arial" w:cs="Arial" w:eastAsia="Arial" w:hAnsi="Arial"/>
                <w:sz w:val="15"/>
                <w:szCs w:val="15"/>
                <w:color w:val="auto"/>
              </w:rPr>
              <w:t>07/3513462</w:t>
            </w: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07/13/07</w:t>
            </w:r>
          </w:p>
        </w:tc>
        <w:tc>
          <w:tcPr>
            <w:tcW w:w="17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r>
      <w:tr>
        <w:trPr>
          <w:trHeight w:val="162"/>
        </w:trPr>
        <w:tc>
          <w:tcPr>
            <w:tcW w:w="2960" w:type="dxa"/>
            <w:vAlign w:val="bottom"/>
            <w:tcBorders>
              <w:left w:val="single" w:sz="8" w:color="auto"/>
              <w:bottom w:val="single" w:sz="8" w:color="auto"/>
            </w:tcBorders>
            <w:gridSpan w:val="4"/>
          </w:tcPr>
          <w:p>
            <w:pPr>
              <w:ind w:left="20"/>
              <w:spacing w:after="0" w:line="161" w:lineRule="exact"/>
              <w:rPr>
                <w:sz w:val="20"/>
                <w:szCs w:val="20"/>
                <w:color w:val="auto"/>
              </w:rPr>
            </w:pPr>
            <w:r>
              <w:rPr>
                <w:rFonts w:ascii="Arial" w:cs="Arial" w:eastAsia="Arial" w:hAnsi="Arial"/>
                <w:sz w:val="15"/>
                <w:szCs w:val="15"/>
                <w:color w:val="auto"/>
              </w:rPr>
              <w:t>LIVING XL</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line="161" w:lineRule="exact"/>
              <w:rPr>
                <w:sz w:val="20"/>
                <w:szCs w:val="20"/>
                <w:color w:val="auto"/>
              </w:rPr>
            </w:pPr>
            <w:r>
              <w:rPr>
                <w:rFonts w:ascii="Arial" w:cs="Arial" w:eastAsia="Arial" w:hAnsi="Arial"/>
                <w:sz w:val="15"/>
                <w:szCs w:val="15"/>
                <w:color w:val="auto"/>
              </w:rPr>
              <w:t>07/3513460</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color w:val="auto"/>
              </w:rPr>
              <w:t>07/13/07</w:t>
            </w:r>
          </w:p>
        </w:tc>
        <w:tc>
          <w:tcPr>
            <w:tcW w:w="17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162"/>
        </w:trPr>
        <w:tc>
          <w:tcPr>
            <w:tcW w:w="2960" w:type="dxa"/>
            <w:vAlign w:val="bottom"/>
            <w:tcBorders>
              <w:left w:val="single" w:sz="8" w:color="auto"/>
              <w:bottom w:val="single" w:sz="8" w:color="auto"/>
            </w:tcBorders>
            <w:gridSpan w:val="4"/>
          </w:tcPr>
          <w:p>
            <w:pPr>
              <w:ind w:left="20"/>
              <w:spacing w:after="0" w:line="161" w:lineRule="exact"/>
              <w:rPr>
                <w:sz w:val="20"/>
                <w:szCs w:val="20"/>
                <w:color w:val="auto"/>
              </w:rPr>
            </w:pPr>
            <w:r>
              <w:rPr>
                <w:rFonts w:ascii="Arial" w:cs="Arial" w:eastAsia="Arial" w:hAnsi="Arial"/>
                <w:sz w:val="15"/>
                <w:szCs w:val="15"/>
                <w:color w:val="auto"/>
              </w:rPr>
              <w:t>SHOES XL</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line="161" w:lineRule="exact"/>
              <w:rPr>
                <w:sz w:val="20"/>
                <w:szCs w:val="20"/>
                <w:color w:val="auto"/>
              </w:rPr>
            </w:pPr>
            <w:r>
              <w:rPr>
                <w:rFonts w:ascii="Arial" w:cs="Arial" w:eastAsia="Arial" w:hAnsi="Arial"/>
                <w:sz w:val="15"/>
                <w:szCs w:val="15"/>
                <w:color w:val="auto"/>
              </w:rPr>
              <w:t>07/3513458</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color w:val="auto"/>
              </w:rPr>
              <w:t>07/13/07</w:t>
            </w:r>
          </w:p>
        </w:tc>
        <w:tc>
          <w:tcPr>
            <w:tcW w:w="17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454"/>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20" w:type="dxa"/>
            <w:vAlign w:val="bottom"/>
            <w:gridSpan w:val="10"/>
          </w:tcPr>
          <w:p>
            <w:pPr>
              <w:jc w:val="center"/>
              <w:ind w:right="880"/>
              <w:spacing w:after="0"/>
              <w:rPr>
                <w:sz w:val="20"/>
                <w:szCs w:val="20"/>
                <w:color w:val="auto"/>
              </w:rPr>
            </w:pPr>
            <w:r>
              <w:rPr>
                <w:rFonts w:ascii="Arial" w:cs="Arial" w:eastAsia="Arial" w:hAnsi="Arial"/>
                <w:sz w:val="15"/>
                <w:szCs w:val="15"/>
                <w:b w:val="1"/>
                <w:bCs w:val="1"/>
                <w:color w:val="auto"/>
                <w:w w:val="99"/>
              </w:rPr>
              <w:t>KUWAIT TRADEMARK REGISTRATIONS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45"/>
        </w:trPr>
        <w:tc>
          <w:tcPr>
            <w:tcW w:w="18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780" w:type="dxa"/>
            <w:vAlign w:val="bottom"/>
            <w:gridSpan w:val="5"/>
          </w:tcPr>
          <w:p>
            <w:pPr>
              <w:spacing w:after="0" w:line="145" w:lineRule="exact"/>
              <w:rPr>
                <w:sz w:val="20"/>
                <w:szCs w:val="20"/>
                <w:color w:val="auto"/>
              </w:rPr>
            </w:pPr>
            <w:r>
              <w:rPr>
                <w:rFonts w:ascii="Arial" w:cs="Arial" w:eastAsia="Arial" w:hAnsi="Arial"/>
                <w:sz w:val="15"/>
                <w:szCs w:val="15"/>
                <w:b w:val="1"/>
                <w:bCs w:val="1"/>
                <w:color w:val="auto"/>
              </w:rPr>
              <w:t>APPLICATION</w:t>
            </w:r>
          </w:p>
        </w:tc>
        <w:tc>
          <w:tcPr>
            <w:tcW w:w="8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r>
      <w:tr>
        <w:trPr>
          <w:trHeight w:val="158"/>
        </w:trPr>
        <w:tc>
          <w:tcPr>
            <w:tcW w:w="2960" w:type="dxa"/>
            <w:vAlign w:val="bottom"/>
            <w:tcBorders>
              <w:left w:val="single" w:sz="8" w:color="auto"/>
            </w:tcBorders>
            <w:gridSpan w:val="4"/>
          </w:tcPr>
          <w:p>
            <w:pPr>
              <w:ind w:left="20"/>
              <w:spacing w:after="0" w:line="158" w:lineRule="exact"/>
              <w:rPr>
                <w:sz w:val="20"/>
                <w:szCs w:val="20"/>
                <w:color w:val="auto"/>
              </w:rPr>
            </w:pPr>
            <w:r>
              <w:rPr>
                <w:rFonts w:ascii="Arial" w:cs="Arial" w:eastAsia="Arial" w:hAnsi="Arial"/>
                <w:sz w:val="15"/>
                <w:szCs w:val="15"/>
                <w:b w:val="1"/>
                <w:bCs w:val="1"/>
                <w:color w:val="auto"/>
              </w:rPr>
              <w:t>TRADEMARK/SERVICE MARK</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780" w:type="dxa"/>
            <w:vAlign w:val="bottom"/>
            <w:gridSpan w:val="5"/>
          </w:tcPr>
          <w:p>
            <w:pPr>
              <w:spacing w:after="0" w:line="158" w:lineRule="exact"/>
              <w:rPr>
                <w:sz w:val="20"/>
                <w:szCs w:val="20"/>
                <w:color w:val="auto"/>
              </w:rPr>
            </w:pPr>
            <w:r>
              <w:rPr>
                <w:rFonts w:ascii="Arial" w:cs="Arial" w:eastAsia="Arial" w:hAnsi="Arial"/>
                <w:sz w:val="15"/>
                <w:szCs w:val="15"/>
                <w:b w:val="1"/>
                <w:bCs w:val="1"/>
                <w:color w:val="auto"/>
              </w:rPr>
              <w:t>NUMBER</w:t>
            </w:r>
          </w:p>
        </w:tc>
        <w:tc>
          <w:tcPr>
            <w:tcW w:w="80" w:type="dxa"/>
            <w:vAlign w:val="bottom"/>
            <w:tcBorders>
              <w:right w:val="single" w:sz="8" w:color="auto"/>
            </w:tcBorders>
          </w:tcPr>
          <w:p>
            <w:pPr>
              <w:spacing w:after="0"/>
              <w:rPr>
                <w:sz w:val="13"/>
                <w:szCs w:val="13"/>
                <w:color w:val="auto"/>
              </w:rPr>
            </w:pPr>
          </w:p>
        </w:tc>
        <w:tc>
          <w:tcPr>
            <w:tcW w:w="286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APPLICATION DATE</w:t>
            </w:r>
          </w:p>
        </w:tc>
      </w:tr>
      <w:tr>
        <w:trPr>
          <w:trHeight w:val="20"/>
        </w:trPr>
        <w:tc>
          <w:tcPr>
            <w:tcW w:w="1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2960" w:type="dxa"/>
            <w:vAlign w:val="bottom"/>
            <w:tcBorders>
              <w:left w:val="single" w:sz="8" w:color="auto"/>
              <w:bottom w:val="single" w:sz="8" w:color="auto"/>
            </w:tcBorders>
            <w:gridSpan w:val="4"/>
          </w:tcPr>
          <w:p>
            <w:pPr>
              <w:ind w:left="20"/>
              <w:spacing w:after="0" w:line="152" w:lineRule="exact"/>
              <w:rPr>
                <w:sz w:val="20"/>
                <w:szCs w:val="20"/>
                <w:color w:val="auto"/>
              </w:rPr>
            </w:pPr>
            <w:r>
              <w:rPr>
                <w:rFonts w:ascii="Arial" w:cs="Arial" w:eastAsia="Arial" w:hAnsi="Arial"/>
                <w:sz w:val="15"/>
                <w:szCs w:val="15"/>
                <w:color w:val="auto"/>
              </w:rPr>
              <w:t>DXL DESTINATIONXL (SM)</w:t>
            </w: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130108</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04/01/13</w:t>
            </w:r>
          </w:p>
        </w:tc>
        <w:tc>
          <w:tcPr>
            <w:tcW w:w="17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r>
      <w:tr>
        <w:trPr>
          <w:trHeight w:val="454"/>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7"/>
          </w:tcPr>
          <w:p>
            <w:pPr>
              <w:jc w:val="center"/>
              <w:ind w:right="1420"/>
              <w:spacing w:after="0"/>
              <w:rPr>
                <w:sz w:val="20"/>
                <w:szCs w:val="20"/>
                <w:color w:val="auto"/>
              </w:rPr>
            </w:pPr>
            <w:r>
              <w:rPr>
                <w:rFonts w:ascii="Arial" w:cs="Arial" w:eastAsia="Arial" w:hAnsi="Arial"/>
                <w:sz w:val="15"/>
                <w:szCs w:val="15"/>
                <w:b w:val="1"/>
                <w:bCs w:val="1"/>
                <w:color w:val="auto"/>
                <w:w w:val="99"/>
              </w:rPr>
              <w:t>KUWAIT TRADEMARK APPLICATIONS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45"/>
        </w:trPr>
        <w:tc>
          <w:tcPr>
            <w:tcW w:w="180" w:type="dxa"/>
            <w:vAlign w:val="bottom"/>
            <w:tcBorders>
              <w:lef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780" w:type="dxa"/>
            <w:vAlign w:val="bottom"/>
            <w:gridSpan w:val="5"/>
          </w:tcPr>
          <w:p>
            <w:pPr>
              <w:spacing w:after="0" w:line="145" w:lineRule="exact"/>
              <w:rPr>
                <w:sz w:val="20"/>
                <w:szCs w:val="20"/>
                <w:color w:val="auto"/>
              </w:rPr>
            </w:pPr>
            <w:r>
              <w:rPr>
                <w:rFonts w:ascii="Arial" w:cs="Arial" w:eastAsia="Arial" w:hAnsi="Arial"/>
                <w:sz w:val="15"/>
                <w:szCs w:val="15"/>
                <w:b w:val="1"/>
                <w:bCs w:val="1"/>
                <w:color w:val="auto"/>
              </w:rPr>
              <w:t>APPLICATION</w:t>
            </w:r>
          </w:p>
        </w:tc>
        <w:tc>
          <w:tcPr>
            <w:tcW w:w="80" w:type="dxa"/>
            <w:vAlign w:val="bottom"/>
            <w:tcBorders>
              <w:righ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r>
      <w:tr>
        <w:trPr>
          <w:trHeight w:val="158"/>
        </w:trPr>
        <w:tc>
          <w:tcPr>
            <w:tcW w:w="2960" w:type="dxa"/>
            <w:vAlign w:val="bottom"/>
            <w:tcBorders>
              <w:left w:val="single" w:sz="8" w:color="auto"/>
            </w:tcBorders>
            <w:gridSpan w:val="4"/>
          </w:tcPr>
          <w:p>
            <w:pPr>
              <w:ind w:left="20"/>
              <w:spacing w:after="0" w:line="158" w:lineRule="exact"/>
              <w:rPr>
                <w:sz w:val="20"/>
                <w:szCs w:val="20"/>
                <w:color w:val="auto"/>
              </w:rPr>
            </w:pPr>
            <w:r>
              <w:rPr>
                <w:rFonts w:ascii="Arial" w:cs="Arial" w:eastAsia="Arial" w:hAnsi="Arial"/>
                <w:sz w:val="15"/>
                <w:szCs w:val="15"/>
                <w:b w:val="1"/>
                <w:bCs w:val="1"/>
                <w:color w:val="auto"/>
              </w:rPr>
              <w:t>TRADEMARK/SERVICE MARK</w:t>
            </w: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780" w:type="dxa"/>
            <w:vAlign w:val="bottom"/>
            <w:gridSpan w:val="5"/>
          </w:tcPr>
          <w:p>
            <w:pPr>
              <w:spacing w:after="0" w:line="158" w:lineRule="exact"/>
              <w:rPr>
                <w:sz w:val="20"/>
                <w:szCs w:val="20"/>
                <w:color w:val="auto"/>
              </w:rPr>
            </w:pPr>
            <w:r>
              <w:rPr>
                <w:rFonts w:ascii="Arial" w:cs="Arial" w:eastAsia="Arial" w:hAnsi="Arial"/>
                <w:sz w:val="15"/>
                <w:szCs w:val="15"/>
                <w:b w:val="1"/>
                <w:bCs w:val="1"/>
                <w:color w:val="auto"/>
              </w:rPr>
              <w:t>NUMBER</w:t>
            </w:r>
          </w:p>
        </w:tc>
        <w:tc>
          <w:tcPr>
            <w:tcW w:w="80" w:type="dxa"/>
            <w:vAlign w:val="bottom"/>
            <w:tcBorders>
              <w:right w:val="single" w:sz="8" w:color="auto"/>
            </w:tcBorders>
          </w:tcPr>
          <w:p>
            <w:pPr>
              <w:spacing w:after="0"/>
              <w:rPr>
                <w:sz w:val="13"/>
                <w:szCs w:val="13"/>
                <w:color w:val="auto"/>
              </w:rPr>
            </w:pPr>
          </w:p>
        </w:tc>
        <w:tc>
          <w:tcPr>
            <w:tcW w:w="286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APPLICATION DATE</w:t>
            </w:r>
          </w:p>
        </w:tc>
      </w:tr>
      <w:tr>
        <w:trPr>
          <w:trHeight w:val="20"/>
        </w:trPr>
        <w:tc>
          <w:tcPr>
            <w:tcW w:w="1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52"/>
        </w:trPr>
        <w:tc>
          <w:tcPr>
            <w:tcW w:w="2960" w:type="dxa"/>
            <w:vAlign w:val="bottom"/>
            <w:tcBorders>
              <w:left w:val="single" w:sz="8" w:color="auto"/>
              <w:bottom w:val="single" w:sz="8" w:color="auto"/>
            </w:tcBorders>
            <w:gridSpan w:val="4"/>
          </w:tcPr>
          <w:p>
            <w:pPr>
              <w:ind w:left="20"/>
              <w:spacing w:after="0" w:line="152" w:lineRule="exact"/>
              <w:rPr>
                <w:sz w:val="20"/>
                <w:szCs w:val="20"/>
                <w:color w:val="auto"/>
              </w:rPr>
            </w:pPr>
            <w:r>
              <w:rPr>
                <w:rFonts w:ascii="Arial" w:cs="Arial" w:eastAsia="Arial" w:hAnsi="Arial"/>
                <w:sz w:val="15"/>
                <w:szCs w:val="15"/>
                <w:color w:val="auto"/>
              </w:rPr>
              <w:t>HARBOR BAY</w:t>
            </w: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130106</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05/15/12</w:t>
            </w:r>
          </w:p>
        </w:tc>
        <w:tc>
          <w:tcPr>
            <w:tcW w:w="17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r>
      <w:tr>
        <w:trPr>
          <w:trHeight w:val="162"/>
        </w:trPr>
        <w:tc>
          <w:tcPr>
            <w:tcW w:w="2960" w:type="dxa"/>
            <w:vAlign w:val="bottom"/>
            <w:tcBorders>
              <w:left w:val="single" w:sz="8" w:color="auto"/>
              <w:bottom w:val="single" w:sz="8" w:color="auto"/>
            </w:tcBorders>
            <w:gridSpan w:val="4"/>
          </w:tcPr>
          <w:p>
            <w:pPr>
              <w:ind w:left="20"/>
              <w:spacing w:after="0" w:line="161" w:lineRule="exact"/>
              <w:rPr>
                <w:sz w:val="20"/>
                <w:szCs w:val="20"/>
                <w:color w:val="auto"/>
              </w:rPr>
            </w:pPr>
            <w:r>
              <w:rPr>
                <w:rFonts w:ascii="Arial" w:cs="Arial" w:eastAsia="Arial" w:hAnsi="Arial"/>
                <w:sz w:val="15"/>
                <w:szCs w:val="15"/>
                <w:color w:val="auto"/>
              </w:rPr>
              <w:t>ROCHESTER</w:t>
            </w: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color w:val="auto"/>
              </w:rPr>
              <w:t>130107</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tcPr>
          <w:p>
            <w:pPr>
              <w:spacing w:after="0" w:line="161" w:lineRule="exact"/>
              <w:rPr>
                <w:sz w:val="20"/>
                <w:szCs w:val="20"/>
                <w:color w:val="auto"/>
              </w:rPr>
            </w:pPr>
            <w:r>
              <w:rPr>
                <w:rFonts w:ascii="Arial" w:cs="Arial" w:eastAsia="Arial" w:hAnsi="Arial"/>
                <w:sz w:val="15"/>
                <w:szCs w:val="15"/>
                <w:color w:val="auto"/>
              </w:rPr>
              <w:t>05/15/12</w:t>
            </w:r>
          </w:p>
        </w:tc>
        <w:tc>
          <w:tcPr>
            <w:tcW w:w="178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r>
      <w:tr>
        <w:trPr>
          <w:trHeight w:val="454"/>
        </w:trPr>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gridSpan w:val="6"/>
          </w:tcPr>
          <w:p>
            <w:pPr>
              <w:jc w:val="center"/>
              <w:ind w:right="1880"/>
              <w:spacing w:after="0"/>
              <w:rPr>
                <w:sz w:val="20"/>
                <w:szCs w:val="20"/>
                <w:color w:val="auto"/>
              </w:rPr>
            </w:pPr>
            <w:r>
              <w:rPr>
                <w:rFonts w:ascii="Arial" w:cs="Arial" w:eastAsia="Arial" w:hAnsi="Arial"/>
                <w:sz w:val="15"/>
                <w:szCs w:val="15"/>
                <w:b w:val="1"/>
                <w:bCs w:val="1"/>
                <w:color w:val="auto"/>
                <w:w w:val="96"/>
              </w:rPr>
              <w:t>UNITED STATES PATENTS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25"/>
        </w:trPr>
        <w:tc>
          <w:tcPr>
            <w:tcW w:w="1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5"/>
        </w:trPr>
        <w:tc>
          <w:tcPr>
            <w:tcW w:w="1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2780" w:type="dxa"/>
            <w:vAlign w:val="bottom"/>
            <w:tcBorders>
              <w:right w:val="single" w:sz="8" w:color="auto"/>
            </w:tcBorders>
            <w:gridSpan w:val="5"/>
          </w:tcPr>
          <w:p>
            <w:pPr>
              <w:spacing w:after="0" w:line="145" w:lineRule="exact"/>
              <w:rPr>
                <w:sz w:val="20"/>
                <w:szCs w:val="20"/>
                <w:color w:val="auto"/>
              </w:rPr>
            </w:pPr>
            <w:r>
              <w:rPr>
                <w:rFonts w:ascii="Arial" w:cs="Arial" w:eastAsia="Arial" w:hAnsi="Arial"/>
                <w:sz w:val="15"/>
                <w:szCs w:val="15"/>
                <w:b w:val="1"/>
                <w:bCs w:val="1"/>
                <w:color w:val="auto"/>
              </w:rPr>
              <w:t>PATENT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58"/>
        </w:trPr>
        <w:tc>
          <w:tcPr>
            <w:tcW w:w="180" w:type="dxa"/>
            <w:vAlign w:val="bottom"/>
            <w:tcBorders>
              <w:right w:val="single" w:sz="8" w:color="auto"/>
            </w:tcBorders>
          </w:tcPr>
          <w:p>
            <w:pPr>
              <w:spacing w:after="0"/>
              <w:rPr>
                <w:sz w:val="13"/>
                <w:szCs w:val="13"/>
                <w:color w:val="auto"/>
              </w:rPr>
            </w:pPr>
          </w:p>
        </w:tc>
        <w:tc>
          <w:tcPr>
            <w:tcW w:w="278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 xml:space="preserve">PATENT NAME </w:t>
            </w:r>
            <w:r>
              <w:rPr>
                <w:rFonts w:ascii="Arial" w:cs="Arial" w:eastAsia="Arial" w:hAnsi="Arial"/>
                <w:sz w:val="15"/>
                <w:szCs w:val="15"/>
                <w:color w:val="auto"/>
              </w:rPr>
              <w:t>(1)</w:t>
            </w:r>
          </w:p>
        </w:tc>
        <w:tc>
          <w:tcPr>
            <w:tcW w:w="1840" w:type="dxa"/>
            <w:vAlign w:val="bottom"/>
            <w:gridSpan w:val="5"/>
          </w:tcPr>
          <w:p>
            <w:pPr>
              <w:spacing w:after="0" w:line="158" w:lineRule="exact"/>
              <w:rPr>
                <w:sz w:val="20"/>
                <w:szCs w:val="20"/>
                <w:color w:val="auto"/>
              </w:rPr>
            </w:pPr>
            <w:r>
              <w:rPr>
                <w:rFonts w:ascii="Arial" w:cs="Arial" w:eastAsia="Arial" w:hAnsi="Arial"/>
                <w:sz w:val="15"/>
                <w:szCs w:val="15"/>
                <w:b w:val="1"/>
                <w:bCs w:val="1"/>
                <w:color w:val="auto"/>
              </w:rPr>
              <w:t>APPLICANT</w:t>
            </w:r>
          </w:p>
        </w:tc>
        <w:tc>
          <w:tcPr>
            <w:tcW w:w="960" w:type="dxa"/>
            <w:vAlign w:val="bottom"/>
            <w:tcBorders>
              <w:right w:val="single" w:sz="8" w:color="auto"/>
            </w:tcBorders>
          </w:tcPr>
          <w:p>
            <w:pPr>
              <w:spacing w:after="0"/>
              <w:rPr>
                <w:sz w:val="13"/>
                <w:szCs w:val="13"/>
                <w:color w:val="auto"/>
              </w:rPr>
            </w:pPr>
          </w:p>
        </w:tc>
        <w:tc>
          <w:tcPr>
            <w:tcW w:w="2780" w:type="dxa"/>
            <w:vAlign w:val="bottom"/>
            <w:tcBorders>
              <w:right w:val="single" w:sz="8" w:color="auto"/>
            </w:tcBorders>
            <w:gridSpan w:val="5"/>
          </w:tcPr>
          <w:p>
            <w:pPr>
              <w:spacing w:after="0" w:line="158" w:lineRule="exact"/>
              <w:rPr>
                <w:sz w:val="20"/>
                <w:szCs w:val="20"/>
                <w:color w:val="auto"/>
              </w:rPr>
            </w:pPr>
            <w:r>
              <w:rPr>
                <w:rFonts w:ascii="Arial" w:cs="Arial" w:eastAsia="Arial" w:hAnsi="Arial"/>
                <w:sz w:val="15"/>
                <w:szCs w:val="15"/>
                <w:b w:val="1"/>
                <w:bCs w:val="1"/>
                <w:color w:val="auto"/>
              </w:rPr>
              <w:t>NUMBER</w:t>
            </w:r>
          </w:p>
        </w:tc>
        <w:tc>
          <w:tcPr>
            <w:tcW w:w="2780" w:type="dxa"/>
            <w:vAlign w:val="bottom"/>
            <w:tcBorders>
              <w:right w:val="single" w:sz="8" w:color="auto"/>
            </w:tcBorders>
            <w:gridSpan w:val="3"/>
          </w:tcPr>
          <w:p>
            <w:pPr>
              <w:spacing w:after="0" w:line="158" w:lineRule="exact"/>
              <w:rPr>
                <w:sz w:val="20"/>
                <w:szCs w:val="20"/>
                <w:color w:val="auto"/>
              </w:rPr>
            </w:pPr>
            <w:r>
              <w:rPr>
                <w:rFonts w:ascii="Arial" w:cs="Arial" w:eastAsia="Arial" w:hAnsi="Arial"/>
                <w:sz w:val="15"/>
                <w:szCs w:val="15"/>
                <w:b w:val="1"/>
                <w:bCs w:val="1"/>
                <w:color w:val="auto"/>
              </w:rPr>
              <w:t xml:space="preserve">PATENT DATE </w:t>
            </w:r>
            <w:r>
              <w:rPr>
                <w:rFonts w:ascii="Arial" w:cs="Arial" w:eastAsia="Arial" w:hAnsi="Arial"/>
                <w:sz w:val="15"/>
                <w:szCs w:val="15"/>
                <w:color w:val="auto"/>
              </w:rPr>
              <w:t>(2)</w:t>
            </w:r>
          </w:p>
        </w:tc>
        <w:tc>
          <w:tcPr>
            <w:tcW w:w="160" w:type="dxa"/>
            <w:vAlign w:val="bottom"/>
          </w:tcPr>
          <w:p>
            <w:pPr>
              <w:spacing w:after="0"/>
              <w:rPr>
                <w:sz w:val="13"/>
                <w:szCs w:val="13"/>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2"/>
        </w:trPr>
        <w:tc>
          <w:tcPr>
            <w:tcW w:w="180" w:type="dxa"/>
            <w:vAlign w:val="bottom"/>
            <w:tcBorders>
              <w:right w:val="single" w:sz="8" w:color="auto"/>
            </w:tcBorders>
          </w:tcPr>
          <w:p>
            <w:pPr>
              <w:spacing w:after="0"/>
              <w:rPr>
                <w:sz w:val="13"/>
                <w:szCs w:val="13"/>
                <w:color w:val="auto"/>
              </w:rPr>
            </w:pPr>
          </w:p>
        </w:tc>
        <w:tc>
          <w:tcPr>
            <w:tcW w:w="2780" w:type="dxa"/>
            <w:vAlign w:val="bottom"/>
            <w:tcBorders>
              <w:bottom w:val="single" w:sz="8" w:color="auto"/>
              <w:right w:val="single" w:sz="8" w:color="auto"/>
            </w:tcBorders>
            <w:gridSpan w:val="3"/>
          </w:tcPr>
          <w:p>
            <w:pPr>
              <w:spacing w:after="0" w:line="152" w:lineRule="exact"/>
              <w:rPr>
                <w:sz w:val="20"/>
                <w:szCs w:val="20"/>
                <w:color w:val="auto"/>
              </w:rPr>
            </w:pPr>
            <w:r>
              <w:rPr>
                <w:rFonts w:ascii="Arial" w:cs="Arial" w:eastAsia="Arial" w:hAnsi="Arial"/>
                <w:sz w:val="15"/>
                <w:szCs w:val="15"/>
                <w:color w:val="auto"/>
                <w:w w:val="95"/>
              </w:rPr>
              <w:t>NECK</w:t>
            </w:r>
            <w:r>
              <w:rPr>
                <w:rFonts w:ascii="MS PGothic" w:cs="MS PGothic" w:eastAsia="MS PGothic" w:hAnsi="MS PGothic"/>
                <w:sz w:val="15"/>
                <w:szCs w:val="15"/>
                <w:color w:val="auto"/>
                <w:w w:val="95"/>
              </w:rPr>
              <w:t>‐</w:t>
            </w:r>
            <w:r>
              <w:rPr>
                <w:rFonts w:ascii="Arial" w:cs="Arial" w:eastAsia="Arial" w:hAnsi="Arial"/>
                <w:sz w:val="15"/>
                <w:szCs w:val="15"/>
                <w:color w:val="auto"/>
                <w:w w:val="95"/>
              </w:rPr>
              <w:t>RELAXER EXTENDABLE COLLAR</w:t>
            </w:r>
          </w:p>
        </w:tc>
        <w:tc>
          <w:tcPr>
            <w:tcW w:w="1840" w:type="dxa"/>
            <w:vAlign w:val="bottom"/>
            <w:tcBorders>
              <w:bottom w:val="single" w:sz="8" w:color="auto"/>
            </w:tcBorders>
            <w:gridSpan w:val="5"/>
          </w:tcPr>
          <w:p>
            <w:pPr>
              <w:spacing w:after="0" w:line="152" w:lineRule="exact"/>
              <w:rPr>
                <w:sz w:val="20"/>
                <w:szCs w:val="20"/>
                <w:color w:val="auto"/>
              </w:rPr>
            </w:pPr>
            <w:r>
              <w:rPr>
                <w:rFonts w:ascii="Arial" w:cs="Arial" w:eastAsia="Arial" w:hAnsi="Arial"/>
                <w:sz w:val="15"/>
                <w:szCs w:val="15"/>
                <w:color w:val="auto"/>
              </w:rPr>
              <w:t>CMRG APPAREL, LLC</w:t>
            </w:r>
          </w:p>
        </w:tc>
        <w:tc>
          <w:tcPr>
            <w:tcW w:w="9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line="152" w:lineRule="exact"/>
              <w:rPr>
                <w:sz w:val="20"/>
                <w:szCs w:val="20"/>
                <w:color w:val="auto"/>
              </w:rPr>
            </w:pPr>
            <w:r>
              <w:rPr>
                <w:rFonts w:ascii="Arial" w:cs="Arial" w:eastAsia="Arial" w:hAnsi="Arial"/>
                <w:sz w:val="15"/>
                <w:szCs w:val="15"/>
                <w:color w:val="auto"/>
              </w:rPr>
              <w:t>6986165</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gridSpan w:val="2"/>
          </w:tcPr>
          <w:p>
            <w:pPr>
              <w:spacing w:after="0" w:line="152" w:lineRule="exact"/>
              <w:rPr>
                <w:sz w:val="20"/>
                <w:szCs w:val="20"/>
                <w:color w:val="auto"/>
              </w:rPr>
            </w:pPr>
            <w:r>
              <w:rPr>
                <w:rFonts w:ascii="Arial" w:cs="Arial" w:eastAsia="Arial" w:hAnsi="Arial"/>
                <w:sz w:val="15"/>
                <w:szCs w:val="15"/>
                <w:color w:val="auto"/>
              </w:rPr>
              <w:t>01/17/06</w:t>
            </w:r>
          </w:p>
        </w:tc>
        <w:tc>
          <w:tcPr>
            <w:tcW w:w="1780" w:type="dxa"/>
            <w:vAlign w:val="bottom"/>
            <w:tcBorders>
              <w:bottom w:val="single" w:sz="8" w:color="auto"/>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NOTES</w:t>
      </w:r>
    </w:p>
    <w:p>
      <w:pPr>
        <w:spacing w:after="0" w:line="10" w:lineRule="exact"/>
        <w:rPr>
          <w:sz w:val="20"/>
          <w:szCs w:val="20"/>
          <w:color w:val="auto"/>
        </w:rPr>
      </w:pPr>
    </w:p>
    <w:p>
      <w:pPr>
        <w:ind w:left="220" w:hanging="219"/>
        <w:spacing w:after="0"/>
        <w:tabs>
          <w:tab w:leader="none" w:pos="2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Assigned to CMRG Apparel, LLC by David Neff and Megan Smith, former employees of Casual Male.</w:t>
      </w:r>
    </w:p>
    <w:p>
      <w:pPr>
        <w:ind w:left="220" w:hanging="219"/>
        <w:spacing w:after="0"/>
        <w:tabs>
          <w:tab w:leader="none" w:pos="2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Patent expires 01/17/26, plus 151 days due to U.S. Patent Office delays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960" w:type="dxa"/>
            <w:vAlign w:val="bottom"/>
            <w:gridSpan w:val="4"/>
          </w:tcPr>
          <w:p>
            <w:pPr>
              <w:spacing w:after="0"/>
              <w:rPr>
                <w:sz w:val="20"/>
                <w:szCs w:val="20"/>
                <w:color w:val="auto"/>
              </w:rPr>
            </w:pPr>
            <w:r>
              <w:rPr>
                <w:rFonts w:ascii="Arial" w:cs="Arial" w:eastAsia="Arial" w:hAnsi="Arial"/>
                <w:sz w:val="15"/>
                <w:szCs w:val="15"/>
                <w:b w:val="1"/>
                <w:bCs w:val="1"/>
                <w:color w:val="auto"/>
              </w:rPr>
              <w:t>UNITED STATES COPYRIGHTS</w:t>
            </w:r>
          </w:p>
        </w:tc>
        <w:tc>
          <w:tcPr>
            <w:tcW w:w="15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37"/>
        </w:trPr>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960" w:type="dxa"/>
            <w:vAlign w:val="bottom"/>
            <w:gridSpan w:val="4"/>
          </w:tcPr>
          <w:p>
            <w:pPr>
              <w:ind w:left="1100"/>
              <w:spacing w:after="0"/>
              <w:rPr>
                <w:sz w:val="20"/>
                <w:szCs w:val="20"/>
                <w:color w:val="auto"/>
              </w:rPr>
            </w:pPr>
            <w:r>
              <w:rPr>
                <w:rFonts w:ascii="Arial" w:cs="Arial" w:eastAsia="Arial" w:hAnsi="Arial"/>
                <w:sz w:val="15"/>
                <w:szCs w:val="15"/>
                <w:b w:val="1"/>
                <w:bCs w:val="1"/>
                <w:color w:val="auto"/>
              </w:rPr>
              <w:t>REGISTRATION</w:t>
            </w:r>
          </w:p>
        </w:tc>
        <w:tc>
          <w:tcPr>
            <w:tcW w:w="1560" w:type="dxa"/>
            <w:vAlign w:val="bottom"/>
          </w:tcPr>
          <w:p>
            <w:pPr>
              <w:spacing w:after="0"/>
              <w:rPr>
                <w:sz w:val="24"/>
                <w:szCs w:val="24"/>
                <w:color w:val="auto"/>
              </w:rPr>
            </w:pPr>
          </w:p>
        </w:tc>
      </w:tr>
      <w:tr>
        <w:trPr>
          <w:trHeight w:val="158"/>
        </w:trPr>
        <w:tc>
          <w:tcPr>
            <w:tcW w:w="920" w:type="dxa"/>
            <w:vAlign w:val="bottom"/>
          </w:tcPr>
          <w:p>
            <w:pPr>
              <w:spacing w:after="0" w:line="158" w:lineRule="exact"/>
              <w:rPr>
                <w:sz w:val="20"/>
                <w:szCs w:val="20"/>
                <w:color w:val="auto"/>
              </w:rPr>
            </w:pPr>
            <w:r>
              <w:rPr>
                <w:rFonts w:ascii="Arial" w:cs="Arial" w:eastAsia="Arial" w:hAnsi="Arial"/>
                <w:sz w:val="15"/>
                <w:szCs w:val="15"/>
                <w:b w:val="1"/>
                <w:bCs w:val="1"/>
                <w:color w:val="auto"/>
              </w:rPr>
              <w:t>COPYRIGHT</w:t>
            </w:r>
          </w:p>
        </w:tc>
        <w:tc>
          <w:tcPr>
            <w:tcW w:w="1220" w:type="dxa"/>
            <w:vAlign w:val="bottom"/>
          </w:tcPr>
          <w:p>
            <w:pPr>
              <w:spacing w:after="0"/>
              <w:rPr>
                <w:sz w:val="13"/>
                <w:szCs w:val="13"/>
                <w:color w:val="auto"/>
              </w:rPr>
            </w:pPr>
          </w:p>
        </w:tc>
        <w:tc>
          <w:tcPr>
            <w:tcW w:w="2500" w:type="dxa"/>
            <w:vAlign w:val="bottom"/>
          </w:tcPr>
          <w:p>
            <w:pPr>
              <w:ind w:left="740"/>
              <w:spacing w:after="0" w:line="158" w:lineRule="exact"/>
              <w:rPr>
                <w:sz w:val="20"/>
                <w:szCs w:val="20"/>
                <w:color w:val="auto"/>
              </w:rPr>
            </w:pPr>
            <w:r>
              <w:rPr>
                <w:rFonts w:ascii="Arial" w:cs="Arial" w:eastAsia="Arial" w:hAnsi="Arial"/>
                <w:sz w:val="15"/>
                <w:szCs w:val="15"/>
                <w:b w:val="1"/>
                <w:bCs w:val="1"/>
                <w:color w:val="auto"/>
              </w:rPr>
              <w:t>APPLICANT</w:t>
            </w:r>
          </w:p>
        </w:tc>
        <w:tc>
          <w:tcPr>
            <w:tcW w:w="3960" w:type="dxa"/>
            <w:vAlign w:val="bottom"/>
            <w:gridSpan w:val="4"/>
          </w:tcPr>
          <w:p>
            <w:pPr>
              <w:ind w:left="1100"/>
              <w:spacing w:after="0" w:line="158" w:lineRule="exact"/>
              <w:rPr>
                <w:sz w:val="20"/>
                <w:szCs w:val="20"/>
                <w:color w:val="auto"/>
              </w:rPr>
            </w:pPr>
            <w:r>
              <w:rPr>
                <w:rFonts w:ascii="Arial" w:cs="Arial" w:eastAsia="Arial" w:hAnsi="Arial"/>
                <w:sz w:val="15"/>
                <w:szCs w:val="15"/>
                <w:b w:val="1"/>
                <w:bCs w:val="1"/>
                <w:color w:val="auto"/>
              </w:rPr>
              <w:t>NUMBER</w:t>
            </w:r>
          </w:p>
        </w:tc>
        <w:tc>
          <w:tcPr>
            <w:tcW w:w="1560" w:type="dxa"/>
            <w:vAlign w:val="bottom"/>
          </w:tcPr>
          <w:p>
            <w:pPr>
              <w:spacing w:after="0" w:line="158" w:lineRule="exact"/>
              <w:rPr>
                <w:sz w:val="20"/>
                <w:szCs w:val="20"/>
                <w:color w:val="auto"/>
              </w:rPr>
            </w:pPr>
            <w:r>
              <w:rPr>
                <w:rFonts w:ascii="Arial" w:cs="Arial" w:eastAsia="Arial" w:hAnsi="Arial"/>
                <w:sz w:val="15"/>
                <w:szCs w:val="15"/>
                <w:b w:val="1"/>
                <w:bCs w:val="1"/>
                <w:color w:val="auto"/>
                <w:w w:val="97"/>
              </w:rPr>
              <w:t>REGISTRATION DATE</w:t>
            </w:r>
          </w:p>
        </w:tc>
      </w:tr>
      <w:tr>
        <w:trPr>
          <w:trHeight w:val="20"/>
        </w:trPr>
        <w:tc>
          <w:tcPr>
            <w:tcW w:w="9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185"/>
        </w:trPr>
        <w:tc>
          <w:tcPr>
            <w:tcW w:w="2140" w:type="dxa"/>
            <w:vAlign w:val="bottom"/>
            <w:gridSpan w:val="2"/>
          </w:tcPr>
          <w:p>
            <w:pPr>
              <w:spacing w:after="0"/>
              <w:rPr>
                <w:sz w:val="20"/>
                <w:szCs w:val="20"/>
                <w:color w:val="auto"/>
              </w:rPr>
            </w:pPr>
            <w:r>
              <w:rPr>
                <w:rFonts w:ascii="Arial" w:cs="Arial" w:eastAsia="Arial" w:hAnsi="Arial"/>
                <w:sz w:val="15"/>
                <w:szCs w:val="15"/>
                <w:color w:val="auto"/>
              </w:rPr>
              <w:t>NO IRON HANG TAG</w:t>
            </w:r>
          </w:p>
        </w:tc>
        <w:tc>
          <w:tcPr>
            <w:tcW w:w="2500" w:type="dxa"/>
            <w:vAlign w:val="bottom"/>
          </w:tcPr>
          <w:p>
            <w:pPr>
              <w:ind w:left="740"/>
              <w:spacing w:after="0"/>
              <w:rPr>
                <w:sz w:val="20"/>
                <w:szCs w:val="20"/>
                <w:color w:val="auto"/>
              </w:rPr>
            </w:pPr>
            <w:r>
              <w:rPr>
                <w:rFonts w:ascii="Arial" w:cs="Arial" w:eastAsia="Arial" w:hAnsi="Arial"/>
                <w:sz w:val="15"/>
                <w:szCs w:val="15"/>
                <w:color w:val="auto"/>
              </w:rPr>
              <w:t>CMRG APPAREL, LLC</w:t>
            </w:r>
          </w:p>
        </w:tc>
        <w:tc>
          <w:tcPr>
            <w:tcW w:w="3960" w:type="dxa"/>
            <w:vAlign w:val="bottom"/>
            <w:gridSpan w:val="4"/>
          </w:tcPr>
          <w:p>
            <w:pPr>
              <w:ind w:left="1100"/>
              <w:spacing w:after="0"/>
              <w:rPr>
                <w:sz w:val="20"/>
                <w:szCs w:val="20"/>
                <w:color w:val="auto"/>
              </w:rPr>
            </w:pPr>
            <w:r>
              <w:rPr>
                <w:rFonts w:ascii="Arial" w:cs="Arial" w:eastAsia="Arial" w:hAnsi="Arial"/>
                <w:sz w:val="15"/>
                <w:szCs w:val="15"/>
                <w:color w:val="auto"/>
              </w:rPr>
              <w:t>VAu000683921</w:t>
            </w:r>
          </w:p>
        </w:tc>
        <w:tc>
          <w:tcPr>
            <w:tcW w:w="1560" w:type="dxa"/>
            <w:vAlign w:val="bottom"/>
          </w:tcPr>
          <w:p>
            <w:pPr>
              <w:spacing w:after="0"/>
              <w:rPr>
                <w:sz w:val="20"/>
                <w:szCs w:val="20"/>
                <w:color w:val="auto"/>
              </w:rPr>
            </w:pPr>
            <w:r>
              <w:rPr>
                <w:rFonts w:ascii="Arial" w:cs="Arial" w:eastAsia="Arial" w:hAnsi="Arial"/>
                <w:sz w:val="15"/>
                <w:szCs w:val="15"/>
                <w:color w:val="auto"/>
              </w:rPr>
              <w:t>03/21/06</w:t>
            </w:r>
          </w:p>
        </w:tc>
      </w:tr>
    </w:tbl>
    <w:p>
      <w:pPr>
        <w:sectPr>
          <w:pgSz w:w="11900" w:h="16838" w:orient="portrait"/>
          <w:cols w:equalWidth="0" w:num="1">
            <w:col w:w="11460"/>
          </w:cols>
          <w:pgMar w:left="220" w:top="315" w:right="2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6"/>
          <w:szCs w:val="16"/>
          <w:b w:val="1"/>
          <w:bCs w:val="1"/>
          <w:u w:val="single" w:color="auto"/>
          <w:color w:val="auto"/>
        </w:rPr>
        <w:t>DOMAIN NAMES</w:t>
      </w:r>
    </w:p>
    <w:p>
      <w:pPr>
        <w:spacing w:after="0" w:line="220" w:lineRule="exact"/>
        <w:rPr>
          <w:sz w:val="20"/>
          <w:szCs w:val="20"/>
          <w:color w:val="auto"/>
        </w:rPr>
      </w:pPr>
    </w:p>
    <w:tbl>
      <w:tblPr>
        <w:tblLayout w:type="fixed"/>
        <w:tblInd w:w="890" w:type="dxa"/>
        <w:tblCellMar>
          <w:top w:w="0" w:type="dxa"/>
          <w:left w:w="0" w:type="dxa"/>
          <w:bottom w:w="0" w:type="dxa"/>
          <w:right w:w="0" w:type="dxa"/>
        </w:tblCellMar>
      </w:tblPr>
      <w:tr>
        <w:trPr>
          <w:trHeight w:val="159"/>
        </w:trPr>
        <w:tc>
          <w:tcPr>
            <w:tcW w:w="2180" w:type="dxa"/>
            <w:vAlign w:val="bottom"/>
            <w:tcBorders>
              <w:top w:val="single" w:sz="8" w:color="auto"/>
              <w:left w:val="single" w:sz="8" w:color="auto"/>
              <w:right w:val="single" w:sz="8" w:color="auto"/>
            </w:tcBorders>
          </w:tcPr>
          <w:p>
            <w:pPr>
              <w:spacing w:after="0"/>
              <w:rPr>
                <w:sz w:val="13"/>
                <w:szCs w:val="13"/>
                <w:color w:val="auto"/>
              </w:rPr>
            </w:pPr>
          </w:p>
        </w:tc>
        <w:tc>
          <w:tcPr>
            <w:tcW w:w="224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Expiration</w:t>
            </w:r>
          </w:p>
        </w:tc>
        <w:tc>
          <w:tcPr>
            <w:tcW w:w="1840" w:type="dxa"/>
            <w:vAlign w:val="bottom"/>
            <w:tcBorders>
              <w:top w:val="single" w:sz="8" w:color="auto"/>
              <w:right w:val="single" w:sz="8" w:color="auto"/>
            </w:tcBorders>
          </w:tcPr>
          <w:p>
            <w:pPr>
              <w:spacing w:after="0"/>
              <w:rPr>
                <w:sz w:val="13"/>
                <w:szCs w:val="13"/>
                <w:color w:val="auto"/>
              </w:rPr>
            </w:pPr>
          </w:p>
        </w:tc>
      </w:tr>
      <w:tr>
        <w:trPr>
          <w:trHeight w:val="174"/>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Domain Name</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Registrant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(D/M/YY)</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Registrar Service</w:t>
            </w:r>
          </w:p>
        </w:tc>
      </w:tr>
      <w:tr>
        <w:trPr>
          <w:trHeight w:val="152"/>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bandtdirect.com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bandtfactory.com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bandtfactorydirect.com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14</w:t>
            </w:r>
            <w:r>
              <w:rPr>
                <w:rFonts w:ascii="MS PGothic" w:cs="MS PGothic" w:eastAsia="MS PGothic" w:hAnsi="MS PGothic"/>
                <w:sz w:val="13"/>
                <w:szCs w:val="13"/>
                <w:color w:val="auto"/>
              </w:rPr>
              <w:t>‐</w:t>
            </w:r>
            <w:r>
              <w:rPr>
                <w:rFonts w:ascii="Arial" w:cs="Arial" w:eastAsia="Arial" w:hAnsi="Arial"/>
                <w:sz w:val="13"/>
                <w:szCs w:val="13"/>
                <w:color w:val="auto"/>
              </w:rPr>
              <w:t>Apr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bigandtall.com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15</w:t>
            </w:r>
            <w:r>
              <w:rPr>
                <w:rFonts w:ascii="MS PGothic" w:cs="MS PGothic" w:eastAsia="MS PGothic" w:hAnsi="MS PGothic"/>
                <w:sz w:val="13"/>
                <w:szCs w:val="13"/>
                <w:color w:val="auto"/>
              </w:rPr>
              <w:t>‐</w:t>
            </w:r>
            <w:r>
              <w:rPr>
                <w:rFonts w:ascii="Arial" w:cs="Arial" w:eastAsia="Arial" w:hAnsi="Arial"/>
                <w:sz w:val="13"/>
                <w:szCs w:val="13"/>
                <w:color w:val="auto"/>
              </w:rPr>
              <w:t>Mar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bigandtall.xxx</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Destination XL Group, Inc.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8</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bigandtallcasualmale.com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bigandtallfactorydirect.com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17</w:t>
            </w:r>
            <w:r>
              <w:rPr>
                <w:rFonts w:ascii="MS PGothic" w:cs="MS PGothic" w:eastAsia="MS PGothic" w:hAnsi="MS PGothic"/>
                <w:sz w:val="13"/>
                <w:szCs w:val="13"/>
                <w:color w:val="auto"/>
              </w:rPr>
              <w:t>‐</w:t>
            </w:r>
            <w:r>
              <w:rPr>
                <w:rFonts w:ascii="Arial" w:cs="Arial" w:eastAsia="Arial" w:hAnsi="Arial"/>
                <w:sz w:val="13"/>
                <w:szCs w:val="13"/>
                <w:color w:val="auto"/>
              </w:rPr>
              <w:t>Apr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boldxl.com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15</w:t>
            </w:r>
            <w:r>
              <w:rPr>
                <w:rFonts w:ascii="MS PGothic" w:cs="MS PGothic" w:eastAsia="MS PGothic" w:hAnsi="MS PGothic"/>
                <w:sz w:val="13"/>
                <w:szCs w:val="13"/>
                <w:color w:val="auto"/>
              </w:rPr>
              <w:t>‐</w:t>
            </w:r>
            <w:r>
              <w:rPr>
                <w:rFonts w:ascii="Arial" w:cs="Arial" w:eastAsia="Arial" w:hAnsi="Arial"/>
                <w:sz w:val="13"/>
                <w:szCs w:val="13"/>
                <w:color w:val="auto"/>
              </w:rPr>
              <w:t>Nov</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btdirect.ca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Canada Inc.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btdirect.com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10</w:t>
            </w:r>
            <w:r>
              <w:rPr>
                <w:rFonts w:ascii="MS PGothic" w:cs="MS PGothic" w:eastAsia="MS PGothic" w:hAnsi="MS PGothic"/>
                <w:sz w:val="13"/>
                <w:szCs w:val="13"/>
                <w:color w:val="auto"/>
              </w:rPr>
              <w:t>‐</w:t>
            </w:r>
            <w:r>
              <w:rPr>
                <w:rFonts w:ascii="Arial" w:cs="Arial" w:eastAsia="Arial" w:hAnsi="Arial"/>
                <w:sz w:val="13"/>
                <w:szCs w:val="13"/>
                <w:color w:val="auto"/>
              </w:rPr>
              <w:t>Nov</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62"/>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btdirect.xxx</w:t>
            </w:r>
          </w:p>
        </w:tc>
        <w:tc>
          <w:tcPr>
            <w:tcW w:w="22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1020" w:type="dxa"/>
            <w:vAlign w:val="bottom"/>
            <w:tcBorders>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84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40"/>
        </w:trPr>
        <w:tc>
          <w:tcPr>
            <w:tcW w:w="218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btdirectcoupons.com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24</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btdirecttv.com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16</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btfactorydirect.co.uk</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btfactorydirect.com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14</w:t>
            </w:r>
            <w:r>
              <w:rPr>
                <w:rFonts w:ascii="MS PGothic" w:cs="MS PGothic" w:eastAsia="MS PGothic" w:hAnsi="MS PGothic"/>
                <w:sz w:val="13"/>
                <w:szCs w:val="13"/>
                <w:color w:val="auto"/>
              </w:rPr>
              <w:t>‐</w:t>
            </w:r>
            <w:r>
              <w:rPr>
                <w:rFonts w:ascii="Arial" w:cs="Arial" w:eastAsia="Arial" w:hAnsi="Arial"/>
                <w:sz w:val="13"/>
                <w:szCs w:val="13"/>
                <w:color w:val="auto"/>
              </w:rPr>
              <w:t>Apr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btfactorystore.com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20</w:t>
            </w:r>
            <w:r>
              <w:rPr>
                <w:rFonts w:ascii="MS PGothic" w:cs="MS PGothic" w:eastAsia="MS PGothic" w:hAnsi="MS PGothic"/>
                <w:sz w:val="13"/>
                <w:szCs w:val="13"/>
                <w:color w:val="auto"/>
              </w:rPr>
              <w:t>‐</w:t>
            </w:r>
            <w:r>
              <w:rPr>
                <w:rFonts w:ascii="Arial" w:cs="Arial" w:eastAsia="Arial" w:hAnsi="Arial"/>
                <w:sz w:val="13"/>
                <w:szCs w:val="13"/>
                <w:color w:val="auto"/>
              </w:rPr>
              <w:t>Mar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btfdirect.co.uk</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casualmale.ca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Canada Inc.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casualmale.co.uk</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4</w:t>
            </w:r>
            <w:r>
              <w:rPr>
                <w:rFonts w:ascii="MS PGothic" w:cs="MS PGothic" w:eastAsia="MS PGothic" w:hAnsi="MS PGothic"/>
                <w:sz w:val="13"/>
                <w:szCs w:val="13"/>
                <w:color w:val="auto"/>
              </w:rPr>
              <w:t>‐</w:t>
            </w:r>
            <w:r>
              <w:rPr>
                <w:rFonts w:ascii="Arial" w:cs="Arial" w:eastAsia="Arial" w:hAnsi="Arial"/>
                <w:sz w:val="13"/>
                <w:szCs w:val="13"/>
                <w:color w:val="auto"/>
              </w:rPr>
              <w:t>Nov</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Nominet</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19</w:t>
            </w:r>
            <w:r>
              <w:rPr>
                <w:rFonts w:ascii="MS PGothic" w:cs="MS PGothic" w:eastAsia="MS PGothic" w:hAnsi="MS PGothic"/>
                <w:sz w:val="13"/>
                <w:szCs w:val="13"/>
                <w:color w:val="auto"/>
              </w:rPr>
              <w:t>‐</w:t>
            </w:r>
            <w:r>
              <w:rPr>
                <w:rFonts w:ascii="Arial" w:cs="Arial" w:eastAsia="Arial" w:hAnsi="Arial"/>
                <w:sz w:val="13"/>
                <w:szCs w:val="13"/>
                <w:color w:val="auto"/>
              </w:rPr>
              <w:t>Oct</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casual</w:t>
            </w:r>
            <w:r>
              <w:rPr>
                <w:rFonts w:ascii="MS PGothic" w:cs="MS PGothic" w:eastAsia="MS PGothic" w:hAnsi="MS PGothic"/>
                <w:sz w:val="13"/>
                <w:szCs w:val="13"/>
                <w:color w:val="auto"/>
              </w:rPr>
              <w:t>‐</w:t>
            </w:r>
            <w:r>
              <w:rPr>
                <w:rFonts w:ascii="Arial" w:cs="Arial" w:eastAsia="Arial" w:hAnsi="Arial"/>
                <w:sz w:val="13"/>
                <w:szCs w:val="13"/>
                <w:color w:val="auto"/>
              </w:rPr>
              <w:t>male.com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w:t>
            </w:r>
            <w:r>
              <w:rPr>
                <w:rFonts w:ascii="MS PGothic" w:cs="MS PGothic" w:eastAsia="MS PGothic" w:hAnsi="MS PGothic"/>
                <w:sz w:val="13"/>
                <w:szCs w:val="13"/>
                <w:color w:val="auto"/>
              </w:rPr>
              <w:t>‐</w:t>
            </w:r>
            <w:r>
              <w:rPr>
                <w:rFonts w:ascii="Arial" w:cs="Arial" w:eastAsia="Arial" w:hAnsi="Arial"/>
                <w:sz w:val="13"/>
                <w:szCs w:val="13"/>
                <w:color w:val="auto"/>
              </w:rPr>
              <w:t>Oct</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casualmale.de</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casualmale.de</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28</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16</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casualmale.dk</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25</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casualmale.es</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25</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casualmale.eu</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31</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casualmale.gr</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casualmale.it</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casualmale.lt</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30</w:t>
            </w:r>
            <w:r>
              <w:rPr>
                <w:rFonts w:ascii="MS PGothic" w:cs="MS PGothic" w:eastAsia="MS PGothic" w:hAnsi="MS PGothic"/>
                <w:sz w:val="13"/>
                <w:szCs w:val="13"/>
                <w:color w:val="auto"/>
              </w:rPr>
              <w:t>‐</w:t>
            </w:r>
            <w:r>
              <w:rPr>
                <w:rFonts w:ascii="Arial" w:cs="Arial" w:eastAsia="Arial" w:hAnsi="Arial"/>
                <w:sz w:val="13"/>
                <w:szCs w:val="13"/>
                <w:color w:val="auto"/>
              </w:rPr>
              <w:t>Nov</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casualmale.net</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casualmale.nl</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casualmale.org</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casualmale.us</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casualmaleoutlet.com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28</w:t>
            </w:r>
            <w:r>
              <w:rPr>
                <w:rFonts w:ascii="MS PGothic" w:cs="MS PGothic" w:eastAsia="MS PGothic" w:hAnsi="MS PGothic"/>
                <w:sz w:val="13"/>
                <w:szCs w:val="13"/>
                <w:color w:val="auto"/>
              </w:rPr>
              <w:t>‐</w:t>
            </w:r>
            <w:r>
              <w:rPr>
                <w:rFonts w:ascii="Arial" w:cs="Arial" w:eastAsia="Arial" w:hAnsi="Arial"/>
                <w:sz w:val="13"/>
                <w:szCs w:val="13"/>
                <w:color w:val="auto"/>
              </w:rPr>
              <w:t>Nov</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casualmaleproxymaterials.com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casualmaletv.com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10</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casualmalexl.ca</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Canada Inc.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casualmalexl.co.uk</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28</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14</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casualmalexl.de</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28</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16</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casualmalexl.es</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casualmalexl.eu</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7</w:t>
            </w:r>
            <w:r>
              <w:rPr>
                <w:rFonts w:ascii="MS PGothic" w:cs="MS PGothic" w:eastAsia="MS PGothic" w:hAnsi="MS PGothic"/>
                <w:sz w:val="13"/>
                <w:szCs w:val="13"/>
                <w:color w:val="auto"/>
              </w:rPr>
              <w:t>‐</w:t>
            </w:r>
            <w:r>
              <w:rPr>
                <w:rFonts w:ascii="Arial" w:cs="Arial" w:eastAsia="Arial" w:hAnsi="Arial"/>
                <w:sz w:val="13"/>
                <w:szCs w:val="13"/>
                <w:color w:val="auto"/>
              </w:rPr>
              <w:t>Nov</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casualmalexl.gr</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20</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casualmalexl.it</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casualmalexl.lt</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14</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casualmalexl.nl</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casualmalexl.xxx</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casualmalexlcoupons.com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24</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casualmalexlsucks.com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20</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casualmalexltv.com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16</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1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chairsxl.com</w:t>
            </w:r>
          </w:p>
        </w:tc>
        <w:tc>
          <w:tcPr>
            <w:tcW w:w="2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102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bl>
    <w:p>
      <w:pPr>
        <w:sectPr>
          <w:pgSz w:w="11900" w:h="16838" w:orient="portrait"/>
          <w:cols w:equalWidth="0" w:num="1">
            <w:col w:w="9019"/>
          </w:cols>
          <w:pgMar w:left="1440" w:top="623" w:right="1440" w:bottom="1440" w:gutter="0" w:footer="0" w:header="0"/>
        </w:sectPr>
      </w:pPr>
    </w:p>
    <w:bookmarkStart w:id="162" w:name="page163"/>
    <w:bookmarkEnd w:id="162"/>
    <w:p>
      <w:pPr>
        <w:spacing w:after="0" w:line="1" w:lineRule="exact"/>
        <w:rPr>
          <w:sz w:val="20"/>
          <w:szCs w:val="20"/>
          <w:color w:val="auto"/>
        </w:rPr>
      </w:pPr>
    </w:p>
    <w:tbl>
      <w:tblPr>
        <w:tblLayout w:type="fixed"/>
        <w:tblInd w:w="890" w:type="dxa"/>
        <w:tblCellMar>
          <w:top w:w="0" w:type="dxa"/>
          <w:left w:w="0" w:type="dxa"/>
          <w:bottom w:w="0" w:type="dxa"/>
          <w:right w:w="0" w:type="dxa"/>
        </w:tblCellMar>
      </w:tblPr>
      <w:tr>
        <w:trPr>
          <w:trHeight w:val="171"/>
        </w:trPr>
        <w:tc>
          <w:tcPr>
            <w:tcW w:w="25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cmal.com</w:t>
            </w:r>
          </w:p>
        </w:tc>
        <w:tc>
          <w:tcPr>
            <w:tcW w:w="23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top w:val="single" w:sz="8" w:color="auto"/>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17</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cmale.com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12</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cmrginc.com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22</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cmxl.com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12</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designsinc.com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18</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destinationxl.at</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15</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destinationxl.be</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14</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destinationxl.biz</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11</w:t>
            </w:r>
            <w:r>
              <w:rPr>
                <w:rFonts w:ascii="MS PGothic" w:cs="MS PGothic" w:eastAsia="MS PGothic" w:hAnsi="MS PGothic"/>
                <w:sz w:val="13"/>
                <w:szCs w:val="13"/>
                <w:color w:val="auto"/>
              </w:rPr>
              <w:t>‐</w:t>
            </w:r>
            <w:r>
              <w:rPr>
                <w:rFonts w:ascii="Arial" w:cs="Arial" w:eastAsia="Arial" w:hAnsi="Arial"/>
                <w:sz w:val="13"/>
                <w:szCs w:val="13"/>
                <w:color w:val="auto"/>
              </w:rPr>
              <w:t>Sep</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destinationxl.ca</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Canada Inc.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22</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destinationxl.ch</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destinationxl.co.ee</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17</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destinationxl.co.uk</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16</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destination</w:t>
            </w:r>
            <w:r>
              <w:rPr>
                <w:rFonts w:ascii="MS PGothic" w:cs="MS PGothic" w:eastAsia="MS PGothic" w:hAnsi="MS PGothic"/>
                <w:sz w:val="13"/>
                <w:szCs w:val="13"/>
                <w:color w:val="auto"/>
              </w:rPr>
              <w:t>‐</w:t>
            </w:r>
            <w:r>
              <w:rPr>
                <w:rFonts w:ascii="Arial" w:cs="Arial" w:eastAsia="Arial" w:hAnsi="Arial"/>
                <w:sz w:val="13"/>
                <w:szCs w:val="13"/>
                <w:color w:val="auto"/>
              </w:rPr>
              <w:t>xl.com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Destination XL Group, Inc.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13</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MYDOMAIN</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destinationxl.com.pl</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17</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destinationxl.cz</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destinationxl.de</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destinationxl.dk</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25</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destinationxl.es</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destinationxl.eu</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destinationxl.fr</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Sep</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IPTWINS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destinationxl.gr</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17</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16</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destinationxl.hu</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30</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destinationxl.it</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destinationxl.lt</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7</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destinationxl.lv</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destinationxl.nl</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12</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destinationxl.pl</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destinationxl.ro</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19</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destinationxl.sa.com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20</w:t>
            </w:r>
            <w:r>
              <w:rPr>
                <w:rFonts w:ascii="MS PGothic" w:cs="MS PGothic" w:eastAsia="MS PGothic" w:hAnsi="MS PGothic"/>
                <w:sz w:val="13"/>
                <w:szCs w:val="13"/>
                <w:color w:val="auto"/>
              </w:rPr>
              <w:t>‐</w:t>
            </w:r>
            <w:r>
              <w:rPr>
                <w:rFonts w:ascii="Arial" w:cs="Arial" w:eastAsia="Arial" w:hAnsi="Arial"/>
                <w:sz w:val="13"/>
                <w:szCs w:val="13"/>
                <w:color w:val="auto"/>
              </w:rPr>
              <w:t>Oct</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destinationxl.se</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22</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destinationxl.sk</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destinationxl.xxx</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destinationxlcoupons.com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24</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destinationxlsucks.com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20</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dxl.eu</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28</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16</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dxlg.com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16</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GoDaddy</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dxlgroup.com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dxlgroup.xxx</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dxlstore.com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20</w:t>
            </w:r>
            <w:r>
              <w:rPr>
                <w:rFonts w:ascii="MS PGothic" w:cs="MS PGothic" w:eastAsia="MS PGothic" w:hAnsi="MS PGothic"/>
                <w:sz w:val="13"/>
                <w:szCs w:val="13"/>
                <w:color w:val="auto"/>
              </w:rPr>
              <w:t>‐</w:t>
            </w:r>
            <w:r>
              <w:rPr>
                <w:rFonts w:ascii="Arial" w:cs="Arial" w:eastAsia="Arial" w:hAnsi="Arial"/>
                <w:sz w:val="13"/>
                <w:szCs w:val="13"/>
                <w:color w:val="auto"/>
              </w:rPr>
              <w:t>Sep</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livingxl.ca</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Canada Inc.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livingxl.co.uk</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28</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livingxl.com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10</w:t>
            </w:r>
            <w:r>
              <w:rPr>
                <w:rFonts w:ascii="MS PGothic" w:cs="MS PGothic" w:eastAsia="MS PGothic" w:hAnsi="MS PGothic"/>
                <w:sz w:val="13"/>
                <w:szCs w:val="13"/>
                <w:color w:val="auto"/>
              </w:rPr>
              <w:t>‐</w:t>
            </w:r>
            <w:r>
              <w:rPr>
                <w:rFonts w:ascii="Arial" w:cs="Arial" w:eastAsia="Arial" w:hAnsi="Arial"/>
                <w:sz w:val="13"/>
                <w:szCs w:val="13"/>
                <w:color w:val="auto"/>
              </w:rPr>
              <w:t>Mar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livingxl.eu</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26</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livingxl.xxx</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livingxlcoupons.com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24</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reppbigandtall.com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24</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reppbynet.com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15</w:t>
            </w:r>
            <w:r>
              <w:rPr>
                <w:rFonts w:ascii="MS PGothic" w:cs="MS PGothic" w:eastAsia="MS PGothic" w:hAnsi="MS PGothic"/>
                <w:sz w:val="13"/>
                <w:szCs w:val="13"/>
                <w:color w:val="auto"/>
              </w:rPr>
              <w:t>‐</w:t>
            </w:r>
            <w:r>
              <w:rPr>
                <w:rFonts w:ascii="Arial" w:cs="Arial" w:eastAsia="Arial" w:hAnsi="Arial"/>
                <w:sz w:val="13"/>
                <w:szCs w:val="13"/>
                <w:color w:val="auto"/>
              </w:rPr>
              <w:t>Mar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rochesterbigandtall.co.uk</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Nominet</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rochesterbigandtall.com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13</w:t>
            </w:r>
            <w:r>
              <w:rPr>
                <w:rFonts w:ascii="MS PGothic" w:cs="MS PGothic" w:eastAsia="MS PGothic" w:hAnsi="MS PGothic"/>
                <w:sz w:val="13"/>
                <w:szCs w:val="13"/>
                <w:color w:val="auto"/>
              </w:rPr>
              <w:t>‐</w:t>
            </w:r>
            <w:r>
              <w:rPr>
                <w:rFonts w:ascii="Arial" w:cs="Arial" w:eastAsia="Arial" w:hAnsi="Arial"/>
                <w:sz w:val="13"/>
                <w:szCs w:val="13"/>
                <w:color w:val="auto"/>
              </w:rPr>
              <w:t>Mar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rochesterbigandtall.eu</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7</w:t>
            </w:r>
            <w:r>
              <w:rPr>
                <w:rFonts w:ascii="MS PGothic" w:cs="MS PGothic" w:eastAsia="MS PGothic" w:hAnsi="MS PGothic"/>
                <w:sz w:val="13"/>
                <w:szCs w:val="13"/>
                <w:color w:val="auto"/>
              </w:rPr>
              <w:t>‐</w:t>
            </w:r>
            <w:r>
              <w:rPr>
                <w:rFonts w:ascii="Arial" w:cs="Arial" w:eastAsia="Arial" w:hAnsi="Arial"/>
                <w:sz w:val="13"/>
                <w:szCs w:val="13"/>
                <w:color w:val="auto"/>
              </w:rPr>
              <w:t>Nov</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rochesterbigandtallclothing.com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22</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rochesterbigtall.com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rochesterclothing.ca</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Canada Inc.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CADNS</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rochesterclothing.co.uk</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Nominet</w:t>
            </w:r>
          </w:p>
        </w:tc>
      </w:tr>
      <w:tr>
        <w:trPr>
          <w:trHeight w:val="151"/>
        </w:trPr>
        <w:tc>
          <w:tcPr>
            <w:tcW w:w="25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rochesterclothing.com</w:t>
            </w: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4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25</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Network Solutions</w:t>
            </w:r>
          </w:p>
        </w:tc>
      </w:tr>
    </w:tbl>
    <w:p>
      <w:pPr>
        <w:sectPr>
          <w:pgSz w:w="11900" w:h="16838" w:orient="portrait"/>
          <w:cols w:equalWidth="0" w:num="1">
            <w:col w:w="9019"/>
          </w:cols>
          <w:pgMar w:left="1440" w:top="301" w:right="1440" w:bottom="1440" w:gutter="0" w:footer="0" w:header="0"/>
        </w:sectPr>
      </w:pPr>
    </w:p>
    <w:bookmarkStart w:id="163" w:name="page164"/>
    <w:bookmarkEnd w:id="163"/>
    <w:p>
      <w:pPr>
        <w:spacing w:after="0" w:line="1" w:lineRule="exact"/>
        <w:rPr>
          <w:sz w:val="20"/>
          <w:szCs w:val="20"/>
          <w:color w:val="auto"/>
        </w:rPr>
      </w:pPr>
    </w:p>
    <w:tbl>
      <w:tblPr>
        <w:tblLayout w:type="fixed"/>
        <w:tblInd w:w="890" w:type="dxa"/>
        <w:tblCellMar>
          <w:top w:w="0" w:type="dxa"/>
          <w:left w:w="0" w:type="dxa"/>
          <w:bottom w:w="0" w:type="dxa"/>
          <w:right w:w="0" w:type="dxa"/>
        </w:tblCellMar>
      </w:tblPr>
      <w:tr>
        <w:trPr>
          <w:trHeight w:val="171"/>
        </w:trPr>
        <w:tc>
          <w:tcPr>
            <w:tcW w:w="24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rochesterclothing.de</w:t>
            </w:r>
          </w:p>
        </w:tc>
        <w:tc>
          <w:tcPr>
            <w:tcW w:w="23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top w:val="single" w:sz="8" w:color="auto"/>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28</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16</w:t>
            </w:r>
          </w:p>
        </w:tc>
        <w:tc>
          <w:tcPr>
            <w:tcW w:w="15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rochesterclothing.dk</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25</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EuroDNS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rochesterclothing.es</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EuroDNS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rochesterclothing.eu</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rochesterclothing.gr</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20</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rochesterclothing.it</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6</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EuroDNS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rochesterclothing.lt</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14</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EuroDNS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rochesterclothing.net</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5</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17</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rochesterclothing.nl</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EuroDNS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rochesterclothing.xxx</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rochesterclothingcoupons.com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24</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rochestersport.com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25</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shoesxl.ca</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Canada Inc.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CADNS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shoesxl.co.uk</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28</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shoesxl.com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11</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shoesxl.eu</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26</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shoesxl.xxx</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29</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shoesxlcoupons.com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24</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shoexl.com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12</w:t>
            </w:r>
            <w:r>
              <w:rPr>
                <w:rFonts w:ascii="MS PGothic" w:cs="MS PGothic" w:eastAsia="MS PGothic" w:hAnsi="MS PGothic"/>
                <w:sz w:val="13"/>
                <w:szCs w:val="13"/>
                <w:color w:val="auto"/>
              </w:rPr>
              <w:t>‐</w:t>
            </w:r>
            <w:r>
              <w:rPr>
                <w:rFonts w:ascii="Arial" w:cs="Arial" w:eastAsia="Arial" w:hAnsi="Arial"/>
                <w:sz w:val="13"/>
                <w:szCs w:val="13"/>
                <w:color w:val="auto"/>
              </w:rPr>
              <w:t>Dec</w:t>
            </w:r>
            <w:r>
              <w:rPr>
                <w:rFonts w:ascii="MS PGothic" w:cs="MS PGothic" w:eastAsia="MS PGothic" w:hAnsi="MS PGothic"/>
                <w:sz w:val="13"/>
                <w:szCs w:val="13"/>
                <w:color w:val="auto"/>
              </w:rPr>
              <w:t>‐</w:t>
            </w:r>
            <w:r>
              <w:rPr>
                <w:rFonts w:ascii="Arial" w:cs="Arial" w:eastAsia="Arial" w:hAnsi="Arial"/>
                <w:sz w:val="13"/>
                <w:szCs w:val="13"/>
                <w:color w:val="auto"/>
              </w:rPr>
              <w:t>14</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shop</w:t>
            </w:r>
            <w:r>
              <w:rPr>
                <w:rFonts w:ascii="MS PGothic" w:cs="MS PGothic" w:eastAsia="MS PGothic" w:hAnsi="MS PGothic"/>
                <w:sz w:val="13"/>
                <w:szCs w:val="13"/>
                <w:color w:val="auto"/>
              </w:rPr>
              <w:t>‐</w:t>
            </w:r>
            <w:r>
              <w:rPr>
                <w:rFonts w:ascii="Arial" w:cs="Arial" w:eastAsia="Arial" w:hAnsi="Arial"/>
                <w:sz w:val="13"/>
                <w:szCs w:val="13"/>
                <w:color w:val="auto"/>
              </w:rPr>
              <w:t>btdirect.com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shop</w:t>
            </w:r>
            <w:r>
              <w:rPr>
                <w:rFonts w:ascii="MS PGothic" w:cs="MS PGothic" w:eastAsia="MS PGothic" w:hAnsi="MS PGothic"/>
                <w:sz w:val="13"/>
                <w:szCs w:val="13"/>
                <w:color w:val="auto"/>
              </w:rPr>
              <w:t>‐</w:t>
            </w:r>
            <w:r>
              <w:rPr>
                <w:rFonts w:ascii="Arial" w:cs="Arial" w:eastAsia="Arial" w:hAnsi="Arial"/>
                <w:sz w:val="13"/>
                <w:szCs w:val="13"/>
                <w:color w:val="auto"/>
              </w:rPr>
              <w:t>casualmale.com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shop</w:t>
            </w:r>
            <w:r>
              <w:rPr>
                <w:rFonts w:ascii="MS PGothic" w:cs="MS PGothic" w:eastAsia="MS PGothic" w:hAnsi="MS PGothic"/>
                <w:sz w:val="13"/>
                <w:szCs w:val="13"/>
                <w:color w:val="auto"/>
              </w:rPr>
              <w:t>‐</w:t>
            </w:r>
            <w:r>
              <w:rPr>
                <w:rFonts w:ascii="Arial" w:cs="Arial" w:eastAsia="Arial" w:hAnsi="Arial"/>
                <w:sz w:val="13"/>
                <w:szCs w:val="13"/>
                <w:color w:val="auto"/>
              </w:rPr>
              <w:t>destinationxl.com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shop</w:t>
            </w:r>
            <w:r>
              <w:rPr>
                <w:rFonts w:ascii="MS PGothic" w:cs="MS PGothic" w:eastAsia="MS PGothic" w:hAnsi="MS PGothic"/>
                <w:sz w:val="13"/>
                <w:szCs w:val="13"/>
                <w:color w:val="auto"/>
              </w:rPr>
              <w:t>‐</w:t>
            </w:r>
            <w:r>
              <w:rPr>
                <w:rFonts w:ascii="Arial" w:cs="Arial" w:eastAsia="Arial" w:hAnsi="Arial"/>
                <w:sz w:val="13"/>
                <w:szCs w:val="13"/>
                <w:color w:val="auto"/>
              </w:rPr>
              <w:t>dxbt.com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Destination XL Group, Inc.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11</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shop</w:t>
            </w:r>
            <w:r>
              <w:rPr>
                <w:rFonts w:ascii="MS PGothic" w:cs="MS PGothic" w:eastAsia="MS PGothic" w:hAnsi="MS PGothic"/>
                <w:sz w:val="13"/>
                <w:szCs w:val="13"/>
                <w:color w:val="auto"/>
              </w:rPr>
              <w:t>‐</w:t>
            </w:r>
            <w:r>
              <w:rPr>
                <w:rFonts w:ascii="Arial" w:cs="Arial" w:eastAsia="Arial" w:hAnsi="Arial"/>
                <w:sz w:val="13"/>
                <w:szCs w:val="13"/>
                <w:color w:val="auto"/>
              </w:rPr>
              <w:t>livingxl.com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shop</w:t>
            </w:r>
            <w:r>
              <w:rPr>
                <w:rFonts w:ascii="MS PGothic" w:cs="MS PGothic" w:eastAsia="MS PGothic" w:hAnsi="MS PGothic"/>
                <w:sz w:val="13"/>
                <w:szCs w:val="13"/>
                <w:color w:val="auto"/>
              </w:rPr>
              <w:t>‐</w:t>
            </w:r>
            <w:r>
              <w:rPr>
                <w:rFonts w:ascii="Arial" w:cs="Arial" w:eastAsia="Arial" w:hAnsi="Arial"/>
                <w:sz w:val="13"/>
                <w:szCs w:val="13"/>
                <w:color w:val="auto"/>
              </w:rPr>
              <w:t>rochesterclothing.com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line="150" w:lineRule="exact"/>
              <w:rPr>
                <w:sz w:val="20"/>
                <w:szCs w:val="20"/>
                <w:color w:val="auto"/>
              </w:rPr>
            </w:pPr>
            <w:r>
              <w:rPr>
                <w:rFonts w:ascii="Arial" w:cs="Arial" w:eastAsia="Arial" w:hAnsi="Arial"/>
                <w:sz w:val="13"/>
                <w:szCs w:val="13"/>
                <w:color w:val="auto"/>
              </w:rPr>
              <w:t>shop</w:t>
            </w:r>
            <w:r>
              <w:rPr>
                <w:rFonts w:ascii="MS PGothic" w:cs="MS PGothic" w:eastAsia="MS PGothic" w:hAnsi="MS PGothic"/>
                <w:sz w:val="13"/>
                <w:szCs w:val="13"/>
                <w:color w:val="auto"/>
              </w:rPr>
              <w:t>‐</w:t>
            </w:r>
            <w:r>
              <w:rPr>
                <w:rFonts w:ascii="Arial" w:cs="Arial" w:eastAsia="Arial" w:hAnsi="Arial"/>
                <w:sz w:val="13"/>
                <w:szCs w:val="13"/>
                <w:color w:val="auto"/>
              </w:rPr>
              <w:t>shoesxl.com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shopxl.com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16</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supersizedworld.com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14</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supersizeworld.com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14</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tellcasualmalexl.com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13</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telldestinationxl.com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w:t>
            </w:r>
            <w:r>
              <w:rPr>
                <w:rFonts w:ascii="MS PGothic" w:cs="MS PGothic" w:eastAsia="MS PGothic" w:hAnsi="MS PGothic"/>
                <w:sz w:val="13"/>
                <w:szCs w:val="13"/>
                <w:color w:val="auto"/>
              </w:rPr>
              <w:t>‐</w:t>
            </w:r>
            <w:r>
              <w:rPr>
                <w:rFonts w:ascii="Arial" w:cs="Arial" w:eastAsia="Arial" w:hAnsi="Arial"/>
                <w:sz w:val="13"/>
                <w:szCs w:val="13"/>
                <w:color w:val="auto"/>
              </w:rPr>
              <w:t>Aug</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telldxl.com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25</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tellrochesterclothing.com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25</w:t>
            </w:r>
            <w:r>
              <w:rPr>
                <w:rFonts w:ascii="MS PGothic" w:cs="MS PGothic" w:eastAsia="MS PGothic" w:hAnsi="MS PGothic"/>
                <w:sz w:val="13"/>
                <w:szCs w:val="13"/>
                <w:color w:val="auto"/>
              </w:rPr>
              <w:t>‐</w:t>
            </w:r>
            <w:r>
              <w:rPr>
                <w:rFonts w:ascii="Arial" w:cs="Arial" w:eastAsia="Arial" w:hAnsi="Arial"/>
                <w:sz w:val="13"/>
                <w:szCs w:val="13"/>
                <w:color w:val="auto"/>
              </w:rPr>
              <w:t>Feb</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thinkbig.com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19</w:t>
            </w:r>
            <w:r>
              <w:rPr>
                <w:rFonts w:ascii="MS PGothic" w:cs="MS PGothic" w:eastAsia="MS PGothic" w:hAnsi="MS PGothic"/>
                <w:sz w:val="13"/>
                <w:szCs w:val="13"/>
                <w:color w:val="auto"/>
              </w:rPr>
              <w:t>‐</w:t>
            </w:r>
            <w:r>
              <w:rPr>
                <w:rFonts w:ascii="Arial" w:cs="Arial" w:eastAsia="Arial" w:hAnsi="Arial"/>
                <w:sz w:val="13"/>
                <w:szCs w:val="13"/>
                <w:color w:val="auto"/>
              </w:rPr>
              <w:t>Jul</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thinkbigdirect.com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9</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workwearxl.com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18</w:t>
            </w:r>
            <w:r>
              <w:rPr>
                <w:rFonts w:ascii="MS PGothic" w:cs="MS PGothic" w:eastAsia="MS PGothic" w:hAnsi="MS PGothic"/>
                <w:sz w:val="13"/>
                <w:szCs w:val="13"/>
                <w:color w:val="auto"/>
              </w:rPr>
              <w:t>‐</w:t>
            </w:r>
            <w:r>
              <w:rPr>
                <w:rFonts w:ascii="Arial" w:cs="Arial" w:eastAsia="Arial" w:hAnsi="Arial"/>
                <w:sz w:val="13"/>
                <w:szCs w:val="13"/>
                <w:color w:val="auto"/>
              </w:rPr>
              <w:t>May</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xlliving.eu</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Casual Male RBT (U.K.)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31</w:t>
            </w:r>
            <w:r>
              <w:rPr>
                <w:rFonts w:ascii="MS PGothic" w:cs="MS PGothic" w:eastAsia="MS PGothic" w:hAnsi="MS PGothic"/>
                <w:sz w:val="13"/>
                <w:szCs w:val="13"/>
                <w:color w:val="auto"/>
              </w:rPr>
              <w:t>‐</w:t>
            </w:r>
            <w:r>
              <w:rPr>
                <w:rFonts w:ascii="Arial" w:cs="Arial" w:eastAsia="Arial" w:hAnsi="Arial"/>
                <w:sz w:val="13"/>
                <w:szCs w:val="13"/>
                <w:color w:val="auto"/>
              </w:rPr>
              <w:t>Jan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xlreward.com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Destination XL Group, Inc.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20</w:t>
            </w:r>
            <w:r>
              <w:rPr>
                <w:rFonts w:ascii="MS PGothic" w:cs="MS PGothic" w:eastAsia="MS PGothic" w:hAnsi="MS PGothic"/>
                <w:sz w:val="13"/>
                <w:szCs w:val="13"/>
                <w:color w:val="auto"/>
              </w:rPr>
              <w:t>‐</w:t>
            </w:r>
            <w:r>
              <w:rPr>
                <w:rFonts w:ascii="Arial" w:cs="Arial" w:eastAsia="Arial" w:hAnsi="Arial"/>
                <w:sz w:val="13"/>
                <w:szCs w:val="13"/>
                <w:color w:val="auto"/>
              </w:rPr>
              <w:t>Jun</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r>
        <w:trPr>
          <w:trHeight w:val="151"/>
        </w:trPr>
        <w:tc>
          <w:tcPr>
            <w:tcW w:w="24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xlrewards.com</w:t>
            </w: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CMRG Apparel, LLC</w:t>
            </w:r>
          </w:p>
        </w:tc>
        <w:tc>
          <w:tcPr>
            <w:tcW w:w="960" w:type="dxa"/>
            <w:vAlign w:val="bottom"/>
            <w:tcBorders>
              <w:bottom w:val="single" w:sz="8" w:color="auto"/>
              <w:right w:val="single" w:sz="8" w:color="auto"/>
            </w:tcBorders>
          </w:tcPr>
          <w:p>
            <w:pPr>
              <w:ind w:left="60"/>
              <w:spacing w:after="0" w:line="150" w:lineRule="exact"/>
              <w:rPr>
                <w:sz w:val="20"/>
                <w:szCs w:val="20"/>
                <w:color w:val="auto"/>
              </w:rPr>
            </w:pPr>
            <w:r>
              <w:rPr>
                <w:rFonts w:ascii="Arial" w:cs="Arial" w:eastAsia="Arial" w:hAnsi="Arial"/>
                <w:sz w:val="13"/>
                <w:szCs w:val="13"/>
                <w:color w:val="auto"/>
              </w:rPr>
              <w:t>10</w:t>
            </w:r>
            <w:r>
              <w:rPr>
                <w:rFonts w:ascii="MS PGothic" w:cs="MS PGothic" w:eastAsia="MS PGothic" w:hAnsi="MS PGothic"/>
                <w:sz w:val="13"/>
                <w:szCs w:val="13"/>
                <w:color w:val="auto"/>
              </w:rPr>
              <w:t>‐</w:t>
            </w:r>
            <w:r>
              <w:rPr>
                <w:rFonts w:ascii="Arial" w:cs="Arial" w:eastAsia="Arial" w:hAnsi="Arial"/>
                <w:sz w:val="13"/>
                <w:szCs w:val="13"/>
                <w:color w:val="auto"/>
              </w:rPr>
              <w:t>Mar</w:t>
            </w:r>
            <w:r>
              <w:rPr>
                <w:rFonts w:ascii="MS PGothic" w:cs="MS PGothic" w:eastAsia="MS PGothic" w:hAnsi="MS PGothic"/>
                <w:sz w:val="13"/>
                <w:szCs w:val="13"/>
                <w:color w:val="auto"/>
              </w:rPr>
              <w:t>‐</w:t>
            </w:r>
            <w:r>
              <w:rPr>
                <w:rFonts w:ascii="Arial" w:cs="Arial" w:eastAsia="Arial" w:hAnsi="Arial"/>
                <w:sz w:val="13"/>
                <w:szCs w:val="13"/>
                <w:color w:val="auto"/>
              </w:rPr>
              <w:t>15</w:t>
            </w:r>
          </w:p>
        </w:tc>
        <w:tc>
          <w:tcPr>
            <w:tcW w:w="15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Network Solutions</w:t>
            </w:r>
          </w:p>
        </w:tc>
      </w:tr>
    </w:tbl>
    <w:p>
      <w:pPr>
        <w:sectPr>
          <w:pgSz w:w="11900" w:h="16838" w:orient="portrait"/>
          <w:cols w:equalWidth="0" w:num="1">
            <w:col w:w="9019"/>
          </w:cols>
          <w:pgMar w:left="1440" w:top="301" w:right="1440" w:bottom="1440" w:gutter="0" w:footer="0" w:header="0"/>
        </w:sectPr>
      </w:pPr>
    </w:p>
    <w:bookmarkStart w:id="164" w:name="page165"/>
    <w:bookmarkEnd w:id="164"/>
    <w:p>
      <w:pPr>
        <w:jc w:val="center"/>
        <w:ind w:right="-219"/>
        <w:spacing w:after="0"/>
        <w:rPr>
          <w:sz w:val="20"/>
          <w:szCs w:val="20"/>
          <w:color w:val="auto"/>
        </w:rPr>
      </w:pPr>
      <w:r>
        <w:rPr>
          <w:rFonts w:ascii="Arial" w:cs="Arial" w:eastAsia="Arial" w:hAnsi="Arial"/>
          <w:sz w:val="16"/>
          <w:szCs w:val="16"/>
          <w:b w:val="1"/>
          <w:bCs w:val="1"/>
          <w:u w:val="single" w:color="auto"/>
          <w:color w:val="auto"/>
        </w:rPr>
        <w:t>EXHIBIT 4.4(b)</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u w:val="single" w:color="auto"/>
          <w:color w:val="auto"/>
        </w:rPr>
        <w:t>Exceptions to Property Rights</w:t>
      </w:r>
    </w:p>
    <w:p>
      <w:pPr>
        <w:spacing w:after="0" w:line="145" w:lineRule="exact"/>
        <w:rPr>
          <w:sz w:val="20"/>
          <w:szCs w:val="20"/>
          <w:color w:val="auto"/>
        </w:rPr>
      </w:pPr>
    </w:p>
    <w:p>
      <w:pPr>
        <w:ind w:firstLine="765"/>
        <w:spacing w:after="0" w:line="298" w:lineRule="auto"/>
        <w:rPr>
          <w:sz w:val="20"/>
          <w:szCs w:val="20"/>
          <w:color w:val="auto"/>
        </w:rPr>
      </w:pPr>
      <w:r>
        <w:rPr>
          <w:rFonts w:ascii="Arial" w:cs="Arial" w:eastAsia="Arial" w:hAnsi="Arial"/>
          <w:sz w:val="15"/>
          <w:szCs w:val="15"/>
          <w:color w:val="auto"/>
        </w:rPr>
        <w:t>Destination XL Group, Inc., and certain of its subsidiaries (“DXLG”), use the trademarks, trade names, trade styles, brand names, service marks and logos of third party suppliers to the extent that they are affixed to the inventory supplied to DXLG but otherwise only with each supplier’s prior consent in each instance.</w:t>
      </w:r>
    </w:p>
    <w:p>
      <w:pPr>
        <w:sectPr>
          <w:pgSz w:w="11900" w:h="16838" w:orient="portrait"/>
          <w:cols w:equalWidth="0" w:num="1">
            <w:col w:w="11260"/>
          </w:cols>
          <w:pgMar w:left="220" w:top="300" w:right="4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2"/>
          <w:szCs w:val="12"/>
          <w:color w:val="auto"/>
        </w:rPr>
        <w:t>EXHIBIT 4.5</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LOCATIONS, LEASES AND LANDLORDS</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6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1"/>
                <w:szCs w:val="11"/>
                <w:b w:val="1"/>
                <w:bCs w:val="1"/>
                <w:color w:val="auto"/>
              </w:rPr>
              <w:t>ID OF USE</w:t>
            </w:r>
          </w:p>
        </w:tc>
        <w:tc>
          <w:tcPr>
            <w:tcW w:w="172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1"/>
                <w:szCs w:val="11"/>
                <w:b w:val="1"/>
                <w:bCs w:val="1"/>
                <w:color w:val="auto"/>
              </w:rPr>
              <w:t>ADDRESS</w:t>
            </w:r>
          </w:p>
        </w:tc>
        <w:tc>
          <w:tcPr>
            <w:tcW w:w="114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1"/>
                <w:szCs w:val="11"/>
                <w:b w:val="1"/>
                <w:bCs w:val="1"/>
                <w:color w:val="auto"/>
              </w:rPr>
              <w:t>CITY</w:t>
            </w:r>
          </w:p>
        </w:tc>
        <w:tc>
          <w:tcPr>
            <w:tcW w:w="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STATE</w:t>
            </w:r>
          </w:p>
        </w:tc>
        <w:tc>
          <w:tcPr>
            <w:tcW w:w="400" w:type="dxa"/>
            <w:vAlign w:val="bottom"/>
            <w:tcBorders>
              <w:top w:val="single" w:sz="8" w:color="auto"/>
              <w:bottom w:val="single" w:sz="8" w:color="auto"/>
              <w:right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ZIP</w:t>
            </w:r>
          </w:p>
        </w:tc>
        <w:tc>
          <w:tcPr>
            <w:tcW w:w="246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1"/>
                <w:szCs w:val="11"/>
                <w:b w:val="1"/>
                <w:bCs w:val="1"/>
                <w:color w:val="auto"/>
              </w:rPr>
              <w:t>LANDLORD NAME</w:t>
            </w:r>
          </w:p>
        </w:tc>
        <w:tc>
          <w:tcPr>
            <w:tcW w:w="290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1"/>
                <w:szCs w:val="11"/>
                <w:b w:val="1"/>
                <w:bCs w:val="1"/>
                <w:color w:val="auto"/>
              </w:rPr>
              <w:t>LANDLORD ADDRESS</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700 Mission St.</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SAN FRANCISCO</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94103</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706 MISSION STREET CO LLC</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6"/>
              </w:rPr>
              <w:t>MILLENNIUM PARTNERS / ATTN: CFO, 1995 BROADWAY</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3RD FL, NEW YORK, NY 10023 United States</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9737 Wilshire Blvd.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BEVERLY HILLS</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90212</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BEVERLY HILLS GATEWAY, LP</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6"/>
              </w:rPr>
              <w:t>OFFICE OF THE BUILDING, 9777 WILSHIRE BLVD  SUITE</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815, BEVERLY HILLS, CA 90212 United States</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1301 Avenue of the Americas</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NEW YORK</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10019</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1301 PROPERTIES OWNER LP</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7"/>
              </w:rPr>
              <w:t>c/o PARAMOUNT GROUP, INC, 1633 BROADWAY, SUITE</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1801, NEW YORK, NY 10019 United States</w:t>
            </w:r>
          </w:p>
        </w:tc>
        <w:tc>
          <w:tcPr>
            <w:tcW w:w="0" w:type="dxa"/>
            <w:vAlign w:val="bottom"/>
          </w:tcPr>
          <w:p>
            <w:pPr>
              <w:spacing w:after="0"/>
              <w:rPr>
                <w:sz w:val="1"/>
                <w:szCs w:val="1"/>
                <w:color w:val="auto"/>
              </w:rPr>
            </w:pPr>
          </w:p>
        </w:tc>
      </w:tr>
      <w:tr>
        <w:trPr>
          <w:trHeight w:val="100"/>
        </w:trPr>
        <w:tc>
          <w:tcPr>
            <w:tcW w:w="66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w w:val="91"/>
              </w:rPr>
              <w:t>Preston Forest Village 11661 Preston</w:t>
            </w:r>
          </w:p>
        </w:tc>
        <w:tc>
          <w:tcPr>
            <w:tcW w:w="114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tcPr>
          <w:p>
            <w:pPr>
              <w:spacing w:after="0"/>
              <w:rPr>
                <w:sz w:val="8"/>
                <w:szCs w:val="8"/>
                <w:color w:val="auto"/>
              </w:rPr>
            </w:pPr>
          </w:p>
        </w:tc>
        <w:tc>
          <w:tcPr>
            <w:tcW w:w="29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w w:val="96"/>
              </w:rPr>
              <w:t>C/O KIMCO REALTY CORPORATION, PO BOX 5020, 3333</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Rd.</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DALLAS</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TX</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75230</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PFV REALTY III</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NEW HYDE PARK ROAD, NEW HYDE PARK, NY 11042</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1020 CONNECTICUT AVE. N.W.</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WASHINGTON</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DC</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20036</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WASHINGTON SQUARE LP,LLP</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5"/>
              </w:rPr>
              <w:t>LERNER CORP, MANAGING AGENT/LEGAL, 2000 TOWER</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4"/>
              </w:rPr>
              <w:t>OAKS BLVD., 8TH FL, ROCKVILLE, MD 20852 United States</w:t>
            </w:r>
          </w:p>
        </w:tc>
        <w:tc>
          <w:tcPr>
            <w:tcW w:w="0" w:type="dxa"/>
            <w:vAlign w:val="bottom"/>
          </w:tcPr>
          <w:p>
            <w:pPr>
              <w:spacing w:after="0"/>
              <w:rPr>
                <w:sz w:val="1"/>
                <w:szCs w:val="1"/>
                <w:color w:val="auto"/>
              </w:rPr>
            </w:pPr>
          </w:p>
        </w:tc>
      </w:tr>
      <w:tr>
        <w:trPr>
          <w:trHeight w:val="100"/>
        </w:trPr>
        <w:tc>
          <w:tcPr>
            <w:tcW w:w="66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SW3</w:t>
            </w:r>
          </w:p>
        </w:tc>
        <w:tc>
          <w:tcPr>
            <w:tcW w:w="2460" w:type="dxa"/>
            <w:vAlign w:val="bottom"/>
            <w:tcBorders>
              <w:right w:val="single" w:sz="8" w:color="auto"/>
            </w:tcBorders>
          </w:tcPr>
          <w:p>
            <w:pPr>
              <w:spacing w:after="0"/>
              <w:rPr>
                <w:sz w:val="8"/>
                <w:szCs w:val="8"/>
                <w:color w:val="auto"/>
              </w:rPr>
            </w:pPr>
          </w:p>
        </w:tc>
        <w:tc>
          <w:tcPr>
            <w:tcW w:w="29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ATTN: TIM DARWALL-SMITH, 126-134 BAKER STREET,</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90 Brompton Rd. London</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LONDON</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UK</w:t>
            </w:r>
          </w:p>
        </w:tc>
        <w:tc>
          <w:tcPr>
            <w:tcW w:w="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1ER</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SANDROVE BRAHAMS</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LONDON, UK W1U 6SH</w:t>
            </w:r>
          </w:p>
        </w:tc>
        <w:tc>
          <w:tcPr>
            <w:tcW w:w="0" w:type="dxa"/>
            <w:vAlign w:val="bottom"/>
          </w:tcPr>
          <w:p>
            <w:pPr>
              <w:spacing w:after="0"/>
              <w:rPr>
                <w:sz w:val="1"/>
                <w:szCs w:val="1"/>
                <w:color w:val="auto"/>
              </w:rPr>
            </w:pPr>
          </w:p>
        </w:tc>
      </w:tr>
      <w:tr>
        <w:trPr>
          <w:trHeight w:val="110"/>
        </w:trPr>
        <w:tc>
          <w:tcPr>
            <w:tcW w:w="66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9"/>
              </w:rPr>
              <w:t>Loehmans Fashion Island 18801-a</w:t>
            </w:r>
          </w:p>
        </w:tc>
        <w:tc>
          <w:tcPr>
            <w:tcW w:w="114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SEC COMMERCIAL REALTY GROUP, INC, 7284 W.</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BiscayneBlvd.</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AVENTURA</w:t>
            </w:r>
          </w:p>
        </w:tc>
        <w:tc>
          <w:tcPr>
            <w:tcW w:w="440" w:type="dxa"/>
            <w:vAlign w:val="bottom"/>
            <w:tcBorders>
              <w:bottom w:val="single" w:sz="8" w:color="auto"/>
              <w:right w:val="single" w:sz="8" w:color="auto"/>
            </w:tcBorders>
          </w:tcPr>
          <w:p>
            <w:pPr>
              <w:jc w:val="right"/>
              <w:ind w:right="43"/>
              <w:spacing w:after="0"/>
              <w:rPr>
                <w:sz w:val="20"/>
                <w:szCs w:val="20"/>
                <w:color w:val="auto"/>
              </w:rPr>
            </w:pPr>
            <w:r>
              <w:rPr>
                <w:rFonts w:ascii="Arial" w:cs="Arial" w:eastAsia="Arial" w:hAnsi="Arial"/>
                <w:sz w:val="11"/>
                <w:szCs w:val="11"/>
                <w:color w:val="auto"/>
              </w:rPr>
              <w:t>FL</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33180</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PRUDENTIAL INSURANCE CO. OFAMERICA</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w w:val="94"/>
              </w:rPr>
              <w:t>PALMETTO PARK RD. STE 210S, BOCA RATON, FL 33433-</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1625 NORTHern Boulevard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Manhasset</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11030</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G&amp;M BAHAR CORP</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BAHAR CORP, 108-18 QUEENS BLVD, SUITE 705,</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FOREST HILLS, NY 11375 United States</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2301 Glades Road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Boca Raton</w:t>
            </w:r>
          </w:p>
        </w:tc>
        <w:tc>
          <w:tcPr>
            <w:tcW w:w="440" w:type="dxa"/>
            <w:vAlign w:val="bottom"/>
            <w:tcBorders>
              <w:right w:val="single" w:sz="8" w:color="auto"/>
            </w:tcBorders>
            <w:vMerge w:val="restart"/>
          </w:tcPr>
          <w:p>
            <w:pPr>
              <w:jc w:val="right"/>
              <w:ind w:right="4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33434</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GLADES-BUTTS ASSOCIATES, LTD</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SCHMIER &amp; FEURRING PROPERTIES, INC. C/O, 2200</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BUTTS RD., SUITE 300, BOCA RATON, FL 33431</w:t>
            </w:r>
          </w:p>
        </w:tc>
        <w:tc>
          <w:tcPr>
            <w:tcW w:w="0" w:type="dxa"/>
            <w:vAlign w:val="bottom"/>
          </w:tcPr>
          <w:p>
            <w:pPr>
              <w:spacing w:after="0"/>
              <w:rPr>
                <w:sz w:val="1"/>
                <w:szCs w:val="1"/>
                <w:color w:val="auto"/>
              </w:rPr>
            </w:pPr>
          </w:p>
        </w:tc>
      </w:tr>
      <w:tr>
        <w:trPr>
          <w:trHeight w:val="110"/>
        </w:trPr>
        <w:tc>
          <w:tcPr>
            <w:tcW w:w="660" w:type="dxa"/>
            <w:vAlign w:val="bottom"/>
            <w:tcBorders>
              <w:left w:val="single" w:sz="8" w:color="auto"/>
              <w:right w:val="single" w:sz="8" w:color="auto"/>
            </w:tcBorders>
          </w:tcPr>
          <w:p>
            <w:pPr>
              <w:ind w:left="40"/>
              <w:spacing w:after="0" w:line="111" w:lineRule="exact"/>
              <w:rPr>
                <w:sz w:val="20"/>
                <w:szCs w:val="20"/>
                <w:color w:val="auto"/>
              </w:rPr>
            </w:pPr>
            <w:r>
              <w:rPr>
                <w:rFonts w:ascii="Arial" w:cs="Arial" w:eastAsia="Arial" w:hAnsi="Arial"/>
                <w:sz w:val="11"/>
                <w:szCs w:val="11"/>
                <w:color w:val="auto"/>
              </w:rPr>
              <w:t>Home</w:t>
            </w:r>
          </w:p>
        </w:tc>
        <w:tc>
          <w:tcPr>
            <w:tcW w:w="17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14631 N. SCOTTSDALE ROAD STE. 200, ATTN:</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Office- DC</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555 Turnpike Street</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CANTON</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MA</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02021</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SPIRIT SPE CANTON LLC</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w w:val="99"/>
              </w:rPr>
              <w:t>COMPLIANCE DEPARTMENT, SCOTTSDALE, AZ 85254-</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113 E. CHICAGO AVENUE</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CHICAGO</w:t>
            </w:r>
          </w:p>
        </w:tc>
        <w:tc>
          <w:tcPr>
            <w:tcW w:w="440" w:type="dxa"/>
            <w:vAlign w:val="bottom"/>
            <w:tcBorders>
              <w:right w:val="single" w:sz="8" w:color="auto"/>
            </w:tcBorders>
            <w:vMerge w:val="restart"/>
          </w:tcPr>
          <w:p>
            <w:pPr>
              <w:jc w:val="right"/>
              <w:ind w:right="6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60611</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PONTE GADEA CHICAGO, LLC</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PONTE GADEA GROUP,</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8"/>
              </w:rPr>
              <w:t>270 BISCAYNE BOULEVARD WAY, SUITE 201, MIAMI FL</w:t>
            </w:r>
          </w:p>
        </w:tc>
        <w:tc>
          <w:tcPr>
            <w:tcW w:w="0" w:type="dxa"/>
            <w:vAlign w:val="bottom"/>
          </w:tcPr>
          <w:p>
            <w:pPr>
              <w:spacing w:after="0"/>
              <w:rPr>
                <w:sz w:val="1"/>
                <w:szCs w:val="1"/>
                <w:color w:val="auto"/>
              </w:rPr>
            </w:pPr>
          </w:p>
        </w:tc>
      </w:tr>
      <w:tr>
        <w:trPr>
          <w:trHeight w:val="110"/>
        </w:trPr>
        <w:tc>
          <w:tcPr>
            <w:tcW w:w="66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GEORGE E. MAYER &amp; OSBOURNEFAMILY</w:t>
            </w:r>
          </w:p>
        </w:tc>
        <w:tc>
          <w:tcPr>
            <w:tcW w:w="2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PO BOX 2006,</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3157 Peachtree Road, NE</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ATLANTA</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GA</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30305</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ENTERPIRSES LLLP</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HIGHLANDS, NC 28741</w:t>
            </w:r>
          </w:p>
        </w:tc>
        <w:tc>
          <w:tcPr>
            <w:tcW w:w="0" w:type="dxa"/>
            <w:vAlign w:val="bottom"/>
          </w:tcPr>
          <w:p>
            <w:pPr>
              <w:spacing w:after="0"/>
              <w:rPr>
                <w:sz w:val="1"/>
                <w:szCs w:val="1"/>
                <w:color w:val="auto"/>
              </w:rPr>
            </w:pPr>
          </w:p>
        </w:tc>
      </w:tr>
      <w:tr>
        <w:trPr>
          <w:trHeight w:val="110"/>
        </w:trPr>
        <w:tc>
          <w:tcPr>
            <w:tcW w:w="66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LENEXA</w:t>
            </w:r>
          </w:p>
        </w:tc>
        <w:tc>
          <w:tcPr>
            <w:tcW w:w="4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PROPERTY MANAGER, BLOCK &amp; COMPANY, INC,</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9702 QUIVIRA ROAD</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(OVERLANDPARK)</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KS</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66215</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BROADWAY PLAZA PARTNERS, LLC</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w w:val="97"/>
              </w:rPr>
              <w:t>605 WEST 47TH STREET, SUITE 200, KANSAS CITY, MO</w:t>
            </w:r>
          </w:p>
        </w:tc>
        <w:tc>
          <w:tcPr>
            <w:tcW w:w="0" w:type="dxa"/>
            <w:vAlign w:val="bottom"/>
          </w:tcPr>
          <w:p>
            <w:pPr>
              <w:spacing w:after="0"/>
              <w:rPr>
                <w:sz w:val="1"/>
                <w:szCs w:val="1"/>
                <w:color w:val="auto"/>
              </w:rPr>
            </w:pPr>
          </w:p>
        </w:tc>
      </w:tr>
      <w:tr>
        <w:trPr>
          <w:trHeight w:val="100"/>
        </w:trPr>
        <w:tc>
          <w:tcPr>
            <w:tcW w:w="66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Rivertree Court 701 N. Milwaukee</w:t>
            </w:r>
          </w:p>
        </w:tc>
        <w:tc>
          <w:tcPr>
            <w:tcW w:w="114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tcPr>
          <w:p>
            <w:pPr>
              <w:spacing w:after="0"/>
              <w:rPr>
                <w:sz w:val="8"/>
                <w:szCs w:val="8"/>
                <w:color w:val="auto"/>
              </w:rPr>
            </w:pPr>
          </w:p>
        </w:tc>
        <w:tc>
          <w:tcPr>
            <w:tcW w:w="29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PO BOX 232</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Ave</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VERNON HILLS</w:t>
            </w:r>
          </w:p>
        </w:tc>
        <w:tc>
          <w:tcPr>
            <w:tcW w:w="440" w:type="dxa"/>
            <w:vAlign w:val="bottom"/>
            <w:tcBorders>
              <w:bottom w:val="single" w:sz="8" w:color="auto"/>
              <w:right w:val="single" w:sz="8" w:color="auto"/>
            </w:tcBorders>
          </w:tcPr>
          <w:p>
            <w:pPr>
              <w:jc w:val="right"/>
              <w:ind w:right="63"/>
              <w:spacing w:after="0"/>
              <w:rPr>
                <w:sz w:val="20"/>
                <w:szCs w:val="20"/>
                <w:color w:val="auto"/>
              </w:rPr>
            </w:pPr>
            <w:r>
              <w:rPr>
                <w:rFonts w:ascii="Arial" w:cs="Arial" w:eastAsia="Arial" w:hAnsi="Arial"/>
                <w:sz w:val="11"/>
                <w:szCs w:val="11"/>
                <w:color w:val="auto"/>
              </w:rPr>
              <w:t>IL</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60061</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RIVERTREE AT VERNON HILLS, LLC</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HIGHLAND PARK, IL 60035</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1113 KENNEY CENTER</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COLUMBUS</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6"/>
              </w:rPr>
              <w:t>OH</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43220</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SCHOTTENSTEIN PROPERTY GROUP</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ATTN: SALES REPORTING, 4300 E. FIFTH AVENUE,</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COLUMBUS, OH 43219</w:t>
            </w:r>
          </w:p>
        </w:tc>
        <w:tc>
          <w:tcPr>
            <w:tcW w:w="0" w:type="dxa"/>
            <w:vAlign w:val="bottom"/>
          </w:tcPr>
          <w:p>
            <w:pPr>
              <w:spacing w:after="0"/>
              <w:rPr>
                <w:sz w:val="1"/>
                <w:szCs w:val="1"/>
                <w:color w:val="auto"/>
              </w:rPr>
            </w:pPr>
          </w:p>
        </w:tc>
      </w:tr>
      <w:tr>
        <w:trPr>
          <w:trHeight w:val="100"/>
        </w:trPr>
        <w:tc>
          <w:tcPr>
            <w:tcW w:w="66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847 SOUTH WHITE STATION</w:t>
            </w:r>
          </w:p>
        </w:tc>
        <w:tc>
          <w:tcPr>
            <w:tcW w:w="114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tcPr>
          <w:p>
            <w:pPr>
              <w:spacing w:after="0"/>
              <w:rPr>
                <w:sz w:val="8"/>
                <w:szCs w:val="8"/>
                <w:color w:val="auto"/>
              </w:rPr>
            </w:pPr>
          </w:p>
        </w:tc>
        <w:tc>
          <w:tcPr>
            <w:tcW w:w="290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w w:val="96"/>
              </w:rPr>
              <w:t>c/oARROW OPERATING MANAGER, LLC, 8343 DOUGLAS</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ROAD</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MEMPHIS</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TN</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38117</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EASTGATE CENTER, LLC</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AVE., SUITE 300, DALLAS, TX 75225</w:t>
            </w:r>
          </w:p>
        </w:tc>
        <w:tc>
          <w:tcPr>
            <w:tcW w:w="0" w:type="dxa"/>
            <w:vAlign w:val="bottom"/>
          </w:tcPr>
          <w:p>
            <w:pPr>
              <w:spacing w:after="0"/>
              <w:rPr>
                <w:sz w:val="1"/>
                <w:szCs w:val="1"/>
                <w:color w:val="auto"/>
              </w:rPr>
            </w:pPr>
          </w:p>
        </w:tc>
      </w:tr>
      <w:tr>
        <w:trPr>
          <w:trHeight w:val="100"/>
        </w:trPr>
        <w:tc>
          <w:tcPr>
            <w:tcW w:w="66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1026 SOUTH BRENTWOOD</w:t>
            </w:r>
          </w:p>
        </w:tc>
        <w:tc>
          <w:tcPr>
            <w:tcW w:w="1140" w:type="dxa"/>
            <w:vAlign w:val="bottom"/>
            <w:tcBorders>
              <w:right w:val="single" w:sz="8" w:color="auto"/>
            </w:tcBorders>
          </w:tcPr>
          <w:p>
            <w:pPr>
              <w:ind w:left="20"/>
              <w:spacing w:after="0" w:line="101" w:lineRule="exact"/>
              <w:rPr>
                <w:sz w:val="20"/>
                <w:szCs w:val="20"/>
                <w:color w:val="auto"/>
              </w:rPr>
            </w:pPr>
            <w:r>
              <w:rPr>
                <w:rFonts w:ascii="Arial" w:cs="Arial" w:eastAsia="Arial" w:hAnsi="Arial"/>
                <w:sz w:val="11"/>
                <w:szCs w:val="11"/>
                <w:color w:val="auto"/>
              </w:rPr>
              <w:t>RICHMOND</w:t>
            </w:r>
          </w:p>
        </w:tc>
        <w:tc>
          <w:tcPr>
            <w:tcW w:w="4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460" w:type="dxa"/>
            <w:vAlign w:val="bottom"/>
            <w:tcBorders>
              <w:right w:val="single" w:sz="8" w:color="auto"/>
            </w:tcBorders>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BLVD</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HEIGHTS</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MO</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63117</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WAGNER ENTERPRISES, LLC</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4604 SE 20TH PL, CAPE CORAL, FL 33904</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26300 SOUTHfield Rd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Lathrup Village</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48076</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26300 INVESTMENTS LP</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9"/>
              </w:rPr>
              <w:t>TERESA KARLAVAGE, 41000 WOODWARD AVE, SUITE</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120 EAST,</w:t>
            </w:r>
          </w:p>
        </w:tc>
        <w:tc>
          <w:tcPr>
            <w:tcW w:w="0" w:type="dxa"/>
            <w:vAlign w:val="bottom"/>
          </w:tcPr>
          <w:p>
            <w:pPr>
              <w:spacing w:after="0"/>
              <w:rPr>
                <w:sz w:val="1"/>
                <w:szCs w:val="1"/>
                <w:color w:val="auto"/>
              </w:rPr>
            </w:pPr>
          </w:p>
        </w:tc>
      </w:tr>
      <w:tr>
        <w:trPr>
          <w:trHeight w:val="110"/>
        </w:trPr>
        <w:tc>
          <w:tcPr>
            <w:tcW w:w="66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FAIRLANE GREEN 3480</w:t>
            </w:r>
          </w:p>
        </w:tc>
        <w:tc>
          <w:tcPr>
            <w:tcW w:w="114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c/o LORMAX STERN DEVELOPMENT CO, 3755 DALY</w:t>
            </w:r>
          </w:p>
        </w:tc>
        <w:tc>
          <w:tcPr>
            <w:tcW w:w="0" w:type="dxa"/>
            <w:vAlign w:val="bottom"/>
          </w:tcPr>
          <w:p>
            <w:pPr>
              <w:spacing w:after="0"/>
              <w:rPr>
                <w:sz w:val="1"/>
                <w:szCs w:val="1"/>
                <w:color w:val="auto"/>
              </w:rPr>
            </w:pPr>
          </w:p>
        </w:tc>
      </w:tr>
      <w:tr>
        <w:trPr>
          <w:trHeight w:val="132"/>
        </w:trPr>
        <w:tc>
          <w:tcPr>
            <w:tcW w:w="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FAIRLANEDRIVE</w:t>
            </w:r>
          </w:p>
        </w:tc>
        <w:tc>
          <w:tcPr>
            <w:tcW w:w="1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ALLEN PARK</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MI</w:t>
            </w:r>
          </w:p>
        </w:tc>
        <w:tc>
          <w:tcPr>
            <w:tcW w:w="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1"/>
              </w:rPr>
              <w:t>48101</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FAIRLANE ALLEN PARK MI, LLC</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ROAD,</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43263 CRESCENT BOULEVARD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NOVI</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48375</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NOVI TOWN CENTER INVESTORSLLC</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 STATE HOUSE SQUARE, 15TH FLOOR,</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HARTFORD, CT 06103-3604 United States</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13967 Lakeside Circle</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Sterling Heights</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48313</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LAKESIDE RETAIL CENTER, LLC</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34355 GLOUSTER CIRCLE,</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FARMINGTON HILLS, MI 48331 United States</w:t>
            </w:r>
          </w:p>
        </w:tc>
        <w:tc>
          <w:tcPr>
            <w:tcW w:w="0" w:type="dxa"/>
            <w:vAlign w:val="bottom"/>
          </w:tcPr>
          <w:p>
            <w:pPr>
              <w:spacing w:after="0"/>
              <w:rPr>
                <w:sz w:val="1"/>
                <w:szCs w:val="1"/>
                <w:color w:val="auto"/>
              </w:rPr>
            </w:pPr>
          </w:p>
        </w:tc>
      </w:tr>
      <w:tr>
        <w:trPr>
          <w:trHeight w:val="98"/>
        </w:trPr>
        <w:tc>
          <w:tcPr>
            <w:tcW w:w="6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rPr>
              <w:t>Store</w:t>
            </w:r>
          </w:p>
        </w:tc>
        <w:tc>
          <w:tcPr>
            <w:tcW w:w="17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540 US Highway 46</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TOTOWA</w:t>
            </w:r>
          </w:p>
        </w:tc>
        <w:tc>
          <w:tcPr>
            <w:tcW w:w="440" w:type="dxa"/>
            <w:vAlign w:val="bottom"/>
            <w:tcBorders>
              <w:right w:val="single" w:sz="8" w:color="auto"/>
            </w:tcBorders>
            <w:vMerge w:val="restart"/>
          </w:tcPr>
          <w:p>
            <w:pPr>
              <w:jc w:val="right"/>
              <w:ind w:right="43"/>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1"/>
              </w:rPr>
              <w:t>07512</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ABLAR ASSOCIATES, LLC</w:t>
            </w:r>
          </w:p>
        </w:tc>
        <w:tc>
          <w:tcPr>
            <w:tcW w:w="29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3101 SOUTH OCEAN DRIVE, UNIT 3505,</w:t>
            </w:r>
          </w:p>
        </w:tc>
        <w:tc>
          <w:tcPr>
            <w:tcW w:w="0" w:type="dxa"/>
            <w:vAlign w:val="bottom"/>
          </w:tcPr>
          <w:p>
            <w:pPr>
              <w:spacing w:after="0"/>
              <w:rPr>
                <w:sz w:val="1"/>
                <w:szCs w:val="1"/>
                <w:color w:val="auto"/>
              </w:rPr>
            </w:pPr>
          </w:p>
        </w:tc>
      </w:tr>
      <w:tr>
        <w:trPr>
          <w:trHeight w:val="124"/>
        </w:trPr>
        <w:tc>
          <w:tcPr>
            <w:tcW w:w="6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4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HOLLYWOOD, FL 33019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4" w:right="1099" w:bottom="1440" w:gutter="0" w:footer="0" w:header="0"/>
        </w:sectPr>
      </w:pPr>
    </w:p>
    <w:bookmarkStart w:id="166" w:name="page167"/>
    <w:bookmarkEnd w:id="1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300" w:type="dxa"/>
            <w:vAlign w:val="bottom"/>
            <w:tcBorders>
              <w:top w:val="single" w:sz="8" w:color="auto"/>
              <w:left w:val="single" w:sz="8" w:color="auto"/>
              <w:right w:val="single" w:sz="8" w:color="auto"/>
            </w:tcBorders>
          </w:tcPr>
          <w:p>
            <w:pPr>
              <w:spacing w:after="0"/>
              <w:rPr>
                <w:sz w:val="13"/>
                <w:szCs w:val="13"/>
                <w:color w:val="auto"/>
              </w:rPr>
            </w:pPr>
          </w:p>
        </w:tc>
        <w:tc>
          <w:tcPr>
            <w:tcW w:w="2640" w:type="dxa"/>
            <w:vAlign w:val="bottom"/>
            <w:tcBorders>
              <w:top w:val="single" w:sz="8" w:color="auto"/>
              <w:right w:val="single" w:sz="8" w:color="auto"/>
            </w:tcBorders>
          </w:tcPr>
          <w:p>
            <w:pPr>
              <w:spacing w:after="0"/>
              <w:rPr>
                <w:sz w:val="13"/>
                <w:szCs w:val="13"/>
                <w:color w:val="auto"/>
              </w:rPr>
            </w:pPr>
          </w:p>
        </w:tc>
        <w:tc>
          <w:tcPr>
            <w:tcW w:w="1640" w:type="dxa"/>
            <w:vAlign w:val="bottom"/>
            <w:tcBorders>
              <w:top w:val="single" w:sz="8" w:color="auto"/>
              <w:right w:val="single" w:sz="8" w:color="auto"/>
            </w:tcBorders>
          </w:tcPr>
          <w:p>
            <w:pPr>
              <w:spacing w:after="0"/>
              <w:rPr>
                <w:sz w:val="13"/>
                <w:szCs w:val="13"/>
                <w:color w:val="auto"/>
              </w:rPr>
            </w:pPr>
          </w:p>
        </w:tc>
        <w:tc>
          <w:tcPr>
            <w:tcW w:w="340" w:type="dxa"/>
            <w:vAlign w:val="bottom"/>
            <w:tcBorders>
              <w:top w:val="single" w:sz="8" w:color="auto"/>
              <w:right w:val="single" w:sz="8" w:color="auto"/>
            </w:tcBorders>
          </w:tcPr>
          <w:p>
            <w:pPr>
              <w:spacing w:after="0"/>
              <w:rPr>
                <w:sz w:val="13"/>
                <w:szCs w:val="13"/>
                <w:color w:val="auto"/>
              </w:rPr>
            </w:pPr>
          </w:p>
        </w:tc>
        <w:tc>
          <w:tcPr>
            <w:tcW w:w="400" w:type="dxa"/>
            <w:vAlign w:val="bottom"/>
            <w:tcBorders>
              <w:top w:val="single" w:sz="8" w:color="auto"/>
              <w:right w:val="single" w:sz="8" w:color="auto"/>
            </w:tcBorders>
          </w:tcPr>
          <w:p>
            <w:pPr>
              <w:spacing w:after="0"/>
              <w:rPr>
                <w:sz w:val="13"/>
                <w:szCs w:val="13"/>
                <w:color w:val="auto"/>
              </w:rPr>
            </w:pPr>
          </w:p>
        </w:tc>
        <w:tc>
          <w:tcPr>
            <w:tcW w:w="218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MILLED FAMILY</w:t>
            </w:r>
          </w:p>
        </w:tc>
        <w:tc>
          <w:tcPr>
            <w:tcW w:w="220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499 ERNSTON ROAD, PO BOX 741,</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236 LAFAYETTE ROAD</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MENLO PARK</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NJ</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08837</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LIMITEDPARTNERSHIP</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PARLIN, NJ 08859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SAUL HOLDINGS LP, 7501 WISCONSIN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11503-A ROCKVILLE PIKE</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ROCKVILLE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20852</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11503 ROCKVILLE PIKE LLC</w:t>
            </w: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AVE, SUITE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1500 EAST,</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1725 NORTH TOWN EASTBOULEVARD</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MESQUITE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9"/>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75150</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MESQUITE EMPORIUM, LP</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1"/>
              </w:rPr>
              <w:t>QUINE &amp; ASSOCIATES, INC, PO BOX 833009,</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5"/>
              </w:rPr>
              <w:t>RICHARDSON, TX 75083-3009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5393 Westheimer Road</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HOUSTON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9"/>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77056</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UPTOWN JOINT VENTURE</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4500 BISSONNET, SUITE 300,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BELLAIRE,, TX 77401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ROBERT LYNN MANAGEMENT, NAI</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ROBERT LYNN, 4851</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4100 SOUTH COOPER STREET</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ARLINGTON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9"/>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76015</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C-III, ARLINGTON, TC</w:t>
            </w:r>
          </w:p>
        </w:tc>
        <w:tc>
          <w:tcPr>
            <w:tcW w:w="22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LBJ FREEWAY,SUITE 1000, DALLAS, TX</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75244</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2640" w:type="dxa"/>
            <w:vAlign w:val="bottom"/>
            <w:tcBorders>
              <w:right w:val="single" w:sz="8" w:color="auto"/>
            </w:tcBorders>
          </w:tcPr>
          <w:p>
            <w:pPr>
              <w:spacing w:after="0"/>
              <w:rPr>
                <w:sz w:val="8"/>
                <w:szCs w:val="8"/>
                <w:color w:val="auto"/>
              </w:rPr>
            </w:pPr>
          </w:p>
        </w:tc>
        <w:tc>
          <w:tcPr>
            <w:tcW w:w="16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JAMES CRONE &amp; ASSOCIATES, INC,</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1004 WEST VALLEY PARKWAY UNIT23</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ESCONDIDO</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92025</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PLAZA LAS PALMAS LLC</w:t>
            </w:r>
          </w:p>
        </w:tc>
        <w:tc>
          <w:tcPr>
            <w:tcW w:w="22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2"/>
              </w:rPr>
              <w:t>555 ENTERPRISE STREET, ESCONDIDO, CA</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92029</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KIRSH KOHN &amp; BRIDGE, LLP, 15910</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Nordhoff Plaza, 19422 NORDOFFSTREET</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NORTHRIDGE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91324</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19420 NORDOFF LLC</w:t>
            </w: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VENTURA BLVD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SUITE 1100, ENCINO, CA 91436</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ROSENTHAL PROPERTIES, LLC, 1945</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Dobbin Center 6435 Dobbin Road, Unit 26</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COLUMBIA</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21045</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DOBBIN ROAD VENTURE, LLC</w:t>
            </w: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OLD GALLOWS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ROAD, SUITE 300, VIENNA, VA 22182</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JAN COMPANIES, 35 SOCKANOSSET CROSS</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800 BALD HILL RD</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WARWICK</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0"/>
              </w:rPr>
              <w:t>RI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02886</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AIRPOST ASSOCIATES, LLC</w:t>
            </w: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RD,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CRANSTON, RI 02920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21 FAUNCE CORNER RD</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 DARTMOUTH</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02747</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R&amp;D MANAGEMENT CORPORATION</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810 SEVENTH AVE 10TH FLOOR,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NEW YORK, NY 10019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6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USB, NA AS TRUSTEE FOR BSCMS2007-</w:t>
            </w:r>
          </w:p>
        </w:tc>
        <w:tc>
          <w:tcPr>
            <w:tcW w:w="22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ONE BURINGTON WOODS DRIVE,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440 MIDDLESEX RD SPACE D-8</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TYNGSBORO</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01879</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PWR17</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BURLINGTON, MA 01803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2300 W. ST. PAUL, LLC &amp; VISIONEQUITY</w:t>
            </w: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KASS MANAGEMENT SERVICES, INC, 2000</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6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20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N RACINE,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8735 S CICERO AVE</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HOMETOWN</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60456</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GROUP,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w w:val="91"/>
              </w:rPr>
              <w:t>SUITE 4400, CHICAGO, IL 60614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 W180 22nd St.</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OAKBROOK TERRACE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60181</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ROSSI REAL ESTATE CORP</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1015 BUTTERFIELD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8"/>
              </w:rPr>
              <w:t>DOWNERS GROVE, IL 60515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OFFICE OF GENERAL COUNSEL, BRIXMOR</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PROPERTY</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12233 Jefferson Avenue Space 5 &amp; 6</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NEWPORT NEWS</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VA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23602</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BRE RETAIL RESIDUAL OWNER 1LLC</w:t>
            </w:r>
          </w:p>
        </w:tc>
        <w:tc>
          <w:tcPr>
            <w:tcW w:w="22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6"/>
              </w:rPr>
              <w:t>GROUP, 420 LEXINGTON AVE 7TH FLOOR,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NEW YORK,</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723 US 1 SUITE 723 C</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INDIANAPOLIS(GREENWOOD)</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46142</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GREENDALE, LLC</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9333 N. MARIDIAN STREET, SUITE 275,</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INDIANAPOLIS, IN 46260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MJ PETERSON REAL ESTATE, 501 JOHN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6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JAMES</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1228-1230 NIAGARA FALLS BLVD</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TONAWANDA</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14150</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MARVIN GARDENS PLAZA</w:t>
            </w:r>
          </w:p>
        </w:tc>
        <w:tc>
          <w:tcPr>
            <w:tcW w:w="22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4"/>
              </w:rPr>
              <w:t>AUDUBON PARKWAY, WEST AMHERST, NY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14228</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1005 BOWER STREET PARKWAY</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COLUMBIA</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1"/>
              </w:rPr>
              <w:t>SC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29212</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DDRTC COLUMBIANA STATION ILLC</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3300 ENTERPRISE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BEACHWOOD, OH 44122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NORTHWOODS MARKET PLACE 7620RIVERS</w:t>
            </w: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LINCOLN HARRIS LLC, 126 SEVEN FARMS</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64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DRIVE, SUITE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AVE UNIT 120</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 CHARLESTON</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w w:val="91"/>
              </w:rPr>
              <w:t>SC</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29406</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ARC NWNCHS001,LLC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6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DOUGLAS T. &amp; STEVEN J. SHER</w:t>
            </w:r>
          </w:p>
        </w:tc>
        <w:tc>
          <w:tcPr>
            <w:tcW w:w="22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8"/>
              </w:rPr>
              <w:t>MARTIN E. SHER, 3589 LAKEVIEW DRIVE,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1410 WASHINGTON ST HANOVER SC</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HANOVER</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02339</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LLCAND ZFT LLC</w:t>
            </w:r>
          </w:p>
        </w:tc>
        <w:tc>
          <w:tcPr>
            <w:tcW w:w="2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DELRAY BEACH, FL 33445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223-227 MEMORIAL AVE</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 SPRINGFIELD</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01089</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CIC REALTY TRUST</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73 STATE STREET,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SPRINGFIELD, MA 01103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dba TANGER PIEDMONT, LLC, 3200</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Tanger Outlets 4000 Arrowhead Boulevard,Suite 874</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MEBANE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27302</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TANGER PROPERTIES LP</w:t>
            </w: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NORTHLINE 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SUITE 360,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110 WOLF RD</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ALBANY</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12205</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WILLARD ANDERSON PROPERTIES</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125 WOLF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ALBANY, NY 12205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2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LEASE ID#002685, 3200 NORTHLINE AVE,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4630 Factory Stores Blvd., Suite A185</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MYRTLE BEACH</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1"/>
              </w:rPr>
              <w:t>SC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29579</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COROC/MYRTLE BEACH LLC</w:t>
            </w:r>
          </w:p>
        </w:tc>
        <w:tc>
          <w:tcPr>
            <w:tcW w:w="22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SUITE 360,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MAY CROSSING 5401 N. MAY AVENUESUITE 700</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OKLAHOMA CITY</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OK</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73112</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HP OKC MAY PARTNERS, LP</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8235 DOUGLAS AVE, SUITE 1300,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DALLAS, TX 75225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2021 GALLATIN PIKE N STE 276</w:t>
            </w:r>
          </w:p>
        </w:tc>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MADISON (NASHVILLE)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TN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37115</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GALLERY LLC</w:t>
            </w:r>
          </w:p>
        </w:tc>
        <w:tc>
          <w:tcPr>
            <w:tcW w:w="22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RASKIN HOLDINGS, LLC,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right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2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103 CONTINENTAL PLACE, SUITE 110,</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67" w:name="page168"/>
    <w:bookmarkEnd w:id="1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300" w:type="dxa"/>
            <w:vAlign w:val="bottom"/>
            <w:tcBorders>
              <w:top w:val="single" w:sz="8" w:color="auto"/>
              <w:left w:val="single" w:sz="8" w:color="auto"/>
              <w:right w:val="single" w:sz="8" w:color="auto"/>
            </w:tcBorders>
          </w:tcPr>
          <w:p>
            <w:pPr>
              <w:spacing w:after="0"/>
              <w:rPr>
                <w:sz w:val="9"/>
                <w:szCs w:val="9"/>
                <w:color w:val="auto"/>
              </w:rPr>
            </w:pPr>
          </w:p>
        </w:tc>
        <w:tc>
          <w:tcPr>
            <w:tcW w:w="3120" w:type="dxa"/>
            <w:vAlign w:val="bottom"/>
            <w:tcBorders>
              <w:top w:val="single" w:sz="8" w:color="auto"/>
              <w:right w:val="single" w:sz="8" w:color="auto"/>
            </w:tcBorders>
          </w:tcPr>
          <w:p>
            <w:pPr>
              <w:spacing w:after="0"/>
              <w:rPr>
                <w:sz w:val="9"/>
                <w:szCs w:val="9"/>
                <w:color w:val="auto"/>
              </w:rPr>
            </w:pPr>
          </w:p>
        </w:tc>
        <w:tc>
          <w:tcPr>
            <w:tcW w:w="1400" w:type="dxa"/>
            <w:vAlign w:val="bottom"/>
            <w:tcBorders>
              <w:top w:val="single" w:sz="8" w:color="auto"/>
              <w:right w:val="single" w:sz="8" w:color="auto"/>
            </w:tcBorders>
          </w:tcPr>
          <w:p>
            <w:pPr>
              <w:spacing w:after="0"/>
              <w:rPr>
                <w:sz w:val="9"/>
                <w:szCs w:val="9"/>
                <w:color w:val="auto"/>
              </w:rPr>
            </w:pPr>
          </w:p>
        </w:tc>
        <w:tc>
          <w:tcPr>
            <w:tcW w:w="340" w:type="dxa"/>
            <w:vAlign w:val="bottom"/>
            <w:tcBorders>
              <w:top w:val="single" w:sz="8" w:color="auto"/>
              <w:right w:val="single" w:sz="8" w:color="auto"/>
            </w:tcBorders>
          </w:tcPr>
          <w:p>
            <w:pPr>
              <w:spacing w:after="0"/>
              <w:rPr>
                <w:sz w:val="9"/>
                <w:szCs w:val="9"/>
                <w:color w:val="auto"/>
              </w:rPr>
            </w:pPr>
          </w:p>
        </w:tc>
        <w:tc>
          <w:tcPr>
            <w:tcW w:w="400" w:type="dxa"/>
            <w:vAlign w:val="bottom"/>
            <w:tcBorders>
              <w:top w:val="single" w:sz="8" w:color="auto"/>
              <w:right w:val="single" w:sz="8" w:color="auto"/>
            </w:tcBorders>
          </w:tcPr>
          <w:p>
            <w:pPr>
              <w:spacing w:after="0"/>
              <w:rPr>
                <w:sz w:val="9"/>
                <w:szCs w:val="9"/>
                <w:color w:val="auto"/>
              </w:rPr>
            </w:pPr>
          </w:p>
        </w:tc>
        <w:tc>
          <w:tcPr>
            <w:tcW w:w="198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KIR SMOKETOWN STATION</w:t>
            </w:r>
          </w:p>
        </w:tc>
        <w:tc>
          <w:tcPr>
            <w:tcW w:w="2160" w:type="dxa"/>
            <w:vAlign w:val="bottom"/>
            <w:tcBorders>
              <w:top w:val="single" w:sz="8" w:color="auto"/>
              <w:right w:val="single" w:sz="8" w:color="auto"/>
            </w:tcBorders>
          </w:tcPr>
          <w:p>
            <w:pPr>
              <w:spacing w:after="0" w:line="108" w:lineRule="exact"/>
              <w:rPr>
                <w:sz w:val="20"/>
                <w:szCs w:val="20"/>
                <w:color w:val="auto"/>
              </w:rPr>
            </w:pPr>
            <w:r>
              <w:rPr>
                <w:rFonts w:ascii="Arial" w:cs="Arial" w:eastAsia="Arial" w:hAnsi="Arial"/>
                <w:sz w:val="11"/>
                <w:szCs w:val="11"/>
                <w:color w:val="auto"/>
                <w:w w:val="91"/>
              </w:rPr>
              <w:t>KIMCO REALTY CORP, 1954 GREENSPRING</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3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DRIVE, SUITE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13289 WORTH AVENUE</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WOODBRIDGE</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VA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22192</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L.P.(MID-ATLANTIC REGION)</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FEDERAL REALTY</w:t>
            </w: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ATTN: LEGAL DEPARTMENT, 1626 EAST</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3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JEFFERSON</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DEDHAM MARKETPLACE 735PROVIDENCE HWY</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DEDHAM</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02026</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INVESTMENTTRUST</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STREET,</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312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tcPr>
          <w:p>
            <w:pPr>
              <w:spacing w:after="0"/>
              <w:rPr>
                <w:sz w:val="8"/>
                <w:szCs w:val="8"/>
                <w:color w:val="auto"/>
              </w:rPr>
            </w:pP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PETER REAM,</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242 ANDOVER STREET</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PEABODY</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01960</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LIBERTY TREE AUDIO, INC</w:t>
            </w:r>
          </w:p>
        </w:tc>
        <w:tc>
          <w:tcPr>
            <w:tcW w:w="21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8"/>
              </w:rPr>
              <w:t>148 BRIDGE STREET, MANCHESTER, MA</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01944</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THE MACERICH CO./ATTN: LEGAL</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Fashion Outlets 1630 MILITARY RD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NIAGARA FALLS</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14304</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MACERICH NIAGARA LLC</w:t>
            </w:r>
          </w:p>
        </w:tc>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DEPT, 401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WILSHIRE BLVD., SUITE 700,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SCHOTTENSTEIN PROPERTY GRP/LEASE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2217A E 80TH AVE</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MERRILLVILLE</w:t>
            </w:r>
          </w:p>
        </w:tc>
        <w:tc>
          <w:tcPr>
            <w:tcW w:w="340" w:type="dxa"/>
            <w:vAlign w:val="bottom"/>
            <w:tcBorders>
              <w:right w:val="single" w:sz="8" w:color="auto"/>
            </w:tcBorders>
            <w:vMerge w:val="restart"/>
          </w:tcPr>
          <w:p>
            <w:pPr>
              <w:jc w:val="center"/>
              <w:ind w:left="83"/>
              <w:spacing w:after="0"/>
              <w:rPr>
                <w:sz w:val="20"/>
                <w:szCs w:val="20"/>
                <w:color w:val="auto"/>
              </w:rPr>
            </w:pPr>
            <w:r>
              <w:rPr>
                <w:rFonts w:ascii="Arial" w:cs="Arial" w:eastAsia="Arial" w:hAnsi="Arial"/>
                <w:sz w:val="11"/>
                <w:szCs w:val="11"/>
                <w:color w:val="auto"/>
              </w:rPr>
              <w:t>IN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46410</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CROSSINGS AT HOBART-I, LLC</w:t>
            </w:r>
          </w:p>
        </w:tc>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ADM, 4300 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FIFTH AVE,</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5728 INTERNATIONAL DR</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ORLANDO</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32819</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INTERNATIONAL SHOPPES, LLC</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 BOX 729</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WINDERMERE, FL 34786-0729</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312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tcPr>
          <w:p>
            <w:pPr>
              <w:spacing w:after="0"/>
              <w:rPr>
                <w:sz w:val="8"/>
                <w:szCs w:val="8"/>
                <w:color w:val="auto"/>
              </w:rPr>
            </w:pP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GREENSTATE PROPERTIES,</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951 WEST JEFFERSON RD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w w:val="96"/>
              </w:rPr>
              <w:t>ROCHESTER(HENRIETTA)</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14623</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REED PROPERTY COMPANY</w:t>
            </w:r>
          </w:p>
        </w:tc>
        <w:tc>
          <w:tcPr>
            <w:tcW w:w="21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3"/>
              </w:rPr>
              <w:t>2430 NORTH TRIPHAMMER ROAD, PO BOX</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3808</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1501 BOSTON POST RD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MILFORD</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CT</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06460</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SHEMITZ ASSOCIATES LP</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598 PROSPECT STREET,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NEW HAVEN, CT 06511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3806-A HIGH POINT RD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GREENSBORO</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27407</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ED KELLEY PLAZA ASSOCIATES</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102 W. THIRD STREET, SUITE 470,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7"/>
              </w:rPr>
              <w:t>WINSTON SALEM, NC 27107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Town Center Station 116 S. IndependenceBlvd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Virginia Beach</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VA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23462</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OUTLET MALL PROPERTIES, LC</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1080 LASKIN ROAD #103,</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9"/>
              </w:rPr>
              <w:t>VIRGINIA BEACH, VA 23451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3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PARAMUS ROLLER SKATING</w:t>
            </w:r>
          </w:p>
        </w:tc>
        <w:tc>
          <w:tcPr>
            <w:tcW w:w="21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450 RIVER DRIVE,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450 NORTH State Rt. 17</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PARAMUS</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NJ</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07652</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ARENA,INC</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GARFIELD, NJ 07026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JAMES NOSTE, 2456-C ROUTE 22, 2ND</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2456 US HWY 22</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UNION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07083</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ISLAND HOME CENTER, INC.</w:t>
            </w:r>
          </w:p>
        </w:tc>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FLOOR,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UNION, NJ 07083</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4"/>
              </w:rPr>
              <w:t>Rosedale Commons Shopping Center 2480Fairview Ave. N, Space</w:t>
            </w: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DBA COLLIERS INT/MINNEAPOLIS ST.</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3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PAUL, 4350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145</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ROSEVILLE</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MN</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55113</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ROSEDALE COMMONS, LP</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BAKER RD., SUITE 400,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ELSA'S ON THE PARK, 833 NORTH</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4751 S 76TH ST KOPP SHOP CTR</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GREENFIELD</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WI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53220</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4739 S. 76TH LLC</w:t>
            </w:r>
          </w:p>
        </w:tc>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JEFFERSON STREET,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MILWAUKEE, WI 53202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346 S BROADWAY</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SALEM</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NH</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03079</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DOROTHY M. DI ORIO</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24 GORDAN MOUNTAIN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WINDHAM, NH 03087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31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SMITH GROVE SHOPPING CENTER 137ALEXANDER</w:t>
            </w:r>
          </w:p>
        </w:tc>
        <w:tc>
          <w:tcPr>
            <w:tcW w:w="14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LAKE</w:t>
            </w: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PAUL A BREGMAN,</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AVENUE SPACE 5 &amp; 6</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GROVE(CENTEREACH)</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NY</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11755</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CONDAN ENTERPRISES LLC</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255 EXECUTIVE DRIVE, SUITE 302,</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RICHTER REALTY &amp; INVESTMENT,</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BLUEMOUND CENTER 17445 W.BLUEMOUND ROAD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BROOKFIELD</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WI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53045</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JUDGE ENTERPRISES, LLC</w:t>
            </w:r>
          </w:p>
        </w:tc>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INC, 18650 W.</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CORPORATE DRIVE, SUITE 103,</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HERITAGE</w:t>
            </w: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CENTRO PROPERTIES GROUP, 420</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3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LEXINGTON AVE 7TH</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91 MIDDLESEX TURNPIKE</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BURLINGTON</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01803</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BURLINGTON SQUARELLC</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FL,</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CLAUDE T. CHANDONNET, PRESIDENT &amp;</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3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CEO,</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BEY LEA PLZ 1232 HOOPER AVE</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TOM'S RIVER</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08753</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BEY LEA JOINT VENTURE</w:t>
            </w:r>
          </w:p>
        </w:tc>
        <w:tc>
          <w:tcPr>
            <w:tcW w:w="21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MARX REALTY &amp; IMPROVEMENT CO.,</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INC., 708 THIRD</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BONAVENTURE SHOPPING CENTER1501 PLYMOUTH</w:t>
            </w: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CSM BONAVENTURE</w:t>
            </w:r>
          </w:p>
        </w:tc>
        <w:tc>
          <w:tcPr>
            <w:tcW w:w="21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DBA BONAVENTURE SC A/K/A</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3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BONAVENTURE, 500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ROAD</w:t>
            </w:r>
          </w:p>
        </w:tc>
        <w:tc>
          <w:tcPr>
            <w:tcW w:w="1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MINNETONKA</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MN</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55305</w:t>
            </w: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LIMITEDPARTNERSHIP, LLP</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WASHINGTON AVE SO, SUITE 3000,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312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PRIME OUTLETS AT</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PREMIUN OUTLETS,</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Prime Outlets@Pleasant Prarie 11601 108thSt #528</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Pleasant Prarie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WI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53158</w:t>
            </w:r>
          </w:p>
        </w:tc>
        <w:tc>
          <w:tcPr>
            <w:tcW w:w="198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w w:val="98"/>
              </w:rPr>
              <w:t>C/O SIMON PROPERTY GROUP, INC, 225</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120" w:type="dxa"/>
            <w:vAlign w:val="bottom"/>
            <w:tcBorders>
              <w:bottom w:val="single" w:sz="8" w:color="auto"/>
              <w:right w:val="single" w:sz="8" w:color="auto"/>
            </w:tcBorders>
            <w:vMerge w:val="continue"/>
          </w:tcPr>
          <w:p>
            <w:pPr>
              <w:spacing w:after="0"/>
              <w:rPr>
                <w:sz w:val="11"/>
                <w:szCs w:val="11"/>
                <w:color w:val="auto"/>
              </w:rPr>
            </w:pPr>
          </w:p>
        </w:tc>
        <w:tc>
          <w:tcPr>
            <w:tcW w:w="1400" w:type="dxa"/>
            <w:vAlign w:val="bottom"/>
            <w:tcBorders>
              <w:bottom w:val="single" w:sz="8" w:color="auto"/>
              <w:right w:val="single" w:sz="8" w:color="auto"/>
            </w:tcBorders>
            <w:vMerge w:val="continue"/>
          </w:tcPr>
          <w:p>
            <w:pPr>
              <w:spacing w:after="0"/>
              <w:rPr>
                <w:sz w:val="11"/>
                <w:szCs w:val="11"/>
                <w:color w:val="auto"/>
              </w:rPr>
            </w:pPr>
          </w:p>
        </w:tc>
        <w:tc>
          <w:tcPr>
            <w:tcW w:w="3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right w:val="single" w:sz="8" w:color="auto"/>
            </w:tcBorders>
            <w:vMerge w:val="continue"/>
          </w:tcPr>
          <w:p>
            <w:pPr>
              <w:spacing w:after="0"/>
              <w:rPr>
                <w:sz w:val="11"/>
                <w:szCs w:val="11"/>
                <w:color w:val="auto"/>
              </w:rPr>
            </w:pPr>
          </w:p>
        </w:tc>
        <w:tc>
          <w:tcPr>
            <w:tcW w:w="1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PLEASANTPRAIRIE LLC</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WEST</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38 Rockland Pl. Sp. 24</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NANUET</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10954</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CENTRO NP HOLDINGS 11 SPE, LLC</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420 LEXINGTON AVE, 7TH FLOOR,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NEW YORK, NY 10170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INDIAN RIDGE SC 5776 GRAPE RD</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MISHAWAKA</w:t>
            </w:r>
          </w:p>
        </w:tc>
        <w:tc>
          <w:tcPr>
            <w:tcW w:w="340" w:type="dxa"/>
            <w:vAlign w:val="bottom"/>
            <w:tcBorders>
              <w:right w:val="single" w:sz="8" w:color="auto"/>
            </w:tcBorders>
            <w:vMerge w:val="restart"/>
          </w:tcPr>
          <w:p>
            <w:pPr>
              <w:jc w:val="center"/>
              <w:ind w:left="83"/>
              <w:spacing w:after="0"/>
              <w:rPr>
                <w:sz w:val="20"/>
                <w:szCs w:val="20"/>
                <w:color w:val="auto"/>
              </w:rPr>
            </w:pPr>
            <w:r>
              <w:rPr>
                <w:rFonts w:ascii="Arial" w:cs="Arial" w:eastAsia="Arial" w:hAnsi="Arial"/>
                <w:sz w:val="11"/>
                <w:szCs w:val="11"/>
                <w:color w:val="auto"/>
              </w:rPr>
              <w:t>IN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46545</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CHASE PROPERTIES LTD</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3333 RICHMOND ROAD, SUITE 320,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BEACHWOOD, OH 44122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2369 CENTRAL PARK AVENUE</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YONKERS</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10710</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B.T.M.I. LTD</w:t>
            </w:r>
          </w:p>
        </w:tc>
        <w:tc>
          <w:tcPr>
            <w:tcW w:w="2160" w:type="dxa"/>
            <w:vAlign w:val="bottom"/>
            <w:tcBorders>
              <w:right w:val="single" w:sz="8" w:color="auto"/>
            </w:tcBorders>
          </w:tcPr>
          <w:p>
            <w:pPr>
              <w:ind w:left="40"/>
              <w:spacing w:after="0" w:line="99" w:lineRule="exact"/>
              <w:rPr>
                <w:sz w:val="20"/>
                <w:szCs w:val="20"/>
                <w:color w:val="auto"/>
              </w:rPr>
            </w:pPr>
            <w:r>
              <w:rPr>
                <w:rFonts w:ascii="Arial" w:cs="Arial" w:eastAsia="Arial" w:hAnsi="Arial"/>
                <w:sz w:val="11"/>
                <w:szCs w:val="11"/>
                <w:color w:val="auto"/>
              </w:rPr>
              <w:t>1045 FIFTH AVE, SIXTH FLOOR,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NEW YORK, NY 10028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3576 WASHTENAW AVE</w:t>
            </w: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ANN ARBOR</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48104</w:t>
            </w:r>
          </w:p>
        </w:tc>
        <w:tc>
          <w:tcPr>
            <w:tcW w:w="1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WASHTENHAW COMMONS, LLC</w:t>
            </w:r>
          </w:p>
        </w:tc>
        <w:tc>
          <w:tcPr>
            <w:tcW w:w="21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4036 TELEGRAPH ROAD, SUITE 201,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80" w:type="dxa"/>
            <w:vAlign w:val="bottom"/>
            <w:tcBorders>
              <w:bottom w:val="single" w:sz="8" w:color="auto"/>
              <w:right w:val="single" w:sz="8" w:color="auto"/>
            </w:tcBorders>
            <w:vMerge w:val="continue"/>
          </w:tcPr>
          <w:p>
            <w:pPr>
              <w:spacing w:after="0"/>
              <w:rPr>
                <w:sz w:val="10"/>
                <w:szCs w:val="10"/>
                <w:color w:val="auto"/>
              </w:rPr>
            </w:pPr>
          </w:p>
        </w:tc>
        <w:tc>
          <w:tcPr>
            <w:tcW w:w="21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3"/>
              </w:rPr>
              <w:t>BLOOMFIELD HILLS, MI 48302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68" w:name="page169"/>
    <w:bookmarkEnd w:id="1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2472 FLATBUSH AVE</w:t>
            </w:r>
          </w:p>
        </w:tc>
        <w:tc>
          <w:tcPr>
            <w:tcW w:w="10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BROOKLYN</w:t>
            </w:r>
          </w:p>
        </w:tc>
        <w:tc>
          <w:tcPr>
            <w:tcW w:w="3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1"/>
                <w:szCs w:val="11"/>
                <w:color w:val="auto"/>
              </w:rPr>
              <w:t>NY</w:t>
            </w:r>
          </w:p>
        </w:tc>
        <w:tc>
          <w:tcPr>
            <w:tcW w:w="4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1"/>
                <w:szCs w:val="11"/>
                <w:color w:val="auto"/>
              </w:rPr>
              <w:t>11234</w:t>
            </w:r>
          </w:p>
        </w:tc>
        <w:tc>
          <w:tcPr>
            <w:tcW w:w="2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AAC FLATBUSH RETAIL OWNER, LLC</w:t>
            </w:r>
          </w:p>
        </w:tc>
        <w:tc>
          <w:tcPr>
            <w:tcW w:w="2600" w:type="dxa"/>
            <w:vAlign w:val="bottom"/>
            <w:tcBorders>
              <w:top w:val="single" w:sz="8" w:color="auto"/>
              <w:right w:val="single" w:sz="8" w:color="auto"/>
            </w:tcBorders>
          </w:tcPr>
          <w:p>
            <w:pPr>
              <w:ind w:left="20"/>
              <w:spacing w:after="0" w:line="119" w:lineRule="exact"/>
              <w:rPr>
                <w:sz w:val="20"/>
                <w:szCs w:val="20"/>
                <w:color w:val="auto"/>
              </w:rPr>
            </w:pPr>
            <w:r>
              <w:rPr>
                <w:rFonts w:ascii="Arial" w:cs="Arial" w:eastAsia="Arial" w:hAnsi="Arial"/>
                <w:sz w:val="11"/>
                <w:szCs w:val="11"/>
                <w:color w:val="auto"/>
              </w:rPr>
              <w:t>150 EAST 58TH STREET, 39TH FLOOR,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NEW YORK, NY 10155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The Court at Oxford Valley, 625</w:t>
            </w:r>
          </w:p>
        </w:tc>
        <w:tc>
          <w:tcPr>
            <w:tcW w:w="10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w w:val="95"/>
              </w:rPr>
              <w:t>C/O THE GOLDENBERG GROUP, INC, 350 SENTRY</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CommerceBoulevard</w:t>
            </w:r>
          </w:p>
        </w:tc>
        <w:tc>
          <w:tcPr>
            <w:tcW w:w="1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Fairless Hills</w:t>
            </w:r>
          </w:p>
        </w:tc>
        <w:tc>
          <w:tcPr>
            <w:tcW w:w="3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w w:val="95"/>
              </w:rPr>
              <w:t>PA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19030</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OXFORD VALLEY ROADASSOCIATES, LP</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PARKWAY, BLDG 630,STE 300,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4626 GREAT NORTHERN BOULEVARD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 OLMSTED</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w w:val="96"/>
              </w:rPr>
              <w:t>OH</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44070</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B&amp;G PROPERTIES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26565 MILES ROAD SUITE #200,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w w:val="96"/>
              </w:rPr>
              <w:t>WARRENSVILLE HEIGHTS, OH 44128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5295 Hickory Hollow Parkway</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ANTIOCH</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TN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37013</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URBAN RETAIL PROPERTIES.LC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11700 PRINCETON PIKE,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CINCINNATI, OH 45246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8303 E. KELLOGG DRIVE</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WICHITA</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KS</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67207</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TMC EASTGATE,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1707 N. WATERFRONT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WICHITA, KS 67206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4434 BAY RD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SAGINAW</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48603</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LYNN KIRK TRUSTEE</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0"/>
              </w:rPr>
              <w:t>FOR PETER ANDREW KIRK, 1524 1/2 STATE STREET,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SANTA BARBARA, CA 93101-2514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CHESAPEAKE SQUARE 6718-ERITCHIE</w:t>
            </w:r>
          </w:p>
        </w:tc>
        <w:tc>
          <w:tcPr>
            <w:tcW w:w="10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w w:val="99"/>
              </w:rPr>
              <w:t>CHESAPEAKE ASSOCIATES &amp;CHESAPEAKE GB,</w:t>
            </w:r>
          </w:p>
        </w:tc>
        <w:tc>
          <w:tcPr>
            <w:tcW w:w="26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w w:val="92"/>
              </w:rPr>
              <w:t>C/O FEDDER MANAGEMENT CORP, 10096 RED RUN</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HIGHWAY</w:t>
            </w:r>
          </w:p>
        </w:tc>
        <w:tc>
          <w:tcPr>
            <w:tcW w:w="1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GLEN BURNIE</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MD</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21061</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LLC</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BLVD.-SUITE 300, OWINGS MILLS, MD 21117</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23007 EUREKA RD.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TAYLOR</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48180</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SOUTH PLAZA COMPANY,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DR. WILLIAM A ATHENS, 19545 PARKE LANE,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GROSSE ILE, MI 48138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101 S 48TH SUITE 4</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LINCOLN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1"/>
              </w:rPr>
              <w:t>NE</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68510</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TAYLOR ENTERPRISES, INC.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BOX 5711 STATION 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LINCOLN, NE 68505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BELDEN WHIPPLE CTR 5106</w:t>
            </w:r>
          </w:p>
        </w:tc>
        <w:tc>
          <w:tcPr>
            <w:tcW w:w="10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3951 CONVENIENCE CIRCLE NW, SUITE 301,</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WHIPPLEHIGHWAY</w:t>
            </w:r>
          </w:p>
        </w:tc>
        <w:tc>
          <w:tcPr>
            <w:tcW w:w="1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CANTON</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OH</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44718</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DeVILLE DEVELOPMENTS LLC</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CANTON, OH 44718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4385 MILLER ROAD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FLINT</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48507</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CSB ENTERPRISES,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28833 TELEGRAPH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SOUTHFIELD, MI 48034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TEN PENN CENTER, 1801 MARKET STREET, SUITE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220 BALTIMORE PIKE</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SPRINGFIELD</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19064</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COLLIERS INTERNATIONAL</w:t>
            </w:r>
          </w:p>
        </w:tc>
        <w:tc>
          <w:tcPr>
            <w:tcW w:w="260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550,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PHILADELPHIA, PA 19103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1025 THOMAS JEFFERSON STREET NW, SUITE 700</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7565 GREENBELT RD SPACE 205</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GREENBELT</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20770</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COMBINED PROPERTIES, INC</w:t>
            </w:r>
          </w:p>
        </w:tc>
        <w:tc>
          <w:tcPr>
            <w:tcW w:w="260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EAST,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WASHINGTON, DC 20007-5201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1492 RTE 9</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LAKE GEORGE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12845</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GORDON DEVELOPMENT CO,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50 STATE STREET,6TH FL,</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ALBANY, NY 12207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FAIRVIEW</w:t>
            </w: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#LDXLMEN0, 2030 HAMILTON PLACE BLVD, SUITE</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ST CLAIR SQUARE 315 ST CLAIRSQUARE 315</w:t>
            </w:r>
          </w:p>
        </w:tc>
        <w:tc>
          <w:tcPr>
            <w:tcW w:w="1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HEIGHTS</w:t>
            </w:r>
          </w:p>
        </w:tc>
        <w:tc>
          <w:tcPr>
            <w:tcW w:w="340" w:type="dxa"/>
            <w:vAlign w:val="bottom"/>
            <w:tcBorders>
              <w:bottom w:val="single" w:sz="8" w:color="auto"/>
              <w:right w:val="single" w:sz="8" w:color="auto"/>
            </w:tcBorders>
          </w:tcPr>
          <w:p>
            <w:pPr>
              <w:jc w:val="center"/>
              <w:ind w:left="83"/>
              <w:spacing w:after="0"/>
              <w:rPr>
                <w:sz w:val="20"/>
                <w:szCs w:val="20"/>
                <w:color w:val="auto"/>
              </w:rPr>
            </w:pPr>
            <w:r>
              <w:rPr>
                <w:rFonts w:ascii="Arial" w:cs="Arial" w:eastAsia="Arial" w:hAnsi="Arial"/>
                <w:sz w:val="11"/>
                <w:szCs w:val="11"/>
                <w:color w:val="auto"/>
              </w:rPr>
              <w:t>IL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62208</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ST. CLAIR SQUARE SPE, LLC</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CHATTANOOGA, TN 37421-6000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2713 TEASTER LANE</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PIGEON FORGE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TN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37863</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PIGEON RIVER CROSSINGS,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3928 MALONEY RD,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KNOXVILLE, TN 37920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THE LUND COMPANY, 450 REGENCY PARKWAY,</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611 N. 98th STREET</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OMAHA</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1"/>
              </w:rPr>
              <w:t>NE</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68114</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CLOCKTOWER SHOPPING CENTERLP</w:t>
            </w:r>
          </w:p>
        </w:tc>
        <w:tc>
          <w:tcPr>
            <w:tcW w:w="260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SUITE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MATANKY REALTY GROUP C/O, 200 N. LaSALLE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1359 N LARKIN ST</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JOLIET</w:t>
            </w:r>
          </w:p>
        </w:tc>
        <w:tc>
          <w:tcPr>
            <w:tcW w:w="340" w:type="dxa"/>
            <w:vAlign w:val="bottom"/>
            <w:tcBorders>
              <w:right w:val="single" w:sz="8" w:color="auto"/>
            </w:tcBorders>
            <w:vMerge w:val="restart"/>
          </w:tcPr>
          <w:p>
            <w:pPr>
              <w:jc w:val="center"/>
              <w:ind w:left="8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60435</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CREATIVITY CIRCLE, INC</w:t>
            </w:r>
          </w:p>
        </w:tc>
        <w:tc>
          <w:tcPr>
            <w:tcW w:w="260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ST.,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SUITE 2350,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3256 BRUNSWICK PIKE</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LAWRENCEVILLE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08648</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LAWRENCE REALTY CO</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4"/>
              </w:rPr>
              <w:t>ARTHUR ALLEN, 2319 FIRST AVENUE, ROOM #206,</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SEATTLE, WA 98121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C/O MOTOR COURT CO., 24500 CHAGRIN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4755 NORTHFIELD RD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 RANDALL</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OH</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44128</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BERTRAM LEFKOWICH</w:t>
            </w:r>
          </w:p>
        </w:tc>
        <w:tc>
          <w:tcPr>
            <w:tcW w:w="260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BLVD SUITE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5212 MONROE ST SUITE B</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TOLEDO</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OH</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43623</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WONG PROPERTIES, INC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PO BOX 5580,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TOLEDO, OH 43613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BALDWIN BROTHERS, INC, 2540 VILLAGE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Keystone Place, 6815 Peach Street, Space A-13</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ERIE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16509</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BALDWIN/RUBINO ASSOCIATES</w:t>
            </w:r>
          </w:p>
        </w:tc>
        <w:tc>
          <w:tcPr>
            <w:tcW w:w="260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COMMON</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DRIVE,</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1407 N VETERANS PKWY</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BLOOMINGTON</w:t>
            </w:r>
          </w:p>
        </w:tc>
        <w:tc>
          <w:tcPr>
            <w:tcW w:w="340" w:type="dxa"/>
            <w:vAlign w:val="bottom"/>
            <w:tcBorders>
              <w:right w:val="single" w:sz="8" w:color="auto"/>
            </w:tcBorders>
            <w:vMerge w:val="restart"/>
          </w:tcPr>
          <w:p>
            <w:pPr>
              <w:jc w:val="center"/>
              <w:ind w:left="8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61704</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LAKEWOOD PLAZA INVESTORS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NAI HARDING DAHM,</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w w:val="94"/>
              </w:rPr>
              <w:t>111 EAST LUDWIG ROAD, SUITE 101, PO BOX 8398</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4724 W LINCOLN HIGHWAY</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MATTESON</w:t>
            </w:r>
          </w:p>
        </w:tc>
        <w:tc>
          <w:tcPr>
            <w:tcW w:w="340" w:type="dxa"/>
            <w:vAlign w:val="bottom"/>
            <w:tcBorders>
              <w:right w:val="single" w:sz="8" w:color="auto"/>
            </w:tcBorders>
            <w:vMerge w:val="restart"/>
          </w:tcPr>
          <w:p>
            <w:pPr>
              <w:jc w:val="center"/>
              <w:ind w:left="8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60443</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EDGEMARK ASSET MANAGEMENTLLC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ROSE PLAZA, 2215 YORK ROAD SUITE 503,</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OAKBROOK, IL 60523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OUTLET MALL OF KITTERY 8 DEXTERLANE</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KITTERY</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ME</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03904</w:t>
            </w:r>
          </w:p>
        </w:tc>
        <w:tc>
          <w:tcPr>
            <w:tcW w:w="2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BRADFORD REALTY TRUST</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529 ROUTE 1, SUITE 101,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46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YORK, ME 03909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69" w:name="page170"/>
    <w:bookmarkEnd w:id="1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300" w:type="dxa"/>
            <w:vAlign w:val="bottom"/>
            <w:tcBorders>
              <w:top w:val="single" w:sz="8" w:color="auto"/>
              <w:left w:val="single" w:sz="8" w:color="auto"/>
              <w:right w:val="single" w:sz="8" w:color="auto"/>
            </w:tcBorders>
          </w:tcPr>
          <w:p>
            <w:pPr>
              <w:spacing w:after="0"/>
              <w:rPr>
                <w:sz w:val="9"/>
                <w:szCs w:val="9"/>
                <w:color w:val="auto"/>
              </w:rPr>
            </w:pPr>
          </w:p>
        </w:tc>
        <w:tc>
          <w:tcPr>
            <w:tcW w:w="2580" w:type="dxa"/>
            <w:vAlign w:val="bottom"/>
            <w:tcBorders>
              <w:top w:val="single" w:sz="8" w:color="auto"/>
              <w:right w:val="single" w:sz="8" w:color="auto"/>
            </w:tcBorders>
          </w:tcPr>
          <w:p>
            <w:pPr>
              <w:spacing w:after="0"/>
              <w:rPr>
                <w:sz w:val="9"/>
                <w:szCs w:val="9"/>
                <w:color w:val="auto"/>
              </w:rPr>
            </w:pPr>
          </w:p>
        </w:tc>
        <w:tc>
          <w:tcPr>
            <w:tcW w:w="1340" w:type="dxa"/>
            <w:vAlign w:val="bottom"/>
            <w:tcBorders>
              <w:top w:val="single" w:sz="8" w:color="auto"/>
              <w:right w:val="single" w:sz="8" w:color="auto"/>
            </w:tcBorders>
          </w:tcPr>
          <w:p>
            <w:pPr>
              <w:spacing w:after="0"/>
              <w:rPr>
                <w:sz w:val="9"/>
                <w:szCs w:val="9"/>
                <w:color w:val="auto"/>
              </w:rPr>
            </w:pPr>
          </w:p>
        </w:tc>
        <w:tc>
          <w:tcPr>
            <w:tcW w:w="320" w:type="dxa"/>
            <w:vAlign w:val="bottom"/>
            <w:tcBorders>
              <w:top w:val="single" w:sz="8" w:color="auto"/>
              <w:right w:val="single" w:sz="8" w:color="auto"/>
            </w:tcBorders>
          </w:tcPr>
          <w:p>
            <w:pPr>
              <w:spacing w:after="0"/>
              <w:rPr>
                <w:sz w:val="9"/>
                <w:szCs w:val="9"/>
                <w:color w:val="auto"/>
              </w:rPr>
            </w:pPr>
          </w:p>
        </w:tc>
        <w:tc>
          <w:tcPr>
            <w:tcW w:w="400" w:type="dxa"/>
            <w:vAlign w:val="bottom"/>
            <w:tcBorders>
              <w:top w:val="single" w:sz="8" w:color="auto"/>
              <w:right w:val="single" w:sz="8" w:color="auto"/>
            </w:tcBorders>
          </w:tcPr>
          <w:p>
            <w:pPr>
              <w:spacing w:after="0"/>
              <w:rPr>
                <w:sz w:val="9"/>
                <w:szCs w:val="9"/>
                <w:color w:val="auto"/>
              </w:rPr>
            </w:pPr>
          </w:p>
        </w:tc>
        <w:tc>
          <w:tcPr>
            <w:tcW w:w="2360" w:type="dxa"/>
            <w:vAlign w:val="bottom"/>
            <w:tcBorders>
              <w:top w:val="single" w:sz="8" w:color="auto"/>
              <w:right w:val="single" w:sz="8" w:color="auto"/>
            </w:tcBorders>
          </w:tcPr>
          <w:p>
            <w:pPr>
              <w:spacing w:after="0"/>
              <w:rPr>
                <w:sz w:val="9"/>
                <w:szCs w:val="9"/>
                <w:color w:val="auto"/>
              </w:rPr>
            </w:pPr>
          </w:p>
        </w:tc>
        <w:tc>
          <w:tcPr>
            <w:tcW w:w="2400" w:type="dxa"/>
            <w:vAlign w:val="bottom"/>
            <w:tcBorders>
              <w:top w:val="single" w:sz="8" w:color="auto"/>
              <w:right w:val="single" w:sz="8" w:color="auto"/>
            </w:tcBorders>
          </w:tcPr>
          <w:p>
            <w:pPr>
              <w:spacing w:after="0" w:line="108" w:lineRule="exact"/>
              <w:rPr>
                <w:sz w:val="20"/>
                <w:szCs w:val="20"/>
                <w:color w:val="auto"/>
              </w:rPr>
            </w:pPr>
            <w:r>
              <w:rPr>
                <w:rFonts w:ascii="Arial" w:cs="Arial" w:eastAsia="Arial" w:hAnsi="Arial"/>
                <w:sz w:val="11"/>
                <w:szCs w:val="11"/>
                <w:color w:val="auto"/>
              </w:rPr>
              <w:t>THE BROADBENT COMPANY, 117 EAST</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3931 28TH ST SE</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GRAND RAPIDS</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49512</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EAST PARIS SHOPPES</w:t>
            </w:r>
          </w:p>
        </w:tc>
        <w:tc>
          <w:tcPr>
            <w:tcW w:w="24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WASHINGTON</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ST/. SUITE 300, INDIANAPOLIS, IN 46204</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2450 WABASH SPACE 101</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SPRINGFIELD</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62704</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KMART STORES OF ILLINOIS, LLC</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0"/>
              </w:rPr>
              <w:t>c/oSEARS HOLDING CORP REF#3241/34216, 3333</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BEVERLY ROAD,</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PITTSBURGH</w:t>
            </w: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J.J. GUMBERG CO., BRINTON EXECUTIVE</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CENTER, 1051</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NORTH HILLS VILLAGE 4801MCNIGHT RD 91-B</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(NORTHHILLS)</w:t>
            </w:r>
          </w:p>
        </w:tc>
        <w:tc>
          <w:tcPr>
            <w:tcW w:w="32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5"/>
              </w:rPr>
              <w:t>PA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15237</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IRA J. GUMBERG, TRUSTEE</w:t>
            </w: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w w:val="96"/>
              </w:rPr>
              <w:t>BRINTON ROAD, PITTSBURGH, PA 15221-4599</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BRIXMORE PROPERTY GROUP, 420 LEXINGTON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1869 Dixwell Avenue</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HAMDEN</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5"/>
              </w:rPr>
              <w:t>CT</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06514</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CW PARKWAY PLAZA LLC</w:t>
            </w:r>
          </w:p>
        </w:tc>
        <w:tc>
          <w:tcPr>
            <w:tcW w:w="24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7TH FL,</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1955 SOUTH ROAD</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POUGHKEEPSIE</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12601</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KEMPNER CORPORATION</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257 MAMARONECK 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WHITE PLAINS, NY 10605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1216 S UNIVERSITY AVE</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LITTLE ROCK</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AR</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72204</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BOYLE REALTY CO</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6705 WEST 12TH ST. #2,</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LITTLE ROCK, AR 72204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5743 SOUTH WESTNEDGE AVE</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PORTAGE</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49002</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JAYESH C. SHARMA</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6804 VERONICA STREET,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KALAMAZOO, MI 49009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FIRST CAPITAL REALTY, INC, 505 W. GERMAN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tcPr>
          <w:p>
            <w:pPr>
              <w:spacing w:after="0"/>
              <w:rPr>
                <w:sz w:val="10"/>
                <w:szCs w:val="10"/>
                <w:color w:val="auto"/>
              </w:rPr>
            </w:pPr>
          </w:p>
        </w:tc>
        <w:tc>
          <w:tcPr>
            <w:tcW w:w="24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TOWN</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TRIANGLE PLZ 677H KIDDER ST</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WILKES BARRE</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18702</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W.B. PROPERTIES, L.P.</w:t>
            </w:r>
          </w:p>
        </w:tc>
        <w:tc>
          <w:tcPr>
            <w:tcW w:w="24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PIKE, SUITE 200, PLYMOUTH MEETING, PA</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19462</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8801 UNIVERSITY AVE</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CLIVE</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50325</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UNIVERSITY PARK IMPROVEMENT,LLC</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DLC MANAGEMENT CORP, PO BOX 7053,</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YONKERS, NY 10710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3832 WILLIAM PENN HWY</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MONROEVILLE</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15146</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DDK REAL ESTATE PARTNERSHIP,LP</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317 MAPLE 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PITTSBURGH, PA 15218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SCALZO PROPERTY MANAGEMENT, INC, 2</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109 FEDERAL ROAD</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DANBURY</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5"/>
              </w:rPr>
              <w:t>CT</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06811</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109 FEDERAL ROAD LLC</w:t>
            </w:r>
          </w:p>
        </w:tc>
        <w:tc>
          <w:tcPr>
            <w:tcW w:w="24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STONY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HILL ROAD, SUITE 201, BETHEL, CT 06801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6"/>
              </w:rPr>
              <w:t>dba ROCKVALE SQUARE OUTLETS, 35 SOUTH</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35 S WILLOWDALE DR BOX 807</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LANCASTER</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17602</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ROCKVALE OUTLET CENTER</w:t>
            </w:r>
          </w:p>
        </w:tc>
        <w:tc>
          <w:tcPr>
            <w:tcW w:w="24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9"/>
              </w:rPr>
              <w:t>WILLOWDALE DR., STE 127, LANCASTER, PA</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17602</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HEGG COMPANIES, INC., 1300 W. 57TH</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3500 W 41ST ST</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SIOUX FALLS</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1"/>
              </w:rPr>
              <w:t>SD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57106</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NWE MANAGEMENT CO.</w:t>
            </w:r>
          </w:p>
        </w:tc>
        <w:tc>
          <w:tcPr>
            <w:tcW w:w="24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STREET,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SIOUX FALLS, SD 57108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PREMIUM OUTLETS, SIMON PROPERTY GROUP,</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tcPr>
          <w:p>
            <w:pPr>
              <w:spacing w:after="0"/>
              <w:rPr>
                <w:sz w:val="10"/>
                <w:szCs w:val="10"/>
                <w:color w:val="auto"/>
              </w:rPr>
            </w:pPr>
          </w:p>
        </w:tc>
        <w:tc>
          <w:tcPr>
            <w:tcW w:w="24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INC, 225</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2400 OUTLET CENTER DRIVE SPACE450</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SMITHFIELD</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27577</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CPG FINANCE I LLC</w:t>
            </w:r>
          </w:p>
        </w:tc>
        <w:tc>
          <w:tcPr>
            <w:tcW w:w="24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6"/>
              </w:rPr>
              <w:t>WEST WASHINGTON STREET, INDIANAPOLIS,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IN 46204</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SCHOTTENSTEIN PROPERTY GROUP, 1798</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4340 13TH AVE SW</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FARGO</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58103</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HALLMARK VILLAGE APTS</w:t>
            </w:r>
          </w:p>
        </w:tc>
        <w:tc>
          <w:tcPr>
            <w:tcW w:w="240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FREBIS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AVENUE,</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30160 GRATIOT AVE</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ROSEVILLE</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48066</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GRIDIRON PROPERTIES COMPANY</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370 EAST MAPLE ROAD, FOURTH FLOOR,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BIRMINGHAM, MI 48009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MURRAY H. MILLER</w:t>
            </w:r>
          </w:p>
        </w:tc>
        <w:tc>
          <w:tcPr>
            <w:tcW w:w="24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143 OLD COUNTRY ROAD,</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152 GLEN COVE RD</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CARLE PLACE</w:t>
            </w:r>
          </w:p>
        </w:tc>
        <w:tc>
          <w:tcPr>
            <w:tcW w:w="32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NY</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11514</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MANAGEMENTCOMPANY</w:t>
            </w: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CARLE PLACE, NY 11514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L&amp;L FERRY CRSSNG. 4016 LEMAYFERRY RD.</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 LOUIS</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63129</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CHOI AND LEE INVESTMENTS, LLC</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14196 MANCHESTER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BALLWIN, MO 63011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4083 Veterans Memorial Parkway</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 PETERS</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63376</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HOFGRIT, LC</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727 CRAIG ROAD, SUITE 100,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ST. LOUIS, MO 63141 United States</w:t>
            </w:r>
          </w:p>
        </w:tc>
        <w:tc>
          <w:tcPr>
            <w:tcW w:w="0" w:type="dxa"/>
            <w:vAlign w:val="bottom"/>
          </w:tcPr>
          <w:p>
            <w:pPr>
              <w:spacing w:after="0"/>
              <w:rPr>
                <w:sz w:val="1"/>
                <w:szCs w:val="1"/>
                <w:color w:val="auto"/>
              </w:rPr>
            </w:pPr>
          </w:p>
        </w:tc>
      </w:tr>
      <w:tr>
        <w:trPr>
          <w:trHeight w:val="199"/>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220 MAINE MALL RD</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 PORTLAND</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ME</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04106</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GMG, LLC</w:t>
            </w:r>
          </w:p>
        </w:tc>
        <w:tc>
          <w:tcPr>
            <w:tcW w:w="24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220 MAINE MALL ROAD, SOUTH PORTLAND,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ME 04106</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2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DLC MANAGEMENT CORP,</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5736 SILVER HILL RD</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DISTRICT HEIGHTS</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20747</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PENN STATION IMPROVEMENTS,LLC</w:t>
            </w:r>
          </w:p>
        </w:tc>
        <w:tc>
          <w:tcPr>
            <w:tcW w:w="24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580 WHITE PLAINS ROAD, TARRYTOWN, NY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10591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5205 CAMPBELLS RUN ROAD</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PITTSBURGH</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15205</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CAMPBELLS RUN REALTYCORPORATION</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12 GRANDVIEW CIRCLE,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CANONSBURG, PA 15317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8228 E 61ST ST SUITE 101</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TULSA</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OK</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74133</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DIXON REAL ESTATE COMPANY</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4870 S. LEWIS, SUITE 200,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TULSA, OK 74105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1530 N GREEN RIVER RD BLDG A</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EVANSVILLE</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47715</w:t>
            </w: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PHILLIPS EDISON &amp; CO</w:t>
            </w:r>
          </w:p>
        </w:tc>
        <w:tc>
          <w:tcPr>
            <w:tcW w:w="240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1"/>
              </w:rPr>
              <w:t>R. MARK ADDY, COO / PELP PROPERTIES, 11501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80" w:type="dxa"/>
            <w:vAlign w:val="bottom"/>
            <w:tcBorders>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40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NORTHLAKE DRIVE, CINCINNATI, OH 45242</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HAMILTON CORNER 2107GUNBARREL ROAD</w:t>
            </w:r>
          </w:p>
        </w:tc>
        <w:tc>
          <w:tcPr>
            <w:tcW w:w="13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HAMILTON CORNER CMBS</w:t>
            </w:r>
          </w:p>
        </w:tc>
        <w:tc>
          <w:tcPr>
            <w:tcW w:w="240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LEASE #LDXLMEN0, 2030 HAMILTON PLACE</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58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BLVD,</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SUITE 105</w:t>
            </w:r>
          </w:p>
        </w:tc>
        <w:tc>
          <w:tcPr>
            <w:tcW w:w="1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CHATTANOOGA</w:t>
            </w:r>
          </w:p>
        </w:tc>
        <w:tc>
          <w:tcPr>
            <w:tcW w:w="32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5"/>
              </w:rPr>
              <w:t>TN</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37421</w:t>
            </w:r>
          </w:p>
        </w:tc>
        <w:tc>
          <w:tcPr>
            <w:tcW w:w="23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GENERALPARTNERSHIP</w:t>
            </w:r>
          </w:p>
        </w:tc>
        <w:tc>
          <w:tcPr>
            <w:tcW w:w="2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SUITE 500, CHATTANOOGA, TN 37421-6000</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0" w:name="page171"/>
    <w:bookmarkEnd w:id="1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6898 SOUTHWEST FREEWAY</w:t>
            </w:r>
          </w:p>
        </w:tc>
        <w:tc>
          <w:tcPr>
            <w:tcW w:w="15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HOUSTON</w:t>
            </w:r>
          </w:p>
        </w:tc>
        <w:tc>
          <w:tcPr>
            <w:tcW w:w="3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1"/>
                <w:szCs w:val="11"/>
                <w:color w:val="auto"/>
              </w:rPr>
              <w:t>77074</w:t>
            </w:r>
          </w:p>
        </w:tc>
        <w:tc>
          <w:tcPr>
            <w:tcW w:w="19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PHCG INVESTMENTS</w:t>
            </w:r>
          </w:p>
        </w:tc>
        <w:tc>
          <w:tcPr>
            <w:tcW w:w="2260" w:type="dxa"/>
            <w:vAlign w:val="bottom"/>
            <w:tcBorders>
              <w:top w:val="single" w:sz="8" w:color="auto"/>
              <w:right w:val="single" w:sz="8" w:color="auto"/>
            </w:tcBorders>
          </w:tcPr>
          <w:p>
            <w:pPr>
              <w:spacing w:after="0" w:line="119" w:lineRule="exact"/>
              <w:rPr>
                <w:sz w:val="20"/>
                <w:szCs w:val="20"/>
                <w:color w:val="auto"/>
              </w:rPr>
            </w:pPr>
            <w:r>
              <w:rPr>
                <w:rFonts w:ascii="Arial" w:cs="Arial" w:eastAsia="Arial" w:hAnsi="Arial"/>
                <w:sz w:val="11"/>
                <w:szCs w:val="11"/>
                <w:color w:val="auto"/>
              </w:rPr>
              <w:t>P.O. BOX 41567,</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HOUSTON, TX 77241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BRIXMOR GA DELTA CENTER</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SALES AUDIT GROUP, P.O. BOX 962,</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5849 W SAGINAW HWY DELTA CTR</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LANSING</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MI</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48917</w:t>
            </w:r>
          </w:p>
        </w:tc>
        <w:tc>
          <w:tcPr>
            <w:tcW w:w="1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(MI)LLC</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NEW YORK, NY 10108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THE BROADBENT COMPANY, 117 EAST</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501 COLISEUM BLVD E</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FT WAYNE</w:t>
            </w:r>
          </w:p>
        </w:tc>
        <w:tc>
          <w:tcPr>
            <w:tcW w:w="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1"/>
                <w:szCs w:val="11"/>
                <w:color w:val="auto"/>
              </w:rPr>
              <w:t>IN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46805</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COLISEUM SHOPPES, LP</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WASHINGTON</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ST., SUITE 300, INDIANAPOLIS, IN 46204</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DOUGLAS NASH, THE RETAIL CONNECTION,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WILLOWBROOK PLAZA 17395TOMBALL PARKWAY</w:t>
            </w:r>
          </w:p>
        </w:tc>
        <w:tc>
          <w:tcPr>
            <w:tcW w:w="152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LP,</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HOUSTON(WILLOWBROOK)</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77064</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WILLOWBROOK RETAIL PLAZA LP</w:t>
            </w:r>
          </w:p>
        </w:tc>
        <w:tc>
          <w:tcPr>
            <w:tcW w:w="226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w w:val="92"/>
              </w:rPr>
              <w:t>2525 McKINNON STREET, SUITE 700,DALLAS,</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SPACE 3M</w:t>
            </w:r>
          </w:p>
        </w:tc>
        <w:tc>
          <w:tcPr>
            <w:tcW w:w="1520" w:type="dxa"/>
            <w:vAlign w:val="bottom"/>
            <w:tcBorders>
              <w:bottom w:val="single" w:sz="8" w:color="auto"/>
              <w:right w:val="single" w:sz="8" w:color="auto"/>
            </w:tcBorders>
            <w:vMerge w:val="continue"/>
          </w:tcPr>
          <w:p>
            <w:pPr>
              <w:spacing w:after="0"/>
              <w:rPr>
                <w:sz w:val="11"/>
                <w:szCs w:val="11"/>
                <w:color w:val="auto"/>
              </w:rPr>
            </w:pPr>
          </w:p>
        </w:tc>
        <w:tc>
          <w:tcPr>
            <w:tcW w:w="3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right w:val="single" w:sz="8" w:color="auto"/>
            </w:tcBorders>
            <w:vMerge w:val="continue"/>
          </w:tcPr>
          <w:p>
            <w:pPr>
              <w:spacing w:after="0"/>
              <w:rPr>
                <w:sz w:val="11"/>
                <w:szCs w:val="11"/>
                <w:color w:val="auto"/>
              </w:rPr>
            </w:pPr>
          </w:p>
        </w:tc>
        <w:tc>
          <w:tcPr>
            <w:tcW w:w="1900" w:type="dxa"/>
            <w:vAlign w:val="bottom"/>
            <w:tcBorders>
              <w:bottom w:val="single" w:sz="8" w:color="auto"/>
              <w:right w:val="single" w:sz="8" w:color="auto"/>
            </w:tcBorders>
            <w:vMerge w:val="continue"/>
          </w:tcPr>
          <w:p>
            <w:pPr>
              <w:spacing w:after="0"/>
              <w:rPr>
                <w:sz w:val="11"/>
                <w:szCs w:val="11"/>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TX 75201</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JEFFREY MANAGEMENT CORP-C/O, 7 PENN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5060A SUNRISE HWY</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MASSAPEQUA</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11762</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FOLKSAN REALTY ASSOCIATES</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PLAZA,</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SUITE 618,</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1730 Clements Bridge Rd</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DEPTFORD</w:t>
            </w:r>
          </w:p>
        </w:tc>
        <w:tc>
          <w:tcPr>
            <w:tcW w:w="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08096</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PGC PROPERTIES, LLC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11 WINDERMERE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BLUE BELL, PA 19422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PRESTIGE PROP&amp;DEV CO, INC-C/O, 546</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2094 BARTOW AVE BAY PLZ SC</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BRONX</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10475</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BAY PLAZA WEST, LLC</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FIFTH AVE, 15TH</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FLOOR,</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TRI-COUNTY TOWNE CENTER 11711PRINCETON PIKE,</w:t>
            </w:r>
          </w:p>
        </w:tc>
        <w:tc>
          <w:tcPr>
            <w:tcW w:w="15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11711 PRINCETON PIKE, SUITE 301,</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SUITE 961</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CINCINNATI</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w w:val="96"/>
              </w:rPr>
              <w:t>OH</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45246</w:t>
            </w:r>
          </w:p>
        </w:tc>
        <w:tc>
          <w:tcPr>
            <w:tcW w:w="1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CHARLES C. GILHART, JR. INC</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CINCINNATI, OH 45246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CASTLETON SHOPPING CENTER,</w:t>
            </w: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MCKINLEY, INC, 320 N. MAIN STREET,</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SUITE 200,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8480 CASTLETON CORNER DRIVE</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INDIANAPOLIS</w:t>
            </w:r>
          </w:p>
        </w:tc>
        <w:tc>
          <w:tcPr>
            <w:tcW w:w="3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46250</w:t>
            </w:r>
          </w:p>
        </w:tc>
        <w:tc>
          <w:tcPr>
            <w:tcW w:w="1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LLC</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ANN ARBOR, MI 48104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ACADIA REALTY TRUST/#0160-00003287,</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80A BOSTON TPKE</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SHREWSBURY</w:t>
            </w: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MA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01545</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WHITE CITY EAST PARTNERS LLC</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1311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MAMARONECK AVE., SUITE 260,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3376 Crain Highway</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WALDORF</w:t>
            </w:r>
          </w:p>
        </w:tc>
        <w:tc>
          <w:tcPr>
            <w:tcW w:w="3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1"/>
                <w:szCs w:val="11"/>
                <w:color w:val="auto"/>
              </w:rPr>
              <w:t>MD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20603</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WALDORF I LLC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CAMBRIDGE ASSET ADVISORS, LLC,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8391 OLD COURTHOUSE RD, SUITE 210,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BD SHINBACH MM HOLLEB PTRS/DIXIE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5063 Shelbyville Road</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LOUISVILLE</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KY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40207</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DIXIE ASSOCIATES</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ASSOCIATES,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5025 SHELBYVILLE RD, PO BOX 6706</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BRIXMORE ROOSEVELT</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OFFICE OF GENERAL COUNSEL,</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2329 COTTMAN AVE SPACE 51</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PHILADELPHIA</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PA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19149</w:t>
            </w:r>
          </w:p>
        </w:tc>
        <w:tc>
          <w:tcPr>
            <w:tcW w:w="1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MALLOWNER, LLC</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BRIXMOR PROPERTY GROUP,</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7924 SPRINGBORO PIKE</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MIAMISBURG</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w w:val="96"/>
              </w:rPr>
              <w:t>OH</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45342</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LEVINE REALTY COMPANY</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2026 WEEST MAIN STREET,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SPRINGFIELD, OH 45504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926 BOARDMAN-POLAND RD</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BOARDMAN</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w w:val="96"/>
              </w:rPr>
              <w:t>OH</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44512</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926 PROPERTIES, LLC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926 BOARDMAN-POLAND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BOARDMAN, OH 44512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INTERSTATE MGMT. CORP., 2555 OCEAN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Heartland Shopping Center 2325 RichmondAve</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STATEN ISLAND</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10314</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HEARTLAND CENTRE COMPANY</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AVENUE,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BROOKLYN, NY 11229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UPTOWN VILLAGE AT CEDAR</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305 W FM 1382, SUITE 590,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Uptown Village at Cedar Hill 305 W. FM1382</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CEDAR HILL</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75104</w:t>
            </w:r>
          </w:p>
        </w:tc>
        <w:tc>
          <w:tcPr>
            <w:tcW w:w="1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HILL,LP</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CEDAR HILL, TX 75104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3924 KIRKWOOD HWY RTE 2</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WILMINGTON</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DE</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19808</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FUSCO ENTERPRISES LLC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200 AIRPORT RD,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NEW CASTLE, DE 19720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WOLFIN SQUARE SHOPPING CENTER, 914</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WOFLIN SQ 2221 I-40 W</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AMARILLO</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79109</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BOSTON &amp; MAYS LLC</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TYLER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7"/>
              </w:rPr>
              <w:t>STREET, AMARILLO, TX 79101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7619 MENTOR AVE</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MENTOR</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w w:val="96"/>
              </w:rPr>
              <w:t>OH</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44060</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NORMAN J KOTOCH</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355 BISHOP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HIGHLAND HTS, OH 44143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CPW GRAT TRUSTS U/A 4/19/99,</w:t>
            </w: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WILLNER PROPERTIES, 150 ALLENDALE</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ROAD,</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150 Allendale Road Bldg #1, 2nd Floor</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KING OF PRUSSIA</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PA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19406</w:t>
            </w:r>
          </w:p>
        </w:tc>
        <w:tc>
          <w:tcPr>
            <w:tcW w:w="1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PATRUST</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KING OF PRUSSIA, PA 19406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200 MILL CREEK DR Unit A</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SECAUCUS</w:t>
            </w:r>
          </w:p>
        </w:tc>
        <w:tc>
          <w:tcPr>
            <w:tcW w:w="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07094</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LIBERTY DISTRIBUTORS INC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1065 SHEPHERD 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BROOKLYN, NY 11208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310 Reynolds Road</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JOHNSON CITY</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13790</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BASSET &amp; FAVA PROPERTIES</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8927 CENTER POINTE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BALDWINSVILLE, NY 13027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4408 50TH ST</w:t>
            </w:r>
          </w:p>
        </w:tc>
        <w:tc>
          <w:tcPr>
            <w:tcW w:w="15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LUBBOCK</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79414</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STEVE COX REAL ESTATE</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 BOX 270479,</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9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FLOWER MOUND, TX 75027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HENRY M. BARKER JR &amp; SUSAN</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9639 TUNBRIDGE LANE,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7922 KINGSTON PIKE</w:t>
            </w:r>
          </w:p>
        </w:tc>
        <w:tc>
          <w:tcPr>
            <w:tcW w:w="1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KNOXVILLE</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TN</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37919</w:t>
            </w:r>
          </w:p>
        </w:tc>
        <w:tc>
          <w:tcPr>
            <w:tcW w:w="1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K.BARKER</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KNOXVILLE, TN 37922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1" w:name="page172"/>
    <w:bookmarkEnd w:id="1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3526-3528 N UNIVERSITY AVE</w:t>
            </w:r>
          </w:p>
        </w:tc>
        <w:tc>
          <w:tcPr>
            <w:tcW w:w="15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PEORIA</w:t>
            </w:r>
          </w:p>
        </w:tc>
        <w:tc>
          <w:tcPr>
            <w:tcW w:w="340" w:type="dxa"/>
            <w:vAlign w:val="bottom"/>
            <w:tcBorders>
              <w:top w:val="single" w:sz="8" w:color="auto"/>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1"/>
                <w:szCs w:val="11"/>
                <w:color w:val="auto"/>
              </w:rPr>
              <w:t>61604</w:t>
            </w:r>
          </w:p>
        </w:tc>
        <w:tc>
          <w:tcPr>
            <w:tcW w:w="20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FLORENCE STREET PARTNERS, LP</w:t>
            </w:r>
          </w:p>
        </w:tc>
        <w:tc>
          <w:tcPr>
            <w:tcW w:w="2260" w:type="dxa"/>
            <w:vAlign w:val="bottom"/>
            <w:tcBorders>
              <w:top w:val="single" w:sz="8" w:color="auto"/>
              <w:right w:val="single" w:sz="8" w:color="auto"/>
            </w:tcBorders>
          </w:tcPr>
          <w:p>
            <w:pPr>
              <w:spacing w:after="0" w:line="119" w:lineRule="exact"/>
              <w:rPr>
                <w:sz w:val="20"/>
                <w:szCs w:val="20"/>
                <w:color w:val="auto"/>
              </w:rPr>
            </w:pPr>
            <w:r>
              <w:rPr>
                <w:rFonts w:ascii="Arial" w:cs="Arial" w:eastAsia="Arial" w:hAnsi="Arial"/>
                <w:sz w:val="11"/>
                <w:szCs w:val="11"/>
                <w:color w:val="auto"/>
              </w:rPr>
              <w:t>7625 N. UNIVERSITY AVE., SUITE 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PEORIA, IL 61614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3333 NEW HYDE PARK ROAD, SUITE 100, PO</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10610 D CENTRUM PKWY</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PINEVILLE (CENTRUM)</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28134</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KIMCO REALTY CORPORATION</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BOX 5020,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0"/>
              </w:rPr>
              <w:t>NEW HYDE PARK, NY 11042-0020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712 W COUNTY RD 42</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BURNSVILLE</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MN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55337</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BURNHAVEN SIX, LLC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3"/>
              </w:rPr>
              <w:t>ANDERSON PROPERTY MANAGEMENT, 6205</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PARKWOOD ROAD,</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HAROLD COHEN ASSOCIATES, INC, 393</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9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TOTTEN</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Sherwood Plaza 1298 Worcester Street</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Natick</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01760</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HC ATLANTIC DEVELOPMENT LP</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5"/>
              </w:rPr>
              <w:t>POND RD, SUITE 203, WALTHAM, MA 02451-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2013</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Park NORTH Center 510 NW Loop 410,Suite 106</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ANTONIO</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78216</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PN PLAZA INVESTMENTS, LP</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HPI REAL ESTATE MANANGEMENT, INC,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4538 CENTERVIEW DRIVE, SUITE 151,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6601 MENAUL STREET</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ALBUQUERQUE</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NM</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87110</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MORIMOTO PARTNERSHIP, LLC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13625 GLENCLIFF 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SAN DIEGO, CA 92130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320 W SUNRISE HWY</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VALLEY STREAM</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11582</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TOYS R US, INC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5"/>
              </w:rPr>
              <w:t>1 GEOFFREY WAY, ATTN: VP-RE COUNSEL,</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WAYNE, NJ 07470-2030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9"/>
              </w:rPr>
              <w:t>THE SHOPS AT LA PALMERA 4938 SSTAPLES STREET</w:t>
            </w:r>
          </w:p>
        </w:tc>
        <w:tc>
          <w:tcPr>
            <w:tcW w:w="150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STAPLES CENTER RETAIL</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LaPALMERS MANAGEMENT OFFICE,</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CORPUS CHRISTI</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78411</w:t>
            </w:r>
          </w:p>
        </w:tc>
        <w:tc>
          <w:tcPr>
            <w:tcW w:w="200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rPr>
              <w:t>5488 SOUTH PADRE ISLAND, CORPUS</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SUITE D-13</w:t>
            </w:r>
          </w:p>
        </w:tc>
        <w:tc>
          <w:tcPr>
            <w:tcW w:w="1500" w:type="dxa"/>
            <w:vAlign w:val="bottom"/>
            <w:tcBorders>
              <w:bottom w:val="single" w:sz="8" w:color="auto"/>
              <w:right w:val="single" w:sz="8" w:color="auto"/>
            </w:tcBorders>
            <w:vMerge w:val="continue"/>
          </w:tcPr>
          <w:p>
            <w:pPr>
              <w:spacing w:after="0"/>
              <w:rPr>
                <w:sz w:val="11"/>
                <w:szCs w:val="11"/>
                <w:color w:val="auto"/>
              </w:rPr>
            </w:pPr>
          </w:p>
        </w:tc>
        <w:tc>
          <w:tcPr>
            <w:tcW w:w="3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right w:val="single" w:sz="8" w:color="auto"/>
            </w:tcBorders>
            <w:vMerge w:val="continue"/>
          </w:tcPr>
          <w:p>
            <w:pPr>
              <w:spacing w:after="0"/>
              <w:rPr>
                <w:sz w:val="11"/>
                <w:szCs w:val="11"/>
                <w:color w:val="auto"/>
              </w:rPr>
            </w:pP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VENTURELP</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CHRISTI, TX 78411</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GEMINI PROPERTY MANAGEMENT, LLC,</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9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16740</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5504 SAN BERNADO AVE STE 100</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LAREDO</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78041</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GEMINI RIO NORTE</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BIRKDALE COMMONS PKY, STE 301,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HUNTERSVILLE, NC</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JAMES H PARKINSON FAMILY</w:t>
            </w: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THE WOODMONT COMPANY, 2100 W. 7TH</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STREET,</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4621 S. Hulen St</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FT WORTH</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76132</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TRUST</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FORT WORTH, TX 76107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VISTA PROPERTY COMPANY, 8350 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13340 PRESTON RD</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DALLAS</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75240</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PRESTON VALLEY VIEW, LTD</w:t>
            </w: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CENTRAL EXPWY,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STE 1275, DALLAS, TX 75206</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KIMBERLY WHITE, ST JOHN PROPERTIES,</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90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INC,</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3501 PAXTON STREET G12</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HARRISBURG</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17109</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HARRISBURG MALL , LP</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4"/>
              </w:rPr>
              <w:t>2560 LORD BALTIMORE DRIVE, BALTIMORE,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MD 21244</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GRAND</w:t>
            </w: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GRANDVIEW CENTER</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118 WEST PECKHAM STREET,</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1111 MUTUAL WAY</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CHUTE(APPLETON)</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WI</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54913</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ASSOCIATES,LLC</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NEENAH, WI 54956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290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SANDRA MENDEZ,</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8889 GATEWAY BLVD W BLDG 190STE 550</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EL PASO</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79925</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THE FOUNTAINS AT FARAH, LP</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4"/>
              </w:rPr>
              <w:t>123 W. MILLS AVENUE, SUITE 600, EL PASO,</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TX 79901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66 BLANDING BLVD</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ORANGE PARK</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3"/>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32073</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DOUGLAS GROUP OF CO.</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951 MATHESON BLVD. EAST,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MISSISSAUGA, L4W2R7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FUCMS 2001-C2</w:t>
            </w: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3333 S. ORANGE AVE, SUITE 201, ATTN:</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BRUCE D.</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9402 ARLINGTON EXWY</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JACKSONVILLE</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3"/>
              </w:rPr>
              <w:t>FL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32225</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ARLINGTONEXPRESSWAY, LLC</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LYONS,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PROMENADE</w:t>
            </w:r>
          </w:p>
        </w:tc>
        <w:tc>
          <w:tcPr>
            <w:tcW w:w="22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111 S. 17TH AVE,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1749 NE 163rd Street</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 MIAMI BEACH</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3"/>
              </w:rPr>
              <w:t>FL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33162</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PROPERTYASSOCIATES</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HOLLYWOOD, FL 33020-6801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BURLINGTON INTERSTATE</w:t>
            </w: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EASTERN DEVELOPMENT,LLC, 120</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PRESIDENTIAL WAY</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STAPLES PLAZA 861 WILLISTON RD</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 BURLINGTON</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VT</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05403</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CENTER,LLC</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SUITE 300, WOBURN, MA 01801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RTE 6 SCRANTON-CARBONDALEHWY</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SCRANTON</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18508</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BD CARBONDALE LP</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1518 PARKSIDE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LAKEWOOD, NJ 08701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1757 SUNRISE HWY</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BAYSHORE (LONG IS)</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11706</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TRIANGLE PROPERTIES #3</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3"/>
              </w:rPr>
              <w:t>30 JERICHO EXECUTIVE PLAZA, SUITE 300C,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JERICHO, NY 11753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220 HADDONFIELD RD</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CHERRY HILL</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88"/>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08002</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CHERRY HILL HADDONFIELD LLC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ARC PROPERTIES,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1401 BROAD STREET,</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INLAND SCHAUMBURG</w:t>
            </w:r>
          </w:p>
        </w:tc>
        <w:tc>
          <w:tcPr>
            <w:tcW w:w="226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INLAND COMMERCIAL PROPERTY MGMT,</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INC, 2901</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Schaumburg Promenade 1985 East GolfRoad</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SCHAUMBURG</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60173</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PROMENADELLC</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BUTTERFIELD ROAD,</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2367 MACARTHUR RD</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WHITEHALL(ALLENTOWN)</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18052</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ESTATE OF ANNA KASYCH</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JAMES H. CALKINS,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522 PINEGROVE LANE,</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2130 WALDEN AVE</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CHEEKTOWAGA</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14225</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BRE DDR WALDEN PLACE LLC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0"/>
              </w:rPr>
              <w:t>C/O DDR CORP, 3300 ENTERPRISE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BEECHWOOD, OH 44122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288 RTE 10 W</w:t>
            </w:r>
          </w:p>
        </w:tc>
        <w:tc>
          <w:tcPr>
            <w:tcW w:w="15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SUCCASUNNA</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88"/>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07876</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WESCO, INC</w:t>
            </w:r>
          </w:p>
        </w:tc>
        <w:tc>
          <w:tcPr>
            <w:tcW w:w="226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214 ROUTE 10,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000" w:type="dxa"/>
            <w:vAlign w:val="bottom"/>
            <w:tcBorders>
              <w:bottom w:val="single" w:sz="8" w:color="auto"/>
              <w:right w:val="single" w:sz="8" w:color="auto"/>
            </w:tcBorders>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 HANOVER, NJ 07936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2" w:name="page173"/>
    <w:bookmarkEnd w:id="1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00" w:type="dxa"/>
            <w:vAlign w:val="bottom"/>
            <w:tcBorders>
              <w:top w:val="single" w:sz="8" w:color="auto"/>
              <w:left w:val="single" w:sz="8" w:color="auto"/>
              <w:right w:val="single" w:sz="8" w:color="auto"/>
            </w:tcBorders>
          </w:tcPr>
          <w:p>
            <w:pPr>
              <w:spacing w:after="0"/>
              <w:rPr>
                <w:sz w:val="11"/>
                <w:szCs w:val="11"/>
                <w:color w:val="auto"/>
              </w:rPr>
            </w:pPr>
          </w:p>
        </w:tc>
        <w:tc>
          <w:tcPr>
            <w:tcW w:w="312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11736 WEST BROAD STREET, SUITE110 PARC PLACE AT</w:t>
            </w:r>
          </w:p>
        </w:tc>
        <w:tc>
          <w:tcPr>
            <w:tcW w:w="1020" w:type="dxa"/>
            <w:vAlign w:val="bottom"/>
            <w:tcBorders>
              <w:top w:val="single" w:sz="8" w:color="auto"/>
              <w:right w:val="single" w:sz="8" w:color="auto"/>
            </w:tcBorders>
          </w:tcPr>
          <w:p>
            <w:pPr>
              <w:spacing w:after="0"/>
              <w:rPr>
                <w:sz w:val="11"/>
                <w:szCs w:val="11"/>
                <w:color w:val="auto"/>
              </w:rPr>
            </w:pPr>
          </w:p>
        </w:tc>
        <w:tc>
          <w:tcPr>
            <w:tcW w:w="340" w:type="dxa"/>
            <w:vAlign w:val="bottom"/>
            <w:tcBorders>
              <w:top w:val="single" w:sz="8" w:color="auto"/>
              <w:right w:val="single" w:sz="8" w:color="auto"/>
            </w:tcBorders>
          </w:tcPr>
          <w:p>
            <w:pPr>
              <w:spacing w:after="0"/>
              <w:rPr>
                <w:sz w:val="11"/>
                <w:szCs w:val="11"/>
                <w:color w:val="auto"/>
              </w:rPr>
            </w:pPr>
          </w:p>
        </w:tc>
        <w:tc>
          <w:tcPr>
            <w:tcW w:w="400" w:type="dxa"/>
            <w:vAlign w:val="bottom"/>
            <w:tcBorders>
              <w:top w:val="single" w:sz="8" w:color="auto"/>
              <w:right w:val="single" w:sz="8" w:color="auto"/>
            </w:tcBorders>
          </w:tcPr>
          <w:p>
            <w:pPr>
              <w:spacing w:after="0"/>
              <w:rPr>
                <w:sz w:val="11"/>
                <w:szCs w:val="11"/>
                <w:color w:val="auto"/>
              </w:rPr>
            </w:pPr>
          </w:p>
        </w:tc>
        <w:tc>
          <w:tcPr>
            <w:tcW w:w="214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GIBRALTAR PROPERTYMANAGEMENT,</w:t>
            </w:r>
          </w:p>
        </w:tc>
        <w:tc>
          <w:tcPr>
            <w:tcW w:w="238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111 EAST VICTORIA STREET -2ND FL,</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SHORT PUMP</w:t>
            </w: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RICHMOND</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VA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23233</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INC</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SANTA BARBARA, CA 93101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326 RTE 18</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 BRUNSWICK</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08816</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EKAJ ASSOCIATES, LLC</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9"/>
              </w:rPr>
              <w:t>BRIER HILL COURT, BUILDING C, SUITE 206,</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EAST BRUNSWICK, NJ 08816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2128 SAGAMORE PKWY S</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LAFAYETTE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IN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47905</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BRAND INVESTMENTS</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6274 EAST 375 SOUTH,</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LAFAYETTE, IN 47905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4410 N MIDKIFF RD SUITE B-1</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MIDLAND</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79705</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PILCHERS GROUP</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7001 PRESTON RD, STE 200 LB18,</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DALLAS, TX 75205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LOUISIANA PORTFOLIO, LLC ATTN: LEGAL</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31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EQUITY ONE REALTY</w:t>
            </w:r>
          </w:p>
        </w:tc>
        <w:tc>
          <w:tcPr>
            <w:tcW w:w="23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DEP, 1600 NE</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3501 AMBASSADOR CAFFREY</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LAFAYETTE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LA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70503</w:t>
            </w:r>
          </w:p>
        </w:tc>
        <w:tc>
          <w:tcPr>
            <w:tcW w:w="214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rPr>
              <w:t>MIAMI GARDENS DRIVE, NORTH MIAMI</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12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vMerge w:val="continue"/>
          </w:tcPr>
          <w:p>
            <w:pPr>
              <w:spacing w:after="0"/>
              <w:rPr>
                <w:sz w:val="11"/>
                <w:szCs w:val="11"/>
                <w:color w:val="auto"/>
              </w:rPr>
            </w:pPr>
          </w:p>
        </w:tc>
        <w:tc>
          <w:tcPr>
            <w:tcW w:w="3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right w:val="single" w:sz="8" w:color="auto"/>
            </w:tcBorders>
            <w:vMerge w:val="continue"/>
          </w:tcPr>
          <w:p>
            <w:pPr>
              <w:spacing w:after="0"/>
              <w:rPr>
                <w:sz w:val="11"/>
                <w:szCs w:val="11"/>
                <w:color w:val="auto"/>
              </w:rPr>
            </w:pP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ANDMANAGEMENT, INC.</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BEACH, FL</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31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COLORADO</w:t>
            </w: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4"/>
              </w:rPr>
              <w:t>NEWMARK MERRILL MOUNTAIN STATES, 2720</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507 N ACADEMY BLVD CITADEL XG</w:t>
            </w:r>
          </w:p>
        </w:tc>
        <w:tc>
          <w:tcPr>
            <w:tcW w:w="1020" w:type="dxa"/>
            <w:vAlign w:val="bottom"/>
            <w:tcBorders>
              <w:right w:val="single" w:sz="8" w:color="auto"/>
            </w:tcBorders>
            <w:vMerge w:val="continue"/>
          </w:tcPr>
          <w:p>
            <w:pPr>
              <w:spacing w:after="0"/>
              <w:rPr>
                <w:sz w:val="9"/>
                <w:szCs w:val="9"/>
                <w:color w:val="auto"/>
              </w:rPr>
            </w:pP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6"/>
              </w:rPr>
              <w:t>CO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80909</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CITADEL CROSSING ASSOCIATES</w:t>
            </w:r>
          </w:p>
        </w:tc>
        <w:tc>
          <w:tcPr>
            <w:tcW w:w="238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rPr>
              <w:t>COUNCIL TREE AVE., SUITE 230, FORT</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120" w:type="dxa"/>
            <w:vAlign w:val="bottom"/>
            <w:tcBorders>
              <w:bottom w:val="single" w:sz="8" w:color="auto"/>
              <w:right w:val="single" w:sz="8" w:color="auto"/>
            </w:tcBorders>
            <w:vMerge w:val="continue"/>
          </w:tcPr>
          <w:p>
            <w:pPr>
              <w:spacing w:after="0"/>
              <w:rPr>
                <w:sz w:val="11"/>
                <w:szCs w:val="11"/>
                <w:color w:val="auto"/>
              </w:rPr>
            </w:pP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SPRINGS</w:t>
            </w:r>
          </w:p>
        </w:tc>
        <w:tc>
          <w:tcPr>
            <w:tcW w:w="3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right w:val="single" w:sz="8" w:color="auto"/>
            </w:tcBorders>
            <w:vMerge w:val="continue"/>
          </w:tcPr>
          <w:p>
            <w:pPr>
              <w:spacing w:after="0"/>
              <w:rPr>
                <w:sz w:val="11"/>
                <w:szCs w:val="11"/>
                <w:color w:val="auto"/>
              </w:rPr>
            </w:pPr>
          </w:p>
        </w:tc>
        <w:tc>
          <w:tcPr>
            <w:tcW w:w="2140" w:type="dxa"/>
            <w:vAlign w:val="bottom"/>
            <w:tcBorders>
              <w:bottom w:val="single" w:sz="8" w:color="auto"/>
              <w:right w:val="single" w:sz="8" w:color="auto"/>
            </w:tcBorders>
            <w:vMerge w:val="continue"/>
          </w:tcPr>
          <w:p>
            <w:pPr>
              <w:spacing w:after="0"/>
              <w:rPr>
                <w:sz w:val="11"/>
                <w:szCs w:val="11"/>
                <w:color w:val="auto"/>
              </w:rPr>
            </w:pP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COLLINS, CO</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9490 AIRLINE HWY</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BATON ROUGE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LA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70815</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COMMERCE GROUP, INC.</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1280 W. NEWPORT CENTER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DEERFIELD BEACH, FL 33442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REGENCY SQUARE 2406 WESTBRANDON BLVD</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BRANDON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33511</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RECENCY CENTERS LP</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REGENCY CENTERS CORP,</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ONE INDEPENDENT DRIVE, SUITE 114,</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BLOCK &amp; COMPANY, INC. C/O, 605 W. 47TH ST.,</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1006 W ANTHONY DR SUITES A &amp; B</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CHAMPAIGN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61820</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BLOOMFIELD 2005, LLC</w:t>
            </w:r>
          </w:p>
        </w:tc>
        <w:tc>
          <w:tcPr>
            <w:tcW w:w="23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SUITE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10515 N. MO-PAC EXPRESSWAYBUILDING H</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AUSTIN</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78759</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ARBOR WALK MALL, LLC</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M.S. MANAGEMENT ASSOCIATES, INC,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225 WEST WASHINGTON STREET,</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618 S RTE 59 NAPER W PLZ #112</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NAPERVILLE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60540</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NAPERW, LLC</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BONNIE MANAGEMENT CORP,</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8430 W. BRYN MAWR AVE, SUITE 850,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CENTRO WATT</w:t>
            </w:r>
          </w:p>
        </w:tc>
        <w:tc>
          <w:tcPr>
            <w:tcW w:w="23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CENTRO PROPERTIES GROUP, 420 LEXINGTON</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31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AVE, 7TH</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7681 N POINT PKWY SUITE 500</w:t>
            </w: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ALPHARETTA</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GA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30022</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OPERATINGPARTNERSHIP 2, LLC</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FL,</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9492 SOUTH DIXIE HWY</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MIAMI</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33156</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DADELAND POINT, LLC</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9241 SW 140 STREET,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MIAMI, FL 33176 United States</w:t>
            </w:r>
          </w:p>
        </w:tc>
        <w:tc>
          <w:tcPr>
            <w:tcW w:w="0" w:type="dxa"/>
            <w:vAlign w:val="bottom"/>
          </w:tcPr>
          <w:p>
            <w:pPr>
              <w:spacing w:after="0"/>
              <w:rPr>
                <w:sz w:val="1"/>
                <w:szCs w:val="1"/>
                <w:color w:val="auto"/>
              </w:rPr>
            </w:pPr>
          </w:p>
        </w:tc>
      </w:tr>
      <w:tr>
        <w:trPr>
          <w:trHeight w:val="100"/>
        </w:trPr>
        <w:tc>
          <w:tcPr>
            <w:tcW w:w="300" w:type="dxa"/>
            <w:vAlign w:val="bottom"/>
            <w:tcBorders>
              <w:left w:val="single" w:sz="8" w:color="auto"/>
              <w:right w:val="single" w:sz="8" w:color="auto"/>
            </w:tcBorders>
          </w:tcPr>
          <w:p>
            <w:pPr>
              <w:spacing w:after="0"/>
              <w:rPr>
                <w:sz w:val="8"/>
                <w:szCs w:val="8"/>
                <w:color w:val="auto"/>
              </w:rPr>
            </w:pPr>
          </w:p>
        </w:tc>
        <w:tc>
          <w:tcPr>
            <w:tcW w:w="31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ALTAMONTE</w:t>
            </w: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238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4071 S. ATLANTIC AVE, SUITE 305,</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620 East Altamonte Drive</w:t>
            </w:r>
          </w:p>
        </w:tc>
        <w:tc>
          <w:tcPr>
            <w:tcW w:w="1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SPRINGS</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32701</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SPECIALTEE GOLF OF FLORIDA INC</w:t>
            </w:r>
          </w:p>
        </w:tc>
        <w:tc>
          <w:tcPr>
            <w:tcW w:w="2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w w:val="98"/>
              </w:rPr>
              <w:t>NEW SMYRNA BEACH, FL 32169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2403 S. STEMMONS FREEWAY SUITE100-ABC</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LEWISVILLE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75067</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CENTCOM/ VISTA GROVE,LP</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2403 S. STEMMONS FREEWAY, SUITE 111,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LEWISVILLE, TX 75067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MCLOUD &amp; CO., 1949 E. SUNSHINE, SUITE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1418 E BATTLEFIELD RD</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SPRINGFIELD</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65804</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MD DEVELOPMENT CO.</w:t>
            </w:r>
          </w:p>
        </w:tc>
        <w:tc>
          <w:tcPr>
            <w:tcW w:w="23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1-206,</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SPRINGFIELD, MO 65804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12150 SOUTH Beyer Rd. Space F050</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BIRCH RUN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48415</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BIRCH RUN OUTLETS II, LLC</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8"/>
              </w:rPr>
              <w:t>105 EISENHOWER PARKWAY, 7961CASMA1/,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135 BLOOMFIELD AVE</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BLOOMFIELD</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07003</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BLOOMFIELD PLAZA ASSOCIATES</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275 MADISON AVE, 30 th FL,</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NEW YORK, NY 10016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EQUITY MGMT GROUP, INC-C/O, 840 E HIGH</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3270 NICHOLASVILLE RD</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LEXINGTON</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KY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40503</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CROSSROADS ASSOCIATES</w:t>
            </w:r>
          </w:p>
        </w:tc>
        <w:tc>
          <w:tcPr>
            <w:tcW w:w="23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ST, SUITE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31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SDC LEASING &amp; MANAGMENT SERVICES,</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4601 CREEDMOR ROAD SUITE 105</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RALEIGH</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27612</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SDC GLENWOOD PLACE, LLC</w:t>
            </w:r>
          </w:p>
        </w:tc>
        <w:tc>
          <w:tcPr>
            <w:tcW w:w="23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405 N. LAMAR BLVD, SUITE 200, AUSTIN, TX</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78703</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CENTRO PROPERTY GROUP/SALES AUDIT</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240 Park Hills Plaza</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ALTOONA</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81"/>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16602</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CW PARK HILLS PLAZA LP</w:t>
            </w:r>
          </w:p>
        </w:tc>
        <w:tc>
          <w:tcPr>
            <w:tcW w:w="23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DEPT, PO BOX</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962,</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1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THE SUTTON CO., 525 PLUM STREET, SUITE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3514 W GENESEE ST</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Syracuse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13219</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IRWIN &amp; ANN KLEIN</w:t>
            </w:r>
          </w:p>
        </w:tc>
        <w:tc>
          <w:tcPr>
            <w:tcW w:w="23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SYRACUSE, NY 13204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2091 WEST ST SUITE B</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ANNAPOLIS</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21401</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ANNAPOLIS STATION L.L.C.</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ROBERT W. DOUGLAS, 10 LEIGH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OCEAN PINES, MD 21811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1950 PLEASANT HILL RD SUITE B</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DULUTH</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GA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30096</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COMMERCE GROUP, INC.</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1280 W. NEWPORT CENTER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DEERFIELD BEACH, FL 33442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YORK RIDGE CTR 815 GOUCHERBLVD</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TOWSON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21286</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VORNADO REALTY TRUST</w:t>
            </w:r>
          </w:p>
        </w:tc>
        <w:tc>
          <w:tcPr>
            <w:tcW w:w="23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210 ROUTE 4 EAST,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120" w:type="dxa"/>
            <w:vAlign w:val="bottom"/>
            <w:tcBorders>
              <w:bottom w:val="single" w:sz="8" w:color="auto"/>
              <w:right w:val="single" w:sz="8" w:color="auto"/>
            </w:tcBorders>
            <w:vMerge w:val="continue"/>
          </w:tcPr>
          <w:p>
            <w:pPr>
              <w:spacing w:after="0"/>
              <w:rPr>
                <w:sz w:val="10"/>
                <w:szCs w:val="10"/>
                <w:color w:val="auto"/>
              </w:rPr>
            </w:pPr>
          </w:p>
        </w:tc>
        <w:tc>
          <w:tcPr>
            <w:tcW w:w="102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3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PARAMUS, NJ 07652-0910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3" w:name="page174"/>
    <w:bookmarkEnd w:id="1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300" w:type="dxa"/>
            <w:vAlign w:val="bottom"/>
            <w:tcBorders>
              <w:top w:val="single" w:sz="8" w:color="auto"/>
              <w:left w:val="single" w:sz="8" w:color="auto"/>
              <w:right w:val="single" w:sz="8" w:color="auto"/>
            </w:tcBorders>
          </w:tcPr>
          <w:p>
            <w:pPr>
              <w:spacing w:after="0"/>
              <w:rPr>
                <w:sz w:val="9"/>
                <w:szCs w:val="9"/>
                <w:color w:val="auto"/>
              </w:rPr>
            </w:pPr>
          </w:p>
        </w:tc>
        <w:tc>
          <w:tcPr>
            <w:tcW w:w="2560" w:type="dxa"/>
            <w:vAlign w:val="bottom"/>
            <w:tcBorders>
              <w:top w:val="single" w:sz="8" w:color="auto"/>
              <w:right w:val="single" w:sz="8" w:color="auto"/>
            </w:tcBorders>
          </w:tcPr>
          <w:p>
            <w:pPr>
              <w:spacing w:after="0"/>
              <w:rPr>
                <w:sz w:val="9"/>
                <w:szCs w:val="9"/>
                <w:color w:val="auto"/>
              </w:rPr>
            </w:pPr>
          </w:p>
        </w:tc>
        <w:tc>
          <w:tcPr>
            <w:tcW w:w="1400" w:type="dxa"/>
            <w:vAlign w:val="bottom"/>
            <w:tcBorders>
              <w:top w:val="single" w:sz="8" w:color="auto"/>
              <w:right w:val="single" w:sz="8" w:color="auto"/>
            </w:tcBorders>
          </w:tcPr>
          <w:p>
            <w:pPr>
              <w:spacing w:after="0"/>
              <w:rPr>
                <w:sz w:val="9"/>
                <w:szCs w:val="9"/>
                <w:color w:val="auto"/>
              </w:rPr>
            </w:pPr>
          </w:p>
        </w:tc>
        <w:tc>
          <w:tcPr>
            <w:tcW w:w="340" w:type="dxa"/>
            <w:vAlign w:val="bottom"/>
            <w:tcBorders>
              <w:top w:val="single" w:sz="8" w:color="auto"/>
              <w:right w:val="single" w:sz="8" w:color="auto"/>
            </w:tcBorders>
          </w:tcPr>
          <w:p>
            <w:pPr>
              <w:spacing w:after="0"/>
              <w:rPr>
                <w:sz w:val="9"/>
                <w:szCs w:val="9"/>
                <w:color w:val="auto"/>
              </w:rPr>
            </w:pPr>
          </w:p>
        </w:tc>
        <w:tc>
          <w:tcPr>
            <w:tcW w:w="400" w:type="dxa"/>
            <w:vAlign w:val="bottom"/>
            <w:tcBorders>
              <w:top w:val="single" w:sz="8" w:color="auto"/>
              <w:right w:val="single" w:sz="8" w:color="auto"/>
            </w:tcBorders>
          </w:tcPr>
          <w:p>
            <w:pPr>
              <w:spacing w:after="0"/>
              <w:rPr>
                <w:sz w:val="9"/>
                <w:szCs w:val="9"/>
                <w:color w:val="auto"/>
              </w:rPr>
            </w:pPr>
          </w:p>
        </w:tc>
        <w:tc>
          <w:tcPr>
            <w:tcW w:w="2180" w:type="dxa"/>
            <w:vAlign w:val="bottom"/>
            <w:tcBorders>
              <w:top w:val="single" w:sz="8" w:color="auto"/>
              <w:right w:val="single" w:sz="8" w:color="auto"/>
            </w:tcBorders>
          </w:tcPr>
          <w:p>
            <w:pPr>
              <w:spacing w:after="0"/>
              <w:rPr>
                <w:sz w:val="9"/>
                <w:szCs w:val="9"/>
                <w:color w:val="auto"/>
              </w:rPr>
            </w:pPr>
          </w:p>
        </w:tc>
        <w:tc>
          <w:tcPr>
            <w:tcW w:w="2520" w:type="dxa"/>
            <w:vAlign w:val="bottom"/>
            <w:tcBorders>
              <w:top w:val="single" w:sz="8" w:color="auto"/>
              <w:right w:val="single" w:sz="8" w:color="auto"/>
            </w:tcBorders>
          </w:tcPr>
          <w:p>
            <w:pPr>
              <w:spacing w:after="0" w:line="108" w:lineRule="exact"/>
              <w:rPr>
                <w:sz w:val="20"/>
                <w:szCs w:val="20"/>
                <w:color w:val="auto"/>
              </w:rPr>
            </w:pPr>
            <w:r>
              <w:rPr>
                <w:rFonts w:ascii="Arial" w:cs="Arial" w:eastAsia="Arial" w:hAnsi="Arial"/>
                <w:sz w:val="11"/>
                <w:szCs w:val="11"/>
                <w:color w:val="auto"/>
              </w:rPr>
              <w:t>c/o CONTINENTAL REAL ESTATE COMPANIES,</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4455 CLEVELAND AVE</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FT MYERS</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33901</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DESTINY BUILDINGS LLC</w:t>
            </w:r>
          </w:p>
        </w:tc>
        <w:tc>
          <w:tcPr>
            <w:tcW w:w="25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2121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PONCE DE LEON BLVD,SUITE 1250,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89-55 QUEENS BLVD</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ELMHURST</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11373</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HARMEN INVESTMENT CO., LP</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91-31 QUEENS BLVD,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ELMHURST, NY 11373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3435 WRIGHTSBORO RD Suite 1206</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AUGUSTA</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GA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30909</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RICHMOND STATION LLC</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11501 NORTHLAKE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CINCINNATI, OH 45249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CLINTON HILLS WPB EQUITIES, LLC, 55 5TH AVE.,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1990 N MILITARY TRAIL</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 PALM BEACH</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33409</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TIME EQUITIES, INC AS AGENT</w:t>
            </w:r>
          </w:p>
        </w:tc>
        <w:tc>
          <w:tcPr>
            <w:tcW w:w="25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15TH</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FLOOR, NEW YORK, NY 10003</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3558 SW COLLEGE RD</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OCALA</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34474</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CLARUS PLAZA, LLC</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5015 SE 7TH 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OCALA, FL 34480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256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BRE DDR RIVERCHASE</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EXECUTIVE VP-LEASING, DDR CORP,</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1723 MONTGOMERY HWY S STE 111</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BIRMINGHAM (HOOVER)</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AL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35244</w:t>
            </w:r>
          </w:p>
        </w:tc>
        <w:tc>
          <w:tcPr>
            <w:tcW w:w="218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w w:val="96"/>
              </w:rPr>
              <w:t>3300 ENTERPRISE PARKWAY, BEACHWOOD, OH</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560" w:type="dxa"/>
            <w:vAlign w:val="bottom"/>
            <w:tcBorders>
              <w:bottom w:val="single" w:sz="8" w:color="auto"/>
              <w:right w:val="single" w:sz="8" w:color="auto"/>
            </w:tcBorders>
            <w:vMerge w:val="continue"/>
          </w:tcPr>
          <w:p>
            <w:pPr>
              <w:spacing w:after="0"/>
              <w:rPr>
                <w:sz w:val="11"/>
                <w:szCs w:val="11"/>
                <w:color w:val="auto"/>
              </w:rPr>
            </w:pPr>
          </w:p>
        </w:tc>
        <w:tc>
          <w:tcPr>
            <w:tcW w:w="1400" w:type="dxa"/>
            <w:vAlign w:val="bottom"/>
            <w:tcBorders>
              <w:bottom w:val="single" w:sz="8" w:color="auto"/>
              <w:right w:val="single" w:sz="8" w:color="auto"/>
            </w:tcBorders>
            <w:vMerge w:val="continue"/>
          </w:tcPr>
          <w:p>
            <w:pPr>
              <w:spacing w:after="0"/>
              <w:rPr>
                <w:sz w:val="11"/>
                <w:szCs w:val="11"/>
                <w:color w:val="auto"/>
              </w:rPr>
            </w:pPr>
          </w:p>
        </w:tc>
        <w:tc>
          <w:tcPr>
            <w:tcW w:w="3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right w:val="single" w:sz="8" w:color="auto"/>
            </w:tcBorders>
            <w:vMerge w:val="continue"/>
          </w:tcPr>
          <w:p>
            <w:pPr>
              <w:spacing w:after="0"/>
              <w:rPr>
                <w:sz w:val="11"/>
                <w:szCs w:val="11"/>
                <w:color w:val="auto"/>
              </w:rPr>
            </w:pP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PROMENADELLC</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44122</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DIAMNOD RETAIL CTR 523 S.GAMMON RD</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MADISON</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WI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53719</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S&amp;J 515 GAMMON, LLC</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2500 MILTON AVE, UNIT 110,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JANESVILLE, WI 53545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8"/>
              </w:rPr>
              <w:t>TANGER OUTLET CNTR. 300 TANGERBLVD. STE</w:t>
            </w: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TANGER PROPERTIES</w:t>
            </w:r>
          </w:p>
        </w:tc>
        <w:tc>
          <w:tcPr>
            <w:tcW w:w="25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3200 NORTHLINE AVE, SUITE 360,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103</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BRANSON</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MO</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65616</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LIMITEDPARTNERSHIP</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2410 LAURENS RD</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GREENVILLE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1"/>
              </w:rPr>
              <w:t>SC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29607</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L.C. JULIAN, JR., LLC</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 BOX 2610,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GREENVILLE, SC 29602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936 RTE 22 E</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SOMERVILLE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88"/>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08876</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STRATIS CORP</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PARK &amp; MOUNTAIN AVENUES,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SCOTCH PLAINS, NJ 07076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256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180" w:type="dxa"/>
            <w:vAlign w:val="bottom"/>
            <w:tcBorders>
              <w:right w:val="single" w:sz="8" w:color="auto"/>
            </w:tcBorders>
          </w:tcPr>
          <w:p>
            <w:pPr>
              <w:spacing w:after="0"/>
              <w:rPr>
                <w:sz w:val="8"/>
                <w:szCs w:val="8"/>
                <w:color w:val="auto"/>
              </w:rPr>
            </w:pP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AZOR ADVISORY SERVICES, INC,</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8"/>
              </w:rPr>
              <w:t>SAWGRASS COMMONS 13001 W.SUNRISE BVLD</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SUNRISE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33323</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FVP SAWGRASS LLC</w:t>
            </w:r>
          </w:p>
        </w:tc>
        <w:tc>
          <w:tcPr>
            <w:tcW w:w="25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6"/>
              </w:rPr>
              <w:t>4611 SOUTH UNIVERSITY DRIVE #110, DAVIE, FL</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33328</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4217 S BROADWAY AVE</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TYLER</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75701</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NOLAN E. AND PAUL MANZIEL</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 BOX 6005, 110 WEST EIGHT ST,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TYLER, TX 75711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DACAR MANAGEMENT, LLC, 336 EAST DANIA</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3196 N STATE RD 7 REEF PLZ</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LAUDERDALE LAKES</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33319</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REEF PLAZA, LLC</w:t>
            </w:r>
          </w:p>
        </w:tc>
        <w:tc>
          <w:tcPr>
            <w:tcW w:w="25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BEACH</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BLVD,</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ATTN:MANAGER- LEASE ADM &amp; GEN COUNSEL,</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5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4100</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1111 LEAGUE LINE RD SUITE 121</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CONROE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77303</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CRAIG REALTY GROUP-CONROE, LP</w:t>
            </w:r>
          </w:p>
        </w:tc>
        <w:tc>
          <w:tcPr>
            <w:tcW w:w="25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MACARTHUR BLVD, SUITE 200, NEWPORT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BEACH, CA</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ROBERT BEGELMAN-C/O, 15942 SHADY GROVE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1170 W PATRICK ST SUITES G &amp; H</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FREDERICK</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21702</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ROUTE 40 LP</w:t>
            </w:r>
          </w:p>
        </w:tc>
        <w:tc>
          <w:tcPr>
            <w:tcW w:w="25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GAITERSBURG, MD 20877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455 BELWOOD RD SE SUITE 60</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CALHOUN</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GA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30701</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CALHOUN OUTLETS LLC</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105 EISENHOWER PARKWAY, 7962CASMA1/,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ATTN:MANAGER-LEASE ADM&amp;GENERAL</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5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COUNSEL,</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5732 MCWHINNEY BLVD SPACE E-40</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LOVELAND</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6"/>
              </w:rPr>
              <w:t>CO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80538</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CRAIG REALTY GROUP-LOVELAND,LLC</w:t>
            </w:r>
          </w:p>
        </w:tc>
        <w:tc>
          <w:tcPr>
            <w:tcW w:w="25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6"/>
              </w:rPr>
              <w:t>4100 MACARTHUR,Ste200,NEWPORT BEACH, CA</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92660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SRA INVESTMENTS, INC., 4140 N.W. 60TH</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2110 W INTERNATL SPEEDWAY BLVD</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DAYTONA BEACH</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32114</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RICHARD J. SCHILDHORN, TRUSTEE</w:t>
            </w:r>
          </w:p>
        </w:tc>
        <w:tc>
          <w:tcPr>
            <w:tcW w:w="25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CIRCLE,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BOCA RATON, FL 33496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64 TUNNEL RD</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ASHEVILLE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28805</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PATCO REALTY</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222 GRAND 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ENGLEWOOD, NJ 07631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TANGER PROPERTIES</w:t>
            </w:r>
          </w:p>
        </w:tc>
        <w:tc>
          <w:tcPr>
            <w:tcW w:w="25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ATTN: LEGAL DEPARTMENT, 3200 NORTHLINE</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AVE.,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8115 Factory Shops Boulevard</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JEFFERSONVILLE</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6"/>
              </w:rPr>
              <w:t>OH</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43128</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LIMITEDPARTNERSHIP</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SUITE 360,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1470 PLEASANT VALLEY RD</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MANCHESTER</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CT</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06040</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PLAZA AT BUCKHILLS, LLC</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M.S. MANAGEMENT ASSOCIATES INC, 225 W.</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WASHINGTON STREET,</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11747 N EXECUTIVE DR SPACE B80</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EDINBURGH</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IN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46124</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CPG PARTNERS, L.P.</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BROOKHILL</w:t>
            </w:r>
          </w:p>
        </w:tc>
        <w:tc>
          <w:tcPr>
            <w:tcW w:w="25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501 MADISON AVENUE,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4710-B UNIVERSITY DRIVE</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HUNTSVILLE</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AL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35816</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MANAGEMENTCORPORATION</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NEW YORK, NY 10022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TYSONS CORNER CTR 8027LEESBURG PIKE</w:t>
            </w:r>
          </w:p>
        </w:tc>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9"/>
              </w:rPr>
              <w:t>VIENNA/TYSONSCORNER</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VA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22182</w:t>
            </w: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ROCKS TYSONS TWO LLC</w:t>
            </w:r>
          </w:p>
        </w:tc>
        <w:tc>
          <w:tcPr>
            <w:tcW w:w="25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ALLEN &amp; ROCKS, INC,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60" w:type="dxa"/>
            <w:vAlign w:val="bottom"/>
            <w:tcBorders>
              <w:bottom w:val="single" w:sz="8" w:color="auto"/>
              <w:right w:val="single" w:sz="8" w:color="auto"/>
            </w:tcBorders>
            <w:vMerge w:val="continue"/>
          </w:tcPr>
          <w:p>
            <w:pPr>
              <w:spacing w:after="0"/>
              <w:rPr>
                <w:sz w:val="10"/>
                <w:szCs w:val="10"/>
                <w:color w:val="auto"/>
              </w:rPr>
            </w:pPr>
          </w:p>
        </w:tc>
        <w:tc>
          <w:tcPr>
            <w:tcW w:w="14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1960 GALLOWS ROAD, SUITE 300,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TANGER PROPERTIES</w:t>
            </w:r>
          </w:p>
        </w:tc>
        <w:tc>
          <w:tcPr>
            <w:tcW w:w="25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PO BOX 10889, 3200 NORTHLINE AVENUE SUITE</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8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360,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1475 N BURKHART RD, SUITE D180</w:t>
            </w:r>
          </w:p>
        </w:tc>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HOWELL</w:t>
            </w:r>
          </w:p>
        </w:tc>
        <w:tc>
          <w:tcPr>
            <w:tcW w:w="34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MI</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48855</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LIMITEDPARTNERSHIP</w:t>
            </w:r>
          </w:p>
        </w:tc>
        <w:tc>
          <w:tcPr>
            <w:tcW w:w="2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4" w:name="page175"/>
    <w:bookmarkEnd w:id="1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210 SAINT PAUL STREET</w:t>
            </w:r>
          </w:p>
        </w:tc>
        <w:tc>
          <w:tcPr>
            <w:tcW w:w="10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DENVER</w:t>
            </w:r>
          </w:p>
        </w:tc>
        <w:tc>
          <w:tcPr>
            <w:tcW w:w="320" w:type="dxa"/>
            <w:vAlign w:val="bottom"/>
            <w:tcBorders>
              <w:top w:val="single" w:sz="8" w:color="auto"/>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6"/>
              </w:rPr>
              <w:t>CO</w:t>
            </w:r>
          </w:p>
        </w:tc>
        <w:tc>
          <w:tcPr>
            <w:tcW w:w="4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1"/>
                <w:szCs w:val="11"/>
                <w:color w:val="auto"/>
              </w:rPr>
              <w:t>80206</w:t>
            </w:r>
          </w:p>
        </w:tc>
        <w:tc>
          <w:tcPr>
            <w:tcW w:w="23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color w:val="auto"/>
              </w:rPr>
              <w:t>210 ST. PAUL STREET LLC</w:t>
            </w:r>
          </w:p>
        </w:tc>
        <w:tc>
          <w:tcPr>
            <w:tcW w:w="2740" w:type="dxa"/>
            <w:vAlign w:val="bottom"/>
            <w:tcBorders>
              <w:top w:val="single" w:sz="8" w:color="auto"/>
              <w:right w:val="single" w:sz="8" w:color="auto"/>
            </w:tcBorders>
          </w:tcPr>
          <w:p>
            <w:pPr>
              <w:ind w:left="20"/>
              <w:spacing w:after="0" w:line="119" w:lineRule="exact"/>
              <w:rPr>
                <w:sz w:val="20"/>
                <w:szCs w:val="20"/>
                <w:color w:val="auto"/>
              </w:rPr>
            </w:pPr>
            <w:r>
              <w:rPr>
                <w:rFonts w:ascii="Arial" w:cs="Arial" w:eastAsia="Arial" w:hAnsi="Arial"/>
                <w:sz w:val="11"/>
                <w:szCs w:val="11"/>
                <w:color w:val="auto"/>
              </w:rPr>
              <w:t>210 SAINT PAUL STREET SUITE 240, ATTN: LARRY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HANSON, DENVER, CO 80206</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655 RTE 318 SUITE A005</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WATERLOO</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13165</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WATERLOO PREMIUM OUTLETS, LLC</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274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GOODMAN PROPERTIES INC, 2870 PEACHTREE ROAD</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1919 VALLEY VIEW BLVD NORTHWES</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ROANOKE</w:t>
            </w:r>
          </w:p>
        </w:tc>
        <w:tc>
          <w:tcPr>
            <w:tcW w:w="32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VA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24012</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ROANOKE VENTURE, LLC</w:t>
            </w:r>
          </w:p>
        </w:tc>
        <w:tc>
          <w:tcPr>
            <w:tcW w:w="274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889, ATLANTA, GA 30305</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311 WEST MORELAND ROAD</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WILLOW GROVE</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19090</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WCK LIMITED PARTNERSHIP</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c/o SOFAS &amp; CHAIRS, 3101 ERIE BLVD, EAST,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SYRACUSE, NY 13214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2522 SCOTTSVILLE RD</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BOWLING GREEN</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KY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42104</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J-MAR PROPERTIES, LLC</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2530 SCOTTSVILLE ROAD SUITE 21,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BOWLING GREEN, KY 42104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1039 E COUNTRY LINE RD SUITE A</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JACKSON</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MS</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39211</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CENTRO HERITAGE COUNTY LINELLC</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3"/>
              </w:rPr>
              <w:t>c/o CENTRO PROPERTY GROUP, 420 LEXINGTON 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7TH FL,</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VERO BEACH OUTLETS 1757 94TH DRSUITE</w:t>
            </w:r>
          </w:p>
        </w:tc>
        <w:tc>
          <w:tcPr>
            <w:tcW w:w="106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27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1824 94TH DRIVE,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D180</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VERO BEACH</w:t>
            </w:r>
          </w:p>
        </w:tc>
        <w:tc>
          <w:tcPr>
            <w:tcW w:w="32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FL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32966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VERO BEACH OUTLETS</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VERO BEACH, FL 32966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274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C/O TERRACO, INC, 3201 OLD GLENVIEW RD., SUITE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9396 WEST 159TH STREET</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ORLAND PARK</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60462</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ROCKSIDE, LLC</w:t>
            </w:r>
          </w:p>
        </w:tc>
        <w:tc>
          <w:tcPr>
            <w:tcW w:w="274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300,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WILMETTE, IL 60091</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TANGER PROPERTIES</w:t>
            </w:r>
          </w:p>
        </w:tc>
        <w:tc>
          <w:tcPr>
            <w:tcW w:w="27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3200 NORTHLINE AVE, SUITE 360,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120 LACONIA RD STE 206 LAKE RG</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TILTON</w:t>
            </w:r>
          </w:p>
        </w:tc>
        <w:tc>
          <w:tcPr>
            <w:tcW w:w="32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NH</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03276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LIMITEDPARTNERSHIP</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274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FIRST ROCKFORD GROUP, INC/, 6801 SPRING CREEK</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6376 EAST STATE TREET</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ROCKFORD</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61108</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SUNIL PURI, LLC/6370 STATE, LLC</w:t>
            </w:r>
          </w:p>
        </w:tc>
        <w:tc>
          <w:tcPr>
            <w:tcW w:w="274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RD,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ROCKFORD, IL 61114</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PACIFIC SIERRA ASSOCIATESWESTGATE,</w:t>
            </w:r>
          </w:p>
        </w:tc>
        <w:tc>
          <w:tcPr>
            <w:tcW w:w="274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WULFE MGMT SERVICES, INC/6 BLVD PLACE, 1800</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vMerge w:val="continue"/>
          </w:tcPr>
          <w:p>
            <w:pPr>
              <w:spacing w:after="0"/>
              <w:rPr>
                <w:sz w:val="9"/>
                <w:szCs w:val="9"/>
                <w:color w:val="auto"/>
              </w:rPr>
            </w:pPr>
          </w:p>
        </w:tc>
        <w:tc>
          <w:tcPr>
            <w:tcW w:w="274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1"/>
                <w:szCs w:val="11"/>
                <w:color w:val="auto"/>
              </w:rPr>
              <w:t>POST</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Westgate Shopping Center 19504 KatyFreeway</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HOUSTON</w:t>
            </w:r>
          </w:p>
        </w:tc>
        <w:tc>
          <w:tcPr>
            <w:tcW w:w="32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9"/>
              </w:rPr>
              <w:t>TX</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77094</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LLC</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OAK BLVD, SUITE 6400,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274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CO CSM CORPORATION, 500 WASHINGTON AVE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8725 SHERIDAN BLVD UNIT B</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WESTMINSTER</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6"/>
              </w:rPr>
              <w:t>CO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80003</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ROCKY MOUNTAIN PROPERTIES LP</w:t>
            </w:r>
          </w:p>
        </w:tc>
        <w:tc>
          <w:tcPr>
            <w:tcW w:w="274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SOUTH,</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SUITE 3000, MINNEAPOLIS, MN 55415-1151</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TANGER PROPERTIES</w:t>
            </w:r>
          </w:p>
        </w:tc>
        <w:tc>
          <w:tcPr>
            <w:tcW w:w="27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w w:val="95"/>
              </w:rPr>
              <w:t>PO BOX 10889, 3200 NORTHLINE AVENUE SUITE 360,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w w:val="96"/>
              </w:rPr>
              <w:t>Tanger Outlets 4015 INTERSTATE HWY35 STE 214</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SAN MARCOS</w:t>
            </w:r>
          </w:p>
        </w:tc>
        <w:tc>
          <w:tcPr>
            <w:tcW w:w="32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9"/>
              </w:rPr>
              <w:t>TX</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78666</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LIMITEDPARTNERSHIP</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TANGER PROPERTIES</w:t>
            </w:r>
          </w:p>
        </w:tc>
        <w:tc>
          <w:tcPr>
            <w:tcW w:w="27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w w:val="95"/>
              </w:rPr>
              <w:t>PO BOX 10889, 3200 NORTHLINE AVENUE SUITE 360,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800 STEVEN B TANGER BLVD S/310</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COMMERCE</w:t>
            </w:r>
          </w:p>
        </w:tc>
        <w:tc>
          <w:tcPr>
            <w:tcW w:w="32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GA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30529</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LIMITEDPARTNERSHIP</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6715 JONESBORO RD. SUITE H</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MORROW</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GA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30260</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SOUTH POINT SHOPPING CENTER ET.AL.</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3"/>
              </w:rPr>
              <w:t>JIM FLOCK, FORUM MANATEMENT GROUP, INC., 1750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PEACHTREE ST., NW, ATLANTA, GA 30359</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430 CONSUMER SQUARE</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MAYS LANDING</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08330</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BENDERSON-WAINBERGASSOCIATES, LP</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DEVELOPERS DIVERSIFIED REALTY CORP, 3300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ENTERPRISE PARKWAY, BEACHWOOD, OH 44122</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1930 S W WANAMAKER RD SUITE E</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TOPEKA</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5"/>
              </w:rPr>
              <w:t>KS</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66604</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CB RICHARD ELLIS, INC</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400 SW 8TH STREET, SUITE 110,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TOPEKA, KS 66603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3200 PLANK ROAD</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9"/>
              </w:rPr>
              <w:t>FREDERICKSBURG</w:t>
            </w:r>
          </w:p>
        </w:tc>
        <w:tc>
          <w:tcPr>
            <w:tcW w:w="32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VA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22407</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COMMERCE GROUP, INC.</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1280 W. NEWPORT CENTER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DEERFIELD BEACH, FL 33442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BAYBROOK PASSAGE 19419 GULFFREEWAY</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WEBSTER</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9"/>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77598</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PASSAGE REALTY, INC</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COVENTRY DEVELOPMENT CORP,</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1041 THIRD AVE, NEW YORK, NY 10065</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622 W. LINMAR LN. SUITE D-25</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JOHNSON CREEK</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WI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53038</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CPG PARTNERS, L.P.</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274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C/O CHELSEA PROPERTY GROUP, INC., 105</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6415 LABEAUX AVE NE</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ALBERTVILLE</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MN</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55301</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CPG PARTNERS, LP</w:t>
            </w:r>
          </w:p>
        </w:tc>
        <w:tc>
          <w:tcPr>
            <w:tcW w:w="274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EISENHOWER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PKWY,</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TANGER PROPERTIES</w:t>
            </w:r>
          </w:p>
        </w:tc>
        <w:tc>
          <w:tcPr>
            <w:tcW w:w="27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3200 NORTHLINE AVE, SUITE 360,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2601 SOUTH MCKENZIE ST SUIT S476</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FOLEY</w:t>
            </w:r>
          </w:p>
        </w:tc>
        <w:tc>
          <w:tcPr>
            <w:tcW w:w="32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AL</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36535</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LIMITEDPARTNERSHIP</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131 NUT TREE RD SUITE K</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VACAVILLE</w:t>
            </w:r>
          </w:p>
        </w:tc>
        <w:tc>
          <w:tcPr>
            <w:tcW w:w="32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95687</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CPG FINANCE I LLC</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4"/>
              </w:rPr>
              <w:t>PREMIUM OUTLETS, SIMON PROPERTY GROUP, INC,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225 W.WASHINGTON ST, INDIANAPOLIS, IN 46204</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2700 STATE RD 16 SUITE 815</w:t>
            </w:r>
          </w:p>
        </w:tc>
        <w:tc>
          <w:tcPr>
            <w:tcW w:w="10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 AUGUSTINE</w:t>
            </w:r>
          </w:p>
        </w:tc>
        <w:tc>
          <w:tcPr>
            <w:tcW w:w="32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32092</w:t>
            </w:r>
          </w:p>
        </w:tc>
        <w:tc>
          <w:tcPr>
            <w:tcW w:w="2340" w:type="dxa"/>
            <w:vAlign w:val="bottom"/>
            <w:tcBorders>
              <w:right w:val="single" w:sz="8" w:color="auto"/>
            </w:tcBorders>
            <w:vMerge w:val="restart"/>
          </w:tcPr>
          <w:p>
            <w:pPr>
              <w:ind w:left="20"/>
              <w:spacing w:after="0"/>
              <w:rPr>
                <w:sz w:val="20"/>
                <w:szCs w:val="20"/>
                <w:color w:val="auto"/>
              </w:rPr>
            </w:pPr>
            <w:r>
              <w:rPr>
                <w:rFonts w:ascii="Arial" w:cs="Arial" w:eastAsia="Arial" w:hAnsi="Arial"/>
                <w:sz w:val="11"/>
                <w:szCs w:val="11"/>
                <w:color w:val="auto"/>
              </w:rPr>
              <w:t>CPG PARTNERS, LP</w:t>
            </w:r>
          </w:p>
        </w:tc>
        <w:tc>
          <w:tcPr>
            <w:tcW w:w="274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540" w:type="dxa"/>
            <w:vAlign w:val="bottom"/>
            <w:tcBorders>
              <w:bottom w:val="single" w:sz="8" w:color="auto"/>
              <w:right w:val="single" w:sz="8" w:color="auto"/>
            </w:tcBorders>
            <w:vMerge w:val="continue"/>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340" w:type="dxa"/>
            <w:vAlign w:val="bottom"/>
            <w:tcBorders>
              <w:bottom w:val="single" w:sz="8" w:color="auto"/>
              <w:right w:val="single" w:sz="8" w:color="auto"/>
            </w:tcBorders>
            <w:vMerge w:val="continue"/>
          </w:tcPr>
          <w:p>
            <w:pPr>
              <w:spacing w:after="0"/>
              <w:rPr>
                <w:sz w:val="10"/>
                <w:szCs w:val="10"/>
                <w:color w:val="auto"/>
              </w:rPr>
            </w:pPr>
          </w:p>
        </w:tc>
        <w:tc>
          <w:tcPr>
            <w:tcW w:w="274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TANGER PROPERTIES</w:t>
            </w:r>
          </w:p>
        </w:tc>
        <w:tc>
          <w:tcPr>
            <w:tcW w:w="274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w w:val="95"/>
              </w:rPr>
              <w:t>PO BOX 10889, 3200 NORTHLINE AVENUE SUITE 360,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112-A TANGER DRIVE</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WILLIAMSBURG</w:t>
            </w:r>
          </w:p>
        </w:tc>
        <w:tc>
          <w:tcPr>
            <w:tcW w:w="320" w:type="dxa"/>
            <w:vAlign w:val="bottom"/>
            <w:tcBorders>
              <w:bottom w:val="single" w:sz="8" w:color="auto"/>
              <w:right w:val="single" w:sz="8" w:color="auto"/>
            </w:tcBorders>
          </w:tcPr>
          <w:p>
            <w:pPr>
              <w:jc w:val="center"/>
              <w:ind w:left="63"/>
              <w:spacing w:after="0"/>
              <w:rPr>
                <w:sz w:val="20"/>
                <w:szCs w:val="20"/>
                <w:color w:val="auto"/>
              </w:rPr>
            </w:pPr>
            <w:r>
              <w:rPr>
                <w:rFonts w:ascii="Arial" w:cs="Arial" w:eastAsia="Arial" w:hAnsi="Arial"/>
                <w:sz w:val="11"/>
                <w:szCs w:val="11"/>
                <w:color w:val="auto"/>
              </w:rPr>
              <w:t>IA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52361</w:t>
            </w:r>
          </w:p>
        </w:tc>
        <w:tc>
          <w:tcPr>
            <w:tcW w:w="23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LIMITEDPARTNERSHIP</w:t>
            </w:r>
          </w:p>
        </w:tc>
        <w:tc>
          <w:tcPr>
            <w:tcW w:w="2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5" w:name="page176"/>
    <w:bookmarkEnd w:id="1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300" w:type="dxa"/>
            <w:vAlign w:val="bottom"/>
            <w:tcBorders>
              <w:top w:val="single" w:sz="8" w:color="auto"/>
              <w:left w:val="single" w:sz="8" w:color="auto"/>
              <w:right w:val="single" w:sz="8" w:color="auto"/>
            </w:tcBorders>
          </w:tcPr>
          <w:p>
            <w:pPr>
              <w:spacing w:after="0"/>
              <w:rPr>
                <w:sz w:val="9"/>
                <w:szCs w:val="9"/>
                <w:color w:val="auto"/>
              </w:rPr>
            </w:pPr>
          </w:p>
        </w:tc>
        <w:tc>
          <w:tcPr>
            <w:tcW w:w="282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right w:val="single" w:sz="8" w:color="auto"/>
            </w:tcBorders>
          </w:tcPr>
          <w:p>
            <w:pPr>
              <w:spacing w:after="0"/>
              <w:rPr>
                <w:sz w:val="9"/>
                <w:szCs w:val="9"/>
                <w:color w:val="auto"/>
              </w:rPr>
            </w:pPr>
          </w:p>
        </w:tc>
        <w:tc>
          <w:tcPr>
            <w:tcW w:w="340" w:type="dxa"/>
            <w:vAlign w:val="bottom"/>
            <w:tcBorders>
              <w:top w:val="single" w:sz="8" w:color="auto"/>
              <w:right w:val="single" w:sz="8" w:color="auto"/>
            </w:tcBorders>
          </w:tcPr>
          <w:p>
            <w:pPr>
              <w:spacing w:after="0"/>
              <w:rPr>
                <w:sz w:val="9"/>
                <w:szCs w:val="9"/>
                <w:color w:val="auto"/>
              </w:rPr>
            </w:pPr>
          </w:p>
        </w:tc>
        <w:tc>
          <w:tcPr>
            <w:tcW w:w="400" w:type="dxa"/>
            <w:vAlign w:val="bottom"/>
            <w:tcBorders>
              <w:top w:val="single" w:sz="8" w:color="auto"/>
              <w:right w:val="single" w:sz="8" w:color="auto"/>
            </w:tcBorders>
          </w:tcPr>
          <w:p>
            <w:pPr>
              <w:spacing w:after="0"/>
              <w:rPr>
                <w:sz w:val="9"/>
                <w:szCs w:val="9"/>
                <w:color w:val="auto"/>
              </w:rPr>
            </w:pPr>
          </w:p>
        </w:tc>
        <w:tc>
          <w:tcPr>
            <w:tcW w:w="2240" w:type="dxa"/>
            <w:vAlign w:val="bottom"/>
            <w:tcBorders>
              <w:top w:val="single" w:sz="8" w:color="auto"/>
              <w:right w:val="single" w:sz="8" w:color="auto"/>
            </w:tcBorders>
          </w:tcPr>
          <w:p>
            <w:pPr>
              <w:spacing w:after="0"/>
              <w:rPr>
                <w:sz w:val="9"/>
                <w:szCs w:val="9"/>
                <w:color w:val="auto"/>
              </w:rPr>
            </w:pPr>
          </w:p>
        </w:tc>
        <w:tc>
          <w:tcPr>
            <w:tcW w:w="2600" w:type="dxa"/>
            <w:vAlign w:val="bottom"/>
            <w:tcBorders>
              <w:top w:val="single" w:sz="8" w:color="auto"/>
              <w:right w:val="single" w:sz="8" w:color="auto"/>
            </w:tcBorders>
          </w:tcPr>
          <w:p>
            <w:pPr>
              <w:ind w:left="20"/>
              <w:spacing w:after="0" w:line="108" w:lineRule="exact"/>
              <w:rPr>
                <w:sz w:val="20"/>
                <w:szCs w:val="20"/>
                <w:color w:val="auto"/>
              </w:rPr>
            </w:pPr>
            <w:r>
              <w:rPr>
                <w:rFonts w:ascii="Arial" w:cs="Arial" w:eastAsia="Arial" w:hAnsi="Arial"/>
                <w:sz w:val="11"/>
                <w:szCs w:val="11"/>
                <w:color w:val="auto"/>
                <w:w w:val="98"/>
              </w:rPr>
              <w:t>THE OUTLETS SHOPPES AT GETTYSBURG, 5000</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1863 GETTYSBURG VILLAGE DR STE250</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GETTYSBURG</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PA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17325</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GETTYSBURG OUTLET CENTER LP</w:t>
            </w:r>
          </w:p>
        </w:tc>
        <w:tc>
          <w:tcPr>
            <w:tcW w:w="260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HAKES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DRIVE, SUITE 500, MUSKEGON, MI 49441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1000 ROUTE 611, UNIT A19</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TANNERSVILLE</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PA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18372</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CHELSEA POCONO FINANCE,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 TENANT ID #7852</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CASMA3/,</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13000 FOLSOM BLVD SUITE 1440</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FOLSOM</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95630</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CHELSEA FINANCING PARTNERSHIP,LP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8"/>
              </w:rPr>
              <w:t>FOLSOM PREMIUM OUTLETS, 105 EISENHOWER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PARKWAY,</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495 PREMIUM OUTLETS BLVD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HAGERSTOWN</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w w:val="93"/>
              </w:rPr>
              <w:t>MD</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21740</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OUTLET VILLAGE OF HAGERSTOWNLP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7969CASMA1, 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1911 Leesburg Grove City Road, Suite 315</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GROVE CITY</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PA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16127</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GROVE CITY FACTORY SHOPS,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Glenwood Village 7 Glenwood Rd, Suite E</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CLINTON</w:t>
            </w:r>
          </w:p>
        </w:tc>
        <w:tc>
          <w:tcPr>
            <w:tcW w:w="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1"/>
                <w:szCs w:val="11"/>
                <w:color w:val="auto"/>
                <w:w w:val="95"/>
              </w:rPr>
              <w:t>CT</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06413</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MGF, INC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1557 LAKE WHITNEY 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WINDERMERE, FL 34786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Factory Outlet Village 4540 Highway 54,Suite N4</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OSAGE BEACH</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w w:val="90"/>
              </w:rPr>
              <w:t>MO</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65065</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CPG PARTNERS,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8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MIDWAY GALLERIA 18701 COASTALHWY SPACE 2, 3</w:t>
            </w:r>
          </w:p>
        </w:tc>
        <w:tc>
          <w:tcPr>
            <w:tcW w:w="100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REHOBOTH</w:t>
            </w: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30373 SOUTHAMPTON BRIDGE ROAD,</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&amp; 4</w:t>
            </w:r>
          </w:p>
        </w:tc>
        <w:tc>
          <w:tcPr>
            <w:tcW w:w="1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BEACH</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DE</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w w:val="91"/>
              </w:rPr>
              <w:t>19971</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MIDWAY SHOPPES, LLC</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SALISBURY, MD 21804</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10737 FACTORY SHOPS BLVD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GULFPORT</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w w:val="96"/>
              </w:rPr>
              <w:t>MS</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39503</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GULFPORT FACTORY SHOPS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7968CASMA1/, 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Louisiana Boardwalk 640 Boardwalk Blvd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BOSSIER CITY</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LA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71111</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GARRISON BOARDWALK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JOSH DINSTEIN,</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1350 AVENUE OF THE AMERICAS, 9TH FLOOR,</w:t>
            </w:r>
          </w:p>
        </w:tc>
        <w:tc>
          <w:tcPr>
            <w:tcW w:w="0" w:type="dxa"/>
            <w:vAlign w:val="bottom"/>
          </w:tcPr>
          <w:p>
            <w:pPr>
              <w:spacing w:after="0"/>
              <w:rPr>
                <w:sz w:val="1"/>
                <w:szCs w:val="1"/>
                <w:color w:val="auto"/>
              </w:rPr>
            </w:pPr>
          </w:p>
        </w:tc>
      </w:tr>
      <w:tr>
        <w:trPr>
          <w:trHeight w:val="333"/>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1483 Retherford St.</w:t>
            </w:r>
          </w:p>
        </w:tc>
        <w:tc>
          <w:tcPr>
            <w:tcW w:w="1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TULARE</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CA</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w w:val="91"/>
              </w:rPr>
              <w:t>93274</w:t>
            </w:r>
          </w:p>
        </w:tc>
        <w:tc>
          <w:tcPr>
            <w:tcW w:w="224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Jackson Premium Outlets 537 MonmouthRd. Sp. 322</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JACKSON</w:t>
            </w:r>
          </w:p>
        </w:tc>
        <w:tc>
          <w:tcPr>
            <w:tcW w:w="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1"/>
                <w:szCs w:val="11"/>
                <w:color w:val="auto"/>
              </w:rPr>
              <w:t>NJ</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08527</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CPG PARTNERS,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ATTN: MANAGER-LEASE ADM &amp; GENERAL</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COUNSE,</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Citadel Outlets 100 Citadel Dr. Suite #660</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COMMERCE</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90040</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CRAIG REALTY GROUP CITADEL,LLC</w:t>
            </w:r>
          </w:p>
        </w:tc>
        <w:tc>
          <w:tcPr>
            <w:tcW w:w="26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4100 MACARTHUR BLVD, SUITE 200, NEWPORT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BEACH,</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1740 Lighthouse Place</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MICHIGAN CITY</w:t>
            </w:r>
          </w:p>
        </w:tc>
        <w:tc>
          <w:tcPr>
            <w:tcW w:w="3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1"/>
                <w:szCs w:val="11"/>
                <w:color w:val="auto"/>
              </w:rPr>
              <w:t>IN</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46360</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CHELSEA PROPERTY GROUP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Allen Prem. Outlets 820 W. Stacey Rd.Suite 330</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ALLEN</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75013</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CHELSEA ALLEN DEVELOPMENT,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Rio Grande Val.Prem.Out. 5001 E.Exprsswy. 83 #230</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MERCEDES</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78570</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CPG MERCEDES,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105 EISENHOWER PARKWAY,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ROSELAND, NJ 07068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Rnd. Rck. Prem. Out. 4401 N. IH 35, S#869</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ROUND ROCK</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78664</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CPG ROUND ROCK,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7"/>
              </w:rPr>
              <w:t>CHELSEA PROPERTY GROUP, 105 EISENHOWER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PARKWAY,</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PHIL PREM OTLTS 18 LIGHTCAP RDSTE 167</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POTTSTOWN</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PA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19464</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CHELSEA LIMERICK HOLDINGS, LLC</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7"/>
              </w:rPr>
              <w:t>CHELSEA PROPERTY GROUP, 105 EISENHOWER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PARKWAY,</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29300 HEMPSTEAD RD STE#804</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CYPRESS</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77433</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CPG HOUSTON HOLDINGS, LP</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7"/>
              </w:rPr>
              <w:t>CHELSEA PROPERTY GROUP, 105 EISENHOWER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PARKWAY,</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TANGER PROPERTIES</w:t>
            </w:r>
          </w:p>
        </w:tc>
        <w:tc>
          <w:tcPr>
            <w:tcW w:w="26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3200 NORTHLINE AVE, SUITE 360,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TANGER OUTLET CNTR 2200 TANGERBLVD STE725</w:t>
            </w:r>
          </w:p>
        </w:tc>
        <w:tc>
          <w:tcPr>
            <w:tcW w:w="1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WASHINGTON</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PA</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w w:val="91"/>
              </w:rPr>
              <w:t>15301</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LIMITEDPARTNERSHIP</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GREENSBORO, NC 27408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82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WOODLAND</w:t>
            </w: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C/O RICHARD J. LAUTER &amp; CO., LLP, 4640</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ind w:left="20"/>
              <w:spacing w:after="0" w:line="113" w:lineRule="exact"/>
              <w:rPr>
                <w:sz w:val="20"/>
                <w:szCs w:val="20"/>
                <w:color w:val="auto"/>
              </w:rPr>
            </w:pPr>
            <w:r>
              <w:rPr>
                <w:rFonts w:ascii="Arial" w:cs="Arial" w:eastAsia="Arial" w:hAnsi="Arial"/>
                <w:sz w:val="11"/>
                <w:szCs w:val="11"/>
                <w:color w:val="auto"/>
              </w:rPr>
              <w:t>ADMIRALTY</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6041 TOPANGA CANYON BLVD</w:t>
            </w:r>
          </w:p>
        </w:tc>
        <w:tc>
          <w:tcPr>
            <w:tcW w:w="1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HILLS</w:t>
            </w:r>
          </w:p>
        </w:tc>
        <w:tc>
          <w:tcPr>
            <w:tcW w:w="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CA</w:t>
            </w:r>
          </w:p>
        </w:tc>
        <w:tc>
          <w:tcPr>
            <w:tcW w:w="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w w:val="91"/>
              </w:rPr>
              <w:t>91367</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EMANUEL M. RIDER, TRUSTEE</w:t>
            </w:r>
          </w:p>
        </w:tc>
        <w:tc>
          <w:tcPr>
            <w:tcW w:w="2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WAY, SUITE 700, MARINA DEL REY, CA 90292</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16129 S HAWTHORNE BLVD SUITE F</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LAWNDALE</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90260</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MIRACLE PROPERTIES LTD</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8484 WILSHIRE BLVD, SUITE 725,</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BEVERLY HILLS, CA 90211-3270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BRUNO TOWNE CTR 1202 ELCAMINO REAL</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BRUNO</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94066</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BRUNO TOWNE CENTER</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TAMMY VOSSLER,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w w:val="92"/>
              </w:rPr>
              <w:t>SHELTER BAY RETAIL GROUP, 5645 SILVER CREEK</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319 S. Winchester Blvd.</w:t>
            </w:r>
          </w:p>
        </w:tc>
        <w:tc>
          <w:tcPr>
            <w:tcW w:w="10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JOSE</w:t>
            </w:r>
          </w:p>
        </w:tc>
        <w:tc>
          <w:tcPr>
            <w:tcW w:w="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1"/>
                <w:szCs w:val="11"/>
                <w:color w:val="auto"/>
                <w:w w:val="91"/>
              </w:rPr>
              <w:t>95128</w:t>
            </w:r>
          </w:p>
        </w:tc>
        <w:tc>
          <w:tcPr>
            <w:tcW w:w="22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MOSCOVITZ PROPERTIES</w:t>
            </w:r>
          </w:p>
        </w:tc>
        <w:tc>
          <w:tcPr>
            <w:tcW w:w="260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w w:val="92"/>
              </w:rPr>
              <w:t>C/O ROBERT L SOCKOLOV, 188 KING STREET #303,</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240" w:type="dxa"/>
            <w:vAlign w:val="bottom"/>
            <w:tcBorders>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SAN FRANCISCO, CA 94107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6" w:name="page177"/>
    <w:bookmarkEnd w:id="1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651 CONTRA COSTA BLVD</w:t>
            </w:r>
          </w:p>
        </w:tc>
        <w:tc>
          <w:tcPr>
            <w:tcW w:w="14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PLEASANT HILLS</w:t>
            </w:r>
          </w:p>
        </w:tc>
        <w:tc>
          <w:tcPr>
            <w:tcW w:w="32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1"/>
                <w:szCs w:val="11"/>
                <w:color w:val="auto"/>
              </w:rPr>
              <w:t>94523</w:t>
            </w:r>
          </w:p>
        </w:tc>
        <w:tc>
          <w:tcPr>
            <w:tcW w:w="18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PH SEKA PROPERTIES, LLC</w:t>
            </w:r>
          </w:p>
        </w:tc>
        <w:tc>
          <w:tcPr>
            <w:tcW w:w="2480" w:type="dxa"/>
            <w:vAlign w:val="bottom"/>
            <w:tcBorders>
              <w:top w:val="single" w:sz="8" w:color="auto"/>
              <w:right w:val="single" w:sz="8" w:color="auto"/>
            </w:tcBorders>
          </w:tcPr>
          <w:p>
            <w:pPr>
              <w:spacing w:after="0" w:line="119" w:lineRule="exact"/>
              <w:rPr>
                <w:sz w:val="20"/>
                <w:szCs w:val="20"/>
                <w:color w:val="auto"/>
              </w:rPr>
            </w:pPr>
            <w:r>
              <w:rPr>
                <w:rFonts w:ascii="Arial" w:cs="Arial" w:eastAsia="Arial" w:hAnsi="Arial"/>
                <w:sz w:val="11"/>
                <w:szCs w:val="11"/>
                <w:color w:val="auto"/>
              </w:rPr>
              <w:t>23 RAILROAD AVE #1083,</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DANVILLE, CA 94526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1701 Ethan Way</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SACRAMENTO</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95815</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ATOMIC INVESTMETNS, INC</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3200 HIGHLAND AVE., B4-2,</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NATIONAL CITY, CA 91950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CARDOZA PROPERTIES, INC, 101 ELLINWOOD</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8000 AMADOR VALLEY BLVD</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DUBLIN</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94568</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GROWERS PROPERTIES #24 LTD</w:t>
            </w:r>
          </w:p>
        </w:tc>
        <w:tc>
          <w:tcPr>
            <w:tcW w:w="24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PLEASANT HILL, CA 94523 United States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BELCO DEVELOPMENT</w:t>
            </w:r>
          </w:p>
        </w:tc>
        <w:tc>
          <w:tcPr>
            <w:tcW w:w="24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P.O. BOX 727,</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3200 SISK RD UNIT G</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MODESTO</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95356</w:t>
            </w:r>
          </w:p>
        </w:tc>
        <w:tc>
          <w:tcPr>
            <w:tcW w:w="1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&amp;INVESTMENT</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TEMECULA, CA 92593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4935-B NORTH BLACKSTONE AVENUE</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FRESNO</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93710</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SHAWSTONE TIC</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SIEGEL &amp; COMPANY,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1616 W. SHAW AVE, SUITE A1,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798 INLAND CTR DR</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BERNARDINO</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92408</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H/INLAND ENTERPRISES</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8"/>
              </w:rPr>
              <w:t>WAGNER &amp; SCUDERI, 15315 MAGNOLIA BLVD.,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SHERMAN OAKS, CA 91403 United States</w:t>
            </w:r>
          </w:p>
        </w:tc>
        <w:tc>
          <w:tcPr>
            <w:tcW w:w="0" w:type="dxa"/>
            <w:vAlign w:val="bottom"/>
          </w:tcPr>
          <w:p>
            <w:pPr>
              <w:spacing w:after="0"/>
              <w:rPr>
                <w:sz w:val="1"/>
                <w:szCs w:val="1"/>
                <w:color w:val="auto"/>
              </w:rPr>
            </w:pPr>
          </w:p>
        </w:tc>
      </w:tr>
      <w:tr>
        <w:trPr>
          <w:trHeight w:val="151"/>
        </w:trPr>
        <w:tc>
          <w:tcPr>
            <w:tcW w:w="300" w:type="dxa"/>
            <w:vAlign w:val="bottom"/>
            <w:tcBorders>
              <w:left w:val="single" w:sz="8" w:color="auto"/>
              <w:right w:val="single" w:sz="8" w:color="auto"/>
            </w:tcBorders>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LOU REGESTER FURNITURE</w:t>
            </w:r>
          </w:p>
        </w:tc>
        <w:tc>
          <w:tcPr>
            <w:tcW w:w="24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C/O JOHN REGESTER, PO BOX 44331,</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1705 E CAMELBACK ROAD</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PHOENIX</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AZ</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85016</w:t>
            </w:r>
          </w:p>
        </w:tc>
        <w:tc>
          <w:tcPr>
            <w:tcW w:w="1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 INC</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PHOENIX, AZ 85064-4331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1911 SANTA ROSA AVE</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SANTA ROSA</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95407</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KAREN LYNN BASSO</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 BOX 1635,</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WINDSOR, CA 95492 United States</w:t>
            </w:r>
          </w:p>
        </w:tc>
        <w:tc>
          <w:tcPr>
            <w:tcW w:w="0" w:type="dxa"/>
            <w:vAlign w:val="bottom"/>
          </w:tcPr>
          <w:p>
            <w:pPr>
              <w:spacing w:after="0"/>
              <w:rPr>
                <w:sz w:val="1"/>
                <w:szCs w:val="1"/>
                <w:color w:val="auto"/>
              </w:rPr>
            </w:pPr>
          </w:p>
        </w:tc>
      </w:tr>
      <w:tr>
        <w:trPr>
          <w:trHeight w:val="151"/>
        </w:trPr>
        <w:tc>
          <w:tcPr>
            <w:tcW w:w="300" w:type="dxa"/>
            <w:vAlign w:val="bottom"/>
            <w:tcBorders>
              <w:left w:val="single" w:sz="8" w:color="auto"/>
              <w:right w:val="single" w:sz="8" w:color="auto"/>
            </w:tcBorders>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REMINGTON COMMERCIAL I,</w:t>
            </w:r>
          </w:p>
        </w:tc>
        <w:tc>
          <w:tcPr>
            <w:tcW w:w="24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5451 S. DURANGO DRIVE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1381 WEST SUNSET ROAD</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HENDERSON</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NV</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89014</w:t>
            </w:r>
          </w:p>
        </w:tc>
        <w:tc>
          <w:tcPr>
            <w:tcW w:w="1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LLC</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 SUITE 110,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VILLAGE PROPERTIES OPERATING CO, LLC,</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3699 MING AVE MING PLAZA</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BAKERSFIELD</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93309</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MING PLAZA ASSOCIATES, LLC</w:t>
            </w:r>
          </w:p>
        </w:tc>
        <w:tc>
          <w:tcPr>
            <w:tcW w:w="24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940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EMMETT AVE., SUITE 200,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13766 JAMBOREE ROAD</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IRVINE (TUSTIN)</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92602</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TIC INVESTMENTSCOMPANY</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THE IRVINE COMPANY LLC,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101 INNOVATION DRIVE,</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Robinhood Plaza, 5756 Pacific Avenue</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STOCKTON</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95207</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STONE BROTHERS &amp; ASSOC</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5250 CLAREMONT AVE,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STOCKTON, CA 95207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5015 TACOMA MALL BOULEVARD</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TACOMA</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WA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98409</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EVERGREEN PLAZA 1, LLC</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8050 84TH AVE SE,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MERCER ISLAND, WA 98040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4211 Paradise Road</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LAS VEGAS</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NV</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89169</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HURD NEVADA, LLC</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C/O RICHARD HURD, 2000 FULLER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WEST DES MOINES, IA 50265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882 BLOSSOM HILL RD K-MART CTR</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JOSE</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95123</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SAMPSON FAMILY TRUST</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8225 Vineyard Dr., PO BOX 1887,</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PASO ROBLES, CA 93446 United States</w:t>
            </w:r>
          </w:p>
        </w:tc>
        <w:tc>
          <w:tcPr>
            <w:tcW w:w="0" w:type="dxa"/>
            <w:vAlign w:val="bottom"/>
          </w:tcPr>
          <w:p>
            <w:pPr>
              <w:spacing w:after="0"/>
              <w:rPr>
                <w:sz w:val="1"/>
                <w:szCs w:val="1"/>
                <w:color w:val="auto"/>
              </w:rPr>
            </w:pPr>
          </w:p>
        </w:tc>
      </w:tr>
      <w:tr>
        <w:trPr>
          <w:trHeight w:val="151"/>
        </w:trPr>
        <w:tc>
          <w:tcPr>
            <w:tcW w:w="300" w:type="dxa"/>
            <w:vAlign w:val="bottom"/>
            <w:tcBorders>
              <w:left w:val="single" w:sz="8" w:color="auto"/>
              <w:right w:val="single" w:sz="8" w:color="auto"/>
            </w:tcBorders>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HALL BLVD.INVESTORS an</w:t>
            </w:r>
          </w:p>
        </w:tc>
        <w:tc>
          <w:tcPr>
            <w:tcW w:w="24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JOINT VENTURE, 520 SW YAMHILL SUITE 444,</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8705 SW HALL BLVD</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BEAVERTON (TIGARD)</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OR</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97008</w:t>
            </w:r>
          </w:p>
        </w:tc>
        <w:tc>
          <w:tcPr>
            <w:tcW w:w="1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OREGON</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PORTLAND, OR 97201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330 S VINCENT AVE</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 COVINA</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91790</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VERNON L. WILLIAMS</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35391 CAMINO CAPISTRANO BEACH,</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CAPISTRANO, CA 92624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15099 HESPERIAN BLVD SUITE E&amp;F</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LEANDRO</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94578</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HALCYON PLACE L.P.</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9"/>
              </w:rPr>
              <w:t>3650 MT. DIABLO BLVD STE 103, PO BOX 1059,</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LAFAYETTE, CA 94549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4055 N ORACLE RD</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TUCSON</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AZ</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85705</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RICK MCGARREY</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2920 N. SANTA ROSA PLACE,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TUCSON, AZ 85712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6010 N DIVISION ST</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SPOKANE</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WA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99208</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POLAR ENTERPRISES, LLC</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5426 S. QUAIL RIDGE CIRCLE,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SPOKANE, WA 99223-6386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WESTFIELD MALL 72-840 HIGHWAY111 #2470</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PALM DESERT</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92260</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WEA PALM DESERT LP</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LEGAL DEPARTMENT,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2049 CENTURY PARK EAST, 41ST FL,</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0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248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LAKE ELSINORE OUTLETS, 13457 BROOKS</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17600 COLLIER AVE SUITE H184</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LAKE ELSINORE</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92530</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MOHR AFFINITY, LLC, DBA</w:t>
            </w:r>
          </w:p>
        </w:tc>
        <w:tc>
          <w:tcPr>
            <w:tcW w:w="248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DRIVE,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BALDWIN PARK, CA 91706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LAKEWOOD CTR 4437 CANDLEWOODSTREET</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LAKEWOOD</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90712</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MACERICH LAKEWOOD LLC</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CENTER MANAGER,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500 LAKEWOOD CENTER MALL,</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2990 MIDWAY DR ROSECRANS CTR</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SAN DIEGO</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92110</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EDEN PLAZA SAN DIEGO LLC</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 BOX 1959,</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PLEASANTON, CA 94566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5592 S SEPULVEDA BLVD</w:t>
            </w:r>
          </w:p>
        </w:tc>
        <w:tc>
          <w:tcPr>
            <w:tcW w:w="14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CULVER CITY</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CA</w:t>
            </w:r>
          </w:p>
        </w:tc>
        <w:tc>
          <w:tcPr>
            <w:tcW w:w="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90230</w:t>
            </w:r>
          </w:p>
        </w:tc>
        <w:tc>
          <w:tcPr>
            <w:tcW w:w="18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ROBERT H. THOMPSON</w:t>
            </w:r>
          </w:p>
        </w:tc>
        <w:tc>
          <w:tcPr>
            <w:tcW w:w="248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7"/>
              </w:rPr>
              <w:t>TRUSTEE OF THE THOMPSON FAMILY, 6317 W.</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00" w:type="dxa"/>
            <w:vAlign w:val="bottom"/>
            <w:tcBorders>
              <w:bottom w:val="single" w:sz="8" w:color="auto"/>
              <w:right w:val="single" w:sz="8" w:color="auto"/>
            </w:tcBorders>
            <w:vMerge w:val="continue"/>
          </w:tcPr>
          <w:p>
            <w:pPr>
              <w:spacing w:after="0"/>
              <w:rPr>
                <w:sz w:val="10"/>
                <w:szCs w:val="10"/>
                <w:color w:val="auto"/>
              </w:rPr>
            </w:pPr>
          </w:p>
        </w:tc>
        <w:tc>
          <w:tcPr>
            <w:tcW w:w="1440" w:type="dxa"/>
            <w:vAlign w:val="bottom"/>
            <w:tcBorders>
              <w:bottom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right w:val="single" w:sz="8" w:color="auto"/>
            </w:tcBorders>
            <w:vMerge w:val="continue"/>
          </w:tcPr>
          <w:p>
            <w:pPr>
              <w:spacing w:after="0"/>
              <w:rPr>
                <w:sz w:val="10"/>
                <w:szCs w:val="10"/>
                <w:color w:val="auto"/>
              </w:rPr>
            </w:pPr>
          </w:p>
        </w:tc>
        <w:tc>
          <w:tcPr>
            <w:tcW w:w="1840" w:type="dxa"/>
            <w:vAlign w:val="bottom"/>
            <w:tcBorders>
              <w:bottom w:val="single" w:sz="8" w:color="auto"/>
              <w:right w:val="single" w:sz="8" w:color="auto"/>
            </w:tcBorders>
            <w:vMerge w:val="continue"/>
          </w:tcPr>
          <w:p>
            <w:pPr>
              <w:spacing w:after="0"/>
              <w:rPr>
                <w:sz w:val="10"/>
                <w:szCs w:val="10"/>
                <w:color w:val="auto"/>
              </w:rPr>
            </w:pPr>
          </w:p>
        </w:tc>
        <w:tc>
          <w:tcPr>
            <w:tcW w:w="248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SLAUSON AVENUE,</w:t>
            </w:r>
          </w:p>
        </w:tc>
        <w:tc>
          <w:tcPr>
            <w:tcW w:w="0" w:type="dxa"/>
            <w:vAlign w:val="bottom"/>
          </w:tcPr>
          <w:p>
            <w:pPr>
              <w:spacing w:after="0"/>
              <w:rPr>
                <w:sz w:val="1"/>
                <w:szCs w:val="1"/>
                <w:color w:val="auto"/>
              </w:rPr>
            </w:pPr>
          </w:p>
        </w:tc>
      </w:tr>
      <w:tr>
        <w:trPr>
          <w:trHeight w:val="151"/>
        </w:trPr>
        <w:tc>
          <w:tcPr>
            <w:tcW w:w="300" w:type="dxa"/>
            <w:vAlign w:val="bottom"/>
            <w:tcBorders>
              <w:left w:val="single" w:sz="8" w:color="auto"/>
              <w:right w:val="single" w:sz="8" w:color="auto"/>
            </w:tcBorders>
          </w:tcPr>
          <w:p>
            <w:pPr>
              <w:spacing w:after="0"/>
              <w:rPr>
                <w:sz w:val="13"/>
                <w:szCs w:val="13"/>
                <w:color w:val="auto"/>
              </w:rPr>
            </w:pPr>
          </w:p>
        </w:tc>
        <w:tc>
          <w:tcPr>
            <w:tcW w:w="290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JANTZEN BEACH CENTER 1840 NTOMAHAWK</w:t>
            </w:r>
          </w:p>
        </w:tc>
        <w:tc>
          <w:tcPr>
            <w:tcW w:w="14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PORTLAND</w:t>
            </w:r>
          </w:p>
        </w:tc>
        <w:tc>
          <w:tcPr>
            <w:tcW w:w="32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JANTZEN DYNAMIC</w:t>
            </w:r>
          </w:p>
        </w:tc>
        <w:tc>
          <w:tcPr>
            <w:tcW w:w="24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LEGAL DEPT,</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ISLAND DRIVE</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(JANTZENBEACH)</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OR</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97217</w:t>
            </w:r>
          </w:p>
        </w:tc>
        <w:tc>
          <w:tcPr>
            <w:tcW w:w="1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CORPORATION</w:t>
            </w:r>
          </w:p>
        </w:tc>
        <w:tc>
          <w:tcPr>
            <w:tcW w:w="2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JANTZEN MANAGER (SC), LLC,</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7" w:name="page178"/>
    <w:bookmarkEnd w:id="1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00" w:type="dxa"/>
            <w:vAlign w:val="bottom"/>
            <w:tcBorders>
              <w:top w:val="single" w:sz="8" w:color="auto"/>
              <w:left w:val="single" w:sz="8" w:color="auto"/>
              <w:right w:val="single" w:sz="8" w:color="auto"/>
            </w:tcBorders>
          </w:tcPr>
          <w:p>
            <w:pPr>
              <w:spacing w:after="0"/>
              <w:rPr>
                <w:sz w:val="10"/>
                <w:szCs w:val="10"/>
                <w:color w:val="auto"/>
              </w:rPr>
            </w:pPr>
          </w:p>
        </w:tc>
        <w:tc>
          <w:tcPr>
            <w:tcW w:w="2600" w:type="dxa"/>
            <w:vAlign w:val="bottom"/>
            <w:tcBorders>
              <w:top w:val="single" w:sz="8" w:color="auto"/>
              <w:right w:val="single" w:sz="8" w:color="auto"/>
            </w:tcBorders>
          </w:tcPr>
          <w:p>
            <w:pPr>
              <w:spacing w:after="0"/>
              <w:rPr>
                <w:sz w:val="10"/>
                <w:szCs w:val="10"/>
                <w:color w:val="auto"/>
              </w:rPr>
            </w:pPr>
          </w:p>
        </w:tc>
        <w:tc>
          <w:tcPr>
            <w:tcW w:w="960" w:type="dxa"/>
            <w:vAlign w:val="bottom"/>
            <w:tcBorders>
              <w:top w:val="single" w:sz="8" w:color="auto"/>
              <w:right w:val="single" w:sz="8" w:color="auto"/>
            </w:tcBorders>
          </w:tcPr>
          <w:p>
            <w:pPr>
              <w:spacing w:after="0"/>
              <w:rPr>
                <w:sz w:val="10"/>
                <w:szCs w:val="10"/>
                <w:color w:val="auto"/>
              </w:rPr>
            </w:pPr>
          </w:p>
        </w:tc>
        <w:tc>
          <w:tcPr>
            <w:tcW w:w="340" w:type="dxa"/>
            <w:vAlign w:val="bottom"/>
            <w:tcBorders>
              <w:top w:val="single" w:sz="8" w:color="auto"/>
              <w:right w:val="single" w:sz="8" w:color="auto"/>
            </w:tcBorders>
          </w:tcPr>
          <w:p>
            <w:pPr>
              <w:spacing w:after="0"/>
              <w:rPr>
                <w:sz w:val="10"/>
                <w:szCs w:val="10"/>
                <w:color w:val="auto"/>
              </w:rPr>
            </w:pPr>
          </w:p>
        </w:tc>
        <w:tc>
          <w:tcPr>
            <w:tcW w:w="400" w:type="dxa"/>
            <w:vAlign w:val="bottom"/>
            <w:tcBorders>
              <w:top w:val="single" w:sz="8" w:color="auto"/>
              <w:right w:val="single" w:sz="8" w:color="auto"/>
            </w:tcBorders>
          </w:tcPr>
          <w:p>
            <w:pPr>
              <w:spacing w:after="0"/>
              <w:rPr>
                <w:sz w:val="10"/>
                <w:szCs w:val="10"/>
                <w:color w:val="auto"/>
              </w:rPr>
            </w:pPr>
          </w:p>
        </w:tc>
        <w:tc>
          <w:tcPr>
            <w:tcW w:w="2880" w:type="dxa"/>
            <w:vAlign w:val="bottom"/>
            <w:tcBorders>
              <w:top w:val="single" w:sz="8" w:color="auto"/>
              <w:right w:val="single" w:sz="8" w:color="auto"/>
            </w:tcBorders>
          </w:tcPr>
          <w:p>
            <w:pPr>
              <w:spacing w:after="0"/>
              <w:rPr>
                <w:sz w:val="10"/>
                <w:szCs w:val="10"/>
                <w:color w:val="auto"/>
              </w:rPr>
            </w:pPr>
          </w:p>
        </w:tc>
        <w:tc>
          <w:tcPr>
            <w:tcW w:w="2220" w:type="dxa"/>
            <w:vAlign w:val="bottom"/>
            <w:tcBorders>
              <w:top w:val="single" w:sz="8" w:color="auto"/>
              <w:right w:val="single" w:sz="8" w:color="auto"/>
            </w:tcBorders>
          </w:tcPr>
          <w:p>
            <w:pPr>
              <w:spacing w:after="0" w:line="119" w:lineRule="exact"/>
              <w:rPr>
                <w:sz w:val="20"/>
                <w:szCs w:val="20"/>
                <w:color w:val="auto"/>
              </w:rPr>
            </w:pPr>
            <w:r>
              <w:rPr>
                <w:rFonts w:ascii="Arial" w:cs="Arial" w:eastAsia="Arial" w:hAnsi="Arial"/>
                <w:sz w:val="11"/>
                <w:szCs w:val="11"/>
                <w:color w:val="auto"/>
              </w:rPr>
              <w:t>30240 RANCH VIEJO ROAD, SUITE B,</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12544-B AMARGOSA ROAD</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VICTORVILLE</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1"/>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92392</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DIVERSIFIED INVESTMENTCOMPANY</w:t>
            </w:r>
          </w:p>
        </w:tc>
        <w:tc>
          <w:tcPr>
            <w:tcW w:w="22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9"/>
              </w:rPr>
              <w:t>SAN JUAN CAPISTRANO, CA 92675 United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CRITERIA PROPERTIES, 7035 SW HAMPTON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1132 LANCASTER DRIVE NE</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SALEM</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84"/>
              </w:rPr>
              <w:t>OR</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97301</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ACADEMY SQUARE LLC</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ST. SUITE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EUGENE BURGER MANAGEMENT CORP.,</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5595 SOUTH VIRGINIA ST SUITE A</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RENO</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NV</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89502</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SHANKER NEVADA LLC</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5011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MEADOWOOD MALL WAY, SUITE 200,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25640 THE OLD ROAD</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VALENCIA</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1"/>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91381</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VALENCIA MARKETPLACE I, LLC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101 N. WESTLAKE BLVD #201,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3"/>
              </w:rPr>
              <w:t>WESTLAKE VILLAGE, CA 91362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WESTWOOD FINANCIAL CORP, 11440 SAN</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440 BARRETT PKWY, SUITE 17</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KENNESAW</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GA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30144</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OTAY MAIN STREET LLC</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VICENTE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BLVD STE. #200,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2108 SOUTH CARAWAY</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JONESBORO</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1"/>
              </w:rPr>
              <w:t>AR</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72401</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PHILLIPS INVESTMENTS INC.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 BOX 19298,</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JONESBORO, AR 72403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INDEPENDENCE CMNS SHPNG CNTR19110 A E</w:t>
            </w: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BEST BUY CORPORATE, 7601 PENN AVE</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SOUTH,</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39TH STREET</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INDEPENDENCE</w:t>
            </w:r>
          </w:p>
        </w:tc>
        <w:tc>
          <w:tcPr>
            <w:tcW w:w="34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1"/>
                <w:szCs w:val="11"/>
                <w:color w:val="auto"/>
              </w:rPr>
              <w:t>MO</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64055</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BEST BUY STORES LP</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RICHFIELD, MN 55423-3645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COLE REAL ESTATE INVESTMENTS,</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2830 W CHANDLER BLVD</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CHANDLER</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9"/>
              </w:rPr>
              <w:t>AZ</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85224</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CHANDLER FESTIVAL SPE LLC</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2325 EAST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CAMELBACK ROAD, SUITE 1100,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7634 MALL ROAD</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FLORENCE</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KY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41042</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VILLAGE AT THE MALL HOLDINGS,LLC</w:t>
            </w:r>
          </w:p>
        </w:tc>
        <w:tc>
          <w:tcPr>
            <w:tcW w:w="2220" w:type="dxa"/>
            <w:vAlign w:val="bottom"/>
            <w:tcBorders>
              <w:right w:val="single" w:sz="8" w:color="auto"/>
            </w:tcBorders>
          </w:tcPr>
          <w:p>
            <w:pPr>
              <w:jc w:val="right"/>
              <w:ind w:right="2107"/>
              <w:spacing w:after="0" w:line="9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3847 EAST PIKE PEAK AVE, SUITE J2,</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WINSTON-</w:t>
            </w: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ZAREMBA GROUP, LLC, 14600 DETROIT</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AVE., SUITE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3258 SiILAS CRREK PARKWAY</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SALEM</w:t>
            </w:r>
          </w:p>
        </w:tc>
        <w:tc>
          <w:tcPr>
            <w:tcW w:w="34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1"/>
                <w:szCs w:val="11"/>
                <w:color w:val="auto"/>
                <w:w w:val="87"/>
              </w:rPr>
              <w:t>NC</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27103</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SILAS CREEK CROSSINGASSOCIATES, LLC</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1500,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7601 CARSON BLVD</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LONG BEACH</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1"/>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90808</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VESTAR PROPERTY MANAGEMENT</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2425 E. CAMELBACK RD, SUITE 750,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PHOENIX, AZ 85016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BIXMORE PROPERTY GROUP, 420</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301 WEST EXPLANADE DRIVE</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OXNARD</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1"/>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93030</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CALIFORNIA PROPERTY OWNERS I,LLC</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LEXINGTON AVE., 7TH</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FL,</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2101 WEST BROADWAY SUITE EE</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COLUMBIA</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MO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65203</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RAUL WALTER PROPERTIES</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1021 ASHLAND ROAD #1405,</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COLUMBIA, MO 65201-7595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902 WEST KIMBERLY ROAD</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DAVENPORT</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IA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52806</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CAPREALTY 14-VILLAGE, LLC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CAPSTONE REAL ESTATE GROUP, INC,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2 GREEN VILLAGE ROAD, SUITE 209,</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1392 TWIXT TOWN ROAD</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MARION</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IA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52302</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COLLINS SQUARE, LLC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JOHN VIGGERS,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NAI OPTIMUM,</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SCHOTTENSTEIN PROPERTY GROUP</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7"/>
              </w:rPr>
              <w:t>The Orchard@Saddleback 23600 El toroRd. Sts. A&amp;B</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LAKE FOREST</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1"/>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92630</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ORCHARD LAKE FOREST CA LP</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LLC, 4300 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FIFTH AVE,</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700 N JOHNSON AVE SUITE 1</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EL CAJON</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1"/>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92020</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PACIFIC COAST COMMERCIAL</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6050 SANTO ROAD, SUITE #200,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SAN DIEGO, CA 92124 United States</w:t>
            </w:r>
          </w:p>
        </w:tc>
        <w:tc>
          <w:tcPr>
            <w:tcW w:w="0" w:type="dxa"/>
            <w:vAlign w:val="bottom"/>
          </w:tcPr>
          <w:p>
            <w:pPr>
              <w:spacing w:after="0"/>
              <w:rPr>
                <w:sz w:val="1"/>
                <w:szCs w:val="1"/>
                <w:color w:val="auto"/>
              </w:rPr>
            </w:pPr>
          </w:p>
        </w:tc>
      </w:tr>
      <w:tr>
        <w:trPr>
          <w:trHeight w:val="100"/>
        </w:trPr>
        <w:tc>
          <w:tcPr>
            <w:tcW w:w="300" w:type="dxa"/>
            <w:vAlign w:val="bottom"/>
            <w:tcBorders>
              <w:left w:val="single" w:sz="8" w:color="auto"/>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SOUTH</w:t>
            </w: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88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DAVID BARROW,</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90 RHL BOULEVARD</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CHARLESTON</w:t>
            </w:r>
          </w:p>
        </w:tc>
        <w:tc>
          <w:tcPr>
            <w:tcW w:w="34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1"/>
                <w:szCs w:val="11"/>
                <w:color w:val="auto"/>
              </w:rPr>
              <w:t>WV</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25309</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LBCMT 2007-C3RHL BLVD LIMITEDPARTNERSHIP</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CB RICHARD ELLIS,</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8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SPRING VALLEY-CAMPO ROAD LLC&amp; HOROWITZ</w:t>
            </w:r>
          </w:p>
        </w:tc>
        <w:tc>
          <w:tcPr>
            <w:tcW w:w="22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9"/>
              </w:rPr>
              <w:t>SESSIONS GROUP LLC, 936 E. 18TH AVE,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9078 WESTVIEW RD, SUITE 100</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LONE TREE</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6"/>
              </w:rPr>
              <w:t>CO</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80124</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FAMILY TRUST OF</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DENVER, CO 80218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BART R. SAUNDERS, 7232 W. SAND LAKE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10359 ULMERTON RD</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LARGO</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33771</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REAL GLOBAL INVESTMENTS, LLC</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SUITE 202,</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S RIDGE MANAGEMENT, LLC, 106 LORI</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2777 PAPER MILL RD, SUITE C-3a</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WYOMISSING</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5"/>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19610</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SPRING RIDGE, LP</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LANE,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8"/>
              </w:rPr>
              <w:t>BOILING SPRINGS, PA 17007 United States</w:t>
            </w:r>
          </w:p>
        </w:tc>
        <w:tc>
          <w:tcPr>
            <w:tcW w:w="0" w:type="dxa"/>
            <w:vAlign w:val="bottom"/>
          </w:tcPr>
          <w:p>
            <w:pPr>
              <w:spacing w:after="0"/>
              <w:rPr>
                <w:sz w:val="1"/>
                <w:szCs w:val="1"/>
                <w:color w:val="auto"/>
              </w:rPr>
            </w:pPr>
          </w:p>
        </w:tc>
      </w:tr>
      <w:tr>
        <w:trPr>
          <w:trHeight w:val="100"/>
        </w:trPr>
        <w:tc>
          <w:tcPr>
            <w:tcW w:w="300" w:type="dxa"/>
            <w:vAlign w:val="bottom"/>
            <w:tcBorders>
              <w:left w:val="single" w:sz="8" w:color="auto"/>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COPLEY</w:t>
            </w: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88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HAMPTON PROPERTIES, INC,</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4014 B MEDINA RD</w:t>
            </w:r>
          </w:p>
        </w:tc>
        <w:tc>
          <w:tcPr>
            <w:tcW w:w="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(FAIRLAWN)</w:t>
            </w:r>
          </w:p>
        </w:tc>
        <w:tc>
          <w:tcPr>
            <w:tcW w:w="34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1"/>
                <w:szCs w:val="11"/>
                <w:color w:val="auto"/>
              </w:rPr>
              <w:t>OH</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44333</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MSA MONTROSE LP</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125 GAGNON STREET, SUITE 201,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19075 I-45 SOUTH, Suite 400 PortofinoCenter</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SHENANDOAH</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9"/>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77385</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KRG PORTOFINO, LLC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KITE REALTY GROUP, LP,</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6"/>
              </w:rPr>
              <w:t>30 SOUTH MERIDIAN STREET, SUITE 1100,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1730 West Fullerton Ave, Unit 22</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CHICAGO</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60614</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CENTRUM PROPERTIES INC.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w w:val="95"/>
              </w:rPr>
              <w:t>225 WEST HUBBARD STREET, 4TH FLOOR,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CHICAGO, IL 60610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6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962 SOUTH Randall Road, Unit B</w:t>
            </w: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 CHARLES</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60174</w:t>
            </w:r>
          </w:p>
        </w:tc>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DiCARLO LP</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d/b/a FUNAI LLC, 223 WEST SPRING DR.,</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60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TWIN LAKES, WI 53181-9366 United States</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8" w:name="page179"/>
    <w:bookmarkEnd w:id="1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8"/>
        </w:trPr>
        <w:tc>
          <w:tcPr>
            <w:tcW w:w="30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Quartermaster Plaza 2306 W. Oregon Ave.Sp. F-3</w:t>
            </w:r>
          </w:p>
        </w:tc>
        <w:tc>
          <w:tcPr>
            <w:tcW w:w="11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PHILADELPHIA</w:t>
            </w:r>
          </w:p>
        </w:tc>
        <w:tc>
          <w:tcPr>
            <w:tcW w:w="34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1"/>
                <w:szCs w:val="11"/>
                <w:color w:val="auto"/>
                <w:w w:val="95"/>
              </w:rPr>
              <w:t>PA</w:t>
            </w:r>
          </w:p>
        </w:tc>
        <w:tc>
          <w:tcPr>
            <w:tcW w:w="4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1"/>
                <w:szCs w:val="11"/>
                <w:color w:val="auto"/>
              </w:rPr>
              <w:t>19145</w:t>
            </w:r>
          </w:p>
        </w:tc>
        <w:tc>
          <w:tcPr>
            <w:tcW w:w="21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1"/>
                <w:szCs w:val="11"/>
                <w:color w:val="auto"/>
              </w:rPr>
              <w:t>CEDAR QUARTERMASTER, LLC</w:t>
            </w:r>
          </w:p>
        </w:tc>
        <w:tc>
          <w:tcPr>
            <w:tcW w:w="2420" w:type="dxa"/>
            <w:vAlign w:val="bottom"/>
            <w:tcBorders>
              <w:top w:val="single" w:sz="8" w:color="auto"/>
              <w:right w:val="single" w:sz="8" w:color="auto"/>
            </w:tcBorders>
          </w:tcPr>
          <w:p>
            <w:pPr>
              <w:ind w:left="20"/>
              <w:spacing w:after="0" w:line="119" w:lineRule="exact"/>
              <w:rPr>
                <w:sz w:val="20"/>
                <w:szCs w:val="20"/>
                <w:color w:val="auto"/>
              </w:rPr>
            </w:pPr>
            <w:r>
              <w:rPr>
                <w:rFonts w:ascii="Arial" w:cs="Arial" w:eastAsia="Arial" w:hAnsi="Arial"/>
                <w:sz w:val="11"/>
                <w:szCs w:val="11"/>
                <w:color w:val="auto"/>
              </w:rPr>
              <w:t>VICE PRESIDENT,</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CEDAR REALTY TRUST, INC,</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89 RTE 17 SOUTH</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E. RUTHERFORD</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88"/>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07073</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LIBERTY COMMONS, LLC</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FSIG , LLC, 2025 ROUTE 27 SUITE 220,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EDISON, NJ 08817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8015 Citrus Park Drive</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TAMPA</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33625</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WSG CITRUS PARK,LLC</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WSG DEVELOPMENT CO,</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12000 BISCAYNE BLVD, SUITE 508,</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42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INLAND COMMERCIAL PROPERTY MGMT, INC,</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9410-A Skokie Blvd</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SKOKIE</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IL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60077</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INLAND SKOKIE FASHION SQUARE II</w:t>
            </w:r>
          </w:p>
        </w:tc>
        <w:tc>
          <w:tcPr>
            <w:tcW w:w="24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2901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BUTTERFIELD ROAD,</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42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MD MANAGEMENT, INC, 5201 JOHNSON DRIVE,</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8401 NORTH Mercier Avenue</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Kansas City</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64155</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BTGSI COMMERCIAL, LLC</w:t>
            </w:r>
          </w:p>
        </w:tc>
        <w:tc>
          <w:tcPr>
            <w:tcW w:w="24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SUITE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6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ALDERWOOD</w:t>
            </w:r>
          </w:p>
        </w:tc>
        <w:tc>
          <w:tcPr>
            <w:tcW w:w="242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w w:val="92"/>
              </w:rPr>
              <w:t>18323 BOTHELL EVERETT HIGHWAY, SUITE 380,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19220 Alderwood Mall Pkwy. Suite 130</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Lynwood</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0"/>
              </w:rPr>
              <w:t>WA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98036</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PARKWAYDEVELOPMENT, LLC</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MILL CREEK, WA 98012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2872 Highway 35 SOUTH</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Hazlet</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88"/>
              </w:rPr>
              <w:t>NJ</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07730</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JACKAPINO-TOLLEVSEN LLC</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33 SCHANCK ROAD,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HOLMDEL, NJ 07733 United States</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42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CBL &amp; ASSO.MGMT, INC/CBL CENTER STE 500,</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5240 Route 30</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Greensburg</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81"/>
              </w:rPr>
              <w:t>PA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15601</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CBL/WESTMORELAND MALL, LP</w:t>
            </w:r>
          </w:p>
        </w:tc>
        <w:tc>
          <w:tcPr>
            <w:tcW w:w="24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2030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HAMILTON PLACE BLVD,</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3750 VETERANS MEMORIAL BLVD</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METAIRIE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LA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70002</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3750 VETERANS, LLC</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450 WOODVINE AVENUE,</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METAIRIE, LA 70005</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17401 SOUTHcenter Pkwy. Suite 141</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TUKWILA</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0"/>
              </w:rPr>
              <w:t>WA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98188</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WINNERS 3 LLC</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117 EAST LOUISA STREET #230,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SEATTLE, WA 98102 United States</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Towers of Waterford Lakes 464 N AlafayaTrl. S 108</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ORLANDO</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32828</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DENO P. DIKEOU</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543 WYMORE ROAD NORTH, SUITE 106,</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MAITLAND, FL 32751</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6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NATIONAL REALTY &amp;DEVELOPMENT</w:t>
            </w:r>
          </w:p>
        </w:tc>
        <w:tc>
          <w:tcPr>
            <w:tcW w:w="242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3 MANHATTANVILLE ROAD,</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Orange Plaza 444 Route 211 East, Suite #3</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MIDDLEtown</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10940</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CORP.</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PURCHASE, NY 10577-2117</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6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LAKE SUCCESS SHOPPING</w:t>
            </w:r>
          </w:p>
        </w:tc>
        <w:tc>
          <w:tcPr>
            <w:tcW w:w="242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1526-A UNION TURNPIKE,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LAKE SUCCESS SHOP CNTR. 1444UNION TRNPKE</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NEW HYDE PARK</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11040</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CENTER,LLC</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NEW HYDE PARK, NY 11040</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296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ARROWHEAD TOWN CENTER 7530WEST BELL RD STE</w:t>
            </w:r>
          </w:p>
        </w:tc>
        <w:tc>
          <w:tcPr>
            <w:tcW w:w="11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ARROWHEAD 75 BELLDEVELOPMENT,</w:t>
            </w:r>
          </w:p>
        </w:tc>
        <w:tc>
          <w:tcPr>
            <w:tcW w:w="242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3131 EAST CAMELBACK ROAD, SUITE 110,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103A-B</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GLENDALE</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AZ</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85308</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LLC</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PHOENIX, AZ 85016</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42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CH REALTY III/CLACKAMAS, LLC, 3333 NEW</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29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24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HYDE</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8864 SE SUNNYSIDE RD</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CLACKAMAS</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6"/>
              </w:rPr>
              <w:t>OR</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97015</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PRK HOLDINGS IV LLC</w:t>
            </w:r>
          </w:p>
        </w:tc>
        <w:tc>
          <w:tcPr>
            <w:tcW w:w="242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rPr>
              <w:t>PARK RD, SUITE 100, NEW HYDE PARK, NY</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11042</w:t>
            </w:r>
          </w:p>
        </w:tc>
        <w:tc>
          <w:tcPr>
            <w:tcW w:w="0" w:type="dxa"/>
            <w:vAlign w:val="bottom"/>
          </w:tcPr>
          <w:p>
            <w:pPr>
              <w:spacing w:after="0"/>
              <w:rPr>
                <w:sz w:val="1"/>
                <w:szCs w:val="1"/>
                <w:color w:val="auto"/>
              </w:rPr>
            </w:pPr>
          </w:p>
        </w:tc>
      </w:tr>
      <w:tr>
        <w:trPr>
          <w:trHeight w:val="100"/>
        </w:trPr>
        <w:tc>
          <w:tcPr>
            <w:tcW w:w="300" w:type="dxa"/>
            <w:vAlign w:val="bottom"/>
            <w:tcBorders>
              <w:left w:val="single" w:sz="8" w:color="auto"/>
              <w:right w:val="single" w:sz="8" w:color="auto"/>
            </w:tcBorders>
          </w:tcPr>
          <w:p>
            <w:pPr>
              <w:spacing w:after="0"/>
              <w:rPr>
                <w:sz w:val="8"/>
                <w:szCs w:val="8"/>
                <w:color w:val="auto"/>
              </w:rPr>
            </w:pPr>
          </w:p>
        </w:tc>
        <w:tc>
          <w:tcPr>
            <w:tcW w:w="296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line="101" w:lineRule="exact"/>
              <w:rPr>
                <w:sz w:val="20"/>
                <w:szCs w:val="20"/>
                <w:color w:val="auto"/>
              </w:rPr>
            </w:pPr>
            <w:r>
              <w:rPr>
                <w:rFonts w:ascii="Arial" w:cs="Arial" w:eastAsia="Arial" w:hAnsi="Arial"/>
                <w:sz w:val="11"/>
                <w:szCs w:val="11"/>
                <w:color w:val="auto"/>
              </w:rPr>
              <w:t>RANCHO</w:t>
            </w: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2420" w:type="dxa"/>
            <w:vAlign w:val="bottom"/>
            <w:tcBorders>
              <w:right w:val="single" w:sz="8" w:color="auto"/>
            </w:tcBorders>
          </w:tcPr>
          <w:p>
            <w:pPr>
              <w:ind w:left="20"/>
              <w:spacing w:after="0" w:line="101" w:lineRule="exact"/>
              <w:rPr>
                <w:sz w:val="20"/>
                <w:szCs w:val="20"/>
                <w:color w:val="auto"/>
              </w:rPr>
            </w:pPr>
            <w:r>
              <w:rPr>
                <w:rFonts w:ascii="Arial" w:cs="Arial" w:eastAsia="Arial" w:hAnsi="Arial"/>
                <w:sz w:val="11"/>
                <w:szCs w:val="11"/>
                <w:color w:val="auto"/>
              </w:rPr>
              <w:t>564 NORTH SUNRISE AVE,</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12455 VICTORIA GARDENS LNSTE#170</w:t>
            </w: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CUCAMONGA</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CA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91739</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FIT DEVELOPMENT, LP</w:t>
            </w:r>
          </w:p>
        </w:tc>
        <w:tc>
          <w:tcPr>
            <w:tcW w:w="2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ROSEVILLE, CA 95661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BIG BEAVER CTR 2028 W. BIGBEAVER RD</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8"/>
              </w:rPr>
              <w:t>TROY (W. Big Beaver)</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MI</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48084</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BIG BEAVER CENTER LLC</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4036 TELEGRAPH ROAD, SUITE 201,</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BLOOMFIELD HILLS, MI 48302</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4001 RIVERDALE RD. #A</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OGDEN</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UT</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84405</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DAHLE INVESTMENTS, LTD</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6575 SO. REDWOOD ROAD, SUITE 100,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TAYLORSVILLE, UT 84123</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6170 SOUTH STATE STREET</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MURRAY</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UT</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84107</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DAHLE INVESTMENTS, LTD</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6575 SO. REDWOOD ROAD, SUITE 100,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TAYLORSVILLE, UT 84123</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tcPr>
          <w:p>
            <w:pPr>
              <w:spacing w:after="0"/>
              <w:rPr>
                <w:sz w:val="8"/>
                <w:szCs w:val="8"/>
                <w:color w:val="auto"/>
              </w:rPr>
            </w:pPr>
          </w:p>
        </w:tc>
        <w:tc>
          <w:tcPr>
            <w:tcW w:w="296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EXEC VP PRES. -LEASING, DDR CORP,</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MERIDIAN CROSSROADS 3427 E.FAIRVIEW AVE</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MERIDIAN (BOISE)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ID</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83642</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GS II MERIDIAN CROSSROADS LLC</w:t>
            </w:r>
          </w:p>
        </w:tc>
        <w:tc>
          <w:tcPr>
            <w:tcW w:w="242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1"/>
                <w:szCs w:val="11"/>
                <w:color w:val="auto"/>
                <w:w w:val="91"/>
              </w:rPr>
              <w:t>3300 ENTERPRISE PARKWAY, BEECHWOOD, OH</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44122</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585 SOUTH 24 WEST</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BILLINGS</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rPr>
              <w:t>MT</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59102</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DAHLE INVESTMENTS, LTD</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6575 SO. REDWOOD ROAD, SUITE 100,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TAYLORSVILLE, UT 84123</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2285 E. BASELINE RD.</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GILBERT</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AZ</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85234</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DAHLE INVESTMENTS, LTD</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6575 SO. REDWOOD ROAD, SUITE 100,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TAYLORSVILLE, UT 84123</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1505 Post Road East</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Westport</w:t>
            </w:r>
          </w:p>
        </w:tc>
        <w:tc>
          <w:tcPr>
            <w:tcW w:w="34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11"/>
                <w:szCs w:val="11"/>
                <w:color w:val="auto"/>
                <w:w w:val="95"/>
              </w:rPr>
              <w:t>CT</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06880</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TODD CORPORATION</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PETER GREEN,</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132 B PARTRICK AVE, NORWALK, CT 06851</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Shops at Stonebriar 2943 Preston RoadSuite 1450</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Frisco</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75034</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SHAFER PLAZA 06A, LLC</w:t>
            </w:r>
          </w:p>
        </w:tc>
        <w:tc>
          <w:tcPr>
            <w:tcW w:w="2420" w:type="dxa"/>
            <w:vAlign w:val="bottom"/>
            <w:tcBorders>
              <w:right w:val="single" w:sz="8" w:color="auto"/>
            </w:tcBorders>
          </w:tcPr>
          <w:p>
            <w:pPr>
              <w:ind w:left="20"/>
              <w:spacing w:after="0" w:line="99" w:lineRule="exact"/>
              <w:rPr>
                <w:sz w:val="20"/>
                <w:szCs w:val="20"/>
                <w:color w:val="auto"/>
              </w:rPr>
            </w:pPr>
            <w:r>
              <w:rPr>
                <w:rFonts w:ascii="Arial" w:cs="Arial" w:eastAsia="Arial" w:hAnsi="Arial"/>
                <w:sz w:val="11"/>
                <w:szCs w:val="11"/>
                <w:color w:val="auto"/>
              </w:rPr>
              <w:t>12411 VENTURA BLVD.,</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STUDIO CITY, CA 91604</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29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2420" w:type="dxa"/>
            <w:vAlign w:val="bottom"/>
            <w:tcBorders>
              <w:right w:val="single" w:sz="8" w:color="auto"/>
            </w:tcBorders>
          </w:tcPr>
          <w:p>
            <w:pPr>
              <w:ind w:left="20"/>
              <w:spacing w:after="0" w:line="88" w:lineRule="exact"/>
              <w:rPr>
                <w:sz w:val="20"/>
                <w:szCs w:val="20"/>
                <w:color w:val="auto"/>
              </w:rPr>
            </w:pPr>
            <w:r>
              <w:rPr>
                <w:rFonts w:ascii="Arial" w:cs="Arial" w:eastAsia="Arial" w:hAnsi="Arial"/>
                <w:sz w:val="10"/>
                <w:szCs w:val="10"/>
                <w:color w:val="auto"/>
              </w:rPr>
              <w:t>WEINGARTEN REALTY INVESTORS, PO BOX</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29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14182 East Cedar Avenue</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AURORA</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6"/>
              </w:rPr>
              <w:t>CO</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80012</w:t>
            </w:r>
          </w:p>
        </w:tc>
        <w:tc>
          <w:tcPr>
            <w:tcW w:w="21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WEINGARTEN MILLER AURORA IILLC</w:t>
            </w:r>
          </w:p>
        </w:tc>
        <w:tc>
          <w:tcPr>
            <w:tcW w:w="2420" w:type="dxa"/>
            <w:vAlign w:val="bottom"/>
            <w:tcBorders>
              <w:right w:val="single" w:sz="8" w:color="auto"/>
            </w:tcBorders>
          </w:tcPr>
          <w:p>
            <w:pPr>
              <w:ind w:left="20"/>
              <w:spacing w:after="0" w:line="121" w:lineRule="exact"/>
              <w:rPr>
                <w:sz w:val="20"/>
                <w:szCs w:val="20"/>
                <w:color w:val="auto"/>
              </w:rPr>
            </w:pPr>
            <w:r>
              <w:rPr>
                <w:rFonts w:ascii="Arial" w:cs="Arial" w:eastAsia="Arial" w:hAnsi="Arial"/>
                <w:sz w:val="11"/>
                <w:szCs w:val="11"/>
                <w:color w:val="auto"/>
              </w:rPr>
              <w:t>924133,</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2140" w:type="dxa"/>
            <w:vAlign w:val="bottom"/>
            <w:tcBorders>
              <w:bottom w:val="single" w:sz="8" w:color="auto"/>
              <w:right w:val="single" w:sz="8" w:color="auto"/>
            </w:tcBorders>
            <w:vMerge w:val="continue"/>
          </w:tcPr>
          <w:p>
            <w:pPr>
              <w:spacing w:after="0"/>
              <w:rPr>
                <w:sz w:val="10"/>
                <w:szCs w:val="10"/>
                <w:color w:val="auto"/>
              </w:rPr>
            </w:pPr>
          </w:p>
        </w:tc>
        <w:tc>
          <w:tcPr>
            <w:tcW w:w="2420" w:type="dxa"/>
            <w:vAlign w:val="bottom"/>
            <w:tcBorders>
              <w:bottom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HOUSTON, TX 77292</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79" w:name="page180"/>
    <w:bookmarkEnd w:id="1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300" w:type="dxa"/>
            <w:vAlign w:val="bottom"/>
            <w:tcBorders>
              <w:top w:val="single" w:sz="8" w:color="auto"/>
              <w:left w:val="single" w:sz="8" w:color="auto"/>
              <w:right w:val="single" w:sz="8" w:color="auto"/>
            </w:tcBorders>
          </w:tcPr>
          <w:p>
            <w:pPr>
              <w:spacing w:after="0"/>
              <w:rPr>
                <w:sz w:val="9"/>
                <w:szCs w:val="9"/>
                <w:color w:val="auto"/>
              </w:rPr>
            </w:pPr>
          </w:p>
        </w:tc>
        <w:tc>
          <w:tcPr>
            <w:tcW w:w="3200" w:type="dxa"/>
            <w:vAlign w:val="bottom"/>
            <w:tcBorders>
              <w:top w:val="single" w:sz="8" w:color="auto"/>
              <w:right w:val="single" w:sz="8" w:color="auto"/>
            </w:tcBorders>
          </w:tcPr>
          <w:p>
            <w:pPr>
              <w:spacing w:after="0"/>
              <w:rPr>
                <w:sz w:val="9"/>
                <w:szCs w:val="9"/>
                <w:color w:val="auto"/>
              </w:rPr>
            </w:pPr>
          </w:p>
        </w:tc>
        <w:tc>
          <w:tcPr>
            <w:tcW w:w="1360" w:type="dxa"/>
            <w:vAlign w:val="bottom"/>
            <w:tcBorders>
              <w:top w:val="single" w:sz="8" w:color="auto"/>
              <w:right w:val="single" w:sz="8" w:color="auto"/>
            </w:tcBorders>
          </w:tcPr>
          <w:p>
            <w:pPr>
              <w:spacing w:after="0"/>
              <w:rPr>
                <w:sz w:val="9"/>
                <w:szCs w:val="9"/>
                <w:color w:val="auto"/>
              </w:rPr>
            </w:pPr>
          </w:p>
        </w:tc>
        <w:tc>
          <w:tcPr>
            <w:tcW w:w="340" w:type="dxa"/>
            <w:vAlign w:val="bottom"/>
            <w:tcBorders>
              <w:top w:val="single" w:sz="8" w:color="auto"/>
              <w:right w:val="single" w:sz="8" w:color="auto"/>
            </w:tcBorders>
          </w:tcPr>
          <w:p>
            <w:pPr>
              <w:spacing w:after="0"/>
              <w:rPr>
                <w:sz w:val="9"/>
                <w:szCs w:val="9"/>
                <w:color w:val="auto"/>
              </w:rPr>
            </w:pPr>
          </w:p>
        </w:tc>
        <w:tc>
          <w:tcPr>
            <w:tcW w:w="400" w:type="dxa"/>
            <w:vAlign w:val="bottom"/>
            <w:tcBorders>
              <w:top w:val="single" w:sz="8" w:color="auto"/>
              <w:right w:val="single" w:sz="8" w:color="auto"/>
            </w:tcBorders>
          </w:tcPr>
          <w:p>
            <w:pPr>
              <w:spacing w:after="0"/>
              <w:rPr>
                <w:sz w:val="9"/>
                <w:szCs w:val="9"/>
                <w:color w:val="auto"/>
              </w:rPr>
            </w:pPr>
          </w:p>
        </w:tc>
        <w:tc>
          <w:tcPr>
            <w:tcW w:w="1880" w:type="dxa"/>
            <w:vAlign w:val="bottom"/>
            <w:tcBorders>
              <w:top w:val="single" w:sz="8" w:color="auto"/>
              <w:right w:val="single" w:sz="8" w:color="auto"/>
            </w:tcBorders>
          </w:tcPr>
          <w:p>
            <w:pPr>
              <w:spacing w:after="0"/>
              <w:rPr>
                <w:sz w:val="9"/>
                <w:szCs w:val="9"/>
                <w:color w:val="auto"/>
              </w:rPr>
            </w:pPr>
          </w:p>
        </w:tc>
        <w:tc>
          <w:tcPr>
            <w:tcW w:w="2220" w:type="dxa"/>
            <w:vAlign w:val="bottom"/>
            <w:tcBorders>
              <w:top w:val="single" w:sz="8" w:color="auto"/>
              <w:right w:val="single" w:sz="8" w:color="auto"/>
            </w:tcBorders>
          </w:tcPr>
          <w:p>
            <w:pPr>
              <w:spacing w:after="0" w:line="108" w:lineRule="exact"/>
              <w:rPr>
                <w:sz w:val="20"/>
                <w:szCs w:val="20"/>
                <w:color w:val="auto"/>
              </w:rPr>
            </w:pPr>
            <w:r>
              <w:rPr>
                <w:rFonts w:ascii="Arial" w:cs="Arial" w:eastAsia="Arial" w:hAnsi="Arial"/>
                <w:sz w:val="11"/>
                <w:szCs w:val="11"/>
                <w:color w:val="auto"/>
              </w:rPr>
              <w:t>PETER W. FELDMAN, THE MORRIS</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MORRIS MILLENIA ASSOCIATES,</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COMPANIES, 15155</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Millenia Crossing 4012 Eastgate Drive,Suite F100</w:t>
            </w: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Orlando</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3"/>
              </w:rPr>
              <w:t>FL</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32839</w:t>
            </w:r>
          </w:p>
        </w:tc>
        <w:tc>
          <w:tcPr>
            <w:tcW w:w="1880" w:type="dxa"/>
            <w:vAlign w:val="bottom"/>
            <w:tcBorders>
              <w:right w:val="single" w:sz="8" w:color="auto"/>
            </w:tcBorders>
            <w:vMerge w:val="continue"/>
          </w:tcPr>
          <w:p>
            <w:pPr>
              <w:spacing w:after="0"/>
              <w:rPr>
                <w:sz w:val="9"/>
                <w:szCs w:val="9"/>
                <w:color w:val="auto"/>
              </w:rPr>
            </w:pPr>
          </w:p>
        </w:tc>
        <w:tc>
          <w:tcPr>
            <w:tcW w:w="222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w w:val="99"/>
              </w:rPr>
              <w:t>MICHELANGELO BLVD, STE 102, DELRAY</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20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tcBorders>
              <w:bottom w:val="single" w:sz="8" w:color="auto"/>
              <w:right w:val="single" w:sz="8" w:color="auto"/>
            </w:tcBorders>
            <w:vMerge w:val="continue"/>
          </w:tcPr>
          <w:p>
            <w:pPr>
              <w:spacing w:after="0"/>
              <w:rPr>
                <w:sz w:val="11"/>
                <w:szCs w:val="11"/>
                <w:color w:val="auto"/>
              </w:rPr>
            </w:pPr>
          </w:p>
        </w:tc>
        <w:tc>
          <w:tcPr>
            <w:tcW w:w="3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right w:val="single" w:sz="8" w:color="auto"/>
            </w:tcBorders>
            <w:vMerge w:val="continue"/>
          </w:tcPr>
          <w:p>
            <w:pPr>
              <w:spacing w:after="0"/>
              <w:rPr>
                <w:sz w:val="11"/>
                <w:szCs w:val="11"/>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LLC</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BEACH, FL</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429 SOUTH Associated Road</w:t>
            </w: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Brea</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CA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92821</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BPI BREA LLC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6905 TELEGRAPH ROAD, SUITE 340,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20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BLOOMFIELD HILLS, MI 48301</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2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PRESIDENT/PROP MGMT, RPAI SOUTHWEST</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HUMBLEWOOD SHOPPING CENTER10010 FM 1960 BYPASS</w:t>
            </w:r>
          </w:p>
        </w:tc>
        <w:tc>
          <w:tcPr>
            <w:tcW w:w="136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MGMT LLC,</w:t>
            </w:r>
          </w:p>
        </w:tc>
        <w:tc>
          <w:tcPr>
            <w:tcW w:w="0" w:type="dxa"/>
            <w:vAlign w:val="bottom"/>
          </w:tcPr>
          <w:p>
            <w:pPr>
              <w:spacing w:after="0"/>
              <w:rPr>
                <w:sz w:val="1"/>
                <w:szCs w:val="1"/>
                <w:color w:val="auto"/>
              </w:rPr>
            </w:pPr>
          </w:p>
        </w:tc>
      </w:tr>
      <w:tr>
        <w:trPr>
          <w:trHeight w:val="104"/>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HUMBLE</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TX</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77338</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WESTERNHUMBLEWOOD LP</w:t>
            </w:r>
          </w:p>
        </w:tc>
        <w:tc>
          <w:tcPr>
            <w:tcW w:w="222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rPr>
              <w:t>2021 SPRING ROAD, SUITE 200, OAK</w:t>
            </w:r>
          </w:p>
        </w:tc>
        <w:tc>
          <w:tcPr>
            <w:tcW w:w="0" w:type="dxa"/>
            <w:vAlign w:val="bottom"/>
          </w:tcPr>
          <w:p>
            <w:pPr>
              <w:spacing w:after="0"/>
              <w:rPr>
                <w:sz w:val="1"/>
                <w:szCs w:val="1"/>
                <w:color w:val="auto"/>
              </w:rPr>
            </w:pPr>
          </w:p>
        </w:tc>
      </w:tr>
      <w:tr>
        <w:trPr>
          <w:trHeight w:val="131"/>
        </w:trPr>
        <w:tc>
          <w:tcPr>
            <w:tcW w:w="3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ROAD WEST</w:t>
            </w:r>
          </w:p>
        </w:tc>
        <w:tc>
          <w:tcPr>
            <w:tcW w:w="1360" w:type="dxa"/>
            <w:vAlign w:val="bottom"/>
            <w:tcBorders>
              <w:bottom w:val="single" w:sz="8" w:color="auto"/>
              <w:right w:val="single" w:sz="8" w:color="auto"/>
            </w:tcBorders>
            <w:vMerge w:val="continue"/>
          </w:tcPr>
          <w:p>
            <w:pPr>
              <w:spacing w:after="0"/>
              <w:rPr>
                <w:sz w:val="11"/>
                <w:szCs w:val="11"/>
                <w:color w:val="auto"/>
              </w:rPr>
            </w:pPr>
          </w:p>
        </w:tc>
        <w:tc>
          <w:tcPr>
            <w:tcW w:w="340" w:type="dxa"/>
            <w:vAlign w:val="bottom"/>
            <w:tcBorders>
              <w:bottom w:val="single" w:sz="8" w:color="auto"/>
              <w:right w:val="single" w:sz="8" w:color="auto"/>
            </w:tcBorders>
            <w:vMerge w:val="continue"/>
          </w:tcPr>
          <w:p>
            <w:pPr>
              <w:spacing w:after="0"/>
              <w:rPr>
                <w:sz w:val="11"/>
                <w:szCs w:val="11"/>
                <w:color w:val="auto"/>
              </w:rPr>
            </w:pPr>
          </w:p>
        </w:tc>
        <w:tc>
          <w:tcPr>
            <w:tcW w:w="400" w:type="dxa"/>
            <w:vAlign w:val="bottom"/>
            <w:tcBorders>
              <w:bottom w:val="single" w:sz="8" w:color="auto"/>
              <w:right w:val="single" w:sz="8" w:color="auto"/>
            </w:tcBorders>
            <w:vMerge w:val="continue"/>
          </w:tcPr>
          <w:p>
            <w:pPr>
              <w:spacing w:after="0"/>
              <w:rPr>
                <w:sz w:val="11"/>
                <w:szCs w:val="11"/>
                <w:color w:val="auto"/>
              </w:rPr>
            </w:pPr>
          </w:p>
        </w:tc>
        <w:tc>
          <w:tcPr>
            <w:tcW w:w="1880" w:type="dxa"/>
            <w:vAlign w:val="bottom"/>
            <w:tcBorders>
              <w:bottom w:val="single" w:sz="8" w:color="auto"/>
              <w:right w:val="single" w:sz="8" w:color="auto"/>
            </w:tcBorders>
            <w:vMerge w:val="continue"/>
          </w:tcPr>
          <w:p>
            <w:pPr>
              <w:spacing w:after="0"/>
              <w:rPr>
                <w:sz w:val="11"/>
                <w:szCs w:val="11"/>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BROOK, IL 60523</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2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M&amp;J-BIG WATERFRONT</w:t>
            </w: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M&amp;J WILKOW PROPERTIES, LLC, 180</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32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222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NORTH MICHIGAN</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THE WATERFRONT 280 EWATERFRONT DR</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HOMESTEAD</w:t>
            </w:r>
          </w:p>
        </w:tc>
        <w:tc>
          <w:tcPr>
            <w:tcW w:w="340" w:type="dxa"/>
            <w:vAlign w:val="bottom"/>
            <w:tcBorders>
              <w:bottom w:val="single" w:sz="8" w:color="auto"/>
              <w:right w:val="single" w:sz="8" w:color="auto"/>
            </w:tcBorders>
          </w:tcPr>
          <w:p>
            <w:pPr>
              <w:jc w:val="center"/>
              <w:ind w:left="23"/>
              <w:spacing w:after="0"/>
              <w:rPr>
                <w:sz w:val="20"/>
                <w:szCs w:val="20"/>
                <w:color w:val="auto"/>
              </w:rPr>
            </w:pPr>
            <w:r>
              <w:rPr>
                <w:rFonts w:ascii="Arial" w:cs="Arial" w:eastAsia="Arial" w:hAnsi="Arial"/>
                <w:sz w:val="11"/>
                <w:szCs w:val="11"/>
                <w:color w:val="auto"/>
                <w:w w:val="95"/>
              </w:rPr>
              <w:t>PA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15120</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MARKETAMITY, LLC</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AVE, SUITE 200, CHICAGO, IL 60601</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2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FRANZ A. GEIGER, NP LIMITED</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tcPr>
          <w:p>
            <w:pPr>
              <w:spacing w:after="0"/>
              <w:rPr>
                <w:sz w:val="10"/>
                <w:szCs w:val="10"/>
                <w:color w:val="auto"/>
              </w:rPr>
            </w:pPr>
          </w:p>
        </w:tc>
        <w:tc>
          <w:tcPr>
            <w:tcW w:w="320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PARTNERSHIP,</w:t>
            </w:r>
          </w:p>
        </w:tc>
        <w:tc>
          <w:tcPr>
            <w:tcW w:w="0" w:type="dxa"/>
            <w:vAlign w:val="bottom"/>
          </w:tcPr>
          <w:p>
            <w:pPr>
              <w:spacing w:after="0"/>
              <w:rPr>
                <w:sz w:val="1"/>
                <w:szCs w:val="1"/>
                <w:color w:val="auto"/>
              </w:rPr>
            </w:pPr>
          </w:p>
        </w:tc>
      </w:tr>
      <w:tr>
        <w:trPr>
          <w:trHeight w:val="11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GEMINI PLACE TOWNE CTR 1424GEMINI PLACE</w:t>
            </w: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COLUMBUS</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w w:val="96"/>
              </w:rPr>
              <w:t>OH</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43240</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GPTC 3, LLC</w:t>
            </w:r>
          </w:p>
        </w:tc>
        <w:tc>
          <w:tcPr>
            <w:tcW w:w="22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w w:val="97"/>
              </w:rPr>
              <w:t>8800 LYRA DRIVE, SUITE 550, COLUMBUS,</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20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OH 43240</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MISSION VALLEY MALL 1640 CAMINODEL RIO NORTH</w:t>
            </w:r>
          </w:p>
        </w:tc>
        <w:tc>
          <w:tcPr>
            <w:tcW w:w="13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MISSION VALLEY</w:t>
            </w: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LEGAL DEPARTMENT, 2049 CENTURY PARK</w:t>
            </w:r>
          </w:p>
        </w:tc>
        <w:tc>
          <w:tcPr>
            <w:tcW w:w="0" w:type="dxa"/>
            <w:vAlign w:val="bottom"/>
          </w:tcPr>
          <w:p>
            <w:pPr>
              <w:spacing w:after="0"/>
              <w:rPr>
                <w:sz w:val="1"/>
                <w:szCs w:val="1"/>
                <w:color w:val="auto"/>
              </w:rPr>
            </w:pPr>
          </w:p>
        </w:tc>
      </w:tr>
      <w:tr>
        <w:trPr>
          <w:trHeight w:val="113"/>
        </w:trPr>
        <w:tc>
          <w:tcPr>
            <w:tcW w:w="300" w:type="dxa"/>
            <w:vAlign w:val="bottom"/>
            <w:tcBorders>
              <w:left w:val="single" w:sz="8" w:color="auto"/>
              <w:right w:val="single" w:sz="8" w:color="auto"/>
            </w:tcBorders>
          </w:tcPr>
          <w:p>
            <w:pPr>
              <w:spacing w:after="0"/>
              <w:rPr>
                <w:sz w:val="9"/>
                <w:szCs w:val="9"/>
                <w:color w:val="auto"/>
              </w:rPr>
            </w:pPr>
          </w:p>
        </w:tc>
        <w:tc>
          <w:tcPr>
            <w:tcW w:w="3200" w:type="dxa"/>
            <w:vAlign w:val="bottom"/>
            <w:tcBorders>
              <w:right w:val="single" w:sz="8" w:color="auto"/>
            </w:tcBorders>
            <w:vMerge w:val="continue"/>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2220" w:type="dxa"/>
            <w:vAlign w:val="bottom"/>
            <w:tcBorders>
              <w:right w:val="single" w:sz="8" w:color="auto"/>
            </w:tcBorders>
          </w:tcPr>
          <w:p>
            <w:pPr>
              <w:spacing w:after="0" w:line="113" w:lineRule="exact"/>
              <w:rPr>
                <w:sz w:val="20"/>
                <w:szCs w:val="20"/>
                <w:color w:val="auto"/>
              </w:rPr>
            </w:pPr>
            <w:r>
              <w:rPr>
                <w:rFonts w:ascii="Arial" w:cs="Arial" w:eastAsia="Arial" w:hAnsi="Arial"/>
                <w:sz w:val="11"/>
                <w:szCs w:val="11"/>
                <w:color w:val="auto"/>
              </w:rPr>
              <w:t>EAST, 41ST</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SUITE 180</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SAN DIEGO</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CA</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92108</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SHOPPINGTOWNLLC</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FLOOR,</w:t>
            </w:r>
          </w:p>
        </w:tc>
        <w:tc>
          <w:tcPr>
            <w:tcW w:w="0" w:type="dxa"/>
            <w:vAlign w:val="bottom"/>
          </w:tcPr>
          <w:p>
            <w:pPr>
              <w:spacing w:after="0"/>
              <w:rPr>
                <w:sz w:val="1"/>
                <w:szCs w:val="1"/>
                <w:color w:val="auto"/>
              </w:rPr>
            </w:pPr>
          </w:p>
        </w:tc>
      </w:tr>
      <w:tr>
        <w:trPr>
          <w:trHeight w:val="151"/>
        </w:trPr>
        <w:tc>
          <w:tcPr>
            <w:tcW w:w="300" w:type="dxa"/>
            <w:vAlign w:val="bottom"/>
            <w:tcBorders>
              <w:left w:val="single" w:sz="8" w:color="auto"/>
              <w:right w:val="single" w:sz="8" w:color="auto"/>
            </w:tcBorders>
          </w:tcPr>
          <w:p>
            <w:pPr>
              <w:spacing w:after="0"/>
              <w:rPr>
                <w:sz w:val="13"/>
                <w:szCs w:val="13"/>
                <w:color w:val="auto"/>
              </w:rPr>
            </w:pPr>
          </w:p>
        </w:tc>
        <w:tc>
          <w:tcPr>
            <w:tcW w:w="3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VILLAGE CHAGRIN PARTNERS,</w:t>
            </w:r>
          </w:p>
        </w:tc>
        <w:tc>
          <w:tcPr>
            <w:tcW w:w="22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23250 CHAGRIN BLVD., SUITE 255,</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VILLAGE SQUARE SHOPPING CTR27079 CHAGRIN BLVD</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WOODMERE (MENTOR)</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w w:val="96"/>
              </w:rPr>
              <w:t>OH</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44122</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LLC</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BEECHWOOD, OH 44122</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2194 RICHMOND AVENUE</w:t>
            </w: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STATEN ISLAND</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10314</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PIER I IMPORTS (US), INC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PO BOX 961020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20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FORT WORTH, TX 76161-0020</w:t>
            </w:r>
          </w:p>
        </w:tc>
        <w:tc>
          <w:tcPr>
            <w:tcW w:w="0" w:type="dxa"/>
            <w:vAlign w:val="bottom"/>
          </w:tcPr>
          <w:p>
            <w:pPr>
              <w:spacing w:after="0"/>
              <w:rPr>
                <w:sz w:val="1"/>
                <w:szCs w:val="1"/>
                <w:color w:val="auto"/>
              </w:rPr>
            </w:pPr>
          </w:p>
        </w:tc>
      </w:tr>
      <w:tr>
        <w:trPr>
          <w:trHeight w:val="110"/>
        </w:trPr>
        <w:tc>
          <w:tcPr>
            <w:tcW w:w="300" w:type="dxa"/>
            <w:vAlign w:val="bottom"/>
            <w:tcBorders>
              <w:left w:val="single" w:sz="8" w:color="auto"/>
              <w:right w:val="single" w:sz="8" w:color="auto"/>
            </w:tcBorders>
          </w:tcPr>
          <w:p>
            <w:pPr>
              <w:spacing w:after="0"/>
              <w:rPr>
                <w:sz w:val="9"/>
                <w:szCs w:val="9"/>
                <w:color w:val="auto"/>
              </w:rPr>
            </w:pPr>
          </w:p>
        </w:tc>
        <w:tc>
          <w:tcPr>
            <w:tcW w:w="32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LLOYD CROSSING</w:t>
            </w:r>
          </w:p>
        </w:tc>
        <w:tc>
          <w:tcPr>
            <w:tcW w:w="2220" w:type="dxa"/>
            <w:vAlign w:val="bottom"/>
            <w:tcBorders>
              <w:right w:val="single" w:sz="8" w:color="auto"/>
            </w:tcBorders>
          </w:tcPr>
          <w:p>
            <w:pPr>
              <w:spacing w:after="0" w:line="111" w:lineRule="exact"/>
              <w:rPr>
                <w:sz w:val="20"/>
                <w:szCs w:val="20"/>
                <w:color w:val="auto"/>
              </w:rPr>
            </w:pPr>
            <w:r>
              <w:rPr>
                <w:rFonts w:ascii="Arial" w:cs="Arial" w:eastAsia="Arial" w:hAnsi="Arial"/>
                <w:sz w:val="11"/>
                <w:szCs w:val="11"/>
                <w:color w:val="auto"/>
              </w:rPr>
              <w:t>600 EAST 96TH STREET, SUITE 150,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131 N BURKHARDT ROAD SUITE 127</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EVANSVILLE</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IN</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47715</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SHOPPINGCENTER, LLC</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INDIANAPOLIS, IN 46240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438 SOUTHBRIDGE STREET</w:t>
            </w: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9"/>
              </w:rPr>
              <w:t>AUBURN(SHREWSBURY)</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MA</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01501</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THREE LAKES LLC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SALTER &amp; KAHN, INC,</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20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w w:val="92"/>
              </w:rPr>
              <w:t>359 BOYLSTON STREET, BOSTON, MA 02116</w:t>
            </w:r>
          </w:p>
        </w:tc>
        <w:tc>
          <w:tcPr>
            <w:tcW w:w="0" w:type="dxa"/>
            <w:vAlign w:val="bottom"/>
          </w:tcPr>
          <w:p>
            <w:pPr>
              <w:spacing w:after="0"/>
              <w:rPr>
                <w:sz w:val="1"/>
                <w:szCs w:val="1"/>
                <w:color w:val="auto"/>
              </w:rPr>
            </w:pPr>
          </w:p>
        </w:tc>
      </w:tr>
      <w:tr>
        <w:trPr>
          <w:trHeight w:val="16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189 SOUTH BROADWAY RTE 28</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SALEM</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NH</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03079</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GARABEDIAN FAMILY TRUST</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352 S. BROADWAY, SALEM, NH 03079</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right w:val="single" w:sz="8" w:color="auto"/>
            </w:tcBorders>
          </w:tcPr>
          <w:p>
            <w:pPr>
              <w:spacing w:after="0"/>
              <w:rPr>
                <w:sz w:val="7"/>
                <w:szCs w:val="7"/>
                <w:color w:val="auto"/>
              </w:rPr>
            </w:pPr>
          </w:p>
        </w:tc>
        <w:tc>
          <w:tcPr>
            <w:tcW w:w="320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222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C/O MENIN DEVELOPMENT, INC., 324</w:t>
            </w:r>
          </w:p>
        </w:tc>
        <w:tc>
          <w:tcPr>
            <w:tcW w:w="0" w:type="dxa"/>
            <w:vAlign w:val="bottom"/>
          </w:tcPr>
          <w:p>
            <w:pPr>
              <w:spacing w:after="0"/>
              <w:rPr>
                <w:sz w:val="1"/>
                <w:szCs w:val="1"/>
                <w:color w:val="auto"/>
              </w:rPr>
            </w:pPr>
          </w:p>
        </w:tc>
      </w:tr>
      <w:tr>
        <w:trPr>
          <w:trHeight w:val="121"/>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MAGNOLIA PARK 1025 WOODRUFFROAD</w:t>
            </w: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GREENVILLE</w:t>
            </w:r>
          </w:p>
        </w:tc>
        <w:tc>
          <w:tcPr>
            <w:tcW w:w="340" w:type="dxa"/>
            <w:vAlign w:val="bottom"/>
            <w:tcBorders>
              <w:right w:val="single" w:sz="8" w:color="auto"/>
            </w:tcBorders>
            <w:vMerge w:val="restart"/>
          </w:tcPr>
          <w:p>
            <w:pPr>
              <w:jc w:val="center"/>
              <w:ind w:left="23"/>
              <w:spacing w:after="0"/>
              <w:rPr>
                <w:sz w:val="20"/>
                <w:szCs w:val="20"/>
                <w:color w:val="auto"/>
              </w:rPr>
            </w:pPr>
            <w:r>
              <w:rPr>
                <w:rFonts w:ascii="Arial" w:cs="Arial" w:eastAsia="Arial" w:hAnsi="Arial"/>
                <w:sz w:val="11"/>
                <w:szCs w:val="11"/>
                <w:color w:val="auto"/>
                <w:w w:val="91"/>
              </w:rPr>
              <w:t>SC</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29607</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MAGNOLIA PARK, LLC</w:t>
            </w:r>
          </w:p>
        </w:tc>
        <w:tc>
          <w:tcPr>
            <w:tcW w:w="2220" w:type="dxa"/>
            <w:vAlign w:val="bottom"/>
            <w:tcBorders>
              <w:right w:val="single" w:sz="8" w:color="auto"/>
            </w:tcBorders>
          </w:tcPr>
          <w:p>
            <w:pPr>
              <w:spacing w:after="0" w:line="121" w:lineRule="exact"/>
              <w:rPr>
                <w:sz w:val="20"/>
                <w:szCs w:val="20"/>
                <w:color w:val="auto"/>
              </w:rPr>
            </w:pPr>
            <w:r>
              <w:rPr>
                <w:rFonts w:ascii="Arial" w:cs="Arial" w:eastAsia="Arial" w:hAnsi="Arial"/>
                <w:sz w:val="11"/>
                <w:szCs w:val="11"/>
                <w:color w:val="auto"/>
              </w:rPr>
              <w:t>ROYAL PALM</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20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WAY, SUITE 100, PALM BEACH, FL 33480</w:t>
            </w:r>
          </w:p>
        </w:tc>
        <w:tc>
          <w:tcPr>
            <w:tcW w:w="0" w:type="dxa"/>
            <w:vAlign w:val="bottom"/>
          </w:tcPr>
          <w:p>
            <w:pPr>
              <w:spacing w:after="0"/>
              <w:rPr>
                <w:sz w:val="1"/>
                <w:szCs w:val="1"/>
                <w:color w:val="auto"/>
              </w:rPr>
            </w:pPr>
          </w:p>
        </w:tc>
      </w:tr>
      <w:tr>
        <w:trPr>
          <w:trHeight w:val="98"/>
        </w:trPr>
        <w:tc>
          <w:tcPr>
            <w:tcW w:w="3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9 MALL PLAZA 1830 SOUTH RD STE114</w:t>
            </w:r>
          </w:p>
        </w:tc>
        <w:tc>
          <w:tcPr>
            <w:tcW w:w="13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WAPPINGERS FALLS</w:t>
            </w:r>
          </w:p>
        </w:tc>
        <w:tc>
          <w:tcPr>
            <w:tcW w:w="34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11"/>
                <w:szCs w:val="11"/>
                <w:color w:val="auto"/>
              </w:rPr>
              <w:t>NY</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12590</w:t>
            </w:r>
          </w:p>
        </w:tc>
        <w:tc>
          <w:tcPr>
            <w:tcW w:w="18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NINE MALL INVESTORS, LLC</w:t>
            </w:r>
          </w:p>
        </w:tc>
        <w:tc>
          <w:tcPr>
            <w:tcW w:w="2220" w:type="dxa"/>
            <w:vAlign w:val="bottom"/>
            <w:tcBorders>
              <w:right w:val="single" w:sz="8" w:color="auto"/>
            </w:tcBorders>
          </w:tcPr>
          <w:p>
            <w:pPr>
              <w:spacing w:after="0" w:line="99" w:lineRule="exact"/>
              <w:rPr>
                <w:sz w:val="20"/>
                <w:szCs w:val="20"/>
                <w:color w:val="auto"/>
              </w:rPr>
            </w:pPr>
            <w:r>
              <w:rPr>
                <w:rFonts w:ascii="Arial" w:cs="Arial" w:eastAsia="Arial" w:hAnsi="Arial"/>
                <w:sz w:val="11"/>
                <w:szCs w:val="11"/>
                <w:color w:val="auto"/>
              </w:rPr>
              <w:t>1680 ROUTE 23 NORTH, SUITE 330,</w:t>
            </w:r>
          </w:p>
        </w:tc>
        <w:tc>
          <w:tcPr>
            <w:tcW w:w="0" w:type="dxa"/>
            <w:vAlign w:val="bottom"/>
          </w:tcPr>
          <w:p>
            <w:pPr>
              <w:spacing w:after="0"/>
              <w:rPr>
                <w:sz w:val="1"/>
                <w:szCs w:val="1"/>
                <w:color w:val="auto"/>
              </w:rPr>
            </w:pPr>
          </w:p>
        </w:tc>
      </w:tr>
      <w:tr>
        <w:trPr>
          <w:trHeight w:val="124"/>
        </w:trPr>
        <w:tc>
          <w:tcPr>
            <w:tcW w:w="3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3200" w:type="dxa"/>
            <w:vAlign w:val="bottom"/>
            <w:tcBorders>
              <w:bottom w:val="single" w:sz="8" w:color="auto"/>
              <w:right w:val="single" w:sz="8" w:color="auto"/>
            </w:tcBorders>
            <w:vMerge w:val="continue"/>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right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vMerge w:val="continue"/>
          </w:tcPr>
          <w:p>
            <w:pPr>
              <w:spacing w:after="0"/>
              <w:rPr>
                <w:sz w:val="10"/>
                <w:szCs w:val="10"/>
                <w:color w:val="auto"/>
              </w:rPr>
            </w:pPr>
          </w:p>
        </w:tc>
        <w:tc>
          <w:tcPr>
            <w:tcW w:w="1880" w:type="dxa"/>
            <w:vAlign w:val="bottom"/>
            <w:tcBorders>
              <w:bottom w:val="single" w:sz="8" w:color="auto"/>
              <w:right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line="124" w:lineRule="exact"/>
              <w:rPr>
                <w:sz w:val="20"/>
                <w:szCs w:val="20"/>
                <w:color w:val="auto"/>
              </w:rPr>
            </w:pPr>
            <w:r>
              <w:rPr>
                <w:rFonts w:ascii="Arial" w:cs="Arial" w:eastAsia="Arial" w:hAnsi="Arial"/>
                <w:sz w:val="11"/>
                <w:szCs w:val="11"/>
                <w:color w:val="auto"/>
              </w:rPr>
              <w:t>WAYNE, NJ 07470</w:t>
            </w:r>
          </w:p>
        </w:tc>
        <w:tc>
          <w:tcPr>
            <w:tcW w:w="0" w:type="dxa"/>
            <w:vAlign w:val="bottom"/>
          </w:tcPr>
          <w:p>
            <w:pPr>
              <w:spacing w:after="0"/>
              <w:rPr>
                <w:sz w:val="1"/>
                <w:szCs w:val="1"/>
                <w:color w:val="auto"/>
              </w:rPr>
            </w:pPr>
          </w:p>
        </w:tc>
      </w:tr>
      <w:tr>
        <w:trPr>
          <w:trHeight w:val="151"/>
        </w:trPr>
        <w:tc>
          <w:tcPr>
            <w:tcW w:w="300" w:type="dxa"/>
            <w:vAlign w:val="bottom"/>
            <w:tcBorders>
              <w:left w:val="single" w:sz="8" w:color="auto"/>
              <w:right w:val="single" w:sz="8" w:color="auto"/>
            </w:tcBorders>
          </w:tcPr>
          <w:p>
            <w:pPr>
              <w:spacing w:after="0"/>
              <w:rPr>
                <w:sz w:val="13"/>
                <w:szCs w:val="13"/>
                <w:color w:val="auto"/>
              </w:rPr>
            </w:pPr>
          </w:p>
        </w:tc>
        <w:tc>
          <w:tcPr>
            <w:tcW w:w="32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THE GREWE LIMITED</w:t>
            </w:r>
          </w:p>
        </w:tc>
        <w:tc>
          <w:tcPr>
            <w:tcW w:w="22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9109 WATSON ROAD, SUITE 400,</w:t>
            </w:r>
          </w:p>
        </w:tc>
        <w:tc>
          <w:tcPr>
            <w:tcW w:w="0" w:type="dxa"/>
            <w:vAlign w:val="bottom"/>
          </w:tcPr>
          <w:p>
            <w:pPr>
              <w:spacing w:after="0"/>
              <w:rPr>
                <w:sz w:val="1"/>
                <w:szCs w:val="1"/>
                <w:color w:val="auto"/>
              </w:rPr>
            </w:pPr>
          </w:p>
        </w:tc>
      </w:tr>
      <w:tr>
        <w:trPr>
          <w:trHeight w:val="132"/>
        </w:trPr>
        <w:tc>
          <w:tcPr>
            <w:tcW w:w="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w w:val="83"/>
              </w:rPr>
              <w:t>Store</w:t>
            </w: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MID RIVERS PLAZA 247 MID RIVERMALL DRIVE SPACE 16</w:t>
            </w: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SAINT PETERS</w:t>
            </w:r>
          </w:p>
        </w:tc>
        <w:tc>
          <w:tcPr>
            <w:tcW w:w="340" w:type="dxa"/>
            <w:vAlign w:val="bottom"/>
            <w:tcBorders>
              <w:bottom w:val="single" w:sz="8" w:color="auto"/>
              <w:right w:val="single" w:sz="8" w:color="auto"/>
            </w:tcBorders>
          </w:tcPr>
          <w:p>
            <w:pPr>
              <w:jc w:val="center"/>
              <w:ind w:left="43"/>
              <w:spacing w:after="0"/>
              <w:rPr>
                <w:sz w:val="20"/>
                <w:szCs w:val="20"/>
                <w:color w:val="auto"/>
              </w:rPr>
            </w:pPr>
            <w:r>
              <w:rPr>
                <w:rFonts w:ascii="Arial" w:cs="Arial" w:eastAsia="Arial" w:hAnsi="Arial"/>
                <w:sz w:val="11"/>
                <w:szCs w:val="11"/>
                <w:color w:val="auto"/>
              </w:rPr>
              <w:t>MO</w:t>
            </w:r>
          </w:p>
        </w:tc>
        <w:tc>
          <w:tcPr>
            <w:tcW w:w="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63376</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PARTNERSHIP</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ST. LOUIS, MO 63126</w:t>
            </w:r>
          </w:p>
        </w:tc>
        <w:tc>
          <w:tcPr>
            <w:tcW w:w="0" w:type="dxa"/>
            <w:vAlign w:val="bottom"/>
          </w:tcPr>
          <w:p>
            <w:pPr>
              <w:spacing w:after="0"/>
              <w:rPr>
                <w:sz w:val="1"/>
                <w:szCs w:val="1"/>
                <w:color w:val="auto"/>
              </w:rPr>
            </w:pPr>
          </w:p>
        </w:tc>
      </w:tr>
    </w:tbl>
    <w:p>
      <w:pPr>
        <w:sectPr>
          <w:pgSz w:w="11900" w:h="16838" w:orient="portrait"/>
          <w:cols w:equalWidth="0" w:num="1">
            <w:col w:w="9700"/>
          </w:cols>
          <w:pgMar w:left="1100" w:top="301" w:right="1099" w:bottom="1440" w:gutter="0" w:footer="0" w:header="0"/>
        </w:sectPr>
      </w:pPr>
    </w:p>
    <w:bookmarkStart w:id="180" w:name="page181"/>
    <w:bookmarkEnd w:id="180"/>
    <w:p>
      <w:pPr>
        <w:spacing w:after="0"/>
        <w:rPr>
          <w:sz w:val="20"/>
          <w:szCs w:val="20"/>
          <w:color w:val="auto"/>
        </w:rPr>
      </w:pPr>
      <w:r>
        <w:rPr>
          <w:rFonts w:ascii="Arial" w:cs="Arial" w:eastAsia="Arial" w:hAnsi="Arial"/>
          <w:sz w:val="19"/>
          <w:szCs w:val="19"/>
          <w:b w:val="1"/>
          <w:bCs w:val="1"/>
          <w:color w:val="auto"/>
        </w:rPr>
        <w:t>OPERATING LEASES</w:t>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RICOH</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Equipment currently under Lease with Commencement Date of 02/01/10</w:t>
      </w:r>
      <w:r>
        <w:rPr>
          <w:rFonts w:ascii="Arial" w:cs="Arial" w:eastAsia="Arial" w:hAnsi="Arial"/>
          <w:sz w:val="15"/>
          <w:szCs w:val="15"/>
          <w:color w:val="auto"/>
        </w:rPr>
        <w:t>:</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1-Ricoh MPC4000 Color Copier</w:t>
      </w:r>
    </w:p>
    <w:p>
      <w:pPr>
        <w:ind w:left="340"/>
        <w:spacing w:after="0" w:line="238" w:lineRule="auto"/>
        <w:rPr>
          <w:sz w:val="20"/>
          <w:szCs w:val="20"/>
          <w:color w:val="auto"/>
        </w:rPr>
      </w:pPr>
      <w:r>
        <w:rPr>
          <w:rFonts w:ascii="Arial" w:cs="Arial" w:eastAsia="Arial" w:hAnsi="Arial"/>
          <w:sz w:val="15"/>
          <w:szCs w:val="15"/>
          <w:color w:val="auto"/>
        </w:rPr>
        <w:t>1-Ricoh MPC3300 Color Copier</w:t>
      </w:r>
    </w:p>
    <w:p>
      <w:pPr>
        <w:ind w:left="340"/>
        <w:spacing w:after="0"/>
        <w:rPr>
          <w:sz w:val="20"/>
          <w:szCs w:val="20"/>
          <w:color w:val="auto"/>
        </w:rPr>
      </w:pPr>
      <w:r>
        <w:rPr>
          <w:rFonts w:ascii="Arial" w:cs="Arial" w:eastAsia="Arial" w:hAnsi="Arial"/>
          <w:sz w:val="15"/>
          <w:szCs w:val="15"/>
          <w:color w:val="auto"/>
        </w:rPr>
        <w:t>6-Ricoh MC5000 B&amp;W Copiers</w:t>
      </w:r>
    </w:p>
    <w:p>
      <w:pPr>
        <w:ind w:left="340"/>
        <w:spacing w:after="0" w:line="238" w:lineRule="auto"/>
        <w:rPr>
          <w:sz w:val="20"/>
          <w:szCs w:val="20"/>
          <w:color w:val="auto"/>
        </w:rPr>
      </w:pPr>
      <w:r>
        <w:rPr>
          <w:rFonts w:ascii="Arial" w:cs="Arial" w:eastAsia="Arial" w:hAnsi="Arial"/>
          <w:sz w:val="15"/>
          <w:szCs w:val="15"/>
          <w:color w:val="auto"/>
        </w:rPr>
        <w:t>3-Ricoh MP6000 B&amp;W Copiers</w:t>
      </w:r>
    </w:p>
    <w:p>
      <w:pPr>
        <w:ind w:left="340"/>
        <w:spacing w:after="0"/>
        <w:rPr>
          <w:sz w:val="20"/>
          <w:szCs w:val="20"/>
          <w:color w:val="auto"/>
        </w:rPr>
      </w:pPr>
      <w:r>
        <w:rPr>
          <w:rFonts w:ascii="Arial" w:cs="Arial" w:eastAsia="Arial" w:hAnsi="Arial"/>
          <w:sz w:val="15"/>
          <w:szCs w:val="15"/>
          <w:color w:val="auto"/>
        </w:rPr>
        <w:t>2-Ricoh MP3350 B&amp;W Copiers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5"/>
                <w:szCs w:val="15"/>
                <w:color w:val="auto"/>
                <w:w w:val="98"/>
              </w:rPr>
              <w:t>Lease Expiration</w:t>
            </w:r>
          </w:p>
        </w:tc>
        <w:tc>
          <w:tcPr>
            <w:tcW w:w="1360" w:type="dxa"/>
            <w:vAlign w:val="bottom"/>
          </w:tcPr>
          <w:p>
            <w:pPr>
              <w:spacing w:after="0"/>
              <w:rPr>
                <w:sz w:val="14"/>
                <w:szCs w:val="14"/>
                <w:color w:val="auto"/>
              </w:rPr>
            </w:pPr>
          </w:p>
        </w:tc>
      </w:tr>
      <w:tr>
        <w:trPr>
          <w:trHeight w:val="184"/>
        </w:trPr>
        <w:tc>
          <w:tcPr>
            <w:tcW w:w="1920" w:type="dxa"/>
            <w:vAlign w:val="bottom"/>
          </w:tcPr>
          <w:p>
            <w:pPr>
              <w:spacing w:after="0"/>
              <w:rPr>
                <w:sz w:val="20"/>
                <w:szCs w:val="20"/>
                <w:color w:val="auto"/>
              </w:rPr>
            </w:pPr>
            <w:r>
              <w:rPr>
                <w:rFonts w:ascii="Arial" w:cs="Arial" w:eastAsia="Arial" w:hAnsi="Arial"/>
                <w:sz w:val="15"/>
                <w:szCs w:val="15"/>
                <w:color w:val="auto"/>
                <w:w w:val="99"/>
              </w:rPr>
              <w:t>Lease Commencement Date</w:t>
            </w:r>
          </w:p>
        </w:tc>
        <w:tc>
          <w:tcPr>
            <w:tcW w:w="8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Lease</w:t>
            </w:r>
          </w:p>
        </w:tc>
        <w:tc>
          <w:tcPr>
            <w:tcW w:w="244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color w:val="auto"/>
              </w:rPr>
              <w:t>Monthly Payment Date</w:t>
            </w:r>
          </w:p>
        </w:tc>
        <w:tc>
          <w:tcPr>
            <w:tcW w:w="136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w w:val="99"/>
              </w:rPr>
              <w:t>Total Lease</w:t>
            </w: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5"/>
                <w:szCs w:val="15"/>
                <w:color w:val="auto"/>
              </w:rPr>
              <w:t>1/7/2010</w:t>
            </w:r>
          </w:p>
        </w:tc>
        <w:tc>
          <w:tcPr>
            <w:tcW w:w="840" w:type="dxa"/>
            <w:vAlign w:val="bottom"/>
          </w:tcPr>
          <w:p>
            <w:pPr>
              <w:spacing w:after="0" w:line="149" w:lineRule="exact"/>
              <w:rPr>
                <w:sz w:val="20"/>
                <w:szCs w:val="20"/>
                <w:color w:val="auto"/>
              </w:rPr>
            </w:pPr>
            <w:r>
              <w:rPr>
                <w:rFonts w:ascii="Arial" w:cs="Arial" w:eastAsia="Arial" w:hAnsi="Arial"/>
                <w:sz w:val="15"/>
                <w:szCs w:val="15"/>
                <w:color w:val="auto"/>
              </w:rPr>
              <w:t>60 months</w:t>
            </w:r>
          </w:p>
        </w:tc>
        <w:tc>
          <w:tcPr>
            <w:tcW w:w="1320" w:type="dxa"/>
            <w:vAlign w:val="bottom"/>
          </w:tcPr>
          <w:p>
            <w:pPr>
              <w:jc w:val="right"/>
              <w:spacing w:after="0" w:line="149" w:lineRule="exact"/>
              <w:rPr>
                <w:sz w:val="20"/>
                <w:szCs w:val="20"/>
                <w:color w:val="auto"/>
              </w:rPr>
            </w:pPr>
            <w:r>
              <w:rPr>
                <w:rFonts w:ascii="Arial" w:cs="Arial" w:eastAsia="Arial" w:hAnsi="Arial"/>
                <w:sz w:val="15"/>
                <w:szCs w:val="15"/>
                <w:color w:val="auto"/>
              </w:rPr>
              <w:t>***</w:t>
            </w:r>
          </w:p>
        </w:tc>
        <w:tc>
          <w:tcPr>
            <w:tcW w:w="1120" w:type="dxa"/>
            <w:vAlign w:val="bottom"/>
          </w:tcPr>
          <w:p>
            <w:pPr>
              <w:jc w:val="center"/>
              <w:ind w:left="46"/>
              <w:spacing w:after="0" w:line="149" w:lineRule="exact"/>
              <w:rPr>
                <w:sz w:val="20"/>
                <w:szCs w:val="20"/>
                <w:color w:val="auto"/>
              </w:rPr>
            </w:pPr>
            <w:r>
              <w:rPr>
                <w:rFonts w:ascii="Arial" w:cs="Arial" w:eastAsia="Arial" w:hAnsi="Arial"/>
                <w:sz w:val="15"/>
                <w:szCs w:val="15"/>
                <w:color w:val="auto"/>
                <w:w w:val="88"/>
              </w:rPr>
              <w:t>1/6/2015</w:t>
            </w:r>
          </w:p>
        </w:tc>
        <w:tc>
          <w:tcPr>
            <w:tcW w:w="1360" w:type="dxa"/>
            <w:vAlign w:val="bottom"/>
          </w:tcPr>
          <w:p>
            <w:pPr>
              <w:jc w:val="right"/>
              <w:spacing w:after="0" w:line="149" w:lineRule="exact"/>
              <w:rPr>
                <w:sz w:val="20"/>
                <w:szCs w:val="20"/>
                <w:color w:val="auto"/>
              </w:rPr>
            </w:pPr>
            <w:r>
              <w:rPr>
                <w:rFonts w:ascii="Arial" w:cs="Arial" w:eastAsia="Arial" w:hAnsi="Arial"/>
                <w:sz w:val="15"/>
                <w:szCs w:val="15"/>
                <w:color w:val="auto"/>
              </w:rPr>
              <w:t>***</w:t>
            </w:r>
          </w:p>
        </w:tc>
      </w:tr>
      <w:tr>
        <w:trPr>
          <w:trHeight w:val="171"/>
        </w:trPr>
        <w:tc>
          <w:tcPr>
            <w:tcW w:w="1920" w:type="dxa"/>
            <w:vAlign w:val="bottom"/>
          </w:tcPr>
          <w:p>
            <w:pPr>
              <w:spacing w:after="0" w:line="172" w:lineRule="exact"/>
              <w:rPr>
                <w:sz w:val="20"/>
                <w:szCs w:val="20"/>
                <w:color w:val="auto"/>
              </w:rPr>
            </w:pPr>
            <w:r>
              <w:rPr>
                <w:rFonts w:ascii="Arial" w:cs="Arial" w:eastAsia="Arial" w:hAnsi="Arial"/>
                <w:sz w:val="15"/>
                <w:szCs w:val="15"/>
                <w:color w:val="auto"/>
              </w:rPr>
              <w:t>2/1/2010</w:t>
            </w:r>
          </w:p>
        </w:tc>
        <w:tc>
          <w:tcPr>
            <w:tcW w:w="840" w:type="dxa"/>
            <w:vAlign w:val="bottom"/>
          </w:tcPr>
          <w:p>
            <w:pPr>
              <w:spacing w:after="0" w:line="172" w:lineRule="exact"/>
              <w:rPr>
                <w:sz w:val="20"/>
                <w:szCs w:val="20"/>
                <w:color w:val="auto"/>
              </w:rPr>
            </w:pPr>
            <w:r>
              <w:rPr>
                <w:rFonts w:ascii="Arial" w:cs="Arial" w:eastAsia="Arial" w:hAnsi="Arial"/>
                <w:sz w:val="15"/>
                <w:szCs w:val="15"/>
                <w:color w:val="auto"/>
              </w:rPr>
              <w:t>60 months</w:t>
            </w:r>
          </w:p>
        </w:tc>
        <w:tc>
          <w:tcPr>
            <w:tcW w:w="132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120" w:type="dxa"/>
            <w:vAlign w:val="bottom"/>
          </w:tcPr>
          <w:p>
            <w:pPr>
              <w:jc w:val="center"/>
              <w:ind w:left="46"/>
              <w:spacing w:after="0" w:line="172" w:lineRule="exact"/>
              <w:rPr>
                <w:sz w:val="20"/>
                <w:szCs w:val="20"/>
                <w:color w:val="auto"/>
              </w:rPr>
            </w:pPr>
            <w:r>
              <w:rPr>
                <w:rFonts w:ascii="Arial" w:cs="Arial" w:eastAsia="Arial" w:hAnsi="Arial"/>
                <w:sz w:val="15"/>
                <w:szCs w:val="15"/>
                <w:color w:val="auto"/>
                <w:w w:val="89"/>
              </w:rPr>
              <w:t>1/31/2015</w:t>
            </w:r>
          </w:p>
        </w:tc>
        <w:tc>
          <w:tcPr>
            <w:tcW w:w="136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r>
      <w:tr>
        <w:trPr>
          <w:trHeight w:val="188"/>
        </w:trPr>
        <w:tc>
          <w:tcPr>
            <w:tcW w:w="1920" w:type="dxa"/>
            <w:vAlign w:val="bottom"/>
          </w:tcPr>
          <w:p>
            <w:pPr>
              <w:spacing w:after="0"/>
              <w:rPr>
                <w:sz w:val="20"/>
                <w:szCs w:val="20"/>
                <w:color w:val="auto"/>
              </w:rPr>
            </w:pPr>
            <w:r>
              <w:rPr>
                <w:rFonts w:ascii="Arial" w:cs="Arial" w:eastAsia="Arial" w:hAnsi="Arial"/>
                <w:sz w:val="15"/>
                <w:szCs w:val="15"/>
                <w:color w:val="auto"/>
              </w:rPr>
              <w:t>7/1/2012</w:t>
            </w:r>
          </w:p>
        </w:tc>
        <w:tc>
          <w:tcPr>
            <w:tcW w:w="840" w:type="dxa"/>
            <w:vAlign w:val="bottom"/>
          </w:tcPr>
          <w:p>
            <w:pPr>
              <w:spacing w:after="0"/>
              <w:rPr>
                <w:sz w:val="20"/>
                <w:szCs w:val="20"/>
                <w:color w:val="auto"/>
              </w:rPr>
            </w:pPr>
            <w:r>
              <w:rPr>
                <w:rFonts w:ascii="Arial" w:cs="Arial" w:eastAsia="Arial" w:hAnsi="Arial"/>
                <w:sz w:val="15"/>
                <w:szCs w:val="15"/>
                <w:color w:val="auto"/>
              </w:rPr>
              <w:t>60 months</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center"/>
              <w:ind w:left="46"/>
              <w:spacing w:after="0"/>
              <w:rPr>
                <w:sz w:val="20"/>
                <w:szCs w:val="20"/>
                <w:color w:val="auto"/>
              </w:rPr>
            </w:pPr>
            <w:r>
              <w:rPr>
                <w:rFonts w:ascii="Arial" w:cs="Arial" w:eastAsia="Arial" w:hAnsi="Arial"/>
                <w:sz w:val="15"/>
                <w:szCs w:val="15"/>
                <w:color w:val="auto"/>
                <w:w w:val="88"/>
              </w:rPr>
              <w:t>7/1/2017</w:t>
            </w: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05" w:lineRule="exact"/>
        <w:rPr>
          <w:sz w:val="20"/>
          <w:szCs w:val="20"/>
          <w:color w:val="auto"/>
        </w:rPr>
      </w:pPr>
    </w:p>
    <w:p>
      <w:pPr>
        <w:ind w:left="340"/>
        <w:spacing w:after="0"/>
        <w:rPr>
          <w:sz w:val="20"/>
          <w:szCs w:val="20"/>
          <w:color w:val="auto"/>
        </w:rPr>
      </w:pPr>
      <w:r>
        <w:rPr>
          <w:rFonts w:ascii="Arial" w:cs="Arial" w:eastAsia="Arial" w:hAnsi="Arial"/>
          <w:sz w:val="15"/>
          <w:szCs w:val="15"/>
          <w:u w:val="single" w:color="auto"/>
          <w:color w:val="auto"/>
        </w:rPr>
        <w:t>Equipment under Lease commencing approximately 11/01/10</w:t>
      </w:r>
      <w:r>
        <w:rPr>
          <w:rFonts w:ascii="Arial" w:cs="Arial" w:eastAsia="Arial" w:hAnsi="Arial"/>
          <w:sz w:val="15"/>
          <w:szCs w:val="15"/>
          <w:color w:val="auto"/>
        </w:rPr>
        <w:t>:</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1 -Ricoh MP6002 SP copier</w:t>
      </w:r>
    </w:p>
    <w:p>
      <w:pPr>
        <w:ind w:left="340"/>
        <w:spacing w:after="0" w:line="238" w:lineRule="auto"/>
        <w:rPr>
          <w:sz w:val="20"/>
          <w:szCs w:val="20"/>
          <w:color w:val="auto"/>
        </w:rPr>
      </w:pPr>
      <w:r>
        <w:rPr>
          <w:rFonts w:ascii="Arial" w:cs="Arial" w:eastAsia="Arial" w:hAnsi="Arial"/>
          <w:sz w:val="15"/>
          <w:szCs w:val="15"/>
          <w:color w:val="auto"/>
        </w:rPr>
        <w:t>2- Ricoh MP5002 SP copiers</w:t>
      </w:r>
    </w:p>
    <w:p>
      <w:pPr>
        <w:ind w:left="340"/>
        <w:spacing w:after="0"/>
        <w:rPr>
          <w:sz w:val="20"/>
          <w:szCs w:val="20"/>
          <w:color w:val="auto"/>
        </w:rPr>
      </w:pPr>
      <w:r>
        <w:rPr>
          <w:rFonts w:ascii="Arial" w:cs="Arial" w:eastAsia="Arial" w:hAnsi="Arial"/>
          <w:sz w:val="15"/>
          <w:szCs w:val="15"/>
          <w:color w:val="auto"/>
        </w:rPr>
        <w:t>2 -Ricoh MP3353 SP copiers</w:t>
      </w:r>
    </w:p>
    <w:p>
      <w:pPr>
        <w:ind w:left="340"/>
        <w:spacing w:after="0" w:line="238" w:lineRule="auto"/>
        <w:rPr>
          <w:sz w:val="20"/>
          <w:szCs w:val="20"/>
          <w:color w:val="auto"/>
        </w:rPr>
      </w:pPr>
      <w:r>
        <w:rPr>
          <w:rFonts w:ascii="Arial" w:cs="Arial" w:eastAsia="Arial" w:hAnsi="Arial"/>
          <w:sz w:val="15"/>
          <w:szCs w:val="15"/>
          <w:color w:val="auto"/>
        </w:rPr>
        <w:t>1 - Ricoh Aficio MP8001 SP copier</w:t>
      </w:r>
    </w:p>
    <w:p>
      <w:pPr>
        <w:ind w:left="340"/>
        <w:spacing w:after="0"/>
        <w:rPr>
          <w:sz w:val="20"/>
          <w:szCs w:val="20"/>
          <w:color w:val="auto"/>
        </w:rPr>
      </w:pPr>
      <w:r>
        <w:rPr>
          <w:rFonts w:ascii="Arial" w:cs="Arial" w:eastAsia="Arial" w:hAnsi="Arial"/>
          <w:sz w:val="15"/>
          <w:szCs w:val="15"/>
          <w:color w:val="auto"/>
        </w:rPr>
        <w:t>5 - Ricoh MP4002 SP copiers</w:t>
      </w:r>
    </w:p>
    <w:p>
      <w:pPr>
        <w:ind w:left="340"/>
        <w:spacing w:after="0" w:line="238" w:lineRule="auto"/>
        <w:rPr>
          <w:sz w:val="20"/>
          <w:szCs w:val="20"/>
          <w:color w:val="auto"/>
        </w:rPr>
      </w:pPr>
      <w:r>
        <w:rPr>
          <w:rFonts w:ascii="Arial" w:cs="Arial" w:eastAsia="Arial" w:hAnsi="Arial"/>
          <w:sz w:val="15"/>
          <w:szCs w:val="15"/>
          <w:color w:val="auto"/>
        </w:rPr>
        <w:t>2- Richoh MPC3003 copiers</w:t>
      </w:r>
    </w:p>
    <w:p>
      <w:pPr>
        <w:ind w:left="340"/>
        <w:spacing w:after="0"/>
        <w:rPr>
          <w:sz w:val="20"/>
          <w:szCs w:val="20"/>
          <w:color w:val="auto"/>
        </w:rPr>
      </w:pPr>
      <w:r>
        <w:rPr>
          <w:rFonts w:ascii="Arial" w:cs="Arial" w:eastAsia="Arial" w:hAnsi="Arial"/>
          <w:sz w:val="15"/>
          <w:szCs w:val="15"/>
          <w:color w:val="auto"/>
        </w:rPr>
        <w:t>1-Ricoh C5100S copier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60" w:type="dxa"/>
            <w:vAlign w:val="bottom"/>
          </w:tcPr>
          <w:p>
            <w:pPr>
              <w:jc w:val="right"/>
              <w:ind w:right="1006"/>
              <w:spacing w:after="0"/>
              <w:rPr>
                <w:sz w:val="20"/>
                <w:szCs w:val="20"/>
                <w:color w:val="auto"/>
              </w:rPr>
            </w:pPr>
            <w:r>
              <w:rPr>
                <w:rFonts w:ascii="Arial" w:cs="Arial" w:eastAsia="Arial" w:hAnsi="Arial"/>
                <w:sz w:val="15"/>
                <w:szCs w:val="15"/>
                <w:color w:val="auto"/>
                <w:w w:val="87"/>
              </w:rPr>
              <w:t>Lease Commencement Date (1)</w:t>
            </w:r>
          </w:p>
        </w:tc>
        <w:tc>
          <w:tcPr>
            <w:tcW w:w="8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Arial" w:cs="Arial" w:eastAsia="Arial" w:hAnsi="Arial"/>
                <w:sz w:val="15"/>
                <w:szCs w:val="15"/>
                <w:color w:val="auto"/>
              </w:rPr>
              <w:t>Term of Lease</w:t>
            </w:r>
          </w:p>
        </w:tc>
        <w:tc>
          <w:tcPr>
            <w:tcW w:w="100" w:type="dxa"/>
            <w:vAlign w:val="bottom"/>
          </w:tcPr>
          <w:p>
            <w:pPr>
              <w:spacing w:after="0"/>
              <w:rPr>
                <w:sz w:val="17"/>
                <w:szCs w:val="17"/>
                <w:color w:val="auto"/>
              </w:rPr>
            </w:pPr>
          </w:p>
        </w:tc>
        <w:tc>
          <w:tcPr>
            <w:tcW w:w="1140" w:type="dxa"/>
            <w:vAlign w:val="bottom"/>
          </w:tcPr>
          <w:p>
            <w:pPr>
              <w:jc w:val="right"/>
              <w:ind w:right="6"/>
              <w:spacing w:after="0"/>
              <w:rPr>
                <w:sz w:val="20"/>
                <w:szCs w:val="20"/>
                <w:color w:val="auto"/>
              </w:rPr>
            </w:pPr>
            <w:r>
              <w:rPr>
                <w:rFonts w:ascii="Arial" w:cs="Arial" w:eastAsia="Arial" w:hAnsi="Arial"/>
                <w:sz w:val="15"/>
                <w:szCs w:val="15"/>
                <w:color w:val="auto"/>
                <w:w w:val="89"/>
              </w:rPr>
              <w:t>Monthly Payment</w:t>
            </w:r>
          </w:p>
        </w:tc>
        <w:tc>
          <w:tcPr>
            <w:tcW w:w="320" w:type="dxa"/>
            <w:vAlign w:val="bottom"/>
          </w:tcPr>
          <w:p>
            <w:pPr>
              <w:spacing w:after="0"/>
              <w:rPr>
                <w:sz w:val="17"/>
                <w:szCs w:val="17"/>
                <w:color w:val="auto"/>
              </w:rPr>
            </w:pPr>
          </w:p>
        </w:tc>
        <w:tc>
          <w:tcPr>
            <w:tcW w:w="1460" w:type="dxa"/>
            <w:vAlign w:val="bottom"/>
          </w:tcPr>
          <w:p>
            <w:pPr>
              <w:jc w:val="right"/>
              <w:ind w:right="46"/>
              <w:spacing w:after="0"/>
              <w:rPr>
                <w:sz w:val="20"/>
                <w:szCs w:val="20"/>
                <w:color w:val="auto"/>
              </w:rPr>
            </w:pPr>
            <w:r>
              <w:rPr>
                <w:rFonts w:ascii="Arial" w:cs="Arial" w:eastAsia="Arial" w:hAnsi="Arial"/>
                <w:sz w:val="15"/>
                <w:szCs w:val="15"/>
                <w:color w:val="auto"/>
                <w:w w:val="89"/>
              </w:rPr>
              <w:t>Lease Expiration Date</w:t>
            </w:r>
          </w:p>
        </w:tc>
        <w:tc>
          <w:tcPr>
            <w:tcW w:w="160" w:type="dxa"/>
            <w:vAlign w:val="bottom"/>
          </w:tcPr>
          <w:p>
            <w:pPr>
              <w:spacing w:after="0"/>
              <w:rPr>
                <w:sz w:val="17"/>
                <w:szCs w:val="17"/>
                <w:color w:val="auto"/>
              </w:rPr>
            </w:pPr>
          </w:p>
        </w:tc>
        <w:tc>
          <w:tcPr>
            <w:tcW w:w="1400" w:type="dxa"/>
            <w:vAlign w:val="bottom"/>
            <w:gridSpan w:val="2"/>
          </w:tcPr>
          <w:p>
            <w:pPr>
              <w:jc w:val="right"/>
              <w:ind w:right="426"/>
              <w:spacing w:after="0"/>
              <w:rPr>
                <w:sz w:val="20"/>
                <w:szCs w:val="20"/>
                <w:color w:val="auto"/>
              </w:rPr>
            </w:pPr>
            <w:r>
              <w:rPr>
                <w:rFonts w:ascii="Arial" w:cs="Arial" w:eastAsia="Arial" w:hAnsi="Arial"/>
                <w:sz w:val="16"/>
                <w:szCs w:val="16"/>
                <w:color w:val="auto"/>
              </w:rPr>
              <w:t>Total Lease</w:t>
            </w:r>
          </w:p>
        </w:tc>
      </w:tr>
      <w:tr>
        <w:trPr>
          <w:trHeight w:val="327"/>
        </w:trPr>
        <w:tc>
          <w:tcPr>
            <w:tcW w:w="2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10/1/2014</w:t>
            </w:r>
          </w:p>
        </w:tc>
        <w:tc>
          <w:tcPr>
            <w:tcW w:w="80" w:type="dxa"/>
            <w:vAlign w:val="bottom"/>
          </w:tcPr>
          <w:p>
            <w:pPr>
              <w:spacing w:after="0"/>
              <w:rPr>
                <w:sz w:val="24"/>
                <w:szCs w:val="24"/>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62 months (2)</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12/1/2019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r>
    </w:tbl>
    <w:p>
      <w:pPr>
        <w:spacing w:after="0" w:line="151" w:lineRule="exact"/>
        <w:rPr>
          <w:sz w:val="20"/>
          <w:szCs w:val="20"/>
          <w:color w:val="auto"/>
        </w:rPr>
      </w:pPr>
    </w:p>
    <w:p>
      <w:pPr>
        <w:ind w:left="180" w:hanging="179"/>
        <w:spacing w:after="0"/>
        <w:tabs>
          <w:tab w:leader="none" w:pos="1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Commencement Date is approximate. Lease commences as of the equipment delivery date.</w:t>
      </w:r>
    </w:p>
    <w:p>
      <w:pPr>
        <w:spacing w:after="0" w:line="23" w:lineRule="exact"/>
        <w:rPr>
          <w:rFonts w:ascii="Arial" w:cs="Arial" w:eastAsia="Arial" w:hAnsi="Arial"/>
          <w:sz w:val="12"/>
          <w:szCs w:val="12"/>
          <w:color w:val="auto"/>
        </w:rPr>
      </w:pPr>
    </w:p>
    <w:p>
      <w:pPr>
        <w:ind w:left="180" w:hanging="179"/>
        <w:spacing w:after="0"/>
        <w:tabs>
          <w:tab w:leader="none" w:pos="18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First 2 months payment $0; Months 3 – 62 = *** / month.</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IBM CREDIT LLC</w:t>
      </w:r>
    </w:p>
    <w:p>
      <w:pPr>
        <w:sectPr>
          <w:pgSz w:w="11900" w:h="16838" w:orient="portrait"/>
          <w:cols w:equalWidth="0" w:num="1">
            <w:col w:w="11160"/>
          </w:cols>
          <w:pgMar w:left="220" w:top="122" w:right="519" w:bottom="1440" w:gutter="0" w:footer="0" w:header="0"/>
        </w:sectPr>
      </w:pPr>
    </w:p>
    <w:p>
      <w:pPr>
        <w:spacing w:after="0" w:line="124" w:lineRule="exact"/>
        <w:rPr>
          <w:sz w:val="20"/>
          <w:szCs w:val="20"/>
          <w:color w:val="auto"/>
        </w:rPr>
      </w:pPr>
    </w:p>
    <w:p>
      <w:pPr>
        <w:ind w:left="340"/>
        <w:spacing w:after="0"/>
        <w:rPr>
          <w:sz w:val="20"/>
          <w:szCs w:val="20"/>
          <w:color w:val="auto"/>
        </w:rPr>
      </w:pPr>
      <w:r>
        <w:rPr>
          <w:rFonts w:ascii="Arial" w:cs="Arial" w:eastAsia="Arial" w:hAnsi="Arial"/>
          <w:sz w:val="13"/>
          <w:szCs w:val="13"/>
          <w:u w:val="single" w:color="auto"/>
          <w:color w:val="auto"/>
        </w:rPr>
        <w:t>Equipment under Contract commencing approximately 02/01/2015</w:t>
      </w:r>
      <w:r>
        <w:rPr>
          <w:rFonts w:ascii="Arial" w:cs="Arial" w:eastAsia="Arial" w:hAnsi="Arial"/>
          <w:sz w:val="13"/>
          <w:szCs w:val="13"/>
          <w:color w:val="auto"/>
        </w:rPr>
        <w: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5"/>
          <w:szCs w:val="15"/>
          <w:u w:val="single" w:color="auto"/>
          <w:color w:val="auto"/>
        </w:rPr>
        <w:t>1 – 9992-003 IBM PureData System for analytics N2002-005</w:t>
      </w:r>
    </w:p>
    <w:p>
      <w:pPr>
        <w:spacing w:after="0" w:line="120" w:lineRule="exact"/>
        <w:rPr>
          <w:sz w:val="20"/>
          <w:szCs w:val="20"/>
          <w:color w:val="auto"/>
        </w:rPr>
      </w:pPr>
    </w:p>
    <w:p>
      <w:pPr>
        <w:spacing w:after="0"/>
        <w:tabs>
          <w:tab w:leader="none" w:pos="2940" w:val="left"/>
        </w:tabs>
        <w:rPr>
          <w:sz w:val="20"/>
          <w:szCs w:val="20"/>
          <w:color w:val="auto"/>
        </w:rPr>
      </w:pPr>
      <w:r>
        <w:rPr>
          <w:rFonts w:ascii="Arial" w:cs="Arial" w:eastAsia="Arial" w:hAnsi="Arial"/>
          <w:sz w:val="15"/>
          <w:szCs w:val="15"/>
          <w:color w:val="auto"/>
        </w:rPr>
        <w:t>Commencement Date</w:t>
      </w:r>
      <w:r>
        <w:rPr>
          <w:sz w:val="20"/>
          <w:szCs w:val="20"/>
          <w:color w:val="auto"/>
        </w:rPr>
        <w:tab/>
      </w:r>
      <w:r>
        <w:rPr>
          <w:rFonts w:ascii="Arial" w:cs="Arial" w:eastAsia="Arial" w:hAnsi="Arial"/>
          <w:sz w:val="13"/>
          <w:szCs w:val="13"/>
          <w:color w:val="auto"/>
        </w:rPr>
        <w:t>Monthly Payment Total</w:t>
      </w:r>
    </w:p>
    <w:p>
      <w:pPr>
        <w:spacing w:after="0" w:line="11" w:lineRule="exact"/>
        <w:rPr>
          <w:sz w:val="20"/>
          <w:szCs w:val="20"/>
          <w:color w:val="auto"/>
        </w:rPr>
      </w:pPr>
    </w:p>
    <w:p>
      <w:pPr>
        <w:ind w:left="1400"/>
        <w:spacing w:after="0"/>
        <w:tabs>
          <w:tab w:leader="none" w:pos="3840" w:val="left"/>
        </w:tabs>
        <w:rPr>
          <w:sz w:val="20"/>
          <w:szCs w:val="20"/>
          <w:color w:val="auto"/>
        </w:rPr>
      </w:pPr>
      <w:r>
        <w:rPr>
          <w:rFonts w:ascii="Arial" w:cs="Arial" w:eastAsia="Arial" w:hAnsi="Arial"/>
          <w:sz w:val="15"/>
          <w:szCs w:val="15"/>
          <w:color w:val="auto"/>
        </w:rPr>
        <w:t>2/1/20159 months</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120" w:lineRule="exact"/>
        <w:rPr>
          <w:sz w:val="20"/>
          <w:szCs w:val="20"/>
          <w:color w:val="auto"/>
        </w:rPr>
      </w:pPr>
    </w:p>
    <w:p>
      <w:pPr>
        <w:sectPr>
          <w:pgSz w:w="11900" w:h="16838" w:orient="portrait"/>
          <w:cols w:equalWidth="0" w:num="2">
            <w:col w:w="4380" w:space="720"/>
            <w:col w:w="6060"/>
          </w:cols>
          <w:pgMar w:left="220" w:top="122" w:right="519" w:bottom="1440" w:gutter="0" w:footer="0" w:header="0"/>
          <w:type w:val="continuous"/>
        </w:sectPr>
      </w:pPr>
    </w:p>
    <w:p>
      <w:pPr>
        <w:ind w:left="340"/>
        <w:spacing w:after="0"/>
        <w:rPr>
          <w:sz w:val="20"/>
          <w:szCs w:val="20"/>
          <w:color w:val="auto"/>
        </w:rPr>
      </w:pPr>
      <w:r>
        <w:rPr>
          <w:rFonts w:ascii="Arial" w:cs="Arial" w:eastAsia="Arial" w:hAnsi="Arial"/>
          <w:sz w:val="15"/>
          <w:szCs w:val="15"/>
          <w:color w:val="auto"/>
        </w:rPr>
        <w:t>Equipment is owned after term ends.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 Represents text omitted pursuant to a request for confidential treatment. The omitted material have been filed separately with the Securities and Exchange Commission.</w:t>
      </w:r>
    </w:p>
    <w:p>
      <w:pPr>
        <w:sectPr>
          <w:pgSz w:w="11900" w:h="16838" w:orient="portrait"/>
          <w:cols w:equalWidth="0" w:num="1">
            <w:col w:w="11160"/>
          </w:cols>
          <w:pgMar w:left="220" w:top="122" w:right="519" w:bottom="1440" w:gutter="0" w:footer="0" w:header="0"/>
          <w:type w:val="continuous"/>
        </w:sectPr>
      </w:pPr>
    </w:p>
    <w:bookmarkStart w:id="181" w:name="page182"/>
    <w:bookmarkEnd w:id="181"/>
    <w:p>
      <w:pPr>
        <w:jc w:val="center"/>
        <w:ind w:right="-1280"/>
        <w:spacing w:after="0"/>
        <w:rPr>
          <w:sz w:val="20"/>
          <w:szCs w:val="20"/>
          <w:color w:val="auto"/>
        </w:rPr>
      </w:pPr>
      <w:r>
        <w:rPr>
          <w:rFonts w:ascii="Arial" w:cs="Arial" w:eastAsia="Arial" w:hAnsi="Arial"/>
          <w:sz w:val="16"/>
          <w:szCs w:val="16"/>
          <w:b w:val="1"/>
          <w:bCs w:val="1"/>
          <w:u w:val="single" w:color="auto"/>
          <w:color w:val="auto"/>
        </w:rPr>
        <w:t>EXHIBIT 4.7(b)</w:t>
      </w:r>
    </w:p>
    <w:p>
      <w:pPr>
        <w:spacing w:after="0" w:line="25" w:lineRule="exact"/>
        <w:rPr>
          <w:sz w:val="20"/>
          <w:szCs w:val="20"/>
          <w:color w:val="auto"/>
        </w:rPr>
      </w:pPr>
    </w:p>
    <w:p>
      <w:pPr>
        <w:jc w:val="center"/>
        <w:ind w:right="-1280"/>
        <w:spacing w:after="0"/>
        <w:rPr>
          <w:sz w:val="20"/>
          <w:szCs w:val="20"/>
          <w:color w:val="auto"/>
        </w:rPr>
      </w:pPr>
      <w:r>
        <w:rPr>
          <w:rFonts w:ascii="Arial" w:cs="Arial" w:eastAsia="Arial" w:hAnsi="Arial"/>
          <w:sz w:val="14"/>
          <w:szCs w:val="14"/>
          <w:b w:val="1"/>
          <w:bCs w:val="1"/>
          <w:u w:val="single" w:color="auto"/>
          <w:color w:val="auto"/>
        </w:rPr>
        <w:t>Consigned Inventory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239"/>
          </w:cols>
          <w:pgMar w:left="220" w:top="120" w:right="1440" w:bottom="1440" w:gutter="0" w:footer="0" w:header="0"/>
        </w:sectPr>
      </w:pPr>
    </w:p>
    <w:bookmarkStart w:id="182" w:name="page183"/>
    <w:bookmarkEnd w:id="182"/>
    <w:p>
      <w:pPr>
        <w:jc w:val="center"/>
        <w:ind w:right="-1178"/>
        <w:spacing w:after="0"/>
        <w:rPr>
          <w:sz w:val="20"/>
          <w:szCs w:val="20"/>
          <w:color w:val="auto"/>
        </w:rPr>
      </w:pPr>
      <w:r>
        <w:rPr>
          <w:rFonts w:ascii="Arial" w:cs="Arial" w:eastAsia="Arial" w:hAnsi="Arial"/>
          <w:sz w:val="14"/>
          <w:szCs w:val="14"/>
          <w:b w:val="1"/>
          <w:bCs w:val="1"/>
          <w:color w:val="auto"/>
        </w:rPr>
        <w:t>Exhibit 4.9</w:t>
      </w:r>
    </w:p>
    <w:p>
      <w:pPr>
        <w:spacing w:after="0" w:line="16" w:lineRule="exact"/>
        <w:rPr>
          <w:sz w:val="20"/>
          <w:szCs w:val="20"/>
          <w:color w:val="auto"/>
        </w:rPr>
      </w:pPr>
    </w:p>
    <w:p>
      <w:pPr>
        <w:jc w:val="center"/>
        <w:ind w:right="-1178"/>
        <w:spacing w:after="0"/>
        <w:rPr>
          <w:sz w:val="20"/>
          <w:szCs w:val="20"/>
          <w:color w:val="auto"/>
        </w:rPr>
      </w:pPr>
      <w:r>
        <w:rPr>
          <w:rFonts w:ascii="Arial" w:cs="Arial" w:eastAsia="Arial" w:hAnsi="Arial"/>
          <w:sz w:val="14"/>
          <w:szCs w:val="14"/>
          <w:color w:val="auto"/>
        </w:rPr>
        <w:t>Insurance Policies</w:t>
      </w:r>
    </w:p>
    <w:p>
      <w:pPr>
        <w:spacing w:after="0" w:line="237" w:lineRule="exact"/>
        <w:rPr>
          <w:sz w:val="20"/>
          <w:szCs w:val="20"/>
          <w:color w:val="auto"/>
        </w:rPr>
      </w:pPr>
    </w:p>
    <w:tbl>
      <w:tblPr>
        <w:tblLayout w:type="fixed"/>
        <w:tblInd w:w="1209" w:type="dxa"/>
        <w:tblCellMar>
          <w:top w:w="0" w:type="dxa"/>
          <w:left w:w="0" w:type="dxa"/>
          <w:bottom w:w="0" w:type="dxa"/>
          <w:right w:w="0" w:type="dxa"/>
        </w:tblCellMar>
      </w:tblPr>
      <w:tr>
        <w:trPr>
          <w:trHeight w:val="182"/>
        </w:trPr>
        <w:tc>
          <w:tcPr>
            <w:tcW w:w="1600" w:type="dxa"/>
            <w:vAlign w:val="bottom"/>
            <w:tcBorders>
              <w:top w:val="single" w:sz="8" w:color="auto"/>
              <w:left w:val="single" w:sz="8" w:color="auto"/>
              <w:bottom w:val="single" w:sz="8" w:color="auto"/>
              <w:right w:val="single" w:sz="8" w:color="auto"/>
            </w:tcBorders>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126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3"/>
                <w:szCs w:val="13"/>
                <w:b w:val="1"/>
                <w:bCs w:val="1"/>
                <w:color w:val="auto"/>
                <w:w w:val="93"/>
              </w:rPr>
              <w:t>July 1, 2014</w:t>
            </w:r>
          </w:p>
        </w:tc>
        <w:tc>
          <w:tcPr>
            <w:tcW w:w="16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52"/>
        </w:trPr>
        <w:tc>
          <w:tcPr>
            <w:tcW w:w="1600" w:type="dxa"/>
            <w:vAlign w:val="bottom"/>
            <w:tcBorders>
              <w:left w:val="single" w:sz="8" w:color="auto"/>
              <w:bottom w:val="single" w:sz="8" w:color="auto"/>
              <w:right w:val="single" w:sz="8" w:color="auto"/>
            </w:tcBorders>
            <w:shd w:val="clear" w:color="auto" w:fill="000080"/>
          </w:tcPr>
          <w:p>
            <w:pPr>
              <w:ind w:left="780"/>
              <w:spacing w:after="0"/>
              <w:rPr>
                <w:sz w:val="20"/>
                <w:szCs w:val="20"/>
                <w:color w:val="auto"/>
              </w:rPr>
            </w:pPr>
            <w:r>
              <w:rPr>
                <w:rFonts w:ascii="Arial" w:cs="Arial" w:eastAsia="Arial" w:hAnsi="Arial"/>
                <w:sz w:val="13"/>
                <w:szCs w:val="13"/>
                <w:b w:val="1"/>
                <w:bCs w:val="1"/>
                <w:color w:val="FFFFFF"/>
              </w:rPr>
              <w:t>Insurer</w:t>
            </w:r>
          </w:p>
        </w:tc>
        <w:tc>
          <w:tcPr>
            <w:tcW w:w="1260" w:type="dxa"/>
            <w:vAlign w:val="bottom"/>
            <w:tcBorders>
              <w:bottom w:val="single" w:sz="8" w:color="auto"/>
              <w:right w:val="single" w:sz="8" w:color="auto"/>
            </w:tcBorders>
            <w:shd w:val="clear" w:color="auto" w:fill="000080"/>
          </w:tcPr>
          <w:p>
            <w:pPr>
              <w:jc w:val="center"/>
              <w:spacing w:after="0"/>
              <w:rPr>
                <w:sz w:val="20"/>
                <w:szCs w:val="20"/>
                <w:color w:val="auto"/>
              </w:rPr>
            </w:pPr>
            <w:r>
              <w:rPr>
                <w:rFonts w:ascii="Arial" w:cs="Arial" w:eastAsia="Arial" w:hAnsi="Arial"/>
                <w:sz w:val="13"/>
                <w:szCs w:val="13"/>
                <w:b w:val="1"/>
                <w:bCs w:val="1"/>
                <w:color w:val="FFFFFF"/>
                <w:w w:val="89"/>
              </w:rPr>
              <w:t>Policy #</w:t>
            </w:r>
          </w:p>
        </w:tc>
        <w:tc>
          <w:tcPr>
            <w:tcW w:w="1620" w:type="dxa"/>
            <w:vAlign w:val="bottom"/>
            <w:tcBorders>
              <w:bottom w:val="single" w:sz="8" w:color="auto"/>
              <w:right w:val="single" w:sz="8" w:color="auto"/>
            </w:tcBorders>
            <w:shd w:val="clear" w:color="auto" w:fill="000080"/>
          </w:tcPr>
          <w:p>
            <w:pPr>
              <w:jc w:val="center"/>
              <w:spacing w:after="0"/>
              <w:rPr>
                <w:sz w:val="20"/>
                <w:szCs w:val="20"/>
                <w:color w:val="auto"/>
              </w:rPr>
            </w:pPr>
            <w:r>
              <w:rPr>
                <w:rFonts w:ascii="Arial" w:cs="Arial" w:eastAsia="Arial" w:hAnsi="Arial"/>
                <w:sz w:val="13"/>
                <w:szCs w:val="13"/>
                <w:b w:val="1"/>
                <w:bCs w:val="1"/>
                <w:color w:val="FFFFFF"/>
                <w:w w:val="92"/>
              </w:rPr>
              <w:t>Policy Period</w:t>
            </w:r>
          </w:p>
        </w:tc>
        <w:tc>
          <w:tcPr>
            <w:tcW w:w="3440" w:type="dxa"/>
            <w:vAlign w:val="bottom"/>
            <w:tcBorders>
              <w:bottom w:val="single" w:sz="8" w:color="auto"/>
              <w:right w:val="single" w:sz="8" w:color="auto"/>
            </w:tcBorders>
            <w:shd w:val="clear" w:color="auto" w:fill="000080"/>
          </w:tcPr>
          <w:p>
            <w:pPr>
              <w:ind w:left="1880"/>
              <w:spacing w:after="0"/>
              <w:rPr>
                <w:sz w:val="20"/>
                <w:szCs w:val="20"/>
                <w:color w:val="auto"/>
              </w:rPr>
            </w:pPr>
            <w:r>
              <w:rPr>
                <w:rFonts w:ascii="Arial" w:cs="Arial" w:eastAsia="Arial" w:hAnsi="Arial"/>
                <w:sz w:val="13"/>
                <w:szCs w:val="13"/>
                <w:b w:val="1"/>
                <w:bCs w:val="1"/>
                <w:color w:val="FFFFFF"/>
              </w:rPr>
              <w:t>Coverage</w:t>
            </w:r>
          </w:p>
        </w:tc>
        <w:tc>
          <w:tcPr>
            <w:tcW w:w="1160" w:type="dxa"/>
            <w:vAlign w:val="bottom"/>
            <w:tcBorders>
              <w:bottom w:val="single" w:sz="8" w:color="auto"/>
              <w:right w:val="single" w:sz="8" w:color="auto"/>
            </w:tcBorders>
            <w:shd w:val="clear" w:color="auto" w:fill="000080"/>
          </w:tcPr>
          <w:p>
            <w:pPr>
              <w:jc w:val="right"/>
              <w:ind w:right="193"/>
              <w:spacing w:after="0"/>
              <w:rPr>
                <w:sz w:val="20"/>
                <w:szCs w:val="20"/>
                <w:color w:val="auto"/>
              </w:rPr>
            </w:pPr>
            <w:r>
              <w:rPr>
                <w:rFonts w:ascii="Arial" w:cs="Arial" w:eastAsia="Arial" w:hAnsi="Arial"/>
                <w:sz w:val="13"/>
                <w:szCs w:val="13"/>
                <w:b w:val="1"/>
                <w:bCs w:val="1"/>
                <w:color w:val="FFFFFF"/>
              </w:rPr>
              <w:t>Limit</w:t>
            </w:r>
          </w:p>
        </w:tc>
      </w:tr>
      <w:tr>
        <w:trPr>
          <w:trHeight w:val="161"/>
        </w:trPr>
        <w:tc>
          <w:tcPr>
            <w:tcW w:w="4480" w:type="dxa"/>
            <w:vAlign w:val="bottom"/>
            <w:tcBorders>
              <w:left w:val="single" w:sz="8" w:color="auto"/>
              <w:bottom w:val="single" w:sz="8" w:color="auto"/>
              <w:right w:val="single" w:sz="8" w:color="C0C0C0"/>
            </w:tcBorders>
            <w:gridSpan w:val="3"/>
            <w:shd w:val="clear" w:color="auto" w:fill="C0C0C0"/>
          </w:tcPr>
          <w:p>
            <w:pPr>
              <w:ind w:left="20"/>
              <w:spacing w:after="0"/>
              <w:rPr>
                <w:sz w:val="20"/>
                <w:szCs w:val="20"/>
                <w:color w:val="auto"/>
              </w:rPr>
            </w:pPr>
            <w:r>
              <w:rPr>
                <w:rFonts w:ascii="Arial" w:cs="Arial" w:eastAsia="Arial" w:hAnsi="Arial"/>
                <w:sz w:val="13"/>
                <w:szCs w:val="13"/>
                <w:b w:val="1"/>
                <w:bCs w:val="1"/>
                <w:color w:val="auto"/>
                <w:w w:val="92"/>
              </w:rPr>
              <w:t>Global Property - Does not include all Limits, please consult Policy for full set</w:t>
            </w:r>
          </w:p>
        </w:tc>
        <w:tc>
          <w:tcPr>
            <w:tcW w:w="3440" w:type="dxa"/>
            <w:vAlign w:val="bottom"/>
            <w:tcBorders>
              <w:bottom w:val="single" w:sz="8" w:color="auto"/>
              <w:right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of Coverage Limits and Deductibles</w:t>
            </w:r>
          </w:p>
        </w:tc>
        <w:tc>
          <w:tcPr>
            <w:tcW w:w="1160" w:type="dxa"/>
            <w:vAlign w:val="bottom"/>
            <w:tcBorders>
              <w:bottom w:val="single" w:sz="8" w:color="auto"/>
              <w:right w:val="single" w:sz="8" w:color="auto"/>
            </w:tcBorders>
            <w:shd w:val="clear" w:color="auto" w:fill="C0C0C0"/>
          </w:tcPr>
          <w:p>
            <w:pPr>
              <w:spacing w:after="0"/>
              <w:rPr>
                <w:sz w:val="14"/>
                <w:szCs w:val="14"/>
                <w:color w:val="auto"/>
              </w:rPr>
            </w:pPr>
          </w:p>
        </w:tc>
      </w:tr>
      <w:tr>
        <w:trPr>
          <w:trHeight w:val="151"/>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7"/>
              </w:rPr>
              <w:t>American Home Assurance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6/30/2014 - 6/30/2015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Master Policy: Total Limit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$200,000,000</w:t>
            </w:r>
          </w:p>
        </w:tc>
      </w:tr>
      <w:tr>
        <w:trPr>
          <w:trHeight w:val="167"/>
        </w:trPr>
        <w:tc>
          <w:tcPr>
            <w:tcW w:w="16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2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Earth Movement</w:t>
            </w:r>
          </w:p>
        </w:tc>
        <w:tc>
          <w:tcPr>
            <w:tcW w:w="1160" w:type="dxa"/>
            <w:vAlign w:val="bottom"/>
            <w:tcBorders>
              <w:bottom w:val="single" w:sz="8" w:color="auto"/>
              <w:right w:val="single" w:sz="8" w:color="auto"/>
            </w:tcBorders>
          </w:tcPr>
          <w:p>
            <w:pPr>
              <w:spacing w:after="0"/>
              <w:rPr>
                <w:sz w:val="14"/>
                <w:szCs w:val="14"/>
                <w:color w:val="auto"/>
              </w:rPr>
            </w:pPr>
          </w:p>
        </w:tc>
      </w:tr>
      <w:tr>
        <w:trPr>
          <w:trHeight w:val="156"/>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555 Turnpike St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$200,000,000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CA, AK, Hi, PR</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New Madrid Earthquake Zone Counties</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Pacific Northwest Earthquake Zone Counties</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$5,000,000</w:t>
            </w:r>
          </w:p>
        </w:tc>
      </w:tr>
      <w:tr>
        <w:trPr>
          <w:trHeight w:val="167"/>
        </w:trPr>
        <w:tc>
          <w:tcPr>
            <w:tcW w:w="160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i w:val="1"/>
                <w:iCs w:val="1"/>
                <w:color w:val="auto"/>
              </w:rPr>
              <w:t>Earth Movement Deductibles</w:t>
            </w:r>
          </w:p>
        </w:tc>
        <w:tc>
          <w:tcPr>
            <w:tcW w:w="1160" w:type="dxa"/>
            <w:vAlign w:val="bottom"/>
            <w:tcBorders>
              <w:bottom w:val="single" w:sz="8" w:color="auto"/>
              <w:right w:val="single" w:sz="8" w:color="auto"/>
            </w:tcBorders>
          </w:tcPr>
          <w:p>
            <w:pPr>
              <w:spacing w:after="0"/>
              <w:rPr>
                <w:sz w:val="14"/>
                <w:szCs w:val="14"/>
                <w:color w:val="auto"/>
              </w:rPr>
            </w:pPr>
          </w:p>
        </w:tc>
      </w:tr>
      <w:tr>
        <w:trPr>
          <w:trHeight w:val="156"/>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Per Occurrence</w:t>
            </w:r>
          </w:p>
        </w:tc>
        <w:tc>
          <w:tcPr>
            <w:tcW w:w="11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$100,000</w:t>
            </w:r>
          </w:p>
        </w:tc>
      </w:tr>
      <w:tr>
        <w:trPr>
          <w:trHeight w:val="141"/>
        </w:trPr>
        <w:tc>
          <w:tcPr>
            <w:tcW w:w="16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ind w:left="220"/>
              <w:spacing w:after="0" w:line="141" w:lineRule="exact"/>
              <w:rPr>
                <w:sz w:val="20"/>
                <w:szCs w:val="20"/>
                <w:color w:val="auto"/>
              </w:rPr>
            </w:pPr>
            <w:r>
              <w:rPr>
                <w:rFonts w:ascii="Arial" w:cs="Arial" w:eastAsia="Arial" w:hAnsi="Arial"/>
                <w:sz w:val="13"/>
                <w:szCs w:val="13"/>
                <w:i w:val="1"/>
                <w:iCs w:val="1"/>
                <w:color w:val="auto"/>
              </w:rPr>
              <w:t>CA, AK, Hi, PR</w:t>
            </w:r>
          </w:p>
        </w:tc>
        <w:tc>
          <w:tcPr>
            <w:tcW w:w="1160" w:type="dxa"/>
            <w:vAlign w:val="bottom"/>
            <w:tcBorders>
              <w:right w:val="single" w:sz="8" w:color="auto"/>
            </w:tcBorders>
          </w:tcPr>
          <w:p>
            <w:pPr>
              <w:jc w:val="right"/>
              <w:ind w:right="33"/>
              <w:spacing w:after="0" w:line="141" w:lineRule="exact"/>
              <w:rPr>
                <w:sz w:val="20"/>
                <w:szCs w:val="20"/>
                <w:color w:val="auto"/>
              </w:rPr>
            </w:pPr>
            <w:r>
              <w:rPr>
                <w:rFonts w:ascii="Arial" w:cs="Arial" w:eastAsia="Arial" w:hAnsi="Arial"/>
                <w:sz w:val="13"/>
                <w:szCs w:val="13"/>
                <w:i w:val="1"/>
                <w:iCs w:val="1"/>
                <w:color w:val="auto"/>
                <w:w w:val="97"/>
              </w:rPr>
              <w:t>5% of the property</w:t>
            </w:r>
          </w:p>
        </w:tc>
      </w:tr>
      <w:tr>
        <w:trPr>
          <w:trHeight w:val="161"/>
        </w:trPr>
        <w:tc>
          <w:tcPr>
            <w:tcW w:w="160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i w:val="1"/>
                <w:iCs w:val="1"/>
                <w:color w:val="auto"/>
              </w:rPr>
              <w:t>Value with a</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$250,000 min</w:t>
            </w:r>
          </w:p>
        </w:tc>
      </w:tr>
      <w:tr>
        <w:trPr>
          <w:trHeight w:val="141"/>
        </w:trPr>
        <w:tc>
          <w:tcPr>
            <w:tcW w:w="160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tcPr>
          <w:p>
            <w:pPr>
              <w:ind w:left="220"/>
              <w:spacing w:after="0" w:line="141" w:lineRule="exact"/>
              <w:rPr>
                <w:sz w:val="20"/>
                <w:szCs w:val="20"/>
                <w:color w:val="auto"/>
              </w:rPr>
            </w:pPr>
            <w:r>
              <w:rPr>
                <w:rFonts w:ascii="Arial" w:cs="Arial" w:eastAsia="Arial" w:hAnsi="Arial"/>
                <w:sz w:val="13"/>
                <w:szCs w:val="13"/>
                <w:i w:val="1"/>
                <w:iCs w:val="1"/>
                <w:color w:val="auto"/>
              </w:rPr>
              <w:t>Pacific Northwest Earthquake Zone Counties and New</w:t>
            </w:r>
          </w:p>
        </w:tc>
        <w:tc>
          <w:tcPr>
            <w:tcW w:w="1160" w:type="dxa"/>
            <w:vAlign w:val="bottom"/>
            <w:tcBorders>
              <w:right w:val="single" w:sz="8" w:color="auto"/>
            </w:tcBorders>
          </w:tcPr>
          <w:p>
            <w:pPr>
              <w:jc w:val="right"/>
              <w:ind w:right="33"/>
              <w:spacing w:after="0" w:line="141" w:lineRule="exact"/>
              <w:rPr>
                <w:sz w:val="20"/>
                <w:szCs w:val="20"/>
                <w:color w:val="auto"/>
              </w:rPr>
            </w:pPr>
            <w:r>
              <w:rPr>
                <w:rFonts w:ascii="Arial" w:cs="Arial" w:eastAsia="Arial" w:hAnsi="Arial"/>
                <w:sz w:val="13"/>
                <w:szCs w:val="13"/>
                <w:i w:val="1"/>
                <w:iCs w:val="1"/>
                <w:color w:val="auto"/>
                <w:w w:val="97"/>
              </w:rPr>
              <w:t>5% of the property</w:t>
            </w:r>
          </w:p>
        </w:tc>
      </w:tr>
      <w:tr>
        <w:trPr>
          <w:trHeight w:val="161"/>
        </w:trPr>
        <w:tc>
          <w:tcPr>
            <w:tcW w:w="160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220"/>
              <w:spacing w:after="0"/>
              <w:rPr>
                <w:sz w:val="20"/>
                <w:szCs w:val="20"/>
                <w:color w:val="auto"/>
              </w:rPr>
            </w:pPr>
            <w:r>
              <w:rPr>
                <w:rFonts w:ascii="Arial" w:cs="Arial" w:eastAsia="Arial" w:hAnsi="Arial"/>
                <w:sz w:val="13"/>
                <w:szCs w:val="13"/>
                <w:i w:val="1"/>
                <w:iCs w:val="1"/>
                <w:color w:val="auto"/>
              </w:rPr>
              <w:t>Madrid Earthquake Zone Counties</w:t>
            </w:r>
          </w:p>
        </w:tc>
        <w:tc>
          <w:tcPr>
            <w:tcW w:w="11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i w:val="1"/>
                <w:iCs w:val="1"/>
                <w:color w:val="auto"/>
              </w:rPr>
              <w:t>Value with a</w:t>
            </w: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$100,000 min</w:t>
            </w:r>
          </w:p>
        </w:tc>
      </w:tr>
      <w:tr>
        <w:trPr>
          <w:trHeight w:val="167"/>
        </w:trPr>
        <w:tc>
          <w:tcPr>
            <w:tcW w:w="160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Flood</w:t>
            </w:r>
          </w:p>
        </w:tc>
        <w:tc>
          <w:tcPr>
            <w:tcW w:w="1160" w:type="dxa"/>
            <w:vAlign w:val="bottom"/>
            <w:tcBorders>
              <w:bottom w:val="single" w:sz="8" w:color="auto"/>
              <w:right w:val="single" w:sz="8" w:color="auto"/>
            </w:tcBorders>
          </w:tcPr>
          <w:p>
            <w:pPr>
              <w:spacing w:after="0"/>
              <w:rPr>
                <w:sz w:val="14"/>
                <w:szCs w:val="14"/>
                <w:color w:val="auto"/>
              </w:rPr>
            </w:pPr>
          </w:p>
        </w:tc>
      </w:tr>
      <w:tr>
        <w:trPr>
          <w:trHeight w:val="156"/>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Annual Aggregate</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$200,000,000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SFHA Zones</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i w:val="1"/>
                <w:iCs w:val="1"/>
                <w:color w:val="auto"/>
              </w:rPr>
              <w:t>Deductible</w:t>
            </w:r>
          </w:p>
        </w:tc>
        <w:tc>
          <w:tcPr>
            <w:tcW w:w="11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$100,000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i w:val="1"/>
                <w:iCs w:val="1"/>
                <w:color w:val="auto"/>
              </w:rPr>
              <w:t>SFHA Zone Property Damage</w:t>
            </w:r>
          </w:p>
        </w:tc>
        <w:tc>
          <w:tcPr>
            <w:tcW w:w="11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$500,000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Installation Coverage</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Transit</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$500,000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Extra Expense</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Brands and Labels</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Newly Acquired Property</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Unnamed Locations</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Accounts Receivable</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Valuable Papers and Records</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$1,000,000</w:t>
            </w:r>
          </w:p>
        </w:tc>
      </w:tr>
      <w:tr>
        <w:trPr>
          <w:trHeight w:val="151"/>
        </w:trPr>
        <w:tc>
          <w:tcPr>
            <w:tcW w:w="1600" w:type="dxa"/>
            <w:vAlign w:val="bottom"/>
            <w:tcBorders>
              <w:left w:val="single" w:sz="8" w:color="auto"/>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Electronic Data and Media (other than cyber)</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$3,500,000</w:t>
            </w:r>
          </w:p>
        </w:tc>
      </w:tr>
      <w:tr>
        <w:trPr>
          <w:trHeight w:val="167"/>
        </w:trPr>
        <w:tc>
          <w:tcPr>
            <w:tcW w:w="160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Demolitiona and Increased Cost of Construction</w:t>
            </w:r>
          </w:p>
        </w:tc>
        <w:tc>
          <w:tcPr>
            <w:tcW w:w="11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71" w:lineRule="exact"/>
        <w:rPr>
          <w:sz w:val="20"/>
          <w:szCs w:val="20"/>
          <w:color w:val="auto"/>
        </w:rPr>
      </w:pPr>
    </w:p>
    <w:p>
      <w:pPr>
        <w:ind w:left="619" w:hanging="619"/>
        <w:spacing w:after="0"/>
        <w:tabs>
          <w:tab w:leader="none" w:pos="619" w:val="left"/>
        </w:tabs>
        <w:numPr>
          <w:ilvl w:val="0"/>
          <w:numId w:val="197"/>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79"/>
          </w:cols>
          <w:pgMar w:left="221" w:top="250" w:right="1399" w:bottom="1440" w:gutter="0" w:footer="0" w:header="0"/>
        </w:sectPr>
      </w:pPr>
    </w:p>
    <w:bookmarkStart w:id="183" w:name="page184"/>
    <w:bookmarkEnd w:id="183"/>
    <w:tbl>
      <w:tblPr>
        <w:tblLayout w:type="fixed"/>
        <w:tblInd w:w="1199" w:type="dxa"/>
        <w:tblCellMar>
          <w:top w:w="0" w:type="dxa"/>
          <w:left w:w="0" w:type="dxa"/>
          <w:bottom w:w="0" w:type="dxa"/>
          <w:right w:w="0" w:type="dxa"/>
        </w:tblCellMar>
      </w:tblPr>
      <w:tr>
        <w:trPr>
          <w:trHeight w:val="184"/>
        </w:trPr>
        <w:tc>
          <w:tcPr>
            <w:tcW w:w="1560" w:type="dxa"/>
            <w:vAlign w:val="bottom"/>
            <w:tcBorders>
              <w:top w:val="single" w:sz="8" w:color="auto"/>
            </w:tcBorders>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13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3"/>
                <w:szCs w:val="13"/>
                <w:b w:val="1"/>
                <w:bCs w:val="1"/>
                <w:color w:val="auto"/>
                <w:w w:val="93"/>
              </w:rPr>
              <w:t>July 1, 2014</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560" w:type="dxa"/>
            <w:vAlign w:val="bottom"/>
            <w:tcBorders>
              <w:bottom w:val="single" w:sz="8" w:color="auto"/>
            </w:tcBorders>
            <w:shd w:val="clear" w:color="auto" w:fill="C0C0C0"/>
          </w:tcPr>
          <w:p>
            <w:pPr>
              <w:spacing w:after="0"/>
              <w:rPr>
                <w:sz w:val="13"/>
                <w:szCs w:val="13"/>
                <w:color w:val="auto"/>
              </w:rPr>
            </w:pPr>
          </w:p>
        </w:tc>
        <w:tc>
          <w:tcPr>
            <w:tcW w:w="1300" w:type="dxa"/>
            <w:vAlign w:val="bottom"/>
            <w:tcBorders>
              <w:bottom w:val="single" w:sz="8" w:color="auto"/>
              <w:right w:val="single" w:sz="8" w:color="auto"/>
            </w:tcBorders>
            <w:shd w:val="clear" w:color="auto" w:fill="C0C0C0"/>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420" w:type="dxa"/>
            <w:vAlign w:val="bottom"/>
            <w:vMerge w:val="restart"/>
          </w:tcPr>
          <w:p>
            <w:pPr>
              <w:ind w:left="120"/>
              <w:spacing w:after="0"/>
              <w:rPr>
                <w:sz w:val="20"/>
                <w:szCs w:val="20"/>
                <w:color w:val="auto"/>
              </w:rPr>
            </w:pPr>
            <w:r>
              <w:rPr>
                <w:rFonts w:ascii="Arial" w:cs="Arial" w:eastAsia="Arial" w:hAnsi="Arial"/>
                <w:sz w:val="13"/>
                <w:szCs w:val="13"/>
                <w:color w:val="auto"/>
              </w:rPr>
              <w:t>A. Undamaged Portion</w:t>
            </w:r>
          </w:p>
        </w:tc>
        <w:tc>
          <w:tcPr>
            <w:tcW w:w="20" w:type="dxa"/>
            <w:vAlign w:val="bottom"/>
            <w:tcBorders>
              <w:bottom w:val="single" w:sz="8" w:color="auto"/>
            </w:tcBorders>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Policy Limit</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B. Demolition</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 Compliance with Laws</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Errors &amp; Omissions</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Terrorism Inside the US</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Terrorism Outside the US</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Included</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Fungus, Mold, or Mildew</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Service Interruption</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Ordinary Payroll</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 Days</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13"/>
                <w:szCs w:val="13"/>
                <w:i w:val="1"/>
                <w:iCs w:val="1"/>
                <w:color w:val="auto"/>
              </w:rPr>
              <w:t>All Losses unless specified</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$25,000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Pr>
          <w:p>
            <w:pPr>
              <w:ind w:left="120"/>
              <w:spacing w:after="0"/>
              <w:rPr>
                <w:sz w:val="20"/>
                <w:szCs w:val="20"/>
                <w:color w:val="auto"/>
              </w:rPr>
            </w:pPr>
            <w:r>
              <w:rPr>
                <w:rFonts w:ascii="Arial" w:cs="Arial" w:eastAsia="Arial" w:hAnsi="Arial"/>
                <w:sz w:val="13"/>
                <w:szCs w:val="13"/>
                <w:i w:val="1"/>
                <w:iCs w:val="1"/>
                <w:color w:val="auto"/>
              </w:rPr>
              <w:t>Wind/Hail in High Hazard Wind Zones</w:t>
            </w:r>
          </w:p>
        </w:tc>
        <w:tc>
          <w:tcPr>
            <w:tcW w:w="20" w:type="dxa"/>
            <w:vAlign w:val="bottom"/>
            <w:shd w:val="clear" w:color="auto" w:fill="000000"/>
          </w:tcPr>
          <w:p>
            <w:pPr>
              <w:spacing w:after="0"/>
              <w:rPr>
                <w:sz w:val="13"/>
                <w:szCs w:val="13"/>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i w:val="1"/>
                <w:iCs w:val="1"/>
                <w:color w:val="auto"/>
                <w:w w:val="97"/>
              </w:rPr>
              <w:t>5% of the property</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140" w:type="dxa"/>
            <w:vAlign w:val="bottom"/>
          </w:tcPr>
          <w:p>
            <w:pPr>
              <w:jc w:val="right"/>
              <w:ind w:right="13"/>
              <w:spacing w:after="0"/>
              <w:rPr>
                <w:sz w:val="20"/>
                <w:szCs w:val="20"/>
                <w:color w:val="auto"/>
              </w:rPr>
            </w:pPr>
            <w:r>
              <w:rPr>
                <w:rFonts w:ascii="Arial" w:cs="Arial" w:eastAsia="Arial" w:hAnsi="Arial"/>
                <w:sz w:val="13"/>
                <w:szCs w:val="13"/>
                <w:i w:val="1"/>
                <w:iCs w:val="1"/>
                <w:color w:val="auto"/>
              </w:rPr>
              <w:t>Value with a</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34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i w:val="1"/>
                <w:iCs w:val="1"/>
                <w:color w:val="auto"/>
              </w:rPr>
              <w:t>$250,000 min</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13"/>
                <w:szCs w:val="13"/>
                <w:i w:val="1"/>
                <w:iCs w:val="1"/>
                <w:color w:val="auto"/>
              </w:rPr>
              <w:t>Equipment Breakdown</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54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6/30/2013 - 6/30/2014</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Canada Total Limit</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$2,315,043</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Earth Movement</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Covered</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Flood</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Covered</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Windstorm</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$2,315,043</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13"/>
                <w:szCs w:val="13"/>
                <w:i w:val="1"/>
                <w:iCs w:val="1"/>
                <w:color w:val="auto"/>
              </w:rPr>
              <w:t>All Other Perils Deductibles</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$25,000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540" w:type="dxa"/>
            <w:vAlign w:val="bottom"/>
            <w:tcBorders>
              <w:right w:val="single" w:sz="8" w:color="auto"/>
            </w:tcBorders>
          </w:tcPr>
          <w:p>
            <w:pPr>
              <w:jc w:val="right"/>
              <w:ind w:right="173"/>
              <w:spacing w:after="0"/>
              <w:rPr>
                <w:sz w:val="20"/>
                <w:szCs w:val="20"/>
                <w:color w:val="auto"/>
              </w:rPr>
            </w:pPr>
            <w:r>
              <w:rPr>
                <w:rFonts w:ascii="Arial" w:cs="Arial" w:eastAsia="Arial" w:hAnsi="Arial"/>
                <w:sz w:val="13"/>
                <w:szCs w:val="13"/>
                <w:color w:val="auto"/>
              </w:rPr>
              <w:t>6/30/2014 - 6/30/2015</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United Kingdom Total Limit</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$2,315,043</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Earth Movement</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Covered</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Flood</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Covered</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Windstorm</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$2,315,043</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13"/>
                <w:szCs w:val="13"/>
                <w:i w:val="1"/>
                <w:iCs w:val="1"/>
                <w:color w:val="auto"/>
              </w:rPr>
              <w:t>All Other Perils Deductible</w:t>
            </w:r>
          </w:p>
        </w:tc>
        <w:tc>
          <w:tcPr>
            <w:tcW w:w="20" w:type="dxa"/>
            <w:vAlign w:val="bottom"/>
            <w:tcBorders>
              <w:bottom w:val="single" w:sz="8" w:color="auto"/>
            </w:tcBorders>
            <w:shd w:val="clear" w:color="auto" w:fill="000000"/>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$25,000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Total US Billed</w:t>
            </w:r>
          </w:p>
        </w:tc>
        <w:tc>
          <w:tcPr>
            <w:tcW w:w="154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Total Locally Billed*</w:t>
            </w:r>
          </w:p>
        </w:tc>
        <w:tc>
          <w:tcPr>
            <w:tcW w:w="154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Total Global Premium</w:t>
            </w:r>
          </w:p>
        </w:tc>
        <w:tc>
          <w:tcPr>
            <w:tcW w:w="154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bl>
    <w:p>
      <w:pPr>
        <w:ind w:left="277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902335</wp:posOffset>
            </wp:positionH>
            <wp:positionV relativeFrom="page">
              <wp:posOffset>274955</wp:posOffset>
            </wp:positionV>
            <wp:extent cx="5756910" cy="3387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6910" cy="3387725"/>
                    </a:xfrm>
                    <a:prstGeom prst="rect">
                      <a:avLst/>
                    </a:prstGeom>
                    <a:noFill/>
                  </pic:spPr>
                </pic:pic>
              </a:graphicData>
            </a:graphic>
          </wp:anchor>
        </w:drawing>
        <w:t>*UK Terrorism Premium is 436.59GBP - Conversion to US $ 9/18/2014 rate 1.64.</w:t>
      </w:r>
    </w:p>
    <w:p>
      <w:pPr>
        <w:spacing w:after="0" w:line="200" w:lineRule="exact"/>
        <w:rPr>
          <w:sz w:val="20"/>
          <w:szCs w:val="20"/>
          <w:color w:val="auto"/>
        </w:rPr>
      </w:pPr>
    </w:p>
    <w:p>
      <w:pPr>
        <w:spacing w:after="0" w:line="293" w:lineRule="exact"/>
        <w:rPr>
          <w:sz w:val="20"/>
          <w:szCs w:val="20"/>
          <w:color w:val="auto"/>
        </w:rPr>
      </w:pPr>
    </w:p>
    <w:p>
      <w:pPr>
        <w:ind w:left="619" w:hanging="619"/>
        <w:spacing w:after="0"/>
        <w:tabs>
          <w:tab w:leader="none" w:pos="619" w:val="left"/>
        </w:tabs>
        <w:numPr>
          <w:ilvl w:val="0"/>
          <w:numId w:val="198"/>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79"/>
          </w:cols>
          <w:pgMar w:left="221" w:top="412" w:right="1399" w:bottom="1440" w:gutter="0" w:footer="0" w:header="0"/>
        </w:sectPr>
      </w:pPr>
    </w:p>
    <w:bookmarkStart w:id="184" w:name="page185"/>
    <w:bookmarkEnd w:id="184"/>
    <w:tbl>
      <w:tblPr>
        <w:tblLayout w:type="fixed"/>
        <w:tblInd w:w="1209" w:type="dxa"/>
        <w:tblCellMar>
          <w:top w:w="0" w:type="dxa"/>
          <w:left w:w="0" w:type="dxa"/>
          <w:bottom w:w="0" w:type="dxa"/>
          <w:right w:w="0" w:type="dxa"/>
        </w:tblCellMar>
      </w:tblPr>
      <w:tr>
        <w:trPr>
          <w:trHeight w:val="184"/>
        </w:trPr>
        <w:tc>
          <w:tcPr>
            <w:tcW w:w="1580" w:type="dxa"/>
            <w:vAlign w:val="bottom"/>
            <w:tcBorders>
              <w:top w:val="single" w:sz="8" w:color="auto"/>
              <w:left w:val="single" w:sz="8" w:color="auto"/>
              <w:right w:val="single" w:sz="8" w:color="C0C0C0"/>
            </w:tcBorders>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1280" w:type="dxa"/>
            <w:vAlign w:val="bottom"/>
            <w:tcBorders>
              <w:top w:val="single" w:sz="8" w:color="auto"/>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3"/>
                <w:szCs w:val="13"/>
                <w:b w:val="1"/>
                <w:bCs w:val="1"/>
                <w:color w:val="auto"/>
                <w:w w:val="93"/>
              </w:rPr>
              <w:t>July 1, 2014</w:t>
            </w:r>
          </w:p>
        </w:tc>
        <w:tc>
          <w:tcPr>
            <w:tcW w:w="16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580" w:type="dxa"/>
            <w:vAlign w:val="bottom"/>
            <w:tcBorders>
              <w:left w:val="single" w:sz="8" w:color="auto"/>
              <w:right w:val="single" w:sz="8" w:color="C0C0C0"/>
            </w:tcBorders>
            <w:vMerge w:val="restart"/>
            <w:shd w:val="clear" w:color="auto" w:fill="C0C0C0"/>
          </w:tcPr>
          <w:p>
            <w:pPr>
              <w:ind w:left="20"/>
              <w:spacing w:after="0"/>
              <w:rPr>
                <w:sz w:val="20"/>
                <w:szCs w:val="20"/>
                <w:color w:val="auto"/>
              </w:rPr>
            </w:pPr>
            <w:r>
              <w:rPr>
                <w:rFonts w:ascii="Arial" w:cs="Arial" w:eastAsia="Arial" w:hAnsi="Arial"/>
                <w:sz w:val="13"/>
                <w:szCs w:val="13"/>
                <w:b w:val="1"/>
                <w:bCs w:val="1"/>
                <w:color w:val="auto"/>
              </w:rPr>
              <w:t>Cargo</w:t>
            </w:r>
          </w:p>
        </w:tc>
        <w:tc>
          <w:tcPr>
            <w:tcW w:w="1280" w:type="dxa"/>
            <w:vAlign w:val="bottom"/>
            <w:tcBorders>
              <w:left w:val="single" w:sz="8" w:color="auto"/>
              <w:right w:val="single" w:sz="8" w:color="auto"/>
            </w:tcBorders>
            <w:shd w:val="clear" w:color="auto" w:fill="C0C0C0"/>
          </w:tcPr>
          <w:p>
            <w:pPr>
              <w:spacing w:after="0"/>
              <w:rPr>
                <w:sz w:val="13"/>
                <w:szCs w:val="13"/>
                <w:color w:val="auto"/>
              </w:rPr>
            </w:pPr>
          </w:p>
        </w:tc>
        <w:tc>
          <w:tcPr>
            <w:tcW w:w="16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580" w:type="dxa"/>
            <w:vAlign w:val="bottom"/>
            <w:tcBorders>
              <w:left w:val="single" w:sz="8" w:color="auto"/>
              <w:bottom w:val="single" w:sz="8" w:color="auto"/>
              <w:right w:val="single" w:sz="8" w:color="C0C0C0"/>
            </w:tcBorders>
            <w:vMerge w:val="continue"/>
            <w:shd w:val="clear" w:color="auto" w:fill="C0C0C0"/>
          </w:tcPr>
          <w:p>
            <w:pPr>
              <w:spacing w:after="0"/>
              <w:rPr>
                <w:sz w:val="14"/>
                <w:szCs w:val="14"/>
                <w:color w:val="auto"/>
              </w:rPr>
            </w:pPr>
          </w:p>
        </w:tc>
        <w:tc>
          <w:tcPr>
            <w:tcW w:w="1280" w:type="dxa"/>
            <w:vAlign w:val="bottom"/>
            <w:tcBorders>
              <w:left w:val="single" w:sz="8" w:color="C0C0C0"/>
              <w:bottom w:val="single" w:sz="8" w:color="auto"/>
              <w:right w:val="single" w:sz="8" w:color="C0C0C0"/>
            </w:tcBorders>
            <w:shd w:val="clear" w:color="auto" w:fill="C0C0C0"/>
          </w:tcPr>
          <w:p>
            <w:pPr>
              <w:spacing w:after="0"/>
              <w:rPr>
                <w:sz w:val="14"/>
                <w:szCs w:val="14"/>
                <w:color w:val="auto"/>
              </w:rPr>
            </w:pPr>
          </w:p>
        </w:tc>
        <w:tc>
          <w:tcPr>
            <w:tcW w:w="1620" w:type="dxa"/>
            <w:vAlign w:val="bottom"/>
            <w:tcBorders>
              <w:bottom w:val="single" w:sz="8" w:color="auto"/>
              <w:right w:val="single" w:sz="8" w:color="C0C0C0"/>
            </w:tcBorders>
            <w:shd w:val="clear" w:color="auto" w:fill="C0C0C0"/>
          </w:tcPr>
          <w:p>
            <w:pPr>
              <w:spacing w:after="0"/>
              <w:rPr>
                <w:sz w:val="14"/>
                <w:szCs w:val="14"/>
                <w:color w:val="auto"/>
              </w:rPr>
            </w:pPr>
          </w:p>
        </w:tc>
        <w:tc>
          <w:tcPr>
            <w:tcW w:w="3440" w:type="dxa"/>
            <w:vAlign w:val="bottom"/>
            <w:tcBorders>
              <w:bottom w:val="single" w:sz="8" w:color="auto"/>
              <w:right w:val="single" w:sz="8" w:color="C0C0C0"/>
            </w:tcBorders>
            <w:shd w:val="clear" w:color="auto" w:fill="C0C0C0"/>
          </w:tcPr>
          <w:p>
            <w:pPr>
              <w:spacing w:after="0"/>
              <w:rPr>
                <w:sz w:val="14"/>
                <w:szCs w:val="14"/>
                <w:color w:val="auto"/>
              </w:rPr>
            </w:pPr>
          </w:p>
        </w:tc>
        <w:tc>
          <w:tcPr>
            <w:tcW w:w="1140" w:type="dxa"/>
            <w:vAlign w:val="bottom"/>
            <w:tcBorders>
              <w:bottom w:val="single" w:sz="8" w:color="auto"/>
            </w:tcBorders>
            <w:shd w:val="clear" w:color="auto" w:fill="C0C0C0"/>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Indemnity Insurance</w:t>
            </w:r>
          </w:p>
        </w:tc>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4"/>
              </w:rPr>
              <w:t>6/30/2014 - 6/30/2015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Any One Conveyance or Connecting Conveyance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Company of North</w:t>
            </w: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War 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America</w:t>
            </w:r>
          </w:p>
        </w:tc>
        <w:tc>
          <w:tcPr>
            <w:tcW w:w="1280" w:type="dxa"/>
            <w:vAlign w:val="bottom"/>
            <w:tcBorders>
              <w:left w:val="single" w:sz="8" w:color="auto"/>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Deductible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$5,000</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bottom w:val="single" w:sz="8" w:color="auto"/>
              <w:right w:val="single" w:sz="8" w:color="C0C0C0"/>
            </w:tcBorders>
            <w:shd w:val="clear" w:color="auto" w:fill="C0C0C0"/>
          </w:tcPr>
          <w:p>
            <w:pPr>
              <w:spacing w:after="0"/>
              <w:rPr>
                <w:sz w:val="13"/>
                <w:szCs w:val="13"/>
                <w:color w:val="auto"/>
              </w:rPr>
            </w:pPr>
          </w:p>
        </w:tc>
        <w:tc>
          <w:tcPr>
            <w:tcW w:w="1280" w:type="dxa"/>
            <w:vAlign w:val="bottom"/>
            <w:tcBorders>
              <w:left w:val="single" w:sz="8" w:color="C0C0C0"/>
              <w:bottom w:val="single" w:sz="8" w:color="auto"/>
              <w:right w:val="single" w:sz="8" w:color="C0C0C0"/>
            </w:tcBorders>
            <w:shd w:val="clear" w:color="auto" w:fill="C0C0C0"/>
          </w:tcPr>
          <w:p>
            <w:pPr>
              <w:spacing w:after="0"/>
              <w:rPr>
                <w:sz w:val="13"/>
                <w:szCs w:val="13"/>
                <w:color w:val="auto"/>
              </w:rPr>
            </w:pPr>
          </w:p>
        </w:tc>
        <w:tc>
          <w:tcPr>
            <w:tcW w:w="5060" w:type="dxa"/>
            <w:vAlign w:val="bottom"/>
            <w:tcBorders>
              <w:bottom w:val="single" w:sz="8" w:color="auto"/>
              <w:right w:val="single" w:sz="8" w:color="C0C0C0"/>
            </w:tcBorders>
            <w:gridSpan w:val="2"/>
            <w:shd w:val="clear" w:color="auto" w:fill="C0C0C0"/>
          </w:tcPr>
          <w:p>
            <w:pPr>
              <w:jc w:val="center"/>
              <w:ind w:right="1613"/>
              <w:spacing w:after="0"/>
              <w:rPr>
                <w:sz w:val="20"/>
                <w:szCs w:val="20"/>
                <w:color w:val="auto"/>
              </w:rPr>
            </w:pPr>
            <w:r>
              <w:rPr>
                <w:rFonts w:ascii="Arial" w:cs="Arial" w:eastAsia="Arial" w:hAnsi="Arial"/>
                <w:sz w:val="13"/>
                <w:szCs w:val="13"/>
                <w:b w:val="1"/>
                <w:bCs w:val="1"/>
                <w:color w:val="auto"/>
                <w:w w:val="96"/>
              </w:rPr>
              <w:t>General Liability</w:t>
            </w:r>
          </w:p>
        </w:tc>
        <w:tc>
          <w:tcPr>
            <w:tcW w:w="114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Liberty Mutual Fire</w:t>
            </w:r>
          </w:p>
        </w:tc>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4"/>
              </w:rPr>
              <w:t>07/01/2014 - 07/01/2015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General Aggregate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Insurance Co.</w:t>
            </w: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Products-Completed Operations Aggregate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Each Occurrence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Personal &amp; Advertising Injury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Damage to Premises Rented - any one prem</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Medical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Employee Benefits Each Claim</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Employee Benefits Aggregate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bottom w:val="single" w:sz="8" w:color="auto"/>
            </w:tcBorders>
          </w:tcPr>
          <w:p>
            <w:pPr>
              <w:spacing w:after="0"/>
              <w:rPr>
                <w:sz w:val="13"/>
                <w:szCs w:val="13"/>
                <w:color w:val="auto"/>
              </w:rPr>
            </w:pPr>
          </w:p>
        </w:tc>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Retroactive Date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7/1/2014</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bottom w:val="single" w:sz="8" w:color="auto"/>
              <w:right w:val="single" w:sz="8" w:color="C0C0C0"/>
            </w:tcBorders>
            <w:shd w:val="clear" w:color="auto" w:fill="C0C0C0"/>
          </w:tcPr>
          <w:p>
            <w:pPr>
              <w:spacing w:after="0"/>
              <w:rPr>
                <w:sz w:val="13"/>
                <w:szCs w:val="13"/>
                <w:color w:val="auto"/>
              </w:rPr>
            </w:pPr>
          </w:p>
        </w:tc>
        <w:tc>
          <w:tcPr>
            <w:tcW w:w="1280" w:type="dxa"/>
            <w:vAlign w:val="bottom"/>
            <w:tcBorders>
              <w:left w:val="single" w:sz="8" w:color="C0C0C0"/>
              <w:bottom w:val="single" w:sz="8" w:color="auto"/>
              <w:right w:val="single" w:sz="8" w:color="C0C0C0"/>
            </w:tcBorders>
            <w:shd w:val="clear" w:color="auto" w:fill="C0C0C0"/>
          </w:tcPr>
          <w:p>
            <w:pPr>
              <w:spacing w:after="0"/>
              <w:rPr>
                <w:sz w:val="13"/>
                <w:szCs w:val="13"/>
                <w:color w:val="auto"/>
              </w:rPr>
            </w:pPr>
          </w:p>
        </w:tc>
        <w:tc>
          <w:tcPr>
            <w:tcW w:w="5060" w:type="dxa"/>
            <w:vAlign w:val="bottom"/>
            <w:tcBorders>
              <w:bottom w:val="single" w:sz="8" w:color="auto"/>
              <w:right w:val="single" w:sz="8" w:color="C0C0C0"/>
            </w:tcBorders>
            <w:gridSpan w:val="2"/>
            <w:shd w:val="clear" w:color="auto" w:fill="C0C0C0"/>
          </w:tcPr>
          <w:p>
            <w:pPr>
              <w:jc w:val="center"/>
              <w:ind w:right="1613"/>
              <w:spacing w:after="0"/>
              <w:rPr>
                <w:sz w:val="20"/>
                <w:szCs w:val="20"/>
                <w:color w:val="auto"/>
              </w:rPr>
            </w:pPr>
            <w:r>
              <w:rPr>
                <w:rFonts w:ascii="Arial" w:cs="Arial" w:eastAsia="Arial" w:hAnsi="Arial"/>
                <w:sz w:val="13"/>
                <w:szCs w:val="13"/>
                <w:b w:val="1"/>
                <w:bCs w:val="1"/>
                <w:color w:val="auto"/>
                <w:w w:val="94"/>
              </w:rPr>
              <w:t>Workers' Compensation and Employers' Liability</w:t>
            </w:r>
          </w:p>
        </w:tc>
        <w:tc>
          <w:tcPr>
            <w:tcW w:w="114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Liberty Insurance</w:t>
            </w:r>
          </w:p>
        </w:tc>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4"/>
              </w:rPr>
              <w:t>07/01/2014 - 07/01/2015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Workers' Compensation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Statutory</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Corporation</w:t>
            </w: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 by Accident each Accident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 by Disease Policy 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 by Disease each Employee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Retention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4"/>
              </w:rPr>
              <w:t>07/01/2014 - 07/01/2015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Workers' Compensation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Statutory</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 by Accident each Accident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 by Disease Policy 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BI by Disease each Employee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bottom w:val="single" w:sz="8" w:color="auto"/>
              <w:right w:val="single" w:sz="8" w:color="auto"/>
            </w:tcBorders>
          </w:tcPr>
          <w:p>
            <w:pPr>
              <w:spacing w:after="0"/>
              <w:rPr>
                <w:sz w:val="13"/>
                <w:szCs w:val="13"/>
                <w:color w:val="auto"/>
              </w:rPr>
            </w:pPr>
          </w:p>
        </w:tc>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Retention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bottom w:val="single" w:sz="8" w:color="auto"/>
              <w:right w:val="single" w:sz="8" w:color="C0C0C0"/>
            </w:tcBorders>
            <w:shd w:val="clear" w:color="auto" w:fill="C0C0C0"/>
          </w:tcPr>
          <w:p>
            <w:pPr>
              <w:spacing w:after="0"/>
              <w:rPr>
                <w:sz w:val="13"/>
                <w:szCs w:val="13"/>
                <w:color w:val="auto"/>
              </w:rPr>
            </w:pPr>
          </w:p>
        </w:tc>
        <w:tc>
          <w:tcPr>
            <w:tcW w:w="1280" w:type="dxa"/>
            <w:vAlign w:val="bottom"/>
            <w:tcBorders>
              <w:left w:val="single" w:sz="8" w:color="C0C0C0"/>
              <w:bottom w:val="single" w:sz="8" w:color="auto"/>
              <w:right w:val="single" w:sz="8" w:color="C0C0C0"/>
            </w:tcBorders>
            <w:shd w:val="clear" w:color="auto" w:fill="C0C0C0"/>
          </w:tcPr>
          <w:p>
            <w:pPr>
              <w:spacing w:after="0"/>
              <w:rPr>
                <w:sz w:val="13"/>
                <w:szCs w:val="13"/>
                <w:color w:val="auto"/>
              </w:rPr>
            </w:pPr>
          </w:p>
        </w:tc>
        <w:tc>
          <w:tcPr>
            <w:tcW w:w="1620" w:type="dxa"/>
            <w:vAlign w:val="bottom"/>
            <w:tcBorders>
              <w:bottom w:val="single" w:sz="8" w:color="auto"/>
              <w:right w:val="single" w:sz="8" w:color="C0C0C0"/>
            </w:tcBorders>
            <w:shd w:val="clear" w:color="auto" w:fill="C0C0C0"/>
          </w:tcPr>
          <w:p>
            <w:pPr>
              <w:ind w:left="1020"/>
              <w:spacing w:after="0"/>
              <w:rPr>
                <w:sz w:val="20"/>
                <w:szCs w:val="20"/>
                <w:color w:val="auto"/>
              </w:rPr>
            </w:pPr>
            <w:r>
              <w:rPr>
                <w:rFonts w:ascii="Arial" w:cs="Arial" w:eastAsia="Arial" w:hAnsi="Arial"/>
                <w:sz w:val="13"/>
                <w:szCs w:val="13"/>
                <w:b w:val="1"/>
                <w:bCs w:val="1"/>
                <w:color w:val="auto"/>
                <w:w w:val="96"/>
              </w:rPr>
              <w:t>Business</w:t>
            </w:r>
          </w:p>
        </w:tc>
        <w:tc>
          <w:tcPr>
            <w:tcW w:w="3440" w:type="dxa"/>
            <w:vAlign w:val="bottom"/>
            <w:tcBorders>
              <w:bottom w:val="single" w:sz="8" w:color="auto"/>
              <w:right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Auto Liability</w:t>
            </w:r>
          </w:p>
        </w:tc>
        <w:tc>
          <w:tcPr>
            <w:tcW w:w="114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Liberty Mutual Fire</w:t>
            </w:r>
          </w:p>
        </w:tc>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4"/>
              </w:rPr>
              <w:t>07/01/2014 - 07/01/2015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Liability - Any Auto</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Insurance Co.</w:t>
            </w: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Uninsured Motorists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Statutory</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80" w:type="dxa"/>
            <w:vAlign w:val="bottom"/>
            <w:tcBorders>
              <w:left w:val="single" w:sz="8" w:color="auto"/>
            </w:tcBorders>
          </w:tcPr>
          <w:p>
            <w:pPr>
              <w:spacing w:after="0"/>
              <w:rPr>
                <w:sz w:val="13"/>
                <w:szCs w:val="13"/>
                <w:color w:val="auto"/>
              </w:rPr>
            </w:pPr>
          </w:p>
        </w:tc>
        <w:tc>
          <w:tcPr>
            <w:tcW w:w="128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Medical Payments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619" w:hanging="619"/>
        <w:spacing w:after="0"/>
        <w:tabs>
          <w:tab w:leader="none" w:pos="619"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79"/>
          </w:cols>
          <w:pgMar w:left="221" w:top="412" w:right="1399" w:bottom="1440" w:gutter="0" w:footer="0" w:header="0"/>
        </w:sectPr>
      </w:pPr>
    </w:p>
    <w:bookmarkStart w:id="185" w:name="page186"/>
    <w:bookmarkEnd w:id="185"/>
    <w:tbl>
      <w:tblPr>
        <w:tblLayout w:type="fixed"/>
        <w:tblInd w:w="1209" w:type="dxa"/>
        <w:tblCellMar>
          <w:top w:w="0" w:type="dxa"/>
          <w:left w:w="0" w:type="dxa"/>
          <w:bottom w:w="0" w:type="dxa"/>
          <w:right w:w="0" w:type="dxa"/>
        </w:tblCellMar>
      </w:tblPr>
      <w:tr>
        <w:trPr>
          <w:trHeight w:val="184"/>
        </w:trPr>
        <w:tc>
          <w:tcPr>
            <w:tcW w:w="1580" w:type="dxa"/>
            <w:vAlign w:val="bottom"/>
            <w:tcBorders>
              <w:top w:val="single" w:sz="8" w:color="auto"/>
              <w:left w:val="single" w:sz="8" w:color="auto"/>
              <w:right w:val="single" w:sz="8" w:color="auto"/>
            </w:tcBorders>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200" w:type="dxa"/>
            <w:vAlign w:val="bottom"/>
            <w:tcBorders>
              <w:top w:val="single" w:sz="8" w:color="auto"/>
            </w:tcBorders>
            <w:shd w:val="clear" w:color="auto" w:fill="C0C0C0"/>
          </w:tcPr>
          <w:p>
            <w:pPr>
              <w:spacing w:after="0"/>
              <w:rPr>
                <w:sz w:val="15"/>
                <w:szCs w:val="15"/>
                <w:color w:val="auto"/>
              </w:rPr>
            </w:pPr>
          </w:p>
        </w:tc>
        <w:tc>
          <w:tcPr>
            <w:tcW w:w="1080" w:type="dxa"/>
            <w:vAlign w:val="bottom"/>
            <w:tcBorders>
              <w:top w:val="single" w:sz="8" w:color="auto"/>
              <w:right w:val="single" w:sz="8" w:color="auto"/>
            </w:tcBorders>
            <w:shd w:val="clear" w:color="auto" w:fill="C0C0C0"/>
          </w:tcPr>
          <w:p>
            <w:pPr>
              <w:jc w:val="center"/>
              <w:ind w:right="173"/>
              <w:spacing w:after="0"/>
              <w:rPr>
                <w:sz w:val="20"/>
                <w:szCs w:val="20"/>
                <w:color w:val="auto"/>
              </w:rPr>
            </w:pPr>
            <w:r>
              <w:rPr>
                <w:rFonts w:ascii="Arial" w:cs="Arial" w:eastAsia="Arial" w:hAnsi="Arial"/>
                <w:sz w:val="13"/>
                <w:szCs w:val="13"/>
                <w:b w:val="1"/>
                <w:bCs w:val="1"/>
                <w:color w:val="auto"/>
                <w:w w:val="93"/>
              </w:rPr>
              <w:t>July 1, 2014</w:t>
            </w:r>
          </w:p>
        </w:tc>
        <w:tc>
          <w:tcPr>
            <w:tcW w:w="16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9"/>
        </w:trPr>
        <w:tc>
          <w:tcPr>
            <w:tcW w:w="1580" w:type="dxa"/>
            <w:vAlign w:val="bottom"/>
            <w:tcBorders>
              <w:left w:val="single" w:sz="8" w:color="auto"/>
              <w:right w:val="single" w:sz="8" w:color="auto"/>
            </w:tcBorders>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1080" w:type="dxa"/>
            <w:vAlign w:val="bottom"/>
            <w:tcBorders>
              <w:right w:val="single" w:sz="8" w:color="auto"/>
            </w:tcBorders>
            <w:shd w:val="clear" w:color="auto" w:fill="C0C0C0"/>
          </w:tcPr>
          <w:p>
            <w:pPr>
              <w:spacing w:after="0"/>
              <w:rPr>
                <w:sz w:val="13"/>
                <w:szCs w:val="13"/>
                <w:color w:val="auto"/>
              </w:rPr>
            </w:pPr>
          </w:p>
        </w:tc>
        <w:tc>
          <w:tcPr>
            <w:tcW w:w="16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780" w:type="dxa"/>
            <w:vAlign w:val="bottom"/>
            <w:tcBorders>
              <w:left w:val="single" w:sz="8" w:color="auto"/>
              <w:bottom w:val="single" w:sz="8" w:color="auto"/>
            </w:tcBorders>
            <w:gridSpan w:val="2"/>
            <w:shd w:val="clear" w:color="auto" w:fill="C0C0C0"/>
          </w:tcPr>
          <w:p>
            <w:pPr>
              <w:ind w:left="20"/>
              <w:spacing w:after="0"/>
              <w:rPr>
                <w:sz w:val="20"/>
                <w:szCs w:val="20"/>
                <w:color w:val="auto"/>
              </w:rPr>
            </w:pPr>
            <w:r>
              <w:rPr>
                <w:rFonts w:ascii="Arial" w:cs="Arial" w:eastAsia="Arial" w:hAnsi="Arial"/>
                <w:sz w:val="13"/>
                <w:szCs w:val="13"/>
                <w:b w:val="1"/>
                <w:bCs w:val="1"/>
                <w:color w:val="auto"/>
              </w:rPr>
              <w:t>International Casualty (DIC)</w:t>
            </w:r>
          </w:p>
        </w:tc>
        <w:tc>
          <w:tcPr>
            <w:tcW w:w="1080" w:type="dxa"/>
            <w:vAlign w:val="bottom"/>
            <w:tcBorders>
              <w:bottom w:val="single" w:sz="8" w:color="auto"/>
              <w:right w:val="single" w:sz="8" w:color="C0C0C0"/>
            </w:tcBorders>
            <w:shd w:val="clear" w:color="auto" w:fill="C0C0C0"/>
          </w:tcPr>
          <w:p>
            <w:pPr>
              <w:spacing w:after="0"/>
              <w:rPr>
                <w:sz w:val="14"/>
                <w:szCs w:val="14"/>
                <w:color w:val="auto"/>
              </w:rPr>
            </w:pPr>
          </w:p>
        </w:tc>
        <w:tc>
          <w:tcPr>
            <w:tcW w:w="1620" w:type="dxa"/>
            <w:vAlign w:val="bottom"/>
            <w:tcBorders>
              <w:bottom w:val="single" w:sz="8" w:color="auto"/>
              <w:right w:val="single" w:sz="8" w:color="C0C0C0"/>
            </w:tcBorders>
            <w:shd w:val="clear" w:color="auto" w:fill="C0C0C0"/>
          </w:tcPr>
          <w:p>
            <w:pPr>
              <w:spacing w:after="0"/>
              <w:rPr>
                <w:sz w:val="14"/>
                <w:szCs w:val="14"/>
                <w:color w:val="auto"/>
              </w:rPr>
            </w:pPr>
          </w:p>
        </w:tc>
        <w:tc>
          <w:tcPr>
            <w:tcW w:w="3440" w:type="dxa"/>
            <w:vAlign w:val="bottom"/>
            <w:tcBorders>
              <w:bottom w:val="single" w:sz="8" w:color="auto"/>
              <w:right w:val="single" w:sz="8" w:color="C0C0C0"/>
            </w:tcBorders>
            <w:shd w:val="clear" w:color="auto" w:fill="C0C0C0"/>
          </w:tcPr>
          <w:p>
            <w:pPr>
              <w:spacing w:after="0"/>
              <w:rPr>
                <w:sz w:val="14"/>
                <w:szCs w:val="14"/>
                <w:color w:val="auto"/>
              </w:rPr>
            </w:pPr>
          </w:p>
        </w:tc>
        <w:tc>
          <w:tcPr>
            <w:tcW w:w="1140" w:type="dxa"/>
            <w:vAlign w:val="bottom"/>
            <w:tcBorders>
              <w:bottom w:val="single" w:sz="8" w:color="auto"/>
            </w:tcBorders>
            <w:shd w:val="clear" w:color="auto" w:fill="C0C0C0"/>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ACE American Insurance</w:t>
            </w:r>
          </w:p>
        </w:tc>
        <w:tc>
          <w:tcPr>
            <w:tcW w:w="200" w:type="dxa"/>
            <w:vAlign w:val="bottom"/>
          </w:tcPr>
          <w:p>
            <w:pPr>
              <w:spacing w:after="0"/>
              <w:rPr>
                <w:sz w:val="13"/>
                <w:szCs w:val="13"/>
                <w:color w:val="auto"/>
              </w:rPr>
            </w:pPr>
          </w:p>
        </w:tc>
        <w:tc>
          <w:tcPr>
            <w:tcW w:w="1080" w:type="dxa"/>
            <w:vAlign w:val="bottom"/>
            <w:tcBorders>
              <w:right w:val="single" w:sz="8" w:color="auto"/>
            </w:tcBorders>
          </w:tcPr>
          <w:p>
            <w:pPr>
              <w:jc w:val="right"/>
              <w:ind w:right="493"/>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right"/>
              <w:ind w:right="113"/>
              <w:spacing w:after="0"/>
              <w:rPr>
                <w:sz w:val="20"/>
                <w:szCs w:val="20"/>
                <w:color w:val="auto"/>
              </w:rPr>
            </w:pPr>
            <w:r>
              <w:rPr>
                <w:rFonts w:ascii="Arial" w:cs="Arial" w:eastAsia="Arial" w:hAnsi="Arial"/>
                <w:sz w:val="13"/>
                <w:szCs w:val="13"/>
                <w:color w:val="auto"/>
              </w:rPr>
              <w:t>06/30/2014 - 06/30/2017</w:t>
            </w: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General Liability</w:t>
            </w:r>
          </w:p>
        </w:tc>
        <w:tc>
          <w:tcPr>
            <w:tcW w:w="11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77"/>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2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r>
      <w:tr>
        <w:trPr>
          <w:trHeight w:val="157"/>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General Aggregate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Not Applicable</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Products-Completed Operations Aggregate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P&amp;AI Aggregate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Each Occurrence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Med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62"/>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Employee Benefits Coverage</w:t>
            </w:r>
          </w:p>
        </w:tc>
        <w:tc>
          <w:tcPr>
            <w:tcW w:w="1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71"/>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Employee Benefits Each Claim</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color w:val="auto"/>
              </w:rPr>
              <w:t>Employee Benefits Aggregate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62"/>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Accidental Death &amp; Dismemberment</w:t>
            </w:r>
          </w:p>
        </w:tc>
        <w:tc>
          <w:tcPr>
            <w:tcW w:w="1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71"/>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Principal Sum (per covered person)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Accident Aggregate (per Occurrence)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Non-Occupational Medical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62"/>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Auto:</w:t>
            </w:r>
          </w:p>
        </w:tc>
        <w:tc>
          <w:tcPr>
            <w:tcW w:w="1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71"/>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Combined Single Liability Limit - Any One Accident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Hired Auto PD Any One Accident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Hired Auto PD Any One Policy Period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Medical Payments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62"/>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Foreign Voluntary Compensation</w:t>
            </w:r>
          </w:p>
        </w:tc>
        <w:tc>
          <w:tcPr>
            <w:tcW w:w="1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71"/>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North Americans: State of Hire; 3rd Country Nationals:</w:t>
            </w:r>
          </w:p>
        </w:tc>
        <w:tc>
          <w:tcPr>
            <w:tcW w:w="11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r>
      <w:tr>
        <w:trPr>
          <w:trHeight w:val="177"/>
        </w:trPr>
        <w:tc>
          <w:tcPr>
            <w:tcW w:w="158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Country of Origin; Local Nationals: EL Only</w:t>
            </w: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r>
      <w:tr>
        <w:trPr>
          <w:trHeight w:val="157"/>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BI by Accident each Accident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BI by Disease each Employee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BI by Disease Policy 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Medical Assistance Services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62"/>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Special Risk</w:t>
            </w:r>
          </w:p>
        </w:tc>
        <w:tc>
          <w:tcPr>
            <w:tcW w:w="1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71"/>
        </w:trPr>
        <w:tc>
          <w:tcPr>
            <w:tcW w:w="158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Extortion/Ransom Monies Payment (each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In-Transit Extortion/Ransom (each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Expenses (each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Legal Costs (each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Medical, Death or Dismemberment (each life)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Medical, Death or Dismemberment (each incident)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w:t>
            </w:r>
          </w:p>
        </w:tc>
        <w:tc>
          <w:tcPr>
            <w:tcW w:w="20" w:type="dxa"/>
            <w:vAlign w:val="bottom"/>
            <w:tcBorders>
              <w:bottom w:val="single" w:sz="8" w:color="auto"/>
            </w:tcBorders>
            <w:shd w:val="clear" w:color="auto" w:fill="000000"/>
          </w:tcPr>
          <w:p>
            <w:pPr>
              <w:spacing w:after="0"/>
              <w:rPr>
                <w:sz w:val="13"/>
                <w:szCs w:val="13"/>
                <w:color w:val="auto"/>
              </w:rPr>
            </w:pPr>
          </w:p>
        </w:tc>
      </w:tr>
    </w:tbl>
    <w:p>
      <w:pPr>
        <w:spacing w:after="0" w:line="200" w:lineRule="exact"/>
        <w:rPr>
          <w:sz w:val="20"/>
          <w:szCs w:val="20"/>
          <w:color w:val="auto"/>
        </w:rPr>
      </w:pPr>
    </w:p>
    <w:p>
      <w:pPr>
        <w:spacing w:after="0" w:line="271" w:lineRule="exact"/>
        <w:rPr>
          <w:sz w:val="20"/>
          <w:szCs w:val="20"/>
          <w:color w:val="auto"/>
        </w:rPr>
      </w:pPr>
    </w:p>
    <w:p>
      <w:pPr>
        <w:ind w:left="619" w:hanging="619"/>
        <w:spacing w:after="0"/>
        <w:tabs>
          <w:tab w:leader="none" w:pos="619" w:val="left"/>
        </w:tabs>
        <w:numPr>
          <w:ilvl w:val="0"/>
          <w:numId w:val="200"/>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79"/>
          </w:cols>
          <w:pgMar w:left="221" w:top="412" w:right="1399" w:bottom="1440" w:gutter="0" w:footer="0" w:header="0"/>
        </w:sectPr>
      </w:pPr>
    </w:p>
    <w:bookmarkStart w:id="186" w:name="page187"/>
    <w:bookmarkEnd w:id="186"/>
    <w:tbl>
      <w:tblPr>
        <w:tblLayout w:type="fixed"/>
        <w:tblInd w:w="1199" w:type="dxa"/>
        <w:tblCellMar>
          <w:top w:w="0" w:type="dxa"/>
          <w:left w:w="0" w:type="dxa"/>
          <w:bottom w:w="0" w:type="dxa"/>
          <w:right w:w="0" w:type="dxa"/>
        </w:tblCellMar>
      </w:tblPr>
      <w:tr>
        <w:trPr>
          <w:trHeight w:val="194"/>
        </w:trPr>
        <w:tc>
          <w:tcPr>
            <w:tcW w:w="1580" w:type="dxa"/>
            <w:vAlign w:val="bottom"/>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1260" w:type="dxa"/>
            <w:vAlign w:val="bottom"/>
            <w:shd w:val="clear" w:color="auto" w:fill="C0C0C0"/>
          </w:tcPr>
          <w:p>
            <w:pPr>
              <w:ind w:left="280"/>
              <w:spacing w:after="0"/>
              <w:rPr>
                <w:sz w:val="20"/>
                <w:szCs w:val="20"/>
                <w:color w:val="auto"/>
              </w:rPr>
            </w:pPr>
            <w:r>
              <w:rPr>
                <w:rFonts w:ascii="Arial" w:cs="Arial" w:eastAsia="Arial" w:hAnsi="Arial"/>
                <w:sz w:val="13"/>
                <w:szCs w:val="13"/>
                <w:b w:val="1"/>
                <w:bCs w:val="1"/>
                <w:color w:val="auto"/>
              </w:rPr>
              <w:t>July 1, 2014</w:t>
            </w:r>
          </w:p>
        </w:tc>
      </w:tr>
      <w:tr>
        <w:trPr>
          <w:trHeight w:val="149"/>
        </w:trPr>
        <w:tc>
          <w:tcPr>
            <w:tcW w:w="1580" w:type="dxa"/>
            <w:vAlign w:val="bottom"/>
            <w:shd w:val="clear" w:color="auto" w:fill="C0C0C0"/>
          </w:tcPr>
          <w:p>
            <w:pPr>
              <w:spacing w:after="0"/>
              <w:rPr>
                <w:sz w:val="12"/>
                <w:szCs w:val="12"/>
                <w:color w:val="auto"/>
              </w:rPr>
            </w:pPr>
          </w:p>
        </w:tc>
        <w:tc>
          <w:tcPr>
            <w:tcW w:w="1260" w:type="dxa"/>
            <w:vAlign w:val="bottom"/>
            <w:shd w:val="clear" w:color="auto" w:fill="C0C0C0"/>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274955</wp:posOffset>
            </wp:positionV>
            <wp:extent cx="5763260" cy="666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3260" cy="666115"/>
                    </a:xfrm>
                    <a:prstGeom prst="rect">
                      <a:avLst/>
                    </a:prstGeom>
                    <a:noFill/>
                  </pic:spPr>
                </pic:pic>
              </a:graphicData>
            </a:graphic>
          </wp:anchor>
        </w:drawing>
      </w:r>
    </w:p>
    <w:tbl>
      <w:tblPr>
        <w:tblLayout w:type="fixed"/>
        <w:tblInd w:w="2759" w:type="dxa"/>
        <w:tblCellMar>
          <w:top w:w="0" w:type="dxa"/>
          <w:left w:w="0" w:type="dxa"/>
          <w:bottom w:w="0" w:type="dxa"/>
          <w:right w:w="0" w:type="dxa"/>
        </w:tblCellMar>
      </w:tblPr>
      <w:tr>
        <w:trPr>
          <w:trHeight w:val="192"/>
        </w:trPr>
        <w:tc>
          <w:tcPr>
            <w:tcW w:w="2920" w:type="dxa"/>
            <w:vAlign w:val="bottom"/>
            <w:tcBorders>
              <w:right w:val="single" w:sz="8" w:color="auto"/>
            </w:tcBorders>
          </w:tcPr>
          <w:p>
            <w:pPr>
              <w:spacing w:after="0"/>
              <w:rPr>
                <w:sz w:val="16"/>
                <w:szCs w:val="16"/>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Incident Response (each loss)</w:t>
            </w:r>
          </w:p>
        </w:tc>
        <w:tc>
          <w:tcPr>
            <w:tcW w:w="1160" w:type="dxa"/>
            <w:vAlign w:val="bottom"/>
          </w:tcPr>
          <w:p>
            <w:pPr>
              <w:jc w:val="right"/>
              <w:spacing w:after="0"/>
              <w:rPr>
                <w:sz w:val="20"/>
                <w:szCs w:val="20"/>
                <w:color w:val="auto"/>
              </w:rPr>
            </w:pPr>
            <w:r>
              <w:rPr>
                <w:rFonts w:ascii="Arial" w:cs="Arial" w:eastAsia="Arial" w:hAnsi="Arial"/>
                <w:sz w:val="13"/>
                <w:szCs w:val="13"/>
                <w:color w:val="auto"/>
              </w:rPr>
              <w:t>$250,000</w:t>
            </w:r>
          </w:p>
        </w:tc>
      </w:tr>
      <w:tr>
        <w:trPr>
          <w:trHeight w:val="141"/>
        </w:trPr>
        <w:tc>
          <w:tcPr>
            <w:tcW w:w="2920" w:type="dxa"/>
            <w:vAlign w:val="bottom"/>
            <w:tcBorders>
              <w:bottom w:val="single" w:sz="8" w:color="auto"/>
              <w:right w:val="single" w:sz="8" w:color="auto"/>
            </w:tcBorders>
          </w:tcPr>
          <w:p>
            <w:pPr>
              <w:spacing w:after="0"/>
              <w:rPr>
                <w:sz w:val="12"/>
                <w:szCs w:val="12"/>
                <w:color w:val="auto"/>
              </w:rPr>
            </w:pPr>
          </w:p>
        </w:tc>
        <w:tc>
          <w:tcPr>
            <w:tcW w:w="34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bl>
    <w:p>
      <w:pPr>
        <w:ind w:left="2779"/>
        <w:spacing w:after="0"/>
        <w:rPr>
          <w:sz w:val="20"/>
          <w:szCs w:val="20"/>
          <w:color w:val="auto"/>
        </w:rPr>
      </w:pPr>
      <w:r>
        <w:rPr>
          <w:rFonts w:ascii="Arial" w:cs="Arial" w:eastAsia="Arial" w:hAnsi="Arial"/>
          <w:sz w:val="13"/>
          <w:szCs w:val="13"/>
          <w:b w:val="1"/>
          <w:bCs w:val="1"/>
          <w:color w:val="auto"/>
        </w:rPr>
        <w:t>Total International Premium Excluding Locally Issued Policies</w:t>
      </w:r>
    </w:p>
    <w:p>
      <w:pPr>
        <w:spacing w:after="0" w:line="12" w:lineRule="exact"/>
        <w:rPr>
          <w:sz w:val="20"/>
          <w:szCs w:val="20"/>
          <w:color w:val="auto"/>
        </w:rPr>
      </w:pPr>
    </w:p>
    <w:p>
      <w:pPr>
        <w:ind w:left="2979" w:hanging="97"/>
        <w:spacing w:after="0"/>
        <w:tabs>
          <w:tab w:leader="none" w:pos="2979" w:val="left"/>
        </w:tabs>
        <w:numPr>
          <w:ilvl w:val="1"/>
          <w:numId w:val="201"/>
        </w:numPr>
        <w:rPr>
          <w:rFonts w:ascii="Arial" w:cs="Arial" w:eastAsia="Arial" w:hAnsi="Arial"/>
          <w:sz w:val="13"/>
          <w:szCs w:val="13"/>
          <w:b w:val="1"/>
          <w:bCs w:val="1"/>
          <w:color w:val="auto"/>
        </w:rPr>
      </w:pPr>
      <w:r>
        <w:rPr>
          <w:rFonts w:ascii="Arial" w:cs="Arial" w:eastAsia="Arial" w:hAnsi="Arial"/>
          <w:sz w:val="13"/>
          <w:szCs w:val="13"/>
          <w:color w:val="auto"/>
        </w:rPr>
        <w:t>Please note that Admitted Policy taxes are subject to change based on local laws and regulations</w:t>
      </w:r>
    </w:p>
    <w:p>
      <w:pPr>
        <w:spacing w:after="0" w:line="200" w:lineRule="exact"/>
        <w:rPr>
          <w:rFonts w:ascii="Arial" w:cs="Arial" w:eastAsia="Arial" w:hAnsi="Arial"/>
          <w:sz w:val="13"/>
          <w:szCs w:val="13"/>
          <w:b w:val="1"/>
          <w:bCs w:val="1"/>
          <w:color w:val="auto"/>
        </w:rPr>
      </w:pPr>
    </w:p>
    <w:p>
      <w:pPr>
        <w:spacing w:after="0" w:line="303" w:lineRule="exact"/>
        <w:rPr>
          <w:rFonts w:ascii="Arial" w:cs="Arial" w:eastAsia="Arial" w:hAnsi="Arial"/>
          <w:sz w:val="13"/>
          <w:szCs w:val="13"/>
          <w:b w:val="1"/>
          <w:bCs w:val="1"/>
          <w:color w:val="auto"/>
        </w:rPr>
      </w:pPr>
    </w:p>
    <w:p>
      <w:pPr>
        <w:ind w:left="619" w:hanging="619"/>
        <w:spacing w:after="0"/>
        <w:tabs>
          <w:tab w:leader="none" w:pos="619" w:val="left"/>
        </w:tabs>
        <w:numPr>
          <w:ilvl w:val="0"/>
          <w:numId w:val="201"/>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79"/>
          </w:cols>
          <w:pgMar w:left="221" w:top="432" w:right="1399" w:bottom="1440" w:gutter="0" w:footer="0" w:header="0"/>
        </w:sectPr>
      </w:pPr>
    </w:p>
    <w:bookmarkStart w:id="187" w:name="page188"/>
    <w:bookmarkEnd w:id="187"/>
    <w:tbl>
      <w:tblPr>
        <w:tblLayout w:type="fixed"/>
        <w:tblInd w:w="1209" w:type="dxa"/>
        <w:tblCellMar>
          <w:top w:w="0" w:type="dxa"/>
          <w:left w:w="0" w:type="dxa"/>
          <w:bottom w:w="0" w:type="dxa"/>
          <w:right w:w="0" w:type="dxa"/>
        </w:tblCellMar>
      </w:tblPr>
      <w:tr>
        <w:trPr>
          <w:trHeight w:val="184"/>
        </w:trPr>
        <w:tc>
          <w:tcPr>
            <w:tcW w:w="1560" w:type="dxa"/>
            <w:vAlign w:val="bottom"/>
            <w:tcBorders>
              <w:top w:val="single" w:sz="8" w:color="auto"/>
              <w:left w:val="single" w:sz="8" w:color="auto"/>
              <w:right w:val="single" w:sz="8" w:color="auto"/>
            </w:tcBorders>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220" w:type="dxa"/>
            <w:vAlign w:val="bottom"/>
            <w:tcBorders>
              <w:top w:val="single" w:sz="8" w:color="auto"/>
            </w:tcBorders>
            <w:shd w:val="clear" w:color="auto" w:fill="C0C0C0"/>
          </w:tcPr>
          <w:p>
            <w:pPr>
              <w:spacing w:after="0"/>
              <w:rPr>
                <w:sz w:val="15"/>
                <w:szCs w:val="15"/>
                <w:color w:val="auto"/>
              </w:rPr>
            </w:pPr>
          </w:p>
        </w:tc>
        <w:tc>
          <w:tcPr>
            <w:tcW w:w="1060" w:type="dxa"/>
            <w:vAlign w:val="bottom"/>
            <w:tcBorders>
              <w:top w:val="single" w:sz="8" w:color="auto"/>
              <w:right w:val="single" w:sz="8" w:color="auto"/>
            </w:tcBorders>
            <w:shd w:val="clear" w:color="auto" w:fill="C0C0C0"/>
          </w:tcPr>
          <w:p>
            <w:pPr>
              <w:jc w:val="center"/>
              <w:ind w:right="193"/>
              <w:spacing w:after="0"/>
              <w:rPr>
                <w:sz w:val="20"/>
                <w:szCs w:val="20"/>
                <w:color w:val="auto"/>
              </w:rPr>
            </w:pPr>
            <w:r>
              <w:rPr>
                <w:rFonts w:ascii="Arial" w:cs="Arial" w:eastAsia="Arial" w:hAnsi="Arial"/>
                <w:sz w:val="13"/>
                <w:szCs w:val="13"/>
                <w:b w:val="1"/>
                <w:bCs w:val="1"/>
                <w:color w:val="auto"/>
                <w:w w:val="93"/>
              </w:rPr>
              <w:t>July 1, 2014</w:t>
            </w:r>
          </w:p>
        </w:tc>
        <w:tc>
          <w:tcPr>
            <w:tcW w:w="16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9"/>
        </w:trPr>
        <w:tc>
          <w:tcPr>
            <w:tcW w:w="1560" w:type="dxa"/>
            <w:vAlign w:val="bottom"/>
            <w:tcBorders>
              <w:left w:val="single" w:sz="8" w:color="auto"/>
              <w:right w:val="single" w:sz="8" w:color="auto"/>
            </w:tcBorders>
            <w:shd w:val="clear" w:color="auto" w:fill="C0C0C0"/>
          </w:tcPr>
          <w:p>
            <w:pPr>
              <w:spacing w:after="0"/>
              <w:rPr>
                <w:sz w:val="13"/>
                <w:szCs w:val="13"/>
                <w:color w:val="auto"/>
              </w:rPr>
            </w:pPr>
          </w:p>
        </w:tc>
        <w:tc>
          <w:tcPr>
            <w:tcW w:w="220" w:type="dxa"/>
            <w:vAlign w:val="bottom"/>
            <w:shd w:val="clear" w:color="auto" w:fill="C0C0C0"/>
          </w:tcPr>
          <w:p>
            <w:pPr>
              <w:spacing w:after="0"/>
              <w:rPr>
                <w:sz w:val="13"/>
                <w:szCs w:val="13"/>
                <w:color w:val="auto"/>
              </w:rPr>
            </w:pPr>
          </w:p>
        </w:tc>
        <w:tc>
          <w:tcPr>
            <w:tcW w:w="1060" w:type="dxa"/>
            <w:vAlign w:val="bottom"/>
            <w:tcBorders>
              <w:right w:val="single" w:sz="8" w:color="auto"/>
            </w:tcBorders>
            <w:shd w:val="clear" w:color="auto" w:fill="C0C0C0"/>
          </w:tcPr>
          <w:p>
            <w:pPr>
              <w:spacing w:after="0"/>
              <w:rPr>
                <w:sz w:val="13"/>
                <w:szCs w:val="13"/>
                <w:color w:val="auto"/>
              </w:rPr>
            </w:pPr>
          </w:p>
        </w:tc>
        <w:tc>
          <w:tcPr>
            <w:tcW w:w="16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780" w:type="dxa"/>
            <w:vAlign w:val="bottom"/>
            <w:tcBorders>
              <w:left w:val="single" w:sz="8" w:color="auto"/>
              <w:bottom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b w:val="1"/>
                <w:bCs w:val="1"/>
                <w:color w:val="auto"/>
              </w:rPr>
              <w:t>Umbrella Liability</w:t>
            </w:r>
          </w:p>
        </w:tc>
        <w:tc>
          <w:tcPr>
            <w:tcW w:w="1060" w:type="dxa"/>
            <w:vAlign w:val="bottom"/>
            <w:tcBorders>
              <w:bottom w:val="single" w:sz="8" w:color="auto"/>
              <w:right w:val="single" w:sz="8" w:color="BFBFBF"/>
            </w:tcBorders>
            <w:shd w:val="clear" w:color="auto" w:fill="BFBFBF"/>
          </w:tcPr>
          <w:p>
            <w:pPr>
              <w:spacing w:after="0"/>
              <w:rPr>
                <w:sz w:val="14"/>
                <w:szCs w:val="14"/>
                <w:color w:val="auto"/>
              </w:rPr>
            </w:pPr>
          </w:p>
        </w:tc>
        <w:tc>
          <w:tcPr>
            <w:tcW w:w="1640" w:type="dxa"/>
            <w:vAlign w:val="bottom"/>
            <w:tcBorders>
              <w:bottom w:val="single" w:sz="8" w:color="auto"/>
              <w:right w:val="single" w:sz="8" w:color="BFBFBF"/>
            </w:tcBorders>
            <w:shd w:val="clear" w:color="auto" w:fill="BFBFBF"/>
          </w:tcPr>
          <w:p>
            <w:pPr>
              <w:spacing w:after="0"/>
              <w:rPr>
                <w:sz w:val="14"/>
                <w:szCs w:val="14"/>
                <w:color w:val="auto"/>
              </w:rPr>
            </w:pPr>
          </w:p>
        </w:tc>
        <w:tc>
          <w:tcPr>
            <w:tcW w:w="3420" w:type="dxa"/>
            <w:vAlign w:val="bottom"/>
            <w:tcBorders>
              <w:bottom w:val="single" w:sz="8" w:color="auto"/>
              <w:right w:val="single" w:sz="8" w:color="BFBFBF"/>
            </w:tcBorders>
            <w:shd w:val="clear" w:color="auto" w:fill="BFBFBF"/>
          </w:tcPr>
          <w:p>
            <w:pPr>
              <w:spacing w:after="0"/>
              <w:rPr>
                <w:sz w:val="14"/>
                <w:szCs w:val="14"/>
                <w:color w:val="auto"/>
              </w:rPr>
            </w:pPr>
          </w:p>
        </w:tc>
        <w:tc>
          <w:tcPr>
            <w:tcW w:w="11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Continental Casualty</w:t>
            </w:r>
          </w:p>
        </w:tc>
        <w:tc>
          <w:tcPr>
            <w:tcW w:w="220" w:type="dxa"/>
            <w:vAlign w:val="bottom"/>
          </w:tcPr>
          <w:p>
            <w:pPr>
              <w:spacing w:after="0"/>
              <w:rPr>
                <w:sz w:val="13"/>
                <w:szCs w:val="13"/>
                <w:color w:val="auto"/>
              </w:rPr>
            </w:pPr>
          </w:p>
        </w:tc>
        <w:tc>
          <w:tcPr>
            <w:tcW w:w="1060" w:type="dxa"/>
            <w:vAlign w:val="bottom"/>
            <w:tcBorders>
              <w:right w:val="single" w:sz="8" w:color="auto"/>
            </w:tcBorders>
          </w:tcPr>
          <w:p>
            <w:pPr>
              <w:jc w:val="center"/>
              <w:ind w:right="153"/>
              <w:spacing w:after="0"/>
              <w:rPr>
                <w:sz w:val="20"/>
                <w:szCs w:val="20"/>
                <w:color w:val="auto"/>
              </w:rPr>
            </w:pPr>
            <w:r>
              <w:rPr>
                <w:rFonts w:ascii="Arial" w:cs="Arial" w:eastAsia="Arial" w:hAnsi="Arial"/>
                <w:sz w:val="13"/>
                <w:szCs w:val="13"/>
                <w:color w:val="auto"/>
              </w:rPr>
              <w:t>***</w:t>
            </w:r>
          </w:p>
        </w:tc>
        <w:tc>
          <w:tcPr>
            <w:tcW w:w="164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07/01/2014 - 07/01/2015</w:t>
            </w: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General Aggregate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Each Occurrence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i w:val="1"/>
                <w:iCs w:val="1"/>
                <w:color w:val="auto"/>
              </w:rPr>
              <w:t>Self Insured Retention</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$10,000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780" w:type="dxa"/>
            <w:vAlign w:val="bottom"/>
            <w:tcBorders>
              <w:left w:val="single" w:sz="8" w:color="auto"/>
              <w:bottom w:val="single" w:sz="8" w:color="auto"/>
            </w:tcBorders>
            <w:gridSpan w:val="2"/>
            <w:shd w:val="clear" w:color="auto" w:fill="C0C0C0"/>
          </w:tcPr>
          <w:p>
            <w:pPr>
              <w:ind w:left="20"/>
              <w:spacing w:after="0"/>
              <w:rPr>
                <w:sz w:val="20"/>
                <w:szCs w:val="20"/>
                <w:color w:val="auto"/>
              </w:rPr>
            </w:pPr>
            <w:r>
              <w:rPr>
                <w:rFonts w:ascii="Arial" w:cs="Arial" w:eastAsia="Arial" w:hAnsi="Arial"/>
                <w:sz w:val="13"/>
                <w:szCs w:val="13"/>
                <w:b w:val="1"/>
                <w:bCs w:val="1"/>
                <w:color w:val="auto"/>
              </w:rPr>
              <w:t>Excess Casualty</w:t>
            </w:r>
          </w:p>
        </w:tc>
        <w:tc>
          <w:tcPr>
            <w:tcW w:w="1060" w:type="dxa"/>
            <w:vAlign w:val="bottom"/>
            <w:tcBorders>
              <w:bottom w:val="single" w:sz="8" w:color="auto"/>
              <w:right w:val="single" w:sz="8" w:color="C0C0C0"/>
            </w:tcBorders>
            <w:shd w:val="clear" w:color="auto" w:fill="C0C0C0"/>
          </w:tcPr>
          <w:p>
            <w:pPr>
              <w:spacing w:after="0"/>
              <w:rPr>
                <w:sz w:val="13"/>
                <w:szCs w:val="13"/>
                <w:color w:val="auto"/>
              </w:rPr>
            </w:pPr>
          </w:p>
        </w:tc>
        <w:tc>
          <w:tcPr>
            <w:tcW w:w="1640" w:type="dxa"/>
            <w:vAlign w:val="bottom"/>
            <w:tcBorders>
              <w:bottom w:val="single" w:sz="8" w:color="auto"/>
              <w:right w:val="single" w:sz="8" w:color="C0C0C0"/>
            </w:tcBorders>
            <w:shd w:val="clear" w:color="auto" w:fill="C0C0C0"/>
          </w:tcPr>
          <w:p>
            <w:pPr>
              <w:spacing w:after="0"/>
              <w:rPr>
                <w:sz w:val="13"/>
                <w:szCs w:val="13"/>
                <w:color w:val="auto"/>
              </w:rPr>
            </w:pPr>
          </w:p>
        </w:tc>
        <w:tc>
          <w:tcPr>
            <w:tcW w:w="3420" w:type="dxa"/>
            <w:vAlign w:val="bottom"/>
            <w:tcBorders>
              <w:bottom w:val="single" w:sz="8" w:color="auto"/>
              <w:right w:val="single" w:sz="8" w:color="C0C0C0"/>
            </w:tcBorders>
            <w:shd w:val="clear" w:color="auto" w:fill="C0C0C0"/>
          </w:tcPr>
          <w:p>
            <w:pPr>
              <w:spacing w:after="0"/>
              <w:rPr>
                <w:sz w:val="13"/>
                <w:szCs w:val="13"/>
                <w:color w:val="auto"/>
              </w:rPr>
            </w:pPr>
          </w:p>
        </w:tc>
        <w:tc>
          <w:tcPr>
            <w:tcW w:w="116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Ohio Casualty Insurance</w:t>
            </w:r>
          </w:p>
        </w:tc>
        <w:tc>
          <w:tcPr>
            <w:tcW w:w="220" w:type="dxa"/>
            <w:vAlign w:val="bottom"/>
          </w:tcPr>
          <w:p>
            <w:pPr>
              <w:spacing w:after="0"/>
              <w:rPr>
                <w:sz w:val="13"/>
                <w:szCs w:val="13"/>
                <w:color w:val="auto"/>
              </w:rPr>
            </w:pPr>
          </w:p>
        </w:tc>
        <w:tc>
          <w:tcPr>
            <w:tcW w:w="1060" w:type="dxa"/>
            <w:vAlign w:val="bottom"/>
            <w:tcBorders>
              <w:right w:val="single" w:sz="8" w:color="auto"/>
            </w:tcBorders>
          </w:tcPr>
          <w:p>
            <w:pPr>
              <w:jc w:val="center"/>
              <w:ind w:right="153"/>
              <w:spacing w:after="0"/>
              <w:rPr>
                <w:sz w:val="20"/>
                <w:szCs w:val="20"/>
                <w:color w:val="auto"/>
              </w:rPr>
            </w:pPr>
            <w:r>
              <w:rPr>
                <w:rFonts w:ascii="Arial" w:cs="Arial" w:eastAsia="Arial" w:hAnsi="Arial"/>
                <w:sz w:val="13"/>
                <w:szCs w:val="13"/>
                <w:color w:val="auto"/>
              </w:rPr>
              <w:t>***</w:t>
            </w:r>
          </w:p>
        </w:tc>
        <w:tc>
          <w:tcPr>
            <w:tcW w:w="164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07/01/2014 - 07/01/2015</w:t>
            </w: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General Aggregate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Each Occurrence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In Excess of:</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780" w:type="dxa"/>
            <w:vAlign w:val="bottom"/>
            <w:tcBorders>
              <w:left w:val="single" w:sz="8" w:color="auto"/>
              <w:bottom w:val="single" w:sz="8" w:color="auto"/>
            </w:tcBorders>
            <w:gridSpan w:val="2"/>
            <w:shd w:val="clear" w:color="auto" w:fill="C0C0C0"/>
          </w:tcPr>
          <w:p>
            <w:pPr>
              <w:ind w:left="20"/>
              <w:spacing w:after="0"/>
              <w:rPr>
                <w:sz w:val="20"/>
                <w:szCs w:val="20"/>
                <w:color w:val="auto"/>
              </w:rPr>
            </w:pPr>
            <w:r>
              <w:rPr>
                <w:rFonts w:ascii="Arial" w:cs="Arial" w:eastAsia="Arial" w:hAnsi="Arial"/>
                <w:sz w:val="13"/>
                <w:szCs w:val="13"/>
                <w:b w:val="1"/>
                <w:bCs w:val="1"/>
                <w:color w:val="auto"/>
                <w:w w:val="99"/>
              </w:rPr>
              <w:t>Primary Directors &amp; Officers</w:t>
            </w:r>
          </w:p>
        </w:tc>
        <w:tc>
          <w:tcPr>
            <w:tcW w:w="1060" w:type="dxa"/>
            <w:vAlign w:val="bottom"/>
            <w:tcBorders>
              <w:bottom w:val="single" w:sz="8" w:color="auto"/>
              <w:right w:val="single" w:sz="8" w:color="C0C0C0"/>
            </w:tcBorders>
            <w:shd w:val="clear" w:color="auto" w:fill="C0C0C0"/>
          </w:tcPr>
          <w:p>
            <w:pPr>
              <w:spacing w:after="0"/>
              <w:rPr>
                <w:sz w:val="13"/>
                <w:szCs w:val="13"/>
                <w:color w:val="auto"/>
              </w:rPr>
            </w:pPr>
          </w:p>
        </w:tc>
        <w:tc>
          <w:tcPr>
            <w:tcW w:w="1640" w:type="dxa"/>
            <w:vAlign w:val="bottom"/>
            <w:tcBorders>
              <w:bottom w:val="single" w:sz="8" w:color="auto"/>
              <w:right w:val="single" w:sz="8" w:color="C0C0C0"/>
            </w:tcBorders>
            <w:shd w:val="clear" w:color="auto" w:fill="C0C0C0"/>
          </w:tcPr>
          <w:p>
            <w:pPr>
              <w:spacing w:after="0"/>
              <w:rPr>
                <w:sz w:val="13"/>
                <w:szCs w:val="13"/>
                <w:color w:val="auto"/>
              </w:rPr>
            </w:pPr>
          </w:p>
        </w:tc>
        <w:tc>
          <w:tcPr>
            <w:tcW w:w="3420" w:type="dxa"/>
            <w:vAlign w:val="bottom"/>
            <w:tcBorders>
              <w:bottom w:val="single" w:sz="8" w:color="auto"/>
              <w:right w:val="single" w:sz="8" w:color="C0C0C0"/>
            </w:tcBorders>
            <w:shd w:val="clear" w:color="auto" w:fill="C0C0C0"/>
          </w:tcPr>
          <w:p>
            <w:pPr>
              <w:spacing w:after="0"/>
              <w:rPr>
                <w:sz w:val="13"/>
                <w:szCs w:val="13"/>
                <w:color w:val="auto"/>
              </w:rPr>
            </w:pPr>
          </w:p>
        </w:tc>
        <w:tc>
          <w:tcPr>
            <w:tcW w:w="116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National Union Fire</w:t>
            </w:r>
          </w:p>
        </w:tc>
        <w:tc>
          <w:tcPr>
            <w:tcW w:w="220" w:type="dxa"/>
            <w:vAlign w:val="bottom"/>
          </w:tcPr>
          <w:p>
            <w:pPr>
              <w:spacing w:after="0"/>
              <w:rPr>
                <w:sz w:val="13"/>
                <w:szCs w:val="13"/>
                <w:color w:val="auto"/>
              </w:rPr>
            </w:pPr>
          </w:p>
        </w:tc>
        <w:tc>
          <w:tcPr>
            <w:tcW w:w="1060" w:type="dxa"/>
            <w:vAlign w:val="bottom"/>
            <w:tcBorders>
              <w:right w:val="single" w:sz="8" w:color="auto"/>
            </w:tcBorders>
          </w:tcPr>
          <w:p>
            <w:pPr>
              <w:jc w:val="center"/>
              <w:ind w:right="153"/>
              <w:spacing w:after="0"/>
              <w:rPr>
                <w:sz w:val="20"/>
                <w:szCs w:val="20"/>
                <w:color w:val="auto"/>
              </w:rPr>
            </w:pPr>
            <w:r>
              <w:rPr>
                <w:rFonts w:ascii="Arial" w:cs="Arial" w:eastAsia="Arial" w:hAnsi="Arial"/>
                <w:sz w:val="13"/>
                <w:szCs w:val="13"/>
                <w:color w:val="auto"/>
              </w:rPr>
              <w:t>***</w:t>
            </w:r>
          </w:p>
        </w:tc>
        <w:tc>
          <w:tcPr>
            <w:tcW w:w="164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07/01/2014 - 07/01/2015</w:t>
            </w: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Policy Limit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Insurance Company of</w:t>
            </w:r>
          </w:p>
        </w:tc>
        <w:tc>
          <w:tcPr>
            <w:tcW w:w="22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i w:val="1"/>
                <w:iCs w:val="1"/>
                <w:color w:val="auto"/>
              </w:rPr>
              <w:t>Securities Claim Retention</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$500,000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Pittsburgh, Pa.</w:t>
            </w:r>
          </w:p>
        </w:tc>
        <w:tc>
          <w:tcPr>
            <w:tcW w:w="22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i w:val="1"/>
                <w:iCs w:val="1"/>
                <w:color w:val="auto"/>
              </w:rPr>
              <w:t>Employment Practices Claim Retention</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$150,000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i w:val="1"/>
                <w:iCs w:val="1"/>
                <w:color w:val="auto"/>
              </w:rPr>
              <w:t>Other Claims Retention</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i w:val="1"/>
                <w:iCs w:val="1"/>
                <w:color w:val="auto"/>
              </w:rPr>
              <w:t>$150,000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 &amp; B Continuity Date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4/21/1996</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34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C Continuity Date</w:t>
            </w:r>
          </w:p>
        </w:tc>
        <w:tc>
          <w:tcPr>
            <w:tcW w:w="1160" w:type="dxa"/>
            <w:vAlign w:val="bottom"/>
          </w:tcPr>
          <w:p>
            <w:pPr>
              <w:jc w:val="right"/>
              <w:spacing w:after="0"/>
              <w:rPr>
                <w:sz w:val="20"/>
                <w:szCs w:val="20"/>
                <w:color w:val="auto"/>
              </w:rPr>
            </w:pPr>
            <w:r>
              <w:rPr>
                <w:rFonts w:ascii="Arial" w:cs="Arial" w:eastAsia="Arial" w:hAnsi="Arial"/>
                <w:sz w:val="13"/>
                <w:szCs w:val="13"/>
                <w:color w:val="auto"/>
              </w:rPr>
              <w:t>Date a person first</w:t>
            </w:r>
          </w:p>
        </w:tc>
        <w:tc>
          <w:tcPr>
            <w:tcW w:w="20" w:type="dxa"/>
            <w:vAlign w:val="bottom"/>
            <w:shd w:val="clear" w:color="auto" w:fill="000000"/>
          </w:tcPr>
          <w:p>
            <w:pPr>
              <w:spacing w:after="0"/>
              <w:rPr>
                <w:sz w:val="13"/>
                <w:szCs w:val="13"/>
                <w:color w:val="auto"/>
              </w:rPr>
            </w:pPr>
          </w:p>
        </w:tc>
      </w:tr>
      <w:tr>
        <w:trPr>
          <w:trHeight w:val="161"/>
        </w:trPr>
        <w:tc>
          <w:tcPr>
            <w:tcW w:w="156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w w:val="97"/>
              </w:rPr>
              <w:t>becomes an outside</w:t>
            </w:r>
          </w:p>
        </w:tc>
        <w:tc>
          <w:tcPr>
            <w:tcW w:w="20" w:type="dxa"/>
            <w:vAlign w:val="bottom"/>
            <w:shd w:val="clear" w:color="auto" w:fill="000000"/>
          </w:tcPr>
          <w:p>
            <w:pPr>
              <w:spacing w:after="0"/>
              <w:rPr>
                <w:sz w:val="14"/>
                <w:szCs w:val="14"/>
                <w:color w:val="auto"/>
              </w:rPr>
            </w:pPr>
          </w:p>
        </w:tc>
      </w:tr>
      <w:tr>
        <w:trPr>
          <w:trHeight w:val="172"/>
        </w:trPr>
        <w:tc>
          <w:tcPr>
            <w:tcW w:w="1560" w:type="dxa"/>
            <w:vAlign w:val="bottom"/>
            <w:tcBorders>
              <w:left w:val="single" w:sz="8" w:color="auto"/>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entity</w:t>
            </w:r>
          </w:p>
        </w:tc>
        <w:tc>
          <w:tcPr>
            <w:tcW w:w="20" w:type="dxa"/>
            <w:vAlign w:val="bottom"/>
            <w:shd w:val="clear" w:color="auto" w:fill="000000"/>
          </w:tcPr>
          <w:p>
            <w:pPr>
              <w:spacing w:after="0"/>
              <w:rPr>
                <w:sz w:val="14"/>
                <w:szCs w:val="14"/>
                <w:color w:val="auto"/>
              </w:rPr>
            </w:pPr>
          </w:p>
        </w:tc>
      </w:tr>
      <w:tr>
        <w:trPr>
          <w:trHeight w:val="21"/>
        </w:trPr>
        <w:tc>
          <w:tcPr>
            <w:tcW w:w="156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342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r>
      <w:tr>
        <w:trPr>
          <w:trHeight w:val="151"/>
        </w:trPr>
        <w:tc>
          <w:tcPr>
            <w:tcW w:w="1560" w:type="dxa"/>
            <w:vAlign w:val="bottom"/>
            <w:tcBorders>
              <w:left w:val="single" w:sz="8" w:color="auto"/>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D Continuity Date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7/1/2004</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2840" w:type="dxa"/>
            <w:vAlign w:val="bottom"/>
            <w:tcBorders>
              <w:left w:val="single" w:sz="8" w:color="auto"/>
              <w:bottom w:val="single" w:sz="8" w:color="auto"/>
              <w:right w:val="single" w:sz="8" w:color="C0C0C0"/>
            </w:tcBorders>
            <w:gridSpan w:val="3"/>
            <w:shd w:val="clear" w:color="auto" w:fill="C0C0C0"/>
          </w:tcPr>
          <w:p>
            <w:pPr>
              <w:ind w:left="20"/>
              <w:spacing w:after="0"/>
              <w:rPr>
                <w:sz w:val="20"/>
                <w:szCs w:val="20"/>
                <w:color w:val="auto"/>
              </w:rPr>
            </w:pPr>
            <w:r>
              <w:rPr>
                <w:rFonts w:ascii="Arial" w:cs="Arial" w:eastAsia="Arial" w:hAnsi="Arial"/>
                <w:sz w:val="13"/>
                <w:szCs w:val="13"/>
                <w:b w:val="1"/>
                <w:bCs w:val="1"/>
                <w:color w:val="auto"/>
              </w:rPr>
              <w:t>First Layer Excess Directors &amp; Officers</w:t>
            </w:r>
          </w:p>
        </w:tc>
        <w:tc>
          <w:tcPr>
            <w:tcW w:w="1640" w:type="dxa"/>
            <w:vAlign w:val="bottom"/>
            <w:tcBorders>
              <w:bottom w:val="single" w:sz="8" w:color="auto"/>
              <w:right w:val="single" w:sz="8" w:color="C0C0C0"/>
            </w:tcBorders>
            <w:shd w:val="clear" w:color="auto" w:fill="C0C0C0"/>
          </w:tcPr>
          <w:p>
            <w:pPr>
              <w:spacing w:after="0"/>
              <w:rPr>
                <w:sz w:val="13"/>
                <w:szCs w:val="13"/>
                <w:color w:val="auto"/>
              </w:rPr>
            </w:pPr>
          </w:p>
        </w:tc>
        <w:tc>
          <w:tcPr>
            <w:tcW w:w="3420" w:type="dxa"/>
            <w:vAlign w:val="bottom"/>
            <w:tcBorders>
              <w:bottom w:val="single" w:sz="8" w:color="auto"/>
              <w:right w:val="single" w:sz="8" w:color="C0C0C0"/>
            </w:tcBorders>
            <w:shd w:val="clear" w:color="auto" w:fill="C0C0C0"/>
          </w:tcPr>
          <w:p>
            <w:pPr>
              <w:spacing w:after="0"/>
              <w:rPr>
                <w:sz w:val="13"/>
                <w:szCs w:val="13"/>
                <w:color w:val="auto"/>
              </w:rPr>
            </w:pPr>
          </w:p>
        </w:tc>
        <w:tc>
          <w:tcPr>
            <w:tcW w:w="116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Travelers Cas &amp; Surety</w:t>
            </w:r>
          </w:p>
        </w:tc>
        <w:tc>
          <w:tcPr>
            <w:tcW w:w="220" w:type="dxa"/>
            <w:vAlign w:val="bottom"/>
          </w:tcPr>
          <w:p>
            <w:pPr>
              <w:spacing w:after="0"/>
              <w:rPr>
                <w:sz w:val="13"/>
                <w:szCs w:val="13"/>
                <w:color w:val="auto"/>
              </w:rPr>
            </w:pPr>
          </w:p>
        </w:tc>
        <w:tc>
          <w:tcPr>
            <w:tcW w:w="1060" w:type="dxa"/>
            <w:vAlign w:val="bottom"/>
            <w:tcBorders>
              <w:right w:val="single" w:sz="8" w:color="auto"/>
            </w:tcBorders>
          </w:tcPr>
          <w:p>
            <w:pPr>
              <w:jc w:val="center"/>
              <w:ind w:right="153"/>
              <w:spacing w:after="0"/>
              <w:rPr>
                <w:sz w:val="20"/>
                <w:szCs w:val="20"/>
                <w:color w:val="auto"/>
              </w:rPr>
            </w:pPr>
            <w:r>
              <w:rPr>
                <w:rFonts w:ascii="Arial" w:cs="Arial" w:eastAsia="Arial" w:hAnsi="Arial"/>
                <w:sz w:val="13"/>
                <w:szCs w:val="13"/>
                <w:color w:val="auto"/>
              </w:rPr>
              <w:t>***</w:t>
            </w:r>
          </w:p>
        </w:tc>
        <w:tc>
          <w:tcPr>
            <w:tcW w:w="164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07/01/2014 - 07/01/2015</w:t>
            </w: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Limit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Company of America</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color w:val="auto"/>
              </w:rPr>
              <w:t>In Excess of:</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2840" w:type="dxa"/>
            <w:vAlign w:val="bottom"/>
            <w:tcBorders>
              <w:left w:val="single" w:sz="8" w:color="auto"/>
              <w:bottom w:val="single" w:sz="8" w:color="auto"/>
              <w:right w:val="single" w:sz="8" w:color="C0C0C0"/>
            </w:tcBorders>
            <w:gridSpan w:val="3"/>
            <w:shd w:val="clear" w:color="auto" w:fill="C0C0C0"/>
          </w:tcPr>
          <w:p>
            <w:pPr>
              <w:ind w:left="20"/>
              <w:spacing w:after="0"/>
              <w:rPr>
                <w:sz w:val="20"/>
                <w:szCs w:val="20"/>
                <w:color w:val="auto"/>
              </w:rPr>
            </w:pPr>
            <w:r>
              <w:rPr>
                <w:rFonts w:ascii="Arial" w:cs="Arial" w:eastAsia="Arial" w:hAnsi="Arial"/>
                <w:sz w:val="13"/>
                <w:szCs w:val="13"/>
                <w:b w:val="1"/>
                <w:bCs w:val="1"/>
                <w:color w:val="auto"/>
              </w:rPr>
              <w:t>Second Layer Excess Directors &amp; Officers</w:t>
            </w:r>
          </w:p>
        </w:tc>
        <w:tc>
          <w:tcPr>
            <w:tcW w:w="1640" w:type="dxa"/>
            <w:vAlign w:val="bottom"/>
            <w:tcBorders>
              <w:bottom w:val="single" w:sz="8" w:color="auto"/>
              <w:right w:val="single" w:sz="8" w:color="C0C0C0"/>
            </w:tcBorders>
            <w:shd w:val="clear" w:color="auto" w:fill="C0C0C0"/>
          </w:tcPr>
          <w:p>
            <w:pPr>
              <w:spacing w:after="0"/>
              <w:rPr>
                <w:sz w:val="13"/>
                <w:szCs w:val="13"/>
                <w:color w:val="auto"/>
              </w:rPr>
            </w:pPr>
          </w:p>
        </w:tc>
        <w:tc>
          <w:tcPr>
            <w:tcW w:w="3420" w:type="dxa"/>
            <w:vAlign w:val="bottom"/>
            <w:tcBorders>
              <w:bottom w:val="single" w:sz="8" w:color="auto"/>
              <w:right w:val="single" w:sz="8" w:color="C0C0C0"/>
            </w:tcBorders>
            <w:shd w:val="clear" w:color="auto" w:fill="C0C0C0"/>
          </w:tcPr>
          <w:p>
            <w:pPr>
              <w:spacing w:after="0"/>
              <w:rPr>
                <w:sz w:val="13"/>
                <w:szCs w:val="13"/>
                <w:color w:val="auto"/>
              </w:rPr>
            </w:pPr>
          </w:p>
        </w:tc>
        <w:tc>
          <w:tcPr>
            <w:tcW w:w="116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Monitor Liability</w:t>
            </w:r>
          </w:p>
        </w:tc>
        <w:tc>
          <w:tcPr>
            <w:tcW w:w="220" w:type="dxa"/>
            <w:vAlign w:val="bottom"/>
          </w:tcPr>
          <w:p>
            <w:pPr>
              <w:spacing w:after="0"/>
              <w:rPr>
                <w:sz w:val="13"/>
                <w:szCs w:val="13"/>
                <w:color w:val="auto"/>
              </w:rPr>
            </w:pPr>
          </w:p>
        </w:tc>
        <w:tc>
          <w:tcPr>
            <w:tcW w:w="1060" w:type="dxa"/>
            <w:vAlign w:val="bottom"/>
            <w:tcBorders>
              <w:right w:val="single" w:sz="8" w:color="auto"/>
            </w:tcBorders>
          </w:tcPr>
          <w:p>
            <w:pPr>
              <w:jc w:val="center"/>
              <w:ind w:right="153"/>
              <w:spacing w:after="0"/>
              <w:rPr>
                <w:sz w:val="20"/>
                <w:szCs w:val="20"/>
                <w:color w:val="auto"/>
              </w:rPr>
            </w:pPr>
            <w:r>
              <w:rPr>
                <w:rFonts w:ascii="Arial" w:cs="Arial" w:eastAsia="Arial" w:hAnsi="Arial"/>
                <w:sz w:val="13"/>
                <w:szCs w:val="13"/>
                <w:color w:val="auto"/>
              </w:rPr>
              <w:t>***</w:t>
            </w:r>
          </w:p>
        </w:tc>
        <w:tc>
          <w:tcPr>
            <w:tcW w:w="164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07/01/2014 - 07/01/2015</w:t>
            </w: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Limit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Managers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In Excess of:</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2840" w:type="dxa"/>
            <w:vAlign w:val="bottom"/>
            <w:tcBorders>
              <w:left w:val="single" w:sz="8" w:color="auto"/>
              <w:bottom w:val="single" w:sz="8" w:color="auto"/>
              <w:right w:val="single" w:sz="8" w:color="C0C0C0"/>
            </w:tcBorders>
            <w:gridSpan w:val="3"/>
            <w:shd w:val="clear" w:color="auto" w:fill="C0C0C0"/>
          </w:tcPr>
          <w:p>
            <w:pPr>
              <w:ind w:left="20"/>
              <w:spacing w:after="0"/>
              <w:rPr>
                <w:sz w:val="20"/>
                <w:szCs w:val="20"/>
                <w:color w:val="auto"/>
              </w:rPr>
            </w:pPr>
            <w:r>
              <w:rPr>
                <w:rFonts w:ascii="Arial" w:cs="Arial" w:eastAsia="Arial" w:hAnsi="Arial"/>
                <w:sz w:val="13"/>
                <w:szCs w:val="13"/>
                <w:b w:val="1"/>
                <w:bCs w:val="1"/>
                <w:color w:val="auto"/>
                <w:w w:val="95"/>
              </w:rPr>
              <w:t>Third Layer Side A Excess Directors &amp; Officers</w:t>
            </w:r>
          </w:p>
        </w:tc>
        <w:tc>
          <w:tcPr>
            <w:tcW w:w="1640" w:type="dxa"/>
            <w:vAlign w:val="bottom"/>
            <w:tcBorders>
              <w:bottom w:val="single" w:sz="8" w:color="auto"/>
              <w:right w:val="single" w:sz="8" w:color="C0C0C0"/>
            </w:tcBorders>
            <w:shd w:val="clear" w:color="auto" w:fill="C0C0C0"/>
          </w:tcPr>
          <w:p>
            <w:pPr>
              <w:spacing w:after="0"/>
              <w:rPr>
                <w:sz w:val="13"/>
                <w:szCs w:val="13"/>
                <w:color w:val="auto"/>
              </w:rPr>
            </w:pPr>
          </w:p>
        </w:tc>
        <w:tc>
          <w:tcPr>
            <w:tcW w:w="3420" w:type="dxa"/>
            <w:vAlign w:val="bottom"/>
            <w:tcBorders>
              <w:bottom w:val="single" w:sz="8" w:color="auto"/>
              <w:right w:val="single" w:sz="8" w:color="C0C0C0"/>
            </w:tcBorders>
            <w:shd w:val="clear" w:color="auto" w:fill="C0C0C0"/>
          </w:tcPr>
          <w:p>
            <w:pPr>
              <w:spacing w:after="0"/>
              <w:rPr>
                <w:sz w:val="13"/>
                <w:szCs w:val="13"/>
                <w:color w:val="auto"/>
              </w:rPr>
            </w:pPr>
          </w:p>
        </w:tc>
        <w:tc>
          <w:tcPr>
            <w:tcW w:w="116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1"/>
        </w:trPr>
        <w:tc>
          <w:tcPr>
            <w:tcW w:w="1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8"/>
              </w:rPr>
              <w:t>National Union Fire Ins Co</w:t>
            </w:r>
          </w:p>
        </w:tc>
        <w:tc>
          <w:tcPr>
            <w:tcW w:w="220" w:type="dxa"/>
            <w:vAlign w:val="bottom"/>
          </w:tcPr>
          <w:p>
            <w:pPr>
              <w:spacing w:after="0"/>
              <w:rPr>
                <w:sz w:val="13"/>
                <w:szCs w:val="13"/>
                <w:color w:val="auto"/>
              </w:rPr>
            </w:pPr>
          </w:p>
        </w:tc>
        <w:tc>
          <w:tcPr>
            <w:tcW w:w="1060" w:type="dxa"/>
            <w:vAlign w:val="bottom"/>
            <w:tcBorders>
              <w:right w:val="single" w:sz="8" w:color="auto"/>
            </w:tcBorders>
          </w:tcPr>
          <w:p>
            <w:pPr>
              <w:jc w:val="center"/>
              <w:ind w:right="153"/>
              <w:spacing w:after="0"/>
              <w:rPr>
                <w:sz w:val="20"/>
                <w:szCs w:val="20"/>
                <w:color w:val="auto"/>
              </w:rPr>
            </w:pPr>
            <w:r>
              <w:rPr>
                <w:rFonts w:ascii="Arial" w:cs="Arial" w:eastAsia="Arial" w:hAnsi="Arial"/>
                <w:sz w:val="13"/>
                <w:szCs w:val="13"/>
                <w:color w:val="auto"/>
              </w:rPr>
              <w:t>***</w:t>
            </w:r>
          </w:p>
        </w:tc>
        <w:tc>
          <w:tcPr>
            <w:tcW w:w="164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07/01/2014 - 07/01/2015</w:t>
            </w:r>
          </w:p>
        </w:tc>
        <w:tc>
          <w:tcPr>
            <w:tcW w:w="3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Limit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of Pittsburgh, Pa.</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tcPr>
          <w:p>
            <w:pPr>
              <w:spacing w:after="0"/>
              <w:rPr>
                <w:sz w:val="13"/>
                <w:szCs w:val="13"/>
                <w:color w:val="auto"/>
              </w:rPr>
            </w:pPr>
          </w:p>
        </w:tc>
        <w:tc>
          <w:tcPr>
            <w:tcW w:w="34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3"/>
                <w:szCs w:val="13"/>
                <w:color w:val="auto"/>
              </w:rPr>
              <w:t>In Excess of:</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$25,000,000</w:t>
            </w:r>
          </w:p>
        </w:tc>
        <w:tc>
          <w:tcPr>
            <w:tcW w:w="20" w:type="dxa"/>
            <w:vAlign w:val="bottom"/>
            <w:tcBorders>
              <w:bottom w:val="single" w:sz="8" w:color="auto"/>
            </w:tcBorders>
            <w:shd w:val="clear" w:color="auto" w:fill="000000"/>
          </w:tcPr>
          <w:p>
            <w:pPr>
              <w:spacing w:after="0"/>
              <w:rPr>
                <w:sz w:val="13"/>
                <w:szCs w:val="13"/>
                <w:color w:val="auto"/>
              </w:rPr>
            </w:pPr>
          </w:p>
        </w:tc>
      </w:tr>
    </w:tbl>
    <w:p>
      <w:pPr>
        <w:spacing w:after="0" w:line="200" w:lineRule="exact"/>
        <w:rPr>
          <w:sz w:val="20"/>
          <w:szCs w:val="20"/>
          <w:color w:val="auto"/>
        </w:rPr>
      </w:pPr>
    </w:p>
    <w:p>
      <w:pPr>
        <w:spacing w:after="0" w:line="271" w:lineRule="exact"/>
        <w:rPr>
          <w:sz w:val="20"/>
          <w:szCs w:val="20"/>
          <w:color w:val="auto"/>
        </w:rPr>
      </w:pPr>
    </w:p>
    <w:p>
      <w:pPr>
        <w:ind w:left="619" w:hanging="619"/>
        <w:spacing w:after="0"/>
        <w:tabs>
          <w:tab w:leader="none" w:pos="619" w:val="left"/>
        </w:tabs>
        <w:numPr>
          <w:ilvl w:val="0"/>
          <w:numId w:val="202"/>
        </w:numPr>
        <w:rPr>
          <w:rFonts w:ascii="Arial" w:cs="Arial" w:eastAsia="Arial" w:hAnsi="Arial"/>
          <w:sz w:val="12"/>
          <w:szCs w:val="12"/>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79"/>
          </w:cols>
          <w:pgMar w:left="221" w:top="412" w:right="1399" w:bottom="1440" w:gutter="0" w:footer="0" w:header="0"/>
        </w:sectPr>
      </w:pPr>
    </w:p>
    <w:bookmarkStart w:id="188" w:name="page189"/>
    <w:bookmarkEnd w:id="188"/>
    <w:tbl>
      <w:tblPr>
        <w:tblLayout w:type="fixed"/>
        <w:tblInd w:w="1209" w:type="dxa"/>
        <w:tblCellMar>
          <w:top w:w="0" w:type="dxa"/>
          <w:left w:w="0" w:type="dxa"/>
          <w:bottom w:w="0" w:type="dxa"/>
          <w:right w:w="0" w:type="dxa"/>
        </w:tblCellMar>
      </w:tblPr>
      <w:tr>
        <w:trPr>
          <w:trHeight w:val="184"/>
        </w:trPr>
        <w:tc>
          <w:tcPr>
            <w:tcW w:w="1580" w:type="dxa"/>
            <w:vAlign w:val="bottom"/>
            <w:tcBorders>
              <w:top w:val="single" w:sz="8" w:color="auto"/>
              <w:left w:val="single" w:sz="8" w:color="auto"/>
              <w:right w:val="single" w:sz="8" w:color="auto"/>
            </w:tcBorders>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260" w:type="dxa"/>
            <w:vAlign w:val="bottom"/>
            <w:tcBorders>
              <w:top w:val="single" w:sz="8" w:color="auto"/>
            </w:tcBorders>
            <w:shd w:val="clear" w:color="auto" w:fill="C0C0C0"/>
          </w:tcPr>
          <w:p>
            <w:pPr>
              <w:spacing w:after="0"/>
              <w:rPr>
                <w:sz w:val="15"/>
                <w:szCs w:val="15"/>
                <w:color w:val="auto"/>
              </w:rPr>
            </w:pPr>
          </w:p>
        </w:tc>
        <w:tc>
          <w:tcPr>
            <w:tcW w:w="1020" w:type="dxa"/>
            <w:vAlign w:val="bottom"/>
            <w:tcBorders>
              <w:top w:val="single" w:sz="8" w:color="auto"/>
              <w:right w:val="single" w:sz="8" w:color="auto"/>
            </w:tcBorders>
            <w:shd w:val="clear" w:color="auto" w:fill="C0C0C0"/>
          </w:tcPr>
          <w:p>
            <w:pPr>
              <w:jc w:val="center"/>
              <w:ind w:right="233"/>
              <w:spacing w:after="0"/>
              <w:rPr>
                <w:sz w:val="20"/>
                <w:szCs w:val="20"/>
                <w:color w:val="auto"/>
              </w:rPr>
            </w:pPr>
            <w:r>
              <w:rPr>
                <w:rFonts w:ascii="Arial" w:cs="Arial" w:eastAsia="Arial" w:hAnsi="Arial"/>
                <w:sz w:val="13"/>
                <w:szCs w:val="13"/>
                <w:b w:val="1"/>
                <w:bCs w:val="1"/>
                <w:color w:val="auto"/>
                <w:w w:val="93"/>
              </w:rPr>
              <w:t>July 1, 2014</w:t>
            </w:r>
          </w:p>
        </w:tc>
        <w:tc>
          <w:tcPr>
            <w:tcW w:w="16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9"/>
        </w:trPr>
        <w:tc>
          <w:tcPr>
            <w:tcW w:w="1580" w:type="dxa"/>
            <w:vAlign w:val="bottom"/>
            <w:tcBorders>
              <w:left w:val="single" w:sz="8" w:color="auto"/>
              <w:right w:val="single" w:sz="8" w:color="auto"/>
            </w:tcBorders>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1020" w:type="dxa"/>
            <w:vAlign w:val="bottom"/>
            <w:tcBorders>
              <w:right w:val="single" w:sz="8" w:color="auto"/>
            </w:tcBorders>
            <w:shd w:val="clear" w:color="auto" w:fill="C0C0C0"/>
          </w:tcPr>
          <w:p>
            <w:pPr>
              <w:spacing w:after="0"/>
              <w:rPr>
                <w:sz w:val="13"/>
                <w:szCs w:val="13"/>
                <w:color w:val="auto"/>
              </w:rPr>
            </w:pPr>
          </w:p>
        </w:tc>
        <w:tc>
          <w:tcPr>
            <w:tcW w:w="16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840" w:type="dxa"/>
            <w:vAlign w:val="bottom"/>
            <w:tcBorders>
              <w:left w:val="single" w:sz="8" w:color="auto"/>
              <w:bottom w:val="single" w:sz="8" w:color="auto"/>
            </w:tcBorders>
            <w:gridSpan w:val="2"/>
            <w:shd w:val="clear" w:color="auto" w:fill="C0C0C0"/>
          </w:tcPr>
          <w:p>
            <w:pPr>
              <w:ind w:left="20"/>
              <w:spacing w:after="0"/>
              <w:rPr>
                <w:sz w:val="20"/>
                <w:szCs w:val="20"/>
                <w:color w:val="auto"/>
              </w:rPr>
            </w:pPr>
            <w:r>
              <w:rPr>
                <w:rFonts w:ascii="Arial" w:cs="Arial" w:eastAsia="Arial" w:hAnsi="Arial"/>
                <w:sz w:val="13"/>
                <w:szCs w:val="13"/>
                <w:b w:val="1"/>
                <w:bCs w:val="1"/>
                <w:color w:val="auto"/>
              </w:rPr>
              <w:t>Fiduciary Liability</w:t>
            </w:r>
          </w:p>
        </w:tc>
        <w:tc>
          <w:tcPr>
            <w:tcW w:w="1020" w:type="dxa"/>
            <w:vAlign w:val="bottom"/>
            <w:tcBorders>
              <w:bottom w:val="single" w:sz="8" w:color="auto"/>
              <w:right w:val="single" w:sz="8" w:color="C0C0C0"/>
            </w:tcBorders>
            <w:shd w:val="clear" w:color="auto" w:fill="C0C0C0"/>
          </w:tcPr>
          <w:p>
            <w:pPr>
              <w:spacing w:after="0"/>
              <w:rPr>
                <w:sz w:val="14"/>
                <w:szCs w:val="14"/>
                <w:color w:val="auto"/>
              </w:rPr>
            </w:pPr>
          </w:p>
        </w:tc>
        <w:tc>
          <w:tcPr>
            <w:tcW w:w="1620" w:type="dxa"/>
            <w:vAlign w:val="bottom"/>
            <w:tcBorders>
              <w:bottom w:val="single" w:sz="8" w:color="auto"/>
              <w:right w:val="single" w:sz="8" w:color="C0C0C0"/>
            </w:tcBorders>
            <w:shd w:val="clear" w:color="auto" w:fill="C0C0C0"/>
          </w:tcPr>
          <w:p>
            <w:pPr>
              <w:spacing w:after="0"/>
              <w:rPr>
                <w:sz w:val="14"/>
                <w:szCs w:val="14"/>
                <w:color w:val="auto"/>
              </w:rPr>
            </w:pPr>
          </w:p>
        </w:tc>
        <w:tc>
          <w:tcPr>
            <w:tcW w:w="3440" w:type="dxa"/>
            <w:vAlign w:val="bottom"/>
            <w:tcBorders>
              <w:bottom w:val="single" w:sz="8" w:color="auto"/>
              <w:right w:val="single" w:sz="8" w:color="C0C0C0"/>
            </w:tcBorders>
            <w:shd w:val="clear" w:color="auto" w:fill="C0C0C0"/>
          </w:tcPr>
          <w:p>
            <w:pPr>
              <w:spacing w:after="0"/>
              <w:rPr>
                <w:sz w:val="14"/>
                <w:szCs w:val="14"/>
                <w:color w:val="auto"/>
              </w:rPr>
            </w:pPr>
          </w:p>
        </w:tc>
        <w:tc>
          <w:tcPr>
            <w:tcW w:w="1140" w:type="dxa"/>
            <w:vAlign w:val="bottom"/>
            <w:tcBorders>
              <w:bottom w:val="single" w:sz="8" w:color="auto"/>
            </w:tcBorders>
            <w:shd w:val="clear" w:color="auto" w:fill="C0C0C0"/>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9"/>
              </w:rPr>
              <w:t>National Union Fire Ins Co</w:t>
            </w:r>
          </w:p>
        </w:tc>
        <w:tc>
          <w:tcPr>
            <w:tcW w:w="260" w:type="dxa"/>
            <w:vAlign w:val="bottom"/>
          </w:tcPr>
          <w:p>
            <w:pPr>
              <w:spacing w:after="0"/>
              <w:rPr>
                <w:sz w:val="13"/>
                <w:szCs w:val="13"/>
                <w:color w:val="auto"/>
              </w:rPr>
            </w:pPr>
          </w:p>
        </w:tc>
        <w:tc>
          <w:tcPr>
            <w:tcW w:w="1020" w:type="dxa"/>
            <w:vAlign w:val="bottom"/>
            <w:tcBorders>
              <w:right w:val="single" w:sz="8" w:color="auto"/>
            </w:tcBorders>
          </w:tcPr>
          <w:p>
            <w:pPr>
              <w:jc w:val="center"/>
              <w:ind w:right="233"/>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4"/>
              </w:rPr>
              <w:t>07/01/2014 - 07/01/2015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of Pittsburgh, Pa.</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Continuity Date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7/1/2005</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840" w:type="dxa"/>
            <w:vAlign w:val="bottom"/>
            <w:tcBorders>
              <w:left w:val="single" w:sz="8" w:color="auto"/>
              <w:bottom w:val="single" w:sz="8" w:color="auto"/>
            </w:tcBorders>
            <w:gridSpan w:val="2"/>
            <w:shd w:val="clear" w:color="auto" w:fill="C0C0C0"/>
          </w:tcPr>
          <w:p>
            <w:pPr>
              <w:ind w:left="20"/>
              <w:spacing w:after="0"/>
              <w:rPr>
                <w:sz w:val="20"/>
                <w:szCs w:val="20"/>
                <w:color w:val="auto"/>
              </w:rPr>
            </w:pPr>
            <w:r>
              <w:rPr>
                <w:rFonts w:ascii="Arial" w:cs="Arial" w:eastAsia="Arial" w:hAnsi="Arial"/>
                <w:sz w:val="13"/>
                <w:szCs w:val="13"/>
                <w:b w:val="1"/>
                <w:bCs w:val="1"/>
                <w:color w:val="auto"/>
                <w:w w:val="93"/>
              </w:rPr>
              <w:t>Employment Practices Liability</w:t>
            </w:r>
          </w:p>
        </w:tc>
        <w:tc>
          <w:tcPr>
            <w:tcW w:w="1020" w:type="dxa"/>
            <w:vAlign w:val="bottom"/>
            <w:tcBorders>
              <w:bottom w:val="single" w:sz="8" w:color="auto"/>
              <w:right w:val="single" w:sz="8" w:color="C0C0C0"/>
            </w:tcBorders>
            <w:shd w:val="clear" w:color="auto" w:fill="C0C0C0"/>
          </w:tcPr>
          <w:p>
            <w:pPr>
              <w:spacing w:after="0"/>
              <w:rPr>
                <w:sz w:val="13"/>
                <w:szCs w:val="13"/>
                <w:color w:val="auto"/>
              </w:rPr>
            </w:pPr>
          </w:p>
        </w:tc>
        <w:tc>
          <w:tcPr>
            <w:tcW w:w="1620" w:type="dxa"/>
            <w:vAlign w:val="bottom"/>
            <w:tcBorders>
              <w:bottom w:val="single" w:sz="8" w:color="auto"/>
              <w:right w:val="single" w:sz="8" w:color="C0C0C0"/>
            </w:tcBorders>
            <w:shd w:val="clear" w:color="auto" w:fill="C0C0C0"/>
          </w:tcPr>
          <w:p>
            <w:pPr>
              <w:spacing w:after="0"/>
              <w:rPr>
                <w:sz w:val="13"/>
                <w:szCs w:val="13"/>
                <w:color w:val="auto"/>
              </w:rPr>
            </w:pPr>
          </w:p>
        </w:tc>
        <w:tc>
          <w:tcPr>
            <w:tcW w:w="3440" w:type="dxa"/>
            <w:vAlign w:val="bottom"/>
            <w:tcBorders>
              <w:bottom w:val="single" w:sz="8" w:color="auto"/>
              <w:right w:val="single" w:sz="8" w:color="C0C0C0"/>
            </w:tcBorders>
            <w:shd w:val="clear" w:color="auto" w:fill="C0C0C0"/>
          </w:tcPr>
          <w:p>
            <w:pPr>
              <w:spacing w:after="0"/>
              <w:rPr>
                <w:sz w:val="13"/>
                <w:szCs w:val="13"/>
                <w:color w:val="auto"/>
              </w:rPr>
            </w:pPr>
          </w:p>
        </w:tc>
        <w:tc>
          <w:tcPr>
            <w:tcW w:w="114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National Union Fire</w:t>
            </w:r>
          </w:p>
        </w:tc>
        <w:tc>
          <w:tcPr>
            <w:tcW w:w="260" w:type="dxa"/>
            <w:vAlign w:val="bottom"/>
          </w:tcPr>
          <w:p>
            <w:pPr>
              <w:spacing w:after="0"/>
              <w:rPr>
                <w:sz w:val="13"/>
                <w:szCs w:val="13"/>
                <w:color w:val="auto"/>
              </w:rPr>
            </w:pPr>
          </w:p>
        </w:tc>
        <w:tc>
          <w:tcPr>
            <w:tcW w:w="1020" w:type="dxa"/>
            <w:vAlign w:val="bottom"/>
            <w:tcBorders>
              <w:right w:val="single" w:sz="8" w:color="auto"/>
            </w:tcBorders>
          </w:tcPr>
          <w:p>
            <w:pPr>
              <w:jc w:val="center"/>
              <w:ind w:right="233"/>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4"/>
              </w:rPr>
              <w:t>07/01/2014 - 07/01/2015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Aggregate 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Insurance Company of</w:t>
            </w:r>
          </w:p>
        </w:tc>
        <w:tc>
          <w:tcPr>
            <w:tcW w:w="2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Continuity Date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4/28/2000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62"/>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Pittsburgh, Pa.</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Retention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$250,000</w:t>
            </w:r>
          </w:p>
        </w:tc>
        <w:tc>
          <w:tcPr>
            <w:tcW w:w="20" w:type="dxa"/>
            <w:vAlign w:val="bottom"/>
            <w:tcBorders>
              <w:bottom w:val="single" w:sz="8" w:color="auto"/>
            </w:tcBorders>
            <w:shd w:val="clear" w:color="auto" w:fill="000000"/>
          </w:tcPr>
          <w:p>
            <w:pPr>
              <w:spacing w:after="0"/>
              <w:rPr>
                <w:sz w:val="14"/>
                <w:szCs w:val="14"/>
                <w:color w:val="auto"/>
              </w:rPr>
            </w:pPr>
          </w:p>
        </w:tc>
      </w:tr>
      <w:tr>
        <w:trPr>
          <w:trHeight w:val="151"/>
        </w:trPr>
        <w:tc>
          <w:tcPr>
            <w:tcW w:w="1840" w:type="dxa"/>
            <w:vAlign w:val="bottom"/>
            <w:tcBorders>
              <w:left w:val="single" w:sz="8" w:color="auto"/>
              <w:bottom w:val="single" w:sz="8" w:color="auto"/>
            </w:tcBorders>
            <w:gridSpan w:val="2"/>
            <w:shd w:val="clear" w:color="auto" w:fill="C0C0C0"/>
          </w:tcPr>
          <w:p>
            <w:pPr>
              <w:ind w:left="20"/>
              <w:spacing w:after="0"/>
              <w:rPr>
                <w:sz w:val="20"/>
                <w:szCs w:val="20"/>
                <w:color w:val="auto"/>
              </w:rPr>
            </w:pPr>
            <w:r>
              <w:rPr>
                <w:rFonts w:ascii="Arial" w:cs="Arial" w:eastAsia="Arial" w:hAnsi="Arial"/>
                <w:sz w:val="13"/>
                <w:szCs w:val="13"/>
                <w:b w:val="1"/>
                <w:bCs w:val="1"/>
                <w:color w:val="auto"/>
              </w:rPr>
              <w:t>Crime</w:t>
            </w:r>
          </w:p>
        </w:tc>
        <w:tc>
          <w:tcPr>
            <w:tcW w:w="1020" w:type="dxa"/>
            <w:vAlign w:val="bottom"/>
            <w:tcBorders>
              <w:bottom w:val="single" w:sz="8" w:color="auto"/>
              <w:right w:val="single" w:sz="8" w:color="C0C0C0"/>
            </w:tcBorders>
            <w:shd w:val="clear" w:color="auto" w:fill="C0C0C0"/>
          </w:tcPr>
          <w:p>
            <w:pPr>
              <w:spacing w:after="0"/>
              <w:rPr>
                <w:sz w:val="13"/>
                <w:szCs w:val="13"/>
                <w:color w:val="auto"/>
              </w:rPr>
            </w:pPr>
          </w:p>
        </w:tc>
        <w:tc>
          <w:tcPr>
            <w:tcW w:w="1620" w:type="dxa"/>
            <w:vAlign w:val="bottom"/>
            <w:tcBorders>
              <w:bottom w:val="single" w:sz="8" w:color="auto"/>
              <w:right w:val="single" w:sz="8" w:color="C0C0C0"/>
            </w:tcBorders>
            <w:shd w:val="clear" w:color="auto" w:fill="C0C0C0"/>
          </w:tcPr>
          <w:p>
            <w:pPr>
              <w:spacing w:after="0"/>
              <w:rPr>
                <w:sz w:val="13"/>
                <w:szCs w:val="13"/>
                <w:color w:val="auto"/>
              </w:rPr>
            </w:pPr>
          </w:p>
        </w:tc>
        <w:tc>
          <w:tcPr>
            <w:tcW w:w="3440" w:type="dxa"/>
            <w:vAlign w:val="bottom"/>
            <w:tcBorders>
              <w:bottom w:val="single" w:sz="8" w:color="auto"/>
              <w:right w:val="single" w:sz="8" w:color="C0C0C0"/>
            </w:tcBorders>
            <w:shd w:val="clear" w:color="auto" w:fill="C0C0C0"/>
          </w:tcPr>
          <w:p>
            <w:pPr>
              <w:spacing w:after="0"/>
              <w:rPr>
                <w:sz w:val="13"/>
                <w:szCs w:val="13"/>
                <w:color w:val="auto"/>
              </w:rPr>
            </w:pPr>
          </w:p>
        </w:tc>
        <w:tc>
          <w:tcPr>
            <w:tcW w:w="114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National Union Fire</w:t>
            </w:r>
          </w:p>
        </w:tc>
        <w:tc>
          <w:tcPr>
            <w:tcW w:w="260" w:type="dxa"/>
            <w:vAlign w:val="bottom"/>
          </w:tcPr>
          <w:p>
            <w:pPr>
              <w:spacing w:after="0"/>
              <w:rPr>
                <w:sz w:val="13"/>
                <w:szCs w:val="13"/>
                <w:color w:val="auto"/>
              </w:rPr>
            </w:pPr>
          </w:p>
        </w:tc>
        <w:tc>
          <w:tcPr>
            <w:tcW w:w="1020" w:type="dxa"/>
            <w:vAlign w:val="bottom"/>
            <w:tcBorders>
              <w:right w:val="single" w:sz="8" w:color="auto"/>
            </w:tcBorders>
          </w:tcPr>
          <w:p>
            <w:pPr>
              <w:jc w:val="center"/>
              <w:ind w:right="233"/>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w w:val="94"/>
              </w:rPr>
              <w:t>07/01/2014- 07/01/2015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Loss of Assets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Insurance Company of</w:t>
            </w:r>
          </w:p>
        </w:tc>
        <w:tc>
          <w:tcPr>
            <w:tcW w:w="2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Loss of Employee Benefit Plan Assets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Pittsburgh, Pa.</w:t>
            </w:r>
          </w:p>
        </w:tc>
        <w:tc>
          <w:tcPr>
            <w:tcW w:w="26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Credit Card Forgety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r>
      <w:tr>
        <w:trPr>
          <w:trHeight w:val="151"/>
        </w:trPr>
        <w:tc>
          <w:tcPr>
            <w:tcW w:w="1580" w:type="dxa"/>
            <w:vAlign w:val="bottom"/>
            <w:tcBorders>
              <w:left w:val="single" w:sz="8" w:color="auto"/>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i w:val="1"/>
                <w:iCs w:val="1"/>
                <w:color w:val="auto"/>
              </w:rPr>
              <w:t>Deductible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$150,000</w:t>
            </w:r>
          </w:p>
        </w:tc>
        <w:tc>
          <w:tcPr>
            <w:tcW w:w="20" w:type="dxa"/>
            <w:vAlign w:val="bottom"/>
            <w:tcBorders>
              <w:bottom w:val="single" w:sz="8" w:color="auto"/>
            </w:tcBorders>
            <w:shd w:val="clear" w:color="auto" w:fill="000000"/>
          </w:tcPr>
          <w:p>
            <w:pPr>
              <w:spacing w:after="0"/>
              <w:rPr>
                <w:sz w:val="13"/>
                <w:szCs w:val="13"/>
                <w:color w:val="auto"/>
              </w:rPr>
            </w:pPr>
          </w:p>
        </w:tc>
      </w:tr>
    </w:tbl>
    <w:p>
      <w:pPr>
        <w:spacing w:after="0" w:line="200" w:lineRule="exact"/>
        <w:rPr>
          <w:sz w:val="20"/>
          <w:szCs w:val="20"/>
          <w:color w:val="auto"/>
        </w:rPr>
      </w:pPr>
    </w:p>
    <w:p>
      <w:pPr>
        <w:spacing w:after="0" w:line="267" w:lineRule="exact"/>
        <w:rPr>
          <w:sz w:val="20"/>
          <w:szCs w:val="20"/>
          <w:color w:val="auto"/>
        </w:rPr>
      </w:pPr>
    </w:p>
    <w:p>
      <w:pPr>
        <w:ind w:left="619" w:hanging="619"/>
        <w:spacing w:after="0"/>
        <w:tabs>
          <w:tab w:leader="none" w:pos="619" w:val="left"/>
        </w:tabs>
        <w:numPr>
          <w:ilvl w:val="0"/>
          <w:numId w:val="203"/>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139"/>
          </w:cols>
          <w:pgMar w:left="221" w:top="412" w:right="539" w:bottom="1440" w:gutter="0" w:footer="0" w:header="0"/>
        </w:sectPr>
      </w:pPr>
    </w:p>
    <w:bookmarkStart w:id="189" w:name="page190"/>
    <w:bookmarkEnd w:id="189"/>
    <w:tbl>
      <w:tblPr>
        <w:tblLayout w:type="fixed"/>
        <w:tblInd w:w="1209" w:type="dxa"/>
        <w:tblCellMar>
          <w:top w:w="0" w:type="dxa"/>
          <w:left w:w="0" w:type="dxa"/>
          <w:bottom w:w="0" w:type="dxa"/>
          <w:right w:w="0" w:type="dxa"/>
        </w:tblCellMar>
      </w:tblPr>
      <w:tr>
        <w:trPr>
          <w:trHeight w:val="184"/>
        </w:trPr>
        <w:tc>
          <w:tcPr>
            <w:tcW w:w="1560" w:type="dxa"/>
            <w:vAlign w:val="bottom"/>
            <w:tcBorders>
              <w:top w:val="single" w:sz="8" w:color="auto"/>
              <w:left w:val="single" w:sz="8" w:color="auto"/>
            </w:tcBorders>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1300" w:type="dxa"/>
            <w:vAlign w:val="bottom"/>
            <w:tcBorders>
              <w:top w:val="single" w:sz="8" w:color="auto"/>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3"/>
                <w:szCs w:val="13"/>
                <w:b w:val="1"/>
                <w:bCs w:val="1"/>
                <w:color w:val="auto"/>
                <w:w w:val="93"/>
              </w:rPr>
              <w:t>July 1, 2014</w:t>
            </w:r>
          </w:p>
        </w:tc>
        <w:tc>
          <w:tcPr>
            <w:tcW w:w="16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560" w:type="dxa"/>
            <w:vAlign w:val="bottom"/>
            <w:tcBorders>
              <w:left w:val="single" w:sz="8" w:color="auto"/>
            </w:tcBorders>
            <w:vMerge w:val="restart"/>
            <w:shd w:val="clear" w:color="auto" w:fill="C0C0C0"/>
          </w:tcPr>
          <w:p>
            <w:pPr>
              <w:ind w:left="20"/>
              <w:spacing w:after="0"/>
              <w:rPr>
                <w:sz w:val="20"/>
                <w:szCs w:val="20"/>
                <w:color w:val="auto"/>
              </w:rPr>
            </w:pPr>
            <w:r>
              <w:rPr>
                <w:rFonts w:ascii="Arial" w:cs="Arial" w:eastAsia="Arial" w:hAnsi="Arial"/>
                <w:sz w:val="13"/>
                <w:szCs w:val="13"/>
                <w:b w:val="1"/>
                <w:bCs w:val="1"/>
                <w:color w:val="auto"/>
              </w:rPr>
              <w:t>Cyber Risk</w:t>
            </w:r>
          </w:p>
        </w:tc>
        <w:tc>
          <w:tcPr>
            <w:tcW w:w="1300" w:type="dxa"/>
            <w:vAlign w:val="bottom"/>
            <w:tcBorders>
              <w:left w:val="single" w:sz="8" w:color="auto"/>
              <w:right w:val="single" w:sz="8" w:color="auto"/>
            </w:tcBorders>
            <w:shd w:val="clear" w:color="auto" w:fill="C0C0C0"/>
          </w:tcPr>
          <w:p>
            <w:pPr>
              <w:spacing w:after="0"/>
              <w:rPr>
                <w:sz w:val="13"/>
                <w:szCs w:val="13"/>
                <w:color w:val="auto"/>
              </w:rPr>
            </w:pPr>
          </w:p>
        </w:tc>
        <w:tc>
          <w:tcPr>
            <w:tcW w:w="16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bottom w:val="single" w:sz="8" w:color="auto"/>
            </w:tcBorders>
            <w:vMerge w:val="continue"/>
            <w:shd w:val="clear" w:color="auto" w:fill="C0C0C0"/>
          </w:tcPr>
          <w:p>
            <w:pPr>
              <w:spacing w:after="0"/>
              <w:rPr>
                <w:sz w:val="14"/>
                <w:szCs w:val="14"/>
                <w:color w:val="auto"/>
              </w:rPr>
            </w:pPr>
          </w:p>
        </w:tc>
        <w:tc>
          <w:tcPr>
            <w:tcW w:w="1300" w:type="dxa"/>
            <w:vAlign w:val="bottom"/>
            <w:tcBorders>
              <w:left w:val="single" w:sz="8" w:color="C0C0C0"/>
              <w:bottom w:val="single" w:sz="8" w:color="auto"/>
              <w:right w:val="single" w:sz="8" w:color="C0C0C0"/>
            </w:tcBorders>
            <w:shd w:val="clear" w:color="auto" w:fill="C0C0C0"/>
          </w:tcPr>
          <w:p>
            <w:pPr>
              <w:spacing w:after="0"/>
              <w:rPr>
                <w:sz w:val="14"/>
                <w:szCs w:val="14"/>
                <w:color w:val="auto"/>
              </w:rPr>
            </w:pPr>
          </w:p>
        </w:tc>
        <w:tc>
          <w:tcPr>
            <w:tcW w:w="1620" w:type="dxa"/>
            <w:vAlign w:val="bottom"/>
            <w:tcBorders>
              <w:bottom w:val="single" w:sz="8" w:color="auto"/>
              <w:right w:val="single" w:sz="8" w:color="C0C0C0"/>
            </w:tcBorders>
            <w:shd w:val="clear" w:color="auto" w:fill="C0C0C0"/>
          </w:tcPr>
          <w:p>
            <w:pPr>
              <w:spacing w:after="0"/>
              <w:rPr>
                <w:sz w:val="14"/>
                <w:szCs w:val="14"/>
                <w:color w:val="auto"/>
              </w:rPr>
            </w:pPr>
          </w:p>
        </w:tc>
        <w:tc>
          <w:tcPr>
            <w:tcW w:w="3440" w:type="dxa"/>
            <w:vAlign w:val="bottom"/>
            <w:tcBorders>
              <w:bottom w:val="single" w:sz="8" w:color="auto"/>
              <w:right w:val="single" w:sz="8" w:color="C0C0C0"/>
            </w:tcBorders>
            <w:shd w:val="clear" w:color="auto" w:fill="C0C0C0"/>
          </w:tcPr>
          <w:p>
            <w:pPr>
              <w:spacing w:after="0"/>
              <w:rPr>
                <w:sz w:val="14"/>
                <w:szCs w:val="14"/>
                <w:color w:val="auto"/>
              </w:rPr>
            </w:pPr>
          </w:p>
        </w:tc>
        <w:tc>
          <w:tcPr>
            <w:tcW w:w="1140" w:type="dxa"/>
            <w:vAlign w:val="bottom"/>
            <w:tcBorders>
              <w:bottom w:val="single" w:sz="8" w:color="auto"/>
            </w:tcBorders>
            <w:shd w:val="clear" w:color="auto" w:fill="C0C0C0"/>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Beazley Insurance</w:t>
            </w:r>
          </w:p>
        </w:tc>
        <w:tc>
          <w:tcPr>
            <w:tcW w:w="1300" w:type="dxa"/>
            <w:vAlign w:val="bottom"/>
            <w:tcBorders>
              <w:left w:val="single" w:sz="8" w:color="auto"/>
              <w:right w:val="single" w:sz="8" w:color="auto"/>
            </w:tcBorders>
          </w:tcPr>
          <w:p>
            <w:pPr>
              <w:jc w:val="right"/>
              <w:ind w:right="493"/>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right"/>
              <w:ind w:right="133"/>
              <w:spacing w:after="0"/>
              <w:rPr>
                <w:sz w:val="20"/>
                <w:szCs w:val="20"/>
                <w:color w:val="auto"/>
              </w:rPr>
            </w:pPr>
            <w:r>
              <w:rPr>
                <w:rFonts w:ascii="Arial" w:cs="Arial" w:eastAsia="Arial" w:hAnsi="Arial"/>
                <w:sz w:val="13"/>
                <w:szCs w:val="13"/>
                <w:color w:val="auto"/>
              </w:rPr>
              <w:t>10/14/2014-10/14/2015</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Policy Aggregate (I.A, I.C-I.E)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Company, Inc.</w:t>
            </w: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Retroactive Date (unless specified below)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10/14/2003</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Continuity Date (unless specified below)</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10/14/2006</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Information Security &amp; Privacy Liability (I.A)</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incl above</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Retention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Privacy Breach Response Services (I.B)</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Legal and Forensic Expenses Aggregate Sublimit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Retention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Foreign Notifications Aggregate Sublimit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Creddit Monitoring Program</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&gt;100 individuals</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Regulatory Defense &amp; Penalties (I.C) Aggregate Sublimit</w:t>
            </w:r>
          </w:p>
        </w:tc>
        <w:tc>
          <w:tcPr>
            <w:tcW w:w="114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Website Media Content Liability (I.D)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incl above</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Retention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Retroactive Date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10/14/2006</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9"/>
              </w:rPr>
              <w:t>Crisis Management &amp; Public Relations (I.B) Aggregate Sub</w:t>
            </w:r>
          </w:p>
        </w:tc>
        <w:tc>
          <w:tcPr>
            <w:tcW w:w="1140" w:type="dxa"/>
            <w:vAlign w:val="bottom"/>
          </w:tcPr>
          <w:p>
            <w:pPr>
              <w:jc w:val="right"/>
              <w:spacing w:after="0"/>
              <w:rPr>
                <w:sz w:val="20"/>
                <w:szCs w:val="20"/>
                <w:color w:val="auto"/>
              </w:rPr>
            </w:pPr>
            <w:r>
              <w:rPr>
                <w:rFonts w:ascii="Arial" w:cs="Arial" w:eastAsia="Arial" w:hAnsi="Arial"/>
                <w:sz w:val="13"/>
                <w:szCs w:val="13"/>
                <w:color w:val="auto"/>
              </w:rPr>
              <w:t>$2,000,000</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3"/>
                <w:szCs w:val="13"/>
                <w:i w:val="1"/>
                <w:iCs w:val="1"/>
                <w:color w:val="auto"/>
              </w:rPr>
              <w:t>Retention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$10,000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619" w:hanging="619"/>
        <w:spacing w:after="0"/>
        <w:tabs>
          <w:tab w:leader="none" w:pos="619" w:val="left"/>
        </w:tabs>
        <w:numPr>
          <w:ilvl w:val="0"/>
          <w:numId w:val="204"/>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139"/>
          </w:cols>
          <w:pgMar w:left="221" w:top="412" w:right="539" w:bottom="1440" w:gutter="0" w:footer="0" w:header="0"/>
        </w:sectPr>
      </w:pPr>
    </w:p>
    <w:bookmarkStart w:id="190" w:name="page191"/>
    <w:bookmarkEnd w:id="190"/>
    <w:tbl>
      <w:tblPr>
        <w:tblLayout w:type="fixed"/>
        <w:tblInd w:w="1209" w:type="dxa"/>
        <w:tblCellMar>
          <w:top w:w="0" w:type="dxa"/>
          <w:left w:w="0" w:type="dxa"/>
          <w:bottom w:w="0" w:type="dxa"/>
          <w:right w:w="0" w:type="dxa"/>
        </w:tblCellMar>
      </w:tblPr>
      <w:tr>
        <w:trPr>
          <w:trHeight w:val="184"/>
        </w:trPr>
        <w:tc>
          <w:tcPr>
            <w:tcW w:w="1560" w:type="dxa"/>
            <w:vAlign w:val="bottom"/>
            <w:tcBorders>
              <w:top w:val="single" w:sz="8" w:color="auto"/>
              <w:left w:val="single" w:sz="8" w:color="auto"/>
            </w:tcBorders>
            <w:shd w:val="clear" w:color="auto" w:fill="C0C0C0"/>
          </w:tcPr>
          <w:p>
            <w:pPr>
              <w:ind w:left="20"/>
              <w:spacing w:after="0"/>
              <w:rPr>
                <w:sz w:val="20"/>
                <w:szCs w:val="20"/>
                <w:color w:val="auto"/>
              </w:rPr>
            </w:pPr>
            <w:r>
              <w:rPr>
                <w:rFonts w:ascii="Arial" w:cs="Arial" w:eastAsia="Arial" w:hAnsi="Arial"/>
                <w:sz w:val="13"/>
                <w:szCs w:val="13"/>
                <w:b w:val="1"/>
                <w:bCs w:val="1"/>
                <w:color w:val="auto"/>
              </w:rPr>
              <w:t>Coverage/Limits as of:</w:t>
            </w:r>
          </w:p>
        </w:tc>
        <w:tc>
          <w:tcPr>
            <w:tcW w:w="1300" w:type="dxa"/>
            <w:vAlign w:val="bottom"/>
            <w:tcBorders>
              <w:top w:val="single" w:sz="8" w:color="auto"/>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3"/>
                <w:szCs w:val="13"/>
                <w:b w:val="1"/>
                <w:bCs w:val="1"/>
                <w:color w:val="auto"/>
                <w:w w:val="93"/>
              </w:rPr>
              <w:t>July 1, 2014</w:t>
            </w:r>
          </w:p>
        </w:tc>
        <w:tc>
          <w:tcPr>
            <w:tcW w:w="16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560" w:type="dxa"/>
            <w:vAlign w:val="bottom"/>
            <w:tcBorders>
              <w:left w:val="single" w:sz="8" w:color="auto"/>
            </w:tcBorders>
            <w:vMerge w:val="restart"/>
            <w:shd w:val="clear" w:color="auto" w:fill="C0C0C0"/>
          </w:tcPr>
          <w:p>
            <w:pPr>
              <w:ind w:left="20"/>
              <w:spacing w:after="0"/>
              <w:rPr>
                <w:sz w:val="20"/>
                <w:szCs w:val="20"/>
                <w:color w:val="auto"/>
              </w:rPr>
            </w:pPr>
            <w:r>
              <w:rPr>
                <w:rFonts w:ascii="Arial" w:cs="Arial" w:eastAsia="Arial" w:hAnsi="Arial"/>
                <w:sz w:val="13"/>
                <w:szCs w:val="13"/>
                <w:b w:val="1"/>
                <w:bCs w:val="1"/>
                <w:color w:val="auto"/>
              </w:rPr>
              <w:t>Special Risk Policy</w:t>
            </w:r>
          </w:p>
        </w:tc>
        <w:tc>
          <w:tcPr>
            <w:tcW w:w="1300" w:type="dxa"/>
            <w:vAlign w:val="bottom"/>
            <w:tcBorders>
              <w:left w:val="single" w:sz="8" w:color="auto"/>
              <w:right w:val="single" w:sz="8" w:color="auto"/>
            </w:tcBorders>
            <w:shd w:val="clear" w:color="auto" w:fill="C0C0C0"/>
          </w:tcPr>
          <w:p>
            <w:pPr>
              <w:spacing w:after="0"/>
              <w:rPr>
                <w:sz w:val="13"/>
                <w:szCs w:val="13"/>
                <w:color w:val="auto"/>
              </w:rPr>
            </w:pPr>
          </w:p>
        </w:tc>
        <w:tc>
          <w:tcPr>
            <w:tcW w:w="16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bottom w:val="single" w:sz="8" w:color="auto"/>
            </w:tcBorders>
            <w:vMerge w:val="continue"/>
            <w:shd w:val="clear" w:color="auto" w:fill="C0C0C0"/>
          </w:tcPr>
          <w:p>
            <w:pPr>
              <w:spacing w:after="0"/>
              <w:rPr>
                <w:sz w:val="14"/>
                <w:szCs w:val="14"/>
                <w:color w:val="auto"/>
              </w:rPr>
            </w:pPr>
          </w:p>
        </w:tc>
        <w:tc>
          <w:tcPr>
            <w:tcW w:w="1300" w:type="dxa"/>
            <w:vAlign w:val="bottom"/>
            <w:tcBorders>
              <w:left w:val="single" w:sz="8" w:color="C0C0C0"/>
              <w:bottom w:val="single" w:sz="8" w:color="auto"/>
              <w:right w:val="single" w:sz="8" w:color="C0C0C0"/>
            </w:tcBorders>
            <w:shd w:val="clear" w:color="auto" w:fill="C0C0C0"/>
          </w:tcPr>
          <w:p>
            <w:pPr>
              <w:spacing w:after="0"/>
              <w:rPr>
                <w:sz w:val="14"/>
                <w:szCs w:val="14"/>
                <w:color w:val="auto"/>
              </w:rPr>
            </w:pPr>
          </w:p>
        </w:tc>
        <w:tc>
          <w:tcPr>
            <w:tcW w:w="1620" w:type="dxa"/>
            <w:vAlign w:val="bottom"/>
            <w:tcBorders>
              <w:bottom w:val="single" w:sz="8" w:color="auto"/>
              <w:right w:val="single" w:sz="8" w:color="C0C0C0"/>
            </w:tcBorders>
            <w:shd w:val="clear" w:color="auto" w:fill="C0C0C0"/>
          </w:tcPr>
          <w:p>
            <w:pPr>
              <w:spacing w:after="0"/>
              <w:rPr>
                <w:sz w:val="14"/>
                <w:szCs w:val="14"/>
                <w:color w:val="auto"/>
              </w:rPr>
            </w:pPr>
          </w:p>
        </w:tc>
        <w:tc>
          <w:tcPr>
            <w:tcW w:w="3440" w:type="dxa"/>
            <w:vAlign w:val="bottom"/>
            <w:tcBorders>
              <w:bottom w:val="single" w:sz="8" w:color="auto"/>
              <w:right w:val="single" w:sz="8" w:color="C0C0C0"/>
            </w:tcBorders>
            <w:shd w:val="clear" w:color="auto" w:fill="C0C0C0"/>
          </w:tcPr>
          <w:p>
            <w:pPr>
              <w:spacing w:after="0"/>
              <w:rPr>
                <w:sz w:val="14"/>
                <w:szCs w:val="14"/>
                <w:color w:val="auto"/>
              </w:rPr>
            </w:pPr>
          </w:p>
        </w:tc>
        <w:tc>
          <w:tcPr>
            <w:tcW w:w="1140" w:type="dxa"/>
            <w:vAlign w:val="bottom"/>
            <w:tcBorders>
              <w:bottom w:val="single" w:sz="8" w:color="auto"/>
            </w:tcBorders>
            <w:shd w:val="clear" w:color="auto" w:fill="C0C0C0"/>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US Specialty Insurance</w:t>
            </w:r>
          </w:p>
        </w:tc>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right"/>
              <w:ind w:right="273"/>
              <w:spacing w:after="0"/>
              <w:rPr>
                <w:sz w:val="20"/>
                <w:szCs w:val="20"/>
                <w:color w:val="auto"/>
              </w:rPr>
            </w:pPr>
            <w:r>
              <w:rPr>
                <w:rFonts w:ascii="Arial" w:cs="Arial" w:eastAsia="Arial" w:hAnsi="Arial"/>
                <w:sz w:val="13"/>
                <w:szCs w:val="13"/>
                <w:color w:val="auto"/>
              </w:rPr>
              <w:t>7/1/2014-7/1/2017</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Limit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Loss of Earnings per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Death/Dismemberment - per person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Death/Dismemberment - per accident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Emergency Repatriation/Relocation Expense per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Emergency Repatriation/Relocation Expense aggregate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Threat Response - any one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Threat Response - any one period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bottom w:val="single" w:sz="8" w:color="auto"/>
            </w:tcBorders>
          </w:tcPr>
          <w:p>
            <w:pPr>
              <w:spacing w:after="0"/>
              <w:rPr>
                <w:sz w:val="13"/>
                <w:szCs w:val="13"/>
                <w:color w:val="auto"/>
              </w:rPr>
            </w:pPr>
          </w:p>
        </w:tc>
        <w:tc>
          <w:tcPr>
            <w:tcW w:w="1300" w:type="dxa"/>
            <w:vAlign w:val="bottom"/>
            <w:tcBorders>
              <w:left w:val="single" w:sz="8" w:color="auto"/>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Disappearance/Investigation Expense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920" w:type="dxa"/>
            <w:vAlign w:val="bottom"/>
            <w:tcBorders>
              <w:left w:val="single" w:sz="8" w:color="auto"/>
              <w:bottom w:val="single" w:sz="8" w:color="auto"/>
              <w:right w:val="single" w:sz="8" w:color="C0C0C0"/>
            </w:tcBorders>
            <w:gridSpan w:val="4"/>
            <w:shd w:val="clear" w:color="auto" w:fill="C0C0C0"/>
          </w:tcPr>
          <w:p>
            <w:pPr>
              <w:ind w:left="20"/>
              <w:spacing w:after="0"/>
              <w:rPr>
                <w:sz w:val="20"/>
                <w:szCs w:val="20"/>
                <w:color w:val="auto"/>
              </w:rPr>
            </w:pPr>
            <w:r>
              <w:rPr>
                <w:rFonts w:ascii="Arial" w:cs="Arial" w:eastAsia="Arial" w:hAnsi="Arial"/>
                <w:sz w:val="13"/>
                <w:szCs w:val="13"/>
                <w:b w:val="1"/>
                <w:bCs w:val="1"/>
                <w:color w:val="auto"/>
              </w:rPr>
              <w:t>Business Travel Accident - Does not include all Limits, please consult Policy for full set of Coverage Limits and Deductibles</w:t>
            </w:r>
          </w:p>
        </w:tc>
        <w:tc>
          <w:tcPr>
            <w:tcW w:w="1140" w:type="dxa"/>
            <w:vAlign w:val="bottom"/>
            <w:tcBorders>
              <w:bottom w:val="single" w:sz="8" w:color="auto"/>
            </w:tcBorders>
            <w:shd w:val="clear" w:color="auto" w:fill="C0C0C0"/>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Federal Insurance</w:t>
            </w:r>
          </w:p>
        </w:tc>
        <w:tc>
          <w:tcPr>
            <w:tcW w:w="1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20" w:type="dxa"/>
            <w:vAlign w:val="bottom"/>
            <w:tcBorders>
              <w:right w:val="single" w:sz="8" w:color="auto"/>
            </w:tcBorders>
          </w:tcPr>
          <w:p>
            <w:pPr>
              <w:jc w:val="right"/>
              <w:ind w:right="273"/>
              <w:spacing w:after="0"/>
              <w:rPr>
                <w:sz w:val="20"/>
                <w:szCs w:val="20"/>
                <w:color w:val="auto"/>
              </w:rPr>
            </w:pPr>
            <w:r>
              <w:rPr>
                <w:rFonts w:ascii="Arial" w:cs="Arial" w:eastAsia="Arial" w:hAnsi="Arial"/>
                <w:sz w:val="13"/>
                <w:szCs w:val="13"/>
                <w:color w:val="auto"/>
              </w:rPr>
              <w:t>3/1/2013-3/1/2016</w:t>
            </w: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Aggregate Limit per Aircraft Accident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Company</w:t>
            </w: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Aggregate Limit per Felonious Assault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Cov A: Principal Sums</w:t>
            </w:r>
          </w:p>
        </w:tc>
        <w:tc>
          <w:tcPr>
            <w:tcW w:w="11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5"/>
              </w:rPr>
              <w:t>Class 1: 24 Hour Business &amp; Pleasure - One times salary to</w:t>
            </w:r>
          </w:p>
        </w:tc>
        <w:tc>
          <w:tcPr>
            <w:tcW w:w="1140" w:type="dxa"/>
            <w:vAlign w:val="bottom"/>
          </w:tcPr>
          <w:p>
            <w:pPr>
              <w:jc w:val="right"/>
              <w:spacing w:after="0"/>
              <w:rPr>
                <w:sz w:val="20"/>
                <w:szCs w:val="20"/>
                <w:color w:val="auto"/>
              </w:rPr>
            </w:pPr>
            <w:r>
              <w:rPr>
                <w:rFonts w:ascii="Arial" w:cs="Arial" w:eastAsia="Arial" w:hAnsi="Arial"/>
                <w:sz w:val="13"/>
                <w:szCs w:val="13"/>
                <w:color w:val="auto"/>
              </w:rPr>
              <w:t>$1,000,000</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auto"/>
            </w:tcBorders>
          </w:tcPr>
          <w:p>
            <w:pPr>
              <w:spacing w:after="0"/>
              <w:rPr>
                <w:sz w:val="15"/>
                <w:szCs w:val="15"/>
                <w:color w:val="auto"/>
              </w:rPr>
            </w:pPr>
          </w:p>
        </w:tc>
        <w:tc>
          <w:tcPr>
            <w:tcW w:w="13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a max of:</w:t>
            </w: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Class 2: 24 hour Business Travel - One times salary to a</w:t>
            </w:r>
          </w:p>
        </w:tc>
        <w:tc>
          <w:tcPr>
            <w:tcW w:w="1140" w:type="dxa"/>
            <w:vAlign w:val="bottom"/>
          </w:tcPr>
          <w:p>
            <w:pPr>
              <w:jc w:val="right"/>
              <w:spacing w:after="0"/>
              <w:rPr>
                <w:sz w:val="20"/>
                <w:szCs w:val="20"/>
                <w:color w:val="auto"/>
              </w:rPr>
            </w:pPr>
            <w:r>
              <w:rPr>
                <w:rFonts w:ascii="Arial" w:cs="Arial" w:eastAsia="Arial" w:hAnsi="Arial"/>
                <w:sz w:val="13"/>
                <w:szCs w:val="13"/>
                <w:color w:val="auto"/>
              </w:rPr>
              <w:t>$500,000</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auto"/>
            </w:tcBorders>
          </w:tcPr>
          <w:p>
            <w:pPr>
              <w:spacing w:after="0"/>
              <w:rPr>
                <w:sz w:val="15"/>
                <w:szCs w:val="15"/>
                <w:color w:val="auto"/>
              </w:rPr>
            </w:pPr>
          </w:p>
        </w:tc>
        <w:tc>
          <w:tcPr>
            <w:tcW w:w="13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max of:</w:t>
            </w: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8"/>
              </w:rPr>
              <w:t>Class 2: Felonious assault - One times salary to a max of:</w:t>
            </w:r>
          </w:p>
        </w:tc>
        <w:tc>
          <w:tcPr>
            <w:tcW w:w="1140" w:type="dxa"/>
            <w:vAlign w:val="bottom"/>
          </w:tcPr>
          <w:p>
            <w:pPr>
              <w:jc w:val="right"/>
              <w:spacing w:after="0"/>
              <w:rPr>
                <w:sz w:val="20"/>
                <w:szCs w:val="20"/>
                <w:color w:val="auto"/>
              </w:rPr>
            </w:pPr>
            <w:r>
              <w:rPr>
                <w:rFonts w:ascii="Arial" w:cs="Arial" w:eastAsia="Arial" w:hAnsi="Arial"/>
                <w:sz w:val="13"/>
                <w:szCs w:val="13"/>
                <w:color w:val="auto"/>
              </w:rPr>
              <w:t>$500,000</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Class 3: 24 hour Business Travel - One times salary to a</w:t>
            </w:r>
          </w:p>
        </w:tc>
        <w:tc>
          <w:tcPr>
            <w:tcW w:w="1140" w:type="dxa"/>
            <w:vAlign w:val="bottom"/>
          </w:tcPr>
          <w:p>
            <w:pPr>
              <w:jc w:val="right"/>
              <w:spacing w:after="0"/>
              <w:rPr>
                <w:sz w:val="20"/>
                <w:szCs w:val="20"/>
                <w:color w:val="auto"/>
              </w:rPr>
            </w:pPr>
            <w:r>
              <w:rPr>
                <w:rFonts w:ascii="Arial" w:cs="Arial" w:eastAsia="Arial" w:hAnsi="Arial"/>
                <w:sz w:val="13"/>
                <w:szCs w:val="13"/>
                <w:color w:val="auto"/>
              </w:rPr>
              <w:t>$150,000</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auto"/>
            </w:tcBorders>
          </w:tcPr>
          <w:p>
            <w:pPr>
              <w:spacing w:after="0"/>
              <w:rPr>
                <w:sz w:val="15"/>
                <w:szCs w:val="15"/>
                <w:color w:val="auto"/>
              </w:rPr>
            </w:pPr>
          </w:p>
        </w:tc>
        <w:tc>
          <w:tcPr>
            <w:tcW w:w="13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max of:</w:t>
            </w: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8"/>
              </w:rPr>
              <w:t>Class 3: Felonious assault - One times salary to a max of:</w:t>
            </w:r>
          </w:p>
        </w:tc>
        <w:tc>
          <w:tcPr>
            <w:tcW w:w="1140" w:type="dxa"/>
            <w:vAlign w:val="bottom"/>
          </w:tcPr>
          <w:p>
            <w:pPr>
              <w:jc w:val="right"/>
              <w:spacing w:after="0"/>
              <w:rPr>
                <w:sz w:val="20"/>
                <w:szCs w:val="20"/>
                <w:color w:val="auto"/>
              </w:rPr>
            </w:pPr>
            <w:r>
              <w:rPr>
                <w:rFonts w:ascii="Arial" w:cs="Arial" w:eastAsia="Arial" w:hAnsi="Arial"/>
                <w:sz w:val="13"/>
                <w:szCs w:val="13"/>
                <w:color w:val="auto"/>
              </w:rPr>
              <w:t>$150,000</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rPr>
              <w:t>Class 4: 24 hour Business Travel - One times salary to a</w:t>
            </w:r>
          </w:p>
        </w:tc>
        <w:tc>
          <w:tcPr>
            <w:tcW w:w="1140" w:type="dxa"/>
            <w:vAlign w:val="bottom"/>
          </w:tcPr>
          <w:p>
            <w:pPr>
              <w:jc w:val="right"/>
              <w:spacing w:after="0"/>
              <w:rPr>
                <w:sz w:val="20"/>
                <w:szCs w:val="20"/>
                <w:color w:val="auto"/>
              </w:rPr>
            </w:pPr>
            <w:r>
              <w:rPr>
                <w:rFonts w:ascii="Arial" w:cs="Arial" w:eastAsia="Arial" w:hAnsi="Arial"/>
                <w:sz w:val="13"/>
                <w:szCs w:val="13"/>
                <w:color w:val="auto"/>
              </w:rPr>
              <w:t>$75,000</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560" w:type="dxa"/>
            <w:vAlign w:val="bottom"/>
            <w:tcBorders>
              <w:left w:val="single" w:sz="8" w:color="auto"/>
            </w:tcBorders>
          </w:tcPr>
          <w:p>
            <w:pPr>
              <w:spacing w:after="0"/>
              <w:rPr>
                <w:sz w:val="15"/>
                <w:szCs w:val="15"/>
                <w:color w:val="auto"/>
              </w:rPr>
            </w:pPr>
          </w:p>
        </w:tc>
        <w:tc>
          <w:tcPr>
            <w:tcW w:w="13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max of:</w:t>
            </w: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120"/>
              <w:spacing w:after="0"/>
              <w:rPr>
                <w:sz w:val="20"/>
                <w:szCs w:val="20"/>
                <w:color w:val="auto"/>
              </w:rPr>
            </w:pPr>
            <w:r>
              <w:rPr>
                <w:rFonts w:ascii="Arial" w:cs="Arial" w:eastAsia="Arial" w:hAnsi="Arial"/>
                <w:sz w:val="13"/>
                <w:szCs w:val="13"/>
                <w:color w:val="auto"/>
                <w:w w:val="98"/>
              </w:rPr>
              <w:t>Class 4: Felonious assault - One times salary to a max of:</w:t>
            </w:r>
          </w:p>
        </w:tc>
        <w:tc>
          <w:tcPr>
            <w:tcW w:w="1140" w:type="dxa"/>
            <w:vAlign w:val="bottom"/>
          </w:tcPr>
          <w:p>
            <w:pPr>
              <w:jc w:val="right"/>
              <w:spacing w:after="0"/>
              <w:rPr>
                <w:sz w:val="20"/>
                <w:szCs w:val="20"/>
                <w:color w:val="auto"/>
              </w:rPr>
            </w:pPr>
            <w:r>
              <w:rPr>
                <w:rFonts w:ascii="Arial" w:cs="Arial" w:eastAsia="Arial" w:hAnsi="Arial"/>
                <w:sz w:val="13"/>
                <w:szCs w:val="13"/>
                <w:color w:val="auto"/>
              </w:rPr>
              <w:t>$75,000</w:t>
            </w: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60" w:type="dxa"/>
            <w:vAlign w:val="bottom"/>
            <w:tcBorders>
              <w:left w:val="single" w:sz="8" w:color="auto"/>
            </w:tcBorders>
          </w:tcPr>
          <w:p>
            <w:pPr>
              <w:spacing w:after="0"/>
              <w:rPr>
                <w:sz w:val="14"/>
                <w:szCs w:val="14"/>
                <w:color w:val="auto"/>
              </w:rPr>
            </w:pPr>
          </w:p>
        </w:tc>
        <w:tc>
          <w:tcPr>
            <w:tcW w:w="130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tcBorders>
          </w:tcPr>
          <w:p>
            <w:pPr>
              <w:spacing w:after="0"/>
              <w:rPr>
                <w:sz w:val="13"/>
                <w:szCs w:val="13"/>
                <w:color w:val="auto"/>
              </w:rPr>
            </w:pPr>
          </w:p>
        </w:tc>
        <w:tc>
          <w:tcPr>
            <w:tcW w:w="1300" w:type="dxa"/>
            <w:vAlign w:val="bottom"/>
            <w:tcBorders>
              <w:left w:val="single" w:sz="8" w:color="auto"/>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Class 5: Business Travel Family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560" w:type="dxa"/>
            <w:vAlign w:val="bottom"/>
            <w:tcBorders>
              <w:left w:val="single" w:sz="8" w:color="auto"/>
              <w:bottom w:val="single" w:sz="8" w:color="auto"/>
            </w:tcBorders>
          </w:tcPr>
          <w:p>
            <w:pPr>
              <w:spacing w:after="0"/>
              <w:rPr>
                <w:sz w:val="13"/>
                <w:szCs w:val="13"/>
                <w:color w:val="auto"/>
              </w:rPr>
            </w:pPr>
          </w:p>
        </w:tc>
        <w:tc>
          <w:tcPr>
            <w:tcW w:w="1300" w:type="dxa"/>
            <w:vAlign w:val="bottom"/>
            <w:tcBorders>
              <w:left w:val="single" w:sz="8" w:color="auto"/>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34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Class 6: Business Travel Family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619" w:hanging="619"/>
        <w:spacing w:after="0"/>
        <w:tabs>
          <w:tab w:leader="none" w:pos="619" w:val="left"/>
        </w:tabs>
        <w:numPr>
          <w:ilvl w:val="0"/>
          <w:numId w:val="205"/>
        </w:numPr>
        <w:rPr>
          <w:rFonts w:ascii="Arial" w:cs="Arial" w:eastAsia="Arial" w:hAnsi="Arial"/>
          <w:sz w:val="13"/>
          <w:szCs w:val="13"/>
          <w:b w:val="1"/>
          <w:bCs w:val="1"/>
          <w:color w:val="auto"/>
        </w:rPr>
      </w:pPr>
      <w:r>
        <w:rPr>
          <w:rFonts w:ascii="Arial" w:cs="Arial" w:eastAsia="Arial" w:hAnsi="Arial"/>
          <w:sz w:val="13"/>
          <w:szCs w:val="13"/>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139"/>
          </w:cols>
          <w:pgMar w:left="221" w:top="412" w:right="539" w:bottom="1440" w:gutter="0" w:footer="0" w:header="0"/>
        </w:sectPr>
      </w:pPr>
    </w:p>
    <w:bookmarkStart w:id="191" w:name="page192"/>
    <w:bookmarkEnd w:id="191"/>
    <w:p>
      <w:pPr>
        <w:jc w:val="center"/>
        <w:ind w:left="440"/>
        <w:spacing w:after="0"/>
        <w:rPr>
          <w:sz w:val="20"/>
          <w:szCs w:val="20"/>
          <w:color w:val="auto"/>
        </w:rPr>
      </w:pPr>
      <w:r>
        <w:rPr>
          <w:rFonts w:ascii="Arial" w:cs="Arial" w:eastAsia="Arial" w:hAnsi="Arial"/>
          <w:sz w:val="15"/>
          <w:szCs w:val="15"/>
          <w:b w:val="1"/>
          <w:bCs w:val="1"/>
          <w:u w:val="single" w:color="auto"/>
          <w:color w:val="auto"/>
        </w:rPr>
        <w:t>EXHIBIT 4.11</w:t>
      </w:r>
    </w:p>
    <w:p>
      <w:pPr>
        <w:spacing w:after="0" w:line="15"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u w:val="single" w:color="auto"/>
          <w:color w:val="auto"/>
        </w:rPr>
        <w:t>CAPITAL LEASES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0239"/>
          </w:cols>
          <w:pgMar w:left="220" w:top="284" w:right="1440" w:bottom="1440" w:gutter="0" w:footer="0" w:header="0"/>
        </w:sectPr>
      </w:pPr>
    </w:p>
    <w:bookmarkStart w:id="192" w:name="page193"/>
    <w:bookmarkEnd w:id="192"/>
    <w:p>
      <w:pPr>
        <w:jc w:val="right"/>
        <w:ind w:right="3939"/>
        <w:spacing w:after="0"/>
        <w:rPr>
          <w:sz w:val="20"/>
          <w:szCs w:val="20"/>
          <w:color w:val="auto"/>
        </w:rPr>
      </w:pPr>
      <w:r>
        <w:rPr>
          <w:rFonts w:ascii="Arial" w:cs="Arial" w:eastAsia="Arial" w:hAnsi="Arial"/>
          <w:sz w:val="15"/>
          <w:szCs w:val="15"/>
          <w:b w:val="1"/>
          <w:bCs w:val="1"/>
          <w:u w:val="single" w:color="auto"/>
          <w:color w:val="auto"/>
        </w:rPr>
        <w:t>EXHIBIT 4.13(a)</w:t>
      </w:r>
    </w:p>
    <w:p>
      <w:pPr>
        <w:spacing w:after="0" w:line="19" w:lineRule="exact"/>
        <w:rPr>
          <w:sz w:val="20"/>
          <w:szCs w:val="20"/>
          <w:color w:val="auto"/>
        </w:rPr>
      </w:pPr>
    </w:p>
    <w:p>
      <w:pPr>
        <w:ind w:left="5240"/>
        <w:spacing w:after="0"/>
        <w:rPr>
          <w:sz w:val="20"/>
          <w:szCs w:val="20"/>
          <w:color w:val="auto"/>
        </w:rPr>
      </w:pPr>
      <w:r>
        <w:rPr>
          <w:rFonts w:ascii="Arial" w:cs="Arial" w:eastAsia="Arial" w:hAnsi="Arial"/>
          <w:sz w:val="14"/>
          <w:szCs w:val="14"/>
          <w:b w:val="1"/>
          <w:bCs w:val="1"/>
          <w:u w:val="single" w:color="auto"/>
          <w:color w:val="auto"/>
        </w:rPr>
        <w:t>Labor Relations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0239"/>
          </w:cols>
          <w:pgMar w:left="220" w:top="264" w:right="1440" w:bottom="1440" w:gutter="0" w:footer="0" w:header="0"/>
        </w:sectPr>
      </w:pPr>
    </w:p>
    <w:bookmarkStart w:id="193" w:name="page194"/>
    <w:bookmarkEnd w:id="193"/>
    <w:p>
      <w:pPr>
        <w:ind w:left="5279"/>
        <w:spacing w:after="0"/>
        <w:rPr>
          <w:sz w:val="20"/>
          <w:szCs w:val="20"/>
          <w:color w:val="auto"/>
        </w:rPr>
      </w:pPr>
      <w:r>
        <w:rPr>
          <w:rFonts w:ascii="Arial" w:cs="Arial" w:eastAsia="Arial" w:hAnsi="Arial"/>
          <w:sz w:val="14"/>
          <w:szCs w:val="14"/>
          <w:b w:val="1"/>
          <w:bCs w:val="1"/>
          <w:u w:val="single" w:color="auto"/>
          <w:color w:val="auto"/>
        </w:rPr>
        <w:t>EXHIBIT 4.19</w:t>
      </w:r>
    </w:p>
    <w:p>
      <w:pPr>
        <w:spacing w:after="0" w:line="16" w:lineRule="exact"/>
        <w:rPr>
          <w:sz w:val="20"/>
          <w:szCs w:val="20"/>
          <w:color w:val="auto"/>
        </w:rPr>
      </w:pPr>
    </w:p>
    <w:p>
      <w:pPr>
        <w:ind w:left="5299"/>
        <w:spacing w:after="0"/>
        <w:rPr>
          <w:sz w:val="20"/>
          <w:szCs w:val="20"/>
          <w:color w:val="auto"/>
        </w:rPr>
      </w:pPr>
      <w:r>
        <w:rPr>
          <w:rFonts w:ascii="Arial" w:cs="Arial" w:eastAsia="Arial" w:hAnsi="Arial"/>
          <w:sz w:val="14"/>
          <w:szCs w:val="14"/>
          <w:b w:val="1"/>
          <w:bCs w:val="1"/>
          <w:color w:val="auto"/>
        </w:rPr>
        <w:t>LITIGATION</w:t>
      </w:r>
    </w:p>
    <w:p>
      <w:pPr>
        <w:spacing w:after="0" w:line="146" w:lineRule="exact"/>
        <w:rPr>
          <w:sz w:val="20"/>
          <w:szCs w:val="20"/>
          <w:color w:val="auto"/>
        </w:rPr>
      </w:pPr>
    </w:p>
    <w:p>
      <w:pPr>
        <w:ind w:left="4919"/>
        <w:spacing w:after="0"/>
        <w:rPr>
          <w:sz w:val="20"/>
          <w:szCs w:val="20"/>
          <w:color w:val="auto"/>
        </w:rPr>
      </w:pPr>
      <w:r>
        <w:rPr>
          <w:rFonts w:ascii="Arial" w:cs="Arial" w:eastAsia="Arial" w:hAnsi="Arial"/>
          <w:sz w:val="14"/>
          <w:szCs w:val="14"/>
          <w:b w:val="1"/>
          <w:bCs w:val="1"/>
          <w:color w:val="auto"/>
        </w:rPr>
        <w:t>GENERAL LITIGATION</w:t>
      </w:r>
    </w:p>
    <w:p>
      <w:pPr>
        <w:spacing w:after="0" w:line="163" w:lineRule="exact"/>
        <w:rPr>
          <w:sz w:val="20"/>
          <w:szCs w:val="20"/>
          <w:color w:val="auto"/>
        </w:rPr>
      </w:pPr>
    </w:p>
    <w:tbl>
      <w:tblPr>
        <w:tblLayout w:type="fixed"/>
        <w:tblInd w:w="2109" w:type="dxa"/>
        <w:tblCellMar>
          <w:top w:w="0" w:type="dxa"/>
          <w:left w:w="0" w:type="dxa"/>
          <w:bottom w:w="0" w:type="dxa"/>
          <w:right w:w="0" w:type="dxa"/>
        </w:tblCellMar>
      </w:tblPr>
      <w:tr>
        <w:trPr>
          <w:trHeight w:val="108"/>
        </w:trPr>
        <w:tc>
          <w:tcPr>
            <w:tcW w:w="1000" w:type="dxa"/>
            <w:vAlign w:val="bottom"/>
            <w:tcBorders>
              <w:top w:val="single" w:sz="8" w:color="auto"/>
              <w:left w:val="single" w:sz="8" w:color="auto"/>
              <w:right w:val="single" w:sz="8" w:color="auto"/>
            </w:tcBorders>
          </w:tcPr>
          <w:p>
            <w:pPr>
              <w:spacing w:after="0"/>
              <w:rPr>
                <w:sz w:val="9"/>
                <w:szCs w:val="9"/>
                <w:color w:val="auto"/>
              </w:rPr>
            </w:pPr>
          </w:p>
        </w:tc>
        <w:tc>
          <w:tcPr>
            <w:tcW w:w="1400" w:type="dxa"/>
            <w:vAlign w:val="bottom"/>
            <w:tcBorders>
              <w:top w:val="single" w:sz="8" w:color="auto"/>
              <w:right w:val="single" w:sz="8" w:color="auto"/>
            </w:tcBorders>
          </w:tcPr>
          <w:p>
            <w:pPr>
              <w:spacing w:after="0"/>
              <w:rPr>
                <w:sz w:val="9"/>
                <w:szCs w:val="9"/>
                <w:color w:val="auto"/>
              </w:rPr>
            </w:pPr>
          </w:p>
        </w:tc>
        <w:tc>
          <w:tcPr>
            <w:tcW w:w="760" w:type="dxa"/>
            <w:vAlign w:val="bottom"/>
            <w:tcBorders>
              <w:top w:val="single" w:sz="8" w:color="auto"/>
              <w:right w:val="single" w:sz="8" w:color="auto"/>
            </w:tcBorders>
          </w:tcPr>
          <w:p>
            <w:pPr>
              <w:spacing w:after="0"/>
              <w:rPr>
                <w:sz w:val="9"/>
                <w:szCs w:val="9"/>
                <w:color w:val="auto"/>
              </w:rPr>
            </w:pPr>
          </w:p>
        </w:tc>
        <w:tc>
          <w:tcPr>
            <w:tcW w:w="9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9"/>
                <w:szCs w:val="9"/>
                <w:b w:val="1"/>
                <w:bCs w:val="1"/>
                <w:color w:val="auto"/>
              </w:rPr>
              <w:t>Description of</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9"/>
              </w:rPr>
              <w:t>Amount</w:t>
            </w:r>
          </w:p>
        </w:tc>
        <w:tc>
          <w:tcPr>
            <w:tcW w:w="940" w:type="dxa"/>
            <w:vAlign w:val="bottom"/>
            <w:tcBorders>
              <w:top w:val="single" w:sz="8" w:color="auto"/>
              <w:right w:val="single" w:sz="8" w:color="auto"/>
            </w:tcBorders>
          </w:tcPr>
          <w:p>
            <w:pPr>
              <w:spacing w:after="0"/>
              <w:rPr>
                <w:sz w:val="9"/>
                <w:szCs w:val="9"/>
                <w:color w:val="auto"/>
              </w:rPr>
            </w:pPr>
          </w:p>
        </w:tc>
        <w:tc>
          <w:tcPr>
            <w:tcW w:w="1580" w:type="dxa"/>
            <w:vAlign w:val="bottom"/>
            <w:tcBorders>
              <w:top w:val="single" w:sz="8" w:color="auto"/>
              <w:right w:val="single" w:sz="8" w:color="auto"/>
            </w:tcBorders>
          </w:tcPr>
          <w:p>
            <w:pPr>
              <w:spacing w:after="0"/>
              <w:rPr>
                <w:sz w:val="9"/>
                <w:szCs w:val="9"/>
                <w:color w:val="auto"/>
              </w:rPr>
            </w:pPr>
          </w:p>
        </w:tc>
      </w:tr>
      <w:tr>
        <w:trPr>
          <w:trHeight w:val="114"/>
        </w:trPr>
        <w:tc>
          <w:tcPr>
            <w:tcW w:w="100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9"/>
                <w:szCs w:val="9"/>
                <w:b w:val="1"/>
                <w:bCs w:val="1"/>
                <w:color w:val="auto"/>
              </w:rPr>
              <w:t>Name of Case</w:t>
            </w:r>
          </w:p>
        </w:tc>
        <w:tc>
          <w:tcPr>
            <w:tcW w:w="14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9"/>
                <w:szCs w:val="9"/>
                <w:b w:val="1"/>
                <w:bCs w:val="1"/>
                <w:color w:val="auto"/>
              </w:rPr>
              <w:t>Jurisdiction</w:t>
            </w:r>
          </w:p>
        </w:tc>
        <w:tc>
          <w:tcPr>
            <w:tcW w:w="7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9"/>
                <w:szCs w:val="9"/>
                <w:b w:val="1"/>
                <w:bCs w:val="1"/>
                <w:color w:val="auto"/>
              </w:rPr>
              <w:t>Date Filed</w:t>
            </w:r>
          </w:p>
        </w:tc>
        <w:tc>
          <w:tcPr>
            <w:tcW w:w="9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9"/>
                <w:szCs w:val="9"/>
                <w:b w:val="1"/>
                <w:bCs w:val="1"/>
                <w:color w:val="auto"/>
              </w:rPr>
              <w:t>Claim</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6"/>
              </w:rPr>
              <w:t>Sought</w:t>
            </w:r>
          </w:p>
        </w:tc>
        <w:tc>
          <w:tcPr>
            <w:tcW w:w="9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9"/>
                <w:szCs w:val="9"/>
                <w:b w:val="1"/>
                <w:bCs w:val="1"/>
                <w:color w:val="auto"/>
              </w:rPr>
              <w:t>DXLG's Counsel</w:t>
            </w:r>
          </w:p>
        </w:tc>
        <w:tc>
          <w:tcPr>
            <w:tcW w:w="158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9"/>
                <w:szCs w:val="9"/>
                <w:b w:val="1"/>
                <w:bCs w:val="1"/>
                <w:color w:val="auto"/>
              </w:rPr>
              <w:t>Status</w:t>
            </w:r>
          </w:p>
        </w:tc>
      </w:tr>
      <w:tr>
        <w:trPr>
          <w:trHeight w:val="80"/>
        </w:trPr>
        <w:tc>
          <w:tcPr>
            <w:tcW w:w="1000" w:type="dxa"/>
            <w:vAlign w:val="bottom"/>
            <w:tcBorders>
              <w:left w:val="single" w:sz="8" w:color="auto"/>
              <w:right w:val="single" w:sz="8" w:color="auto"/>
            </w:tcBorders>
          </w:tcPr>
          <w:p>
            <w:pPr>
              <w:ind w:left="60"/>
              <w:spacing w:after="0" w:line="80" w:lineRule="exact"/>
              <w:rPr>
                <w:sz w:val="20"/>
                <w:szCs w:val="20"/>
                <w:color w:val="auto"/>
              </w:rPr>
            </w:pPr>
            <w:r>
              <w:rPr>
                <w:rFonts w:ascii="Arial" w:cs="Arial" w:eastAsia="Arial" w:hAnsi="Arial"/>
                <w:sz w:val="9"/>
                <w:szCs w:val="9"/>
                <w:color w:val="auto"/>
              </w:rPr>
              <w:t>Chapter 7 Trustee of</w:t>
            </w:r>
          </w:p>
        </w:tc>
        <w:tc>
          <w:tcPr>
            <w:tcW w:w="14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ind w:left="40"/>
              <w:spacing w:after="0" w:line="80" w:lineRule="exact"/>
              <w:rPr>
                <w:sz w:val="20"/>
                <w:szCs w:val="20"/>
                <w:color w:val="auto"/>
              </w:rPr>
            </w:pPr>
            <w:r>
              <w:rPr>
                <w:rFonts w:ascii="Arial" w:cs="Arial" w:eastAsia="Arial" w:hAnsi="Arial"/>
                <w:sz w:val="9"/>
                <w:szCs w:val="9"/>
                <w:color w:val="auto"/>
              </w:rPr>
              <w:t>Seeks reimbursement</w:t>
            </w:r>
          </w:p>
        </w:tc>
        <w:tc>
          <w:tcPr>
            <w:tcW w:w="64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580" w:type="dxa"/>
            <w:vAlign w:val="bottom"/>
            <w:tcBorders>
              <w:right w:val="single" w:sz="8" w:color="auto"/>
            </w:tcBorders>
          </w:tcPr>
          <w:p>
            <w:pPr>
              <w:spacing w:after="0"/>
              <w:rPr>
                <w:sz w:val="6"/>
                <w:szCs w:val="6"/>
                <w:color w:val="auto"/>
              </w:rPr>
            </w:pPr>
          </w:p>
        </w:tc>
      </w:tr>
      <w:tr>
        <w:trPr>
          <w:trHeight w:val="101"/>
        </w:trPr>
        <w:tc>
          <w:tcPr>
            <w:tcW w:w="1000" w:type="dxa"/>
            <w:vAlign w:val="bottom"/>
            <w:tcBorders>
              <w:left w:val="single" w:sz="8" w:color="auto"/>
              <w:right w:val="single" w:sz="8" w:color="auto"/>
            </w:tcBorders>
          </w:tcPr>
          <w:p>
            <w:pPr>
              <w:ind w:left="60"/>
              <w:spacing w:after="0" w:line="101" w:lineRule="exact"/>
              <w:rPr>
                <w:sz w:val="20"/>
                <w:szCs w:val="20"/>
                <w:color w:val="auto"/>
              </w:rPr>
            </w:pPr>
            <w:r>
              <w:rPr>
                <w:rFonts w:ascii="Arial" w:cs="Arial" w:eastAsia="Arial" w:hAnsi="Arial"/>
                <w:sz w:val="9"/>
                <w:szCs w:val="9"/>
                <w:color w:val="auto"/>
              </w:rPr>
              <w:t>the Estate of Block</w:t>
            </w:r>
          </w:p>
        </w:tc>
        <w:tc>
          <w:tcPr>
            <w:tcW w:w="140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of</w:t>
            </w:r>
          </w:p>
        </w:tc>
        <w:tc>
          <w:tcPr>
            <w:tcW w:w="6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r>
      <w:tr>
        <w:trPr>
          <w:trHeight w:val="112"/>
        </w:trPr>
        <w:tc>
          <w:tcPr>
            <w:tcW w:w="1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Corporation</w:t>
            </w:r>
          </w:p>
        </w:tc>
        <w:tc>
          <w:tcPr>
            <w:tcW w:w="140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9"/>
                <w:szCs w:val="9"/>
                <w:color w:val="auto"/>
              </w:rPr>
              <w:t>N/A</w:t>
            </w:r>
          </w:p>
        </w:tc>
        <w:tc>
          <w:tcPr>
            <w:tcW w:w="7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9"/>
                <w:szCs w:val="9"/>
                <w:color w:val="auto"/>
              </w:rPr>
              <w:t>N/A</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w w:val="93"/>
              </w:rPr>
              <w:t>$317,753.61 deduction.</w:t>
            </w:r>
          </w:p>
        </w:tc>
        <w:tc>
          <w:tcPr>
            <w:tcW w:w="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$317,753.61</w:t>
            </w:r>
          </w:p>
        </w:tc>
        <w:tc>
          <w:tcPr>
            <w:tcW w:w="94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9"/>
                <w:szCs w:val="9"/>
                <w:color w:val="auto"/>
              </w:rPr>
              <w:t>N/A</w:t>
            </w:r>
          </w:p>
        </w:tc>
        <w:tc>
          <w:tcPr>
            <w:tcW w:w="1580" w:type="dxa"/>
            <w:vAlign w:val="bottom"/>
            <w:tcBorders>
              <w:bottom w:val="single" w:sz="8" w:color="auto"/>
              <w:right w:val="single" w:sz="8" w:color="auto"/>
            </w:tcBorders>
          </w:tcPr>
          <w:p>
            <w:pPr>
              <w:jc w:val="right"/>
              <w:ind w:right="653"/>
              <w:spacing w:after="0"/>
              <w:rPr>
                <w:sz w:val="20"/>
                <w:szCs w:val="20"/>
                <w:color w:val="auto"/>
              </w:rPr>
            </w:pPr>
            <w:r>
              <w:rPr>
                <w:rFonts w:ascii="Arial" w:cs="Arial" w:eastAsia="Arial" w:hAnsi="Arial"/>
                <w:sz w:val="9"/>
                <w:szCs w:val="9"/>
                <w:color w:val="auto"/>
              </w:rPr>
              <w:t>***</w:t>
            </w:r>
          </w:p>
        </w:tc>
      </w:tr>
      <w:tr>
        <w:trPr>
          <w:trHeight w:val="101"/>
        </w:trPr>
        <w:tc>
          <w:tcPr>
            <w:tcW w:w="1000" w:type="dxa"/>
            <w:vAlign w:val="bottom"/>
            <w:tcBorders>
              <w:left w:val="single" w:sz="8" w:color="auto"/>
              <w:right w:val="single" w:sz="8" w:color="auto"/>
            </w:tcBorders>
          </w:tcPr>
          <w:p>
            <w:pPr>
              <w:ind w:left="60"/>
              <w:spacing w:after="0" w:line="101" w:lineRule="exact"/>
              <w:rPr>
                <w:sz w:val="20"/>
                <w:szCs w:val="20"/>
                <w:color w:val="auto"/>
              </w:rPr>
            </w:pPr>
            <w:r>
              <w:rPr>
                <w:rFonts w:ascii="Arial" w:cs="Arial" w:eastAsia="Arial" w:hAnsi="Arial"/>
                <w:sz w:val="9"/>
                <w:szCs w:val="9"/>
                <w:color w:val="auto"/>
              </w:rPr>
              <w:t>Y &amp; Z Worldwide, Inc.</w:t>
            </w:r>
          </w:p>
        </w:tc>
        <w:tc>
          <w:tcPr>
            <w:tcW w:w="140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Suffolk Superior</w:t>
            </w:r>
          </w:p>
        </w:tc>
        <w:tc>
          <w:tcPr>
            <w:tcW w:w="76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Claims is owed for</w:t>
            </w:r>
          </w:p>
        </w:tc>
        <w:tc>
          <w:tcPr>
            <w:tcW w:w="64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r>
      <w:tr>
        <w:trPr>
          <w:trHeight w:val="110"/>
        </w:trPr>
        <w:tc>
          <w:tcPr>
            <w:tcW w:w="10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v. CMRG Apparel,</w:t>
            </w:r>
          </w:p>
        </w:tc>
        <w:tc>
          <w:tcPr>
            <w:tcW w:w="140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Court, CV 2013-</w:t>
            </w:r>
          </w:p>
        </w:tc>
        <w:tc>
          <w:tcPr>
            <w:tcW w:w="7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ind w:left="40"/>
              <w:spacing w:after="0"/>
              <w:rPr>
                <w:sz w:val="20"/>
                <w:szCs w:val="20"/>
                <w:color w:val="auto"/>
              </w:rPr>
            </w:pPr>
            <w:r>
              <w:rPr>
                <w:rFonts w:ascii="Arial" w:cs="Arial" w:eastAsia="Arial" w:hAnsi="Arial"/>
                <w:sz w:val="9"/>
                <w:szCs w:val="9"/>
                <w:color w:val="auto"/>
              </w:rPr>
              <w:t>goods purchased and</w:t>
            </w:r>
          </w:p>
        </w:tc>
        <w:tc>
          <w:tcPr>
            <w:tcW w:w="64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r>
      <w:tr>
        <w:trPr>
          <w:trHeight w:val="112"/>
        </w:trPr>
        <w:tc>
          <w:tcPr>
            <w:tcW w:w="10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9"/>
                <w:szCs w:val="9"/>
                <w:color w:val="auto"/>
              </w:rPr>
              <w:t>LLC</w:t>
            </w:r>
          </w:p>
        </w:tc>
        <w:tc>
          <w:tcPr>
            <w:tcW w:w="14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03132-F</w:t>
            </w:r>
          </w:p>
        </w:tc>
        <w:tc>
          <w:tcPr>
            <w:tcW w:w="7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Served 9/12/13</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delivered.</w:t>
            </w:r>
          </w:p>
        </w:tc>
        <w:tc>
          <w:tcPr>
            <w:tcW w:w="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$250,000</w:t>
            </w: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Sherin and Lodgen</w:t>
            </w:r>
          </w:p>
        </w:tc>
        <w:tc>
          <w:tcPr>
            <w:tcW w:w="1580" w:type="dxa"/>
            <w:vAlign w:val="bottom"/>
            <w:tcBorders>
              <w:bottom w:val="single" w:sz="8" w:color="auto"/>
              <w:right w:val="single" w:sz="8" w:color="auto"/>
            </w:tcBorders>
          </w:tcPr>
          <w:p>
            <w:pPr>
              <w:jc w:val="right"/>
              <w:ind w:right="633"/>
              <w:spacing w:after="0"/>
              <w:rPr>
                <w:sz w:val="20"/>
                <w:szCs w:val="20"/>
                <w:color w:val="auto"/>
              </w:rPr>
            </w:pPr>
            <w:r>
              <w:rPr>
                <w:rFonts w:ascii="Arial" w:cs="Arial" w:eastAsia="Arial" w:hAnsi="Arial"/>
                <w:sz w:val="9"/>
                <w:szCs w:val="9"/>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59" w:hanging="759"/>
        <w:spacing w:after="0"/>
        <w:tabs>
          <w:tab w:leader="none" w:pos="759" w:val="left"/>
        </w:tabs>
        <w:numPr>
          <w:ilvl w:val="0"/>
          <w:numId w:val="206"/>
        </w:numPr>
        <w:rPr>
          <w:rFonts w:ascii="Arial" w:cs="Arial" w:eastAsia="Arial" w:hAnsi="Arial"/>
          <w:sz w:val="14"/>
          <w:szCs w:val="14"/>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339"/>
          </w:cols>
          <w:pgMar w:left="221" w:top="300" w:right="1339" w:bottom="1440" w:gutter="0" w:footer="0" w:header="0"/>
        </w:sectPr>
      </w:pPr>
    </w:p>
    <w:bookmarkStart w:id="194" w:name="page195"/>
    <w:bookmarkEnd w:id="194"/>
    <w:p>
      <w:pPr>
        <w:ind w:left="5279"/>
        <w:spacing w:after="0"/>
        <w:rPr>
          <w:sz w:val="20"/>
          <w:szCs w:val="20"/>
          <w:color w:val="auto"/>
        </w:rPr>
      </w:pPr>
      <w:r>
        <w:rPr>
          <w:rFonts w:ascii="Arial" w:cs="Arial" w:eastAsia="Arial" w:hAnsi="Arial"/>
          <w:sz w:val="14"/>
          <w:szCs w:val="14"/>
          <w:b w:val="1"/>
          <w:bCs w:val="1"/>
          <w:color w:val="auto"/>
        </w:rPr>
        <w:t>EXHIBIT 4.19</w:t>
      </w:r>
    </w:p>
    <w:p>
      <w:pPr>
        <w:spacing w:after="0" w:line="16" w:lineRule="exact"/>
        <w:rPr>
          <w:sz w:val="20"/>
          <w:szCs w:val="20"/>
          <w:color w:val="auto"/>
        </w:rPr>
      </w:pPr>
    </w:p>
    <w:p>
      <w:pPr>
        <w:ind w:left="5299"/>
        <w:spacing w:after="0"/>
        <w:rPr>
          <w:sz w:val="20"/>
          <w:szCs w:val="20"/>
          <w:color w:val="auto"/>
        </w:rPr>
      </w:pPr>
      <w:r>
        <w:rPr>
          <w:rFonts w:ascii="Arial" w:cs="Arial" w:eastAsia="Arial" w:hAnsi="Arial"/>
          <w:sz w:val="14"/>
          <w:szCs w:val="14"/>
          <w:b w:val="1"/>
          <w:bCs w:val="1"/>
          <w:color w:val="auto"/>
        </w:rPr>
        <w:t>LITIGATION</w:t>
      </w:r>
    </w:p>
    <w:p>
      <w:pPr>
        <w:spacing w:after="0" w:line="146" w:lineRule="exact"/>
        <w:rPr>
          <w:sz w:val="20"/>
          <w:szCs w:val="20"/>
          <w:color w:val="auto"/>
        </w:rPr>
      </w:pPr>
    </w:p>
    <w:p>
      <w:pPr>
        <w:ind w:left="4759"/>
        <w:spacing w:after="0"/>
        <w:rPr>
          <w:sz w:val="20"/>
          <w:szCs w:val="20"/>
          <w:color w:val="auto"/>
        </w:rPr>
      </w:pPr>
      <w:r>
        <w:rPr>
          <w:rFonts w:ascii="Arial" w:cs="Arial" w:eastAsia="Arial" w:hAnsi="Arial"/>
          <w:sz w:val="14"/>
          <w:szCs w:val="14"/>
          <w:b w:val="1"/>
          <w:bCs w:val="1"/>
          <w:color w:val="auto"/>
        </w:rPr>
        <w:t>EMPLOYMENT LITIGATION</w:t>
      </w:r>
    </w:p>
    <w:p>
      <w:pPr>
        <w:spacing w:after="0" w:line="163" w:lineRule="exact"/>
        <w:rPr>
          <w:sz w:val="20"/>
          <w:szCs w:val="20"/>
          <w:color w:val="auto"/>
        </w:rPr>
      </w:pPr>
    </w:p>
    <w:tbl>
      <w:tblPr>
        <w:tblLayout w:type="fixed"/>
        <w:tblInd w:w="2109" w:type="dxa"/>
        <w:tblCellMar>
          <w:top w:w="0" w:type="dxa"/>
          <w:left w:w="0" w:type="dxa"/>
          <w:bottom w:w="0" w:type="dxa"/>
          <w:right w:w="0" w:type="dxa"/>
        </w:tblCellMar>
      </w:tblPr>
      <w:tr>
        <w:trPr>
          <w:trHeight w:val="111"/>
        </w:trPr>
        <w:tc>
          <w:tcPr>
            <w:tcW w:w="1160" w:type="dxa"/>
            <w:vAlign w:val="bottom"/>
            <w:tcBorders>
              <w:top w:val="single" w:sz="8" w:color="auto"/>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9"/>
                <w:szCs w:val="9"/>
                <w:b w:val="1"/>
                <w:bCs w:val="1"/>
                <w:color w:val="auto"/>
              </w:rPr>
              <w:t>Name of Case</w:t>
            </w:r>
          </w:p>
        </w:tc>
        <w:tc>
          <w:tcPr>
            <w:tcW w:w="82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9"/>
                <w:szCs w:val="9"/>
                <w:b w:val="1"/>
                <w:bCs w:val="1"/>
                <w:color w:val="auto"/>
              </w:rPr>
              <w:t>Jurisdiction</w:t>
            </w:r>
          </w:p>
        </w:tc>
        <w:tc>
          <w:tcPr>
            <w:tcW w:w="880" w:type="dxa"/>
            <w:vAlign w:val="bottom"/>
            <w:tcBorders>
              <w:top w:val="single" w:sz="8" w:color="auto"/>
              <w:bottom w:val="single" w:sz="8" w:color="auto"/>
              <w:right w:val="single" w:sz="8" w:color="auto"/>
            </w:tcBorders>
          </w:tcPr>
          <w:p>
            <w:pPr>
              <w:jc w:val="center"/>
              <w:ind w:right="213"/>
              <w:spacing w:after="0"/>
              <w:rPr>
                <w:sz w:val="20"/>
                <w:szCs w:val="20"/>
                <w:color w:val="auto"/>
              </w:rPr>
            </w:pPr>
            <w:r>
              <w:rPr>
                <w:rFonts w:ascii="Arial" w:cs="Arial" w:eastAsia="Arial" w:hAnsi="Arial"/>
                <w:sz w:val="9"/>
                <w:szCs w:val="9"/>
                <w:b w:val="1"/>
                <w:bCs w:val="1"/>
                <w:color w:val="auto"/>
                <w:w w:val="97"/>
              </w:rPr>
              <w:t>Date Filed</w:t>
            </w:r>
          </w:p>
        </w:tc>
        <w:tc>
          <w:tcPr>
            <w:tcW w:w="366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9"/>
                <w:szCs w:val="9"/>
                <w:b w:val="1"/>
                <w:bCs w:val="1"/>
                <w:color w:val="auto"/>
              </w:rPr>
              <w:t>Description of Claim</w:t>
            </w: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b w:val="1"/>
                <w:bCs w:val="1"/>
                <w:color w:val="auto"/>
                <w:w w:val="96"/>
              </w:rPr>
              <w:t>DXLG's Counsel</w:t>
            </w:r>
          </w:p>
        </w:tc>
      </w:tr>
      <w:tr>
        <w:trPr>
          <w:trHeight w:val="80"/>
        </w:trPr>
        <w:tc>
          <w:tcPr>
            <w:tcW w:w="1160" w:type="dxa"/>
            <w:vAlign w:val="bottom"/>
            <w:tcBorders>
              <w:left w:val="single" w:sz="8" w:color="auto"/>
              <w:right w:val="single" w:sz="8" w:color="auto"/>
            </w:tcBorders>
          </w:tcPr>
          <w:p>
            <w:pPr>
              <w:ind w:left="60"/>
              <w:spacing w:after="0" w:line="80" w:lineRule="exact"/>
              <w:rPr>
                <w:sz w:val="20"/>
                <w:szCs w:val="20"/>
                <w:color w:val="auto"/>
              </w:rPr>
            </w:pPr>
            <w:r>
              <w:rPr>
                <w:rFonts w:ascii="Arial" w:cs="Arial" w:eastAsia="Arial" w:hAnsi="Arial"/>
                <w:sz w:val="9"/>
                <w:szCs w:val="9"/>
                <w:color w:val="auto"/>
              </w:rPr>
              <w:t>Hibba Munjy vs.</w:t>
            </w:r>
          </w:p>
        </w:tc>
        <w:tc>
          <w:tcPr>
            <w:tcW w:w="820" w:type="dxa"/>
            <w:vAlign w:val="bottom"/>
            <w:tcBorders>
              <w:right w:val="single" w:sz="8" w:color="auto"/>
            </w:tcBorders>
          </w:tcPr>
          <w:p>
            <w:pPr>
              <w:ind w:left="40"/>
              <w:spacing w:after="0" w:line="80" w:lineRule="exact"/>
              <w:rPr>
                <w:sz w:val="20"/>
                <w:szCs w:val="20"/>
                <w:color w:val="auto"/>
              </w:rPr>
            </w:pPr>
            <w:r>
              <w:rPr>
                <w:rFonts w:ascii="Arial" w:cs="Arial" w:eastAsia="Arial" w:hAnsi="Arial"/>
                <w:sz w:val="9"/>
                <w:szCs w:val="9"/>
                <w:color w:val="auto"/>
              </w:rPr>
              <w:t>Superior Court,</w:t>
            </w:r>
          </w:p>
        </w:tc>
        <w:tc>
          <w:tcPr>
            <w:tcW w:w="880" w:type="dxa"/>
            <w:vAlign w:val="bottom"/>
            <w:tcBorders>
              <w:right w:val="single" w:sz="8" w:color="auto"/>
            </w:tcBorders>
          </w:tcPr>
          <w:p>
            <w:pPr>
              <w:jc w:val="center"/>
              <w:ind w:right="233"/>
              <w:spacing w:after="0" w:line="80" w:lineRule="exact"/>
              <w:rPr>
                <w:sz w:val="20"/>
                <w:szCs w:val="20"/>
                <w:color w:val="auto"/>
              </w:rPr>
            </w:pPr>
            <w:r>
              <w:rPr>
                <w:rFonts w:ascii="Arial" w:cs="Arial" w:eastAsia="Arial" w:hAnsi="Arial"/>
                <w:sz w:val="9"/>
                <w:szCs w:val="9"/>
                <w:color w:val="auto"/>
                <w:w w:val="92"/>
              </w:rPr>
              <w:t>Served 9/4/14</w:t>
            </w:r>
          </w:p>
        </w:tc>
        <w:tc>
          <w:tcPr>
            <w:tcW w:w="3660" w:type="dxa"/>
            <w:vAlign w:val="bottom"/>
            <w:tcBorders>
              <w:right w:val="single" w:sz="8" w:color="auto"/>
            </w:tcBorders>
          </w:tcPr>
          <w:p>
            <w:pPr>
              <w:ind w:left="40"/>
              <w:spacing w:after="0" w:line="80" w:lineRule="exact"/>
              <w:rPr>
                <w:sz w:val="20"/>
                <w:szCs w:val="20"/>
                <w:color w:val="auto"/>
              </w:rPr>
            </w:pPr>
            <w:r>
              <w:rPr>
                <w:rFonts w:ascii="Arial" w:cs="Arial" w:eastAsia="Arial" w:hAnsi="Arial"/>
                <w:sz w:val="9"/>
                <w:szCs w:val="9"/>
                <w:color w:val="auto"/>
              </w:rPr>
              <w:t>Ms. Munjy alleges that she was subjected to sexual harassment and resigned her position</w:t>
            </w:r>
          </w:p>
        </w:tc>
        <w:tc>
          <w:tcPr>
            <w:tcW w:w="760" w:type="dxa"/>
            <w:vAlign w:val="bottom"/>
            <w:tcBorders>
              <w:right w:val="single" w:sz="8" w:color="auto"/>
            </w:tcBorders>
          </w:tcPr>
          <w:p>
            <w:pPr>
              <w:ind w:left="40"/>
              <w:spacing w:after="0" w:line="80" w:lineRule="exact"/>
              <w:rPr>
                <w:sz w:val="20"/>
                <w:szCs w:val="20"/>
                <w:color w:val="auto"/>
              </w:rPr>
            </w:pPr>
            <w:r>
              <w:rPr>
                <w:rFonts w:ascii="Arial" w:cs="Arial" w:eastAsia="Arial" w:hAnsi="Arial"/>
                <w:sz w:val="9"/>
                <w:szCs w:val="9"/>
                <w:color w:val="auto"/>
              </w:rPr>
              <w:t>Henry Sanchez,</w:t>
            </w:r>
          </w:p>
        </w:tc>
      </w:tr>
      <w:tr>
        <w:trPr>
          <w:trHeight w:val="101"/>
        </w:trPr>
        <w:tc>
          <w:tcPr>
            <w:tcW w:w="1160" w:type="dxa"/>
            <w:vAlign w:val="bottom"/>
            <w:tcBorders>
              <w:left w:val="single" w:sz="8" w:color="auto"/>
              <w:right w:val="single" w:sz="8" w:color="auto"/>
            </w:tcBorders>
          </w:tcPr>
          <w:p>
            <w:pPr>
              <w:ind w:left="60"/>
              <w:spacing w:after="0" w:line="101" w:lineRule="exact"/>
              <w:rPr>
                <w:sz w:val="20"/>
                <w:szCs w:val="20"/>
                <w:color w:val="auto"/>
              </w:rPr>
            </w:pPr>
            <w:r>
              <w:rPr>
                <w:rFonts w:ascii="Arial" w:cs="Arial" w:eastAsia="Arial" w:hAnsi="Arial"/>
                <w:sz w:val="9"/>
                <w:szCs w:val="9"/>
                <w:color w:val="auto"/>
              </w:rPr>
              <w:t>Destination XL Group, Inc.</w:t>
            </w:r>
          </w:p>
        </w:tc>
        <w:tc>
          <w:tcPr>
            <w:tcW w:w="82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Fresno County,</w:t>
            </w:r>
          </w:p>
        </w:tc>
        <w:tc>
          <w:tcPr>
            <w:tcW w:w="880" w:type="dxa"/>
            <w:vAlign w:val="bottom"/>
            <w:tcBorders>
              <w:right w:val="single" w:sz="8" w:color="auto"/>
            </w:tcBorders>
          </w:tcPr>
          <w:p>
            <w:pPr>
              <w:spacing w:after="0"/>
              <w:rPr>
                <w:sz w:val="8"/>
                <w:szCs w:val="8"/>
                <w:color w:val="auto"/>
              </w:rPr>
            </w:pPr>
          </w:p>
        </w:tc>
        <w:tc>
          <w:tcPr>
            <w:tcW w:w="36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during a two-week training program in Atlanta, GA in 2013.</w:t>
            </w:r>
          </w:p>
        </w:tc>
        <w:tc>
          <w:tcPr>
            <w:tcW w:w="7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Jackson Lewis</w:t>
            </w:r>
          </w:p>
        </w:tc>
      </w:tr>
      <w:tr>
        <w:trPr>
          <w:trHeight w:val="101"/>
        </w:trPr>
        <w:tc>
          <w:tcPr>
            <w:tcW w:w="1160" w:type="dxa"/>
            <w:vAlign w:val="bottom"/>
            <w:tcBorders>
              <w:left w:val="single" w:sz="8" w:color="auto"/>
              <w:right w:val="single" w:sz="8" w:color="auto"/>
            </w:tcBorders>
          </w:tcPr>
          <w:p>
            <w:pPr>
              <w:ind w:left="60"/>
              <w:spacing w:after="0" w:line="101" w:lineRule="exact"/>
              <w:rPr>
                <w:sz w:val="20"/>
                <w:szCs w:val="20"/>
                <w:color w:val="auto"/>
              </w:rPr>
            </w:pPr>
            <w:r>
              <w:rPr>
                <w:rFonts w:ascii="Arial" w:cs="Arial" w:eastAsia="Arial" w:hAnsi="Arial"/>
                <w:sz w:val="9"/>
                <w:szCs w:val="9"/>
                <w:color w:val="auto"/>
                <w:w w:val="93"/>
              </w:rPr>
              <w:t>and Casual Male Store, LLC</w:t>
            </w:r>
          </w:p>
        </w:tc>
        <w:tc>
          <w:tcPr>
            <w:tcW w:w="82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CA. Case</w:t>
            </w:r>
          </w:p>
        </w:tc>
        <w:tc>
          <w:tcPr>
            <w:tcW w:w="880" w:type="dxa"/>
            <w:vAlign w:val="bottom"/>
            <w:tcBorders>
              <w:right w:val="single" w:sz="8" w:color="auto"/>
            </w:tcBorders>
          </w:tcPr>
          <w:p>
            <w:pPr>
              <w:spacing w:after="0"/>
              <w:rPr>
                <w:sz w:val="8"/>
                <w:szCs w:val="8"/>
                <w:color w:val="auto"/>
              </w:rPr>
            </w:pPr>
          </w:p>
        </w:tc>
        <w:tc>
          <w:tcPr>
            <w:tcW w:w="36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12"/>
        </w:trPr>
        <w:tc>
          <w:tcPr>
            <w:tcW w:w="1160" w:type="dxa"/>
            <w:vAlign w:val="bottom"/>
            <w:tcBorders>
              <w:left w:val="single" w:sz="8" w:color="auto"/>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#14CECG02190</w:t>
            </w:r>
          </w:p>
        </w:tc>
        <w:tc>
          <w:tcPr>
            <w:tcW w:w="88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r>
      <w:tr>
        <w:trPr>
          <w:trHeight w:val="80"/>
        </w:trPr>
        <w:tc>
          <w:tcPr>
            <w:tcW w:w="1160" w:type="dxa"/>
            <w:vAlign w:val="bottom"/>
            <w:tcBorders>
              <w:left w:val="single" w:sz="8" w:color="auto"/>
              <w:right w:val="single" w:sz="8" w:color="auto"/>
            </w:tcBorders>
          </w:tcPr>
          <w:p>
            <w:pPr>
              <w:ind w:left="60"/>
              <w:spacing w:after="0" w:line="80" w:lineRule="exact"/>
              <w:rPr>
                <w:sz w:val="20"/>
                <w:szCs w:val="20"/>
                <w:color w:val="auto"/>
              </w:rPr>
            </w:pPr>
            <w:r>
              <w:rPr>
                <w:rFonts w:ascii="Arial" w:cs="Arial" w:eastAsia="Arial" w:hAnsi="Arial"/>
                <w:sz w:val="9"/>
                <w:szCs w:val="9"/>
                <w:color w:val="auto"/>
                <w:w w:val="94"/>
              </w:rPr>
              <w:t>Breana Jeter-Polk v. Casual</w:t>
            </w:r>
          </w:p>
        </w:tc>
        <w:tc>
          <w:tcPr>
            <w:tcW w:w="820" w:type="dxa"/>
            <w:vAlign w:val="bottom"/>
            <w:tcBorders>
              <w:right w:val="single" w:sz="8" w:color="auto"/>
            </w:tcBorders>
          </w:tcPr>
          <w:p>
            <w:pPr>
              <w:ind w:left="40"/>
              <w:spacing w:after="0" w:line="80" w:lineRule="exact"/>
              <w:rPr>
                <w:sz w:val="20"/>
                <w:szCs w:val="20"/>
                <w:color w:val="auto"/>
              </w:rPr>
            </w:pPr>
            <w:r>
              <w:rPr>
                <w:rFonts w:ascii="Arial" w:cs="Arial" w:eastAsia="Arial" w:hAnsi="Arial"/>
                <w:sz w:val="9"/>
                <w:szCs w:val="9"/>
                <w:color w:val="auto"/>
              </w:rPr>
              <w:t>Superior Court,</w:t>
            </w:r>
          </w:p>
        </w:tc>
        <w:tc>
          <w:tcPr>
            <w:tcW w:w="880" w:type="dxa"/>
            <w:vAlign w:val="bottom"/>
            <w:tcBorders>
              <w:right w:val="single" w:sz="8" w:color="auto"/>
            </w:tcBorders>
          </w:tcPr>
          <w:p>
            <w:pPr>
              <w:jc w:val="right"/>
              <w:ind w:right="413"/>
              <w:spacing w:after="0" w:line="80" w:lineRule="exact"/>
              <w:rPr>
                <w:sz w:val="20"/>
                <w:szCs w:val="20"/>
                <w:color w:val="auto"/>
              </w:rPr>
            </w:pPr>
            <w:r>
              <w:rPr>
                <w:rFonts w:ascii="Arial" w:cs="Arial" w:eastAsia="Arial" w:hAnsi="Arial"/>
                <w:sz w:val="9"/>
                <w:szCs w:val="9"/>
                <w:color w:val="auto"/>
              </w:rPr>
              <w:t>4/2/2014</w:t>
            </w:r>
          </w:p>
        </w:tc>
        <w:tc>
          <w:tcPr>
            <w:tcW w:w="3660" w:type="dxa"/>
            <w:vAlign w:val="bottom"/>
            <w:tcBorders>
              <w:right w:val="single" w:sz="8" w:color="auto"/>
            </w:tcBorders>
          </w:tcPr>
          <w:p>
            <w:pPr>
              <w:ind w:left="40"/>
              <w:spacing w:after="0" w:line="80" w:lineRule="exact"/>
              <w:rPr>
                <w:sz w:val="20"/>
                <w:szCs w:val="20"/>
                <w:color w:val="auto"/>
              </w:rPr>
            </w:pPr>
            <w:r>
              <w:rPr>
                <w:rFonts w:ascii="Arial" w:cs="Arial" w:eastAsia="Arial" w:hAnsi="Arial"/>
                <w:sz w:val="9"/>
                <w:szCs w:val="9"/>
                <w:color w:val="auto"/>
              </w:rPr>
              <w:t>Jeter-Polk alleges, on behalf of herself and a putative class that Casual Male XL stores in</w:t>
            </w:r>
          </w:p>
        </w:tc>
        <w:tc>
          <w:tcPr>
            <w:tcW w:w="760" w:type="dxa"/>
            <w:vAlign w:val="bottom"/>
            <w:tcBorders>
              <w:right w:val="single" w:sz="8" w:color="auto"/>
            </w:tcBorders>
          </w:tcPr>
          <w:p>
            <w:pPr>
              <w:ind w:left="40"/>
              <w:spacing w:after="0" w:line="80" w:lineRule="exact"/>
              <w:rPr>
                <w:sz w:val="20"/>
                <w:szCs w:val="20"/>
                <w:color w:val="auto"/>
              </w:rPr>
            </w:pPr>
            <w:r>
              <w:rPr>
                <w:rFonts w:ascii="Arial" w:cs="Arial" w:eastAsia="Arial" w:hAnsi="Arial"/>
                <w:sz w:val="9"/>
                <w:szCs w:val="9"/>
                <w:color w:val="auto"/>
              </w:rPr>
              <w:t>David Casey,</w:t>
            </w:r>
          </w:p>
        </w:tc>
      </w:tr>
      <w:tr>
        <w:trPr>
          <w:trHeight w:val="101"/>
        </w:trPr>
        <w:tc>
          <w:tcPr>
            <w:tcW w:w="1160" w:type="dxa"/>
            <w:vAlign w:val="bottom"/>
            <w:tcBorders>
              <w:left w:val="single" w:sz="8" w:color="auto"/>
              <w:right w:val="single" w:sz="8" w:color="auto"/>
            </w:tcBorders>
          </w:tcPr>
          <w:p>
            <w:pPr>
              <w:ind w:left="60"/>
              <w:spacing w:after="0" w:line="101" w:lineRule="exact"/>
              <w:rPr>
                <w:sz w:val="20"/>
                <w:szCs w:val="20"/>
                <w:color w:val="auto"/>
              </w:rPr>
            </w:pPr>
            <w:r>
              <w:rPr>
                <w:rFonts w:ascii="Arial" w:cs="Arial" w:eastAsia="Arial" w:hAnsi="Arial"/>
                <w:sz w:val="9"/>
                <w:szCs w:val="9"/>
                <w:color w:val="auto"/>
              </w:rPr>
              <w:t>Male Store, LLC and</w:t>
            </w:r>
          </w:p>
        </w:tc>
        <w:tc>
          <w:tcPr>
            <w:tcW w:w="82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San Bernardino</w:t>
            </w:r>
          </w:p>
        </w:tc>
        <w:tc>
          <w:tcPr>
            <w:tcW w:w="880" w:type="dxa"/>
            <w:vAlign w:val="bottom"/>
            <w:tcBorders>
              <w:right w:val="single" w:sz="8" w:color="auto"/>
            </w:tcBorders>
          </w:tcPr>
          <w:p>
            <w:pPr>
              <w:spacing w:after="0"/>
              <w:rPr>
                <w:sz w:val="8"/>
                <w:szCs w:val="8"/>
                <w:color w:val="auto"/>
              </w:rPr>
            </w:pPr>
          </w:p>
        </w:tc>
        <w:tc>
          <w:tcPr>
            <w:tcW w:w="36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w w:val="95"/>
              </w:rPr>
              <w:t>California failed to provide meal and rest breaks and to pay for overtime for all time worked; as</w:t>
            </w:r>
          </w:p>
        </w:tc>
        <w:tc>
          <w:tcPr>
            <w:tcW w:w="7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Michael Mankes,</w:t>
            </w:r>
          </w:p>
        </w:tc>
      </w:tr>
      <w:tr>
        <w:trPr>
          <w:trHeight w:val="101"/>
        </w:trPr>
        <w:tc>
          <w:tcPr>
            <w:tcW w:w="1160" w:type="dxa"/>
            <w:vAlign w:val="bottom"/>
            <w:tcBorders>
              <w:left w:val="single" w:sz="8" w:color="auto"/>
              <w:right w:val="single" w:sz="8" w:color="auto"/>
            </w:tcBorders>
          </w:tcPr>
          <w:p>
            <w:pPr>
              <w:ind w:left="60"/>
              <w:spacing w:after="0" w:line="101" w:lineRule="exact"/>
              <w:rPr>
                <w:sz w:val="20"/>
                <w:szCs w:val="20"/>
                <w:color w:val="auto"/>
              </w:rPr>
            </w:pPr>
            <w:r>
              <w:rPr>
                <w:rFonts w:ascii="Arial" w:cs="Arial" w:eastAsia="Arial" w:hAnsi="Arial"/>
                <w:sz w:val="9"/>
                <w:szCs w:val="9"/>
                <w:color w:val="auto"/>
              </w:rPr>
              <w:t>Destination XL Group, Inc.</w:t>
            </w:r>
          </w:p>
        </w:tc>
        <w:tc>
          <w:tcPr>
            <w:tcW w:w="82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County, CA. CIV</w:t>
            </w:r>
          </w:p>
        </w:tc>
        <w:tc>
          <w:tcPr>
            <w:tcW w:w="880" w:type="dxa"/>
            <w:vAlign w:val="bottom"/>
            <w:tcBorders>
              <w:right w:val="single" w:sz="8" w:color="auto"/>
            </w:tcBorders>
          </w:tcPr>
          <w:p>
            <w:pPr>
              <w:spacing w:after="0"/>
              <w:rPr>
                <w:sz w:val="8"/>
                <w:szCs w:val="8"/>
                <w:color w:val="auto"/>
              </w:rPr>
            </w:pPr>
          </w:p>
        </w:tc>
        <w:tc>
          <w:tcPr>
            <w:tcW w:w="36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well as failing to provide timely and itemized wage statements.</w:t>
            </w:r>
          </w:p>
        </w:tc>
        <w:tc>
          <w:tcPr>
            <w:tcW w:w="7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w w:val="99"/>
              </w:rPr>
              <w:t>Littler Mendelson</w:t>
            </w:r>
          </w:p>
        </w:tc>
      </w:tr>
      <w:tr>
        <w:trPr>
          <w:trHeight w:val="101"/>
        </w:trPr>
        <w:tc>
          <w:tcPr>
            <w:tcW w:w="1160" w:type="dxa"/>
            <w:vAlign w:val="bottom"/>
            <w:tcBorders>
              <w:left w:val="single" w:sz="8" w:color="auto"/>
              <w:right w:val="single" w:sz="8" w:color="auto"/>
            </w:tcBorders>
          </w:tcPr>
          <w:p>
            <w:pPr>
              <w:spacing w:after="0"/>
              <w:rPr>
                <w:sz w:val="8"/>
                <w:szCs w:val="8"/>
                <w:color w:val="auto"/>
              </w:rPr>
            </w:pPr>
          </w:p>
        </w:tc>
        <w:tc>
          <w:tcPr>
            <w:tcW w:w="82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9"/>
                <w:szCs w:val="9"/>
                <w:color w:val="auto"/>
              </w:rPr>
              <w:t>DS</w:t>
            </w:r>
          </w:p>
        </w:tc>
        <w:tc>
          <w:tcPr>
            <w:tcW w:w="880" w:type="dxa"/>
            <w:vAlign w:val="bottom"/>
            <w:tcBorders>
              <w:right w:val="single" w:sz="8" w:color="auto"/>
            </w:tcBorders>
          </w:tcPr>
          <w:p>
            <w:pPr>
              <w:spacing w:after="0"/>
              <w:rPr>
                <w:sz w:val="8"/>
                <w:szCs w:val="8"/>
                <w:color w:val="auto"/>
              </w:rPr>
            </w:pPr>
          </w:p>
        </w:tc>
        <w:tc>
          <w:tcPr>
            <w:tcW w:w="36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r>
      <w:tr>
        <w:trPr>
          <w:trHeight w:val="112"/>
        </w:trPr>
        <w:tc>
          <w:tcPr>
            <w:tcW w:w="1160" w:type="dxa"/>
            <w:vAlign w:val="bottom"/>
            <w:tcBorders>
              <w:left w:val="single" w:sz="8" w:color="auto"/>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9"/>
                <w:szCs w:val="9"/>
                <w:color w:val="auto"/>
              </w:rPr>
              <w:t>1403644</w:t>
            </w:r>
          </w:p>
        </w:tc>
        <w:tc>
          <w:tcPr>
            <w:tcW w:w="88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59" w:hanging="759"/>
        <w:spacing w:after="0"/>
        <w:tabs>
          <w:tab w:leader="none" w:pos="759" w:val="left"/>
        </w:tabs>
        <w:numPr>
          <w:ilvl w:val="0"/>
          <w:numId w:val="207"/>
        </w:numPr>
        <w:rPr>
          <w:rFonts w:ascii="Arial" w:cs="Arial" w:eastAsia="Arial" w:hAnsi="Arial"/>
          <w:sz w:val="14"/>
          <w:szCs w:val="14"/>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339"/>
          </w:cols>
          <w:pgMar w:left="221" w:top="300" w:right="1339" w:bottom="1440" w:gutter="0" w:footer="0" w:header="0"/>
        </w:sectPr>
      </w:pPr>
    </w:p>
    <w:bookmarkStart w:id="195" w:name="page196"/>
    <w:bookmarkEnd w:id="195"/>
    <w:p>
      <w:pPr>
        <w:ind w:left="5279"/>
        <w:spacing w:after="0"/>
        <w:rPr>
          <w:sz w:val="20"/>
          <w:szCs w:val="20"/>
          <w:color w:val="auto"/>
        </w:rPr>
      </w:pPr>
      <w:r>
        <w:rPr>
          <w:rFonts w:ascii="Arial" w:cs="Arial" w:eastAsia="Arial" w:hAnsi="Arial"/>
          <w:sz w:val="14"/>
          <w:szCs w:val="14"/>
          <w:b w:val="1"/>
          <w:bCs w:val="1"/>
          <w:u w:val="single" w:color="auto"/>
          <w:color w:val="auto"/>
        </w:rPr>
        <w:t>EXHIBIT 4.19</w:t>
      </w:r>
    </w:p>
    <w:p>
      <w:pPr>
        <w:spacing w:after="0" w:line="23" w:lineRule="exact"/>
        <w:rPr>
          <w:sz w:val="20"/>
          <w:szCs w:val="20"/>
          <w:color w:val="auto"/>
        </w:rPr>
      </w:pPr>
    </w:p>
    <w:p>
      <w:pPr>
        <w:ind w:left="5299"/>
        <w:spacing w:after="0"/>
        <w:rPr>
          <w:sz w:val="20"/>
          <w:szCs w:val="20"/>
          <w:color w:val="auto"/>
        </w:rPr>
      </w:pPr>
      <w:r>
        <w:rPr>
          <w:rFonts w:ascii="Arial" w:cs="Arial" w:eastAsia="Arial" w:hAnsi="Arial"/>
          <w:sz w:val="14"/>
          <w:szCs w:val="14"/>
          <w:b w:val="1"/>
          <w:bCs w:val="1"/>
          <w:color w:val="auto"/>
        </w:rPr>
        <w:t>LITIGATION</w:t>
      </w:r>
    </w:p>
    <w:p>
      <w:pPr>
        <w:spacing w:after="0" w:line="159" w:lineRule="exact"/>
        <w:rPr>
          <w:sz w:val="20"/>
          <w:szCs w:val="20"/>
          <w:color w:val="auto"/>
        </w:rPr>
      </w:pPr>
    </w:p>
    <w:p>
      <w:pPr>
        <w:ind w:left="5179"/>
        <w:spacing w:after="0"/>
        <w:rPr>
          <w:sz w:val="20"/>
          <w:szCs w:val="20"/>
          <w:color w:val="auto"/>
        </w:rPr>
      </w:pPr>
      <w:r>
        <w:rPr>
          <w:rFonts w:ascii="Arial" w:cs="Arial" w:eastAsia="Arial" w:hAnsi="Arial"/>
          <w:sz w:val="14"/>
          <w:szCs w:val="14"/>
          <w:b w:val="1"/>
          <w:bCs w:val="1"/>
          <w:color w:val="auto"/>
        </w:rPr>
        <w:t>AGENCY CASES</w:t>
      </w:r>
    </w:p>
    <w:p>
      <w:pPr>
        <w:spacing w:after="0" w:line="163" w:lineRule="exact"/>
        <w:rPr>
          <w:sz w:val="20"/>
          <w:szCs w:val="20"/>
          <w:color w:val="auto"/>
        </w:rPr>
      </w:pPr>
    </w:p>
    <w:tbl>
      <w:tblPr>
        <w:tblLayout w:type="fixed"/>
        <w:tblInd w:w="2109" w:type="dxa"/>
        <w:tblCellMar>
          <w:top w:w="0" w:type="dxa"/>
          <w:left w:w="0" w:type="dxa"/>
          <w:bottom w:w="0" w:type="dxa"/>
          <w:right w:w="0" w:type="dxa"/>
        </w:tblCellMar>
      </w:tblPr>
      <w:tr>
        <w:trPr>
          <w:trHeight w:val="111"/>
        </w:trPr>
        <w:tc>
          <w:tcPr>
            <w:tcW w:w="1660" w:type="dxa"/>
            <w:vAlign w:val="bottom"/>
            <w:tcBorders>
              <w:top w:val="single" w:sz="8" w:color="auto"/>
              <w:left w:val="single" w:sz="8" w:color="auto"/>
              <w:bottom w:val="single" w:sz="8" w:color="auto"/>
              <w:right w:val="single" w:sz="8" w:color="auto"/>
            </w:tcBorders>
          </w:tcPr>
          <w:p>
            <w:pPr>
              <w:jc w:val="right"/>
              <w:ind w:right="453"/>
              <w:spacing w:after="0"/>
              <w:rPr>
                <w:sz w:val="20"/>
                <w:szCs w:val="20"/>
                <w:color w:val="auto"/>
              </w:rPr>
            </w:pPr>
            <w:r>
              <w:rPr>
                <w:rFonts w:ascii="Arial" w:cs="Arial" w:eastAsia="Arial" w:hAnsi="Arial"/>
                <w:sz w:val="9"/>
                <w:szCs w:val="9"/>
                <w:b w:val="1"/>
                <w:bCs w:val="1"/>
                <w:color w:val="auto"/>
              </w:rPr>
              <w:t>Name</w:t>
            </w:r>
          </w:p>
        </w:tc>
        <w:tc>
          <w:tcPr>
            <w:tcW w:w="820" w:type="dxa"/>
            <w:vAlign w:val="bottom"/>
            <w:tcBorders>
              <w:top w:val="single" w:sz="8" w:color="auto"/>
              <w:bottom w:val="single" w:sz="8" w:color="auto"/>
              <w:right w:val="single" w:sz="8" w:color="auto"/>
            </w:tcBorders>
          </w:tcPr>
          <w:p>
            <w:pPr>
              <w:jc w:val="right"/>
              <w:ind w:right="253"/>
              <w:spacing w:after="0"/>
              <w:rPr>
                <w:sz w:val="20"/>
                <w:szCs w:val="20"/>
                <w:color w:val="auto"/>
              </w:rPr>
            </w:pPr>
            <w:r>
              <w:rPr>
                <w:rFonts w:ascii="Arial" w:cs="Arial" w:eastAsia="Arial" w:hAnsi="Arial"/>
                <w:sz w:val="9"/>
                <w:szCs w:val="9"/>
                <w:b w:val="1"/>
                <w:bCs w:val="1"/>
                <w:color w:val="auto"/>
              </w:rPr>
              <w:t>Date Filed</w:t>
            </w:r>
          </w:p>
        </w:tc>
        <w:tc>
          <w:tcPr>
            <w:tcW w:w="2660" w:type="dxa"/>
            <w:vAlign w:val="bottom"/>
            <w:tcBorders>
              <w:top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9"/>
                <w:szCs w:val="9"/>
                <w:b w:val="1"/>
                <w:bCs w:val="1"/>
                <w:color w:val="auto"/>
              </w:rPr>
              <w:t>Case #</w:t>
            </w:r>
          </w:p>
        </w:tc>
        <w:tc>
          <w:tcPr>
            <w:tcW w:w="1100" w:type="dxa"/>
            <w:vAlign w:val="bottom"/>
            <w:tcBorders>
              <w:top w:val="single" w:sz="8" w:color="auto"/>
              <w:bottom w:val="single" w:sz="8" w:color="auto"/>
              <w:right w:val="single" w:sz="8" w:color="auto"/>
            </w:tcBorders>
          </w:tcPr>
          <w:p>
            <w:pPr>
              <w:jc w:val="right"/>
              <w:ind w:right="473"/>
              <w:spacing w:after="0"/>
              <w:rPr>
                <w:sz w:val="20"/>
                <w:szCs w:val="20"/>
                <w:color w:val="auto"/>
              </w:rPr>
            </w:pPr>
            <w:r>
              <w:rPr>
                <w:rFonts w:ascii="Arial" w:cs="Arial" w:eastAsia="Arial" w:hAnsi="Arial"/>
                <w:sz w:val="9"/>
                <w:szCs w:val="9"/>
                <w:b w:val="1"/>
                <w:bCs w:val="1"/>
                <w:color w:val="auto"/>
              </w:rPr>
              <w:t>Charge</w:t>
            </w:r>
          </w:p>
        </w:tc>
        <w:tc>
          <w:tcPr>
            <w:tcW w:w="10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9"/>
                <w:szCs w:val="9"/>
                <w:b w:val="1"/>
                <w:bCs w:val="1"/>
                <w:color w:val="auto"/>
              </w:rPr>
              <w:t>Plaintiff Attorney</w:t>
            </w:r>
          </w:p>
        </w:tc>
      </w:tr>
      <w:tr>
        <w:trPr>
          <w:trHeight w:val="80"/>
        </w:trPr>
        <w:tc>
          <w:tcPr>
            <w:tcW w:w="1660" w:type="dxa"/>
            <w:vAlign w:val="bottom"/>
            <w:tcBorders>
              <w:left w:val="single" w:sz="8" w:color="auto"/>
              <w:right w:val="single" w:sz="8" w:color="auto"/>
            </w:tcBorders>
          </w:tcPr>
          <w:p>
            <w:pPr>
              <w:jc w:val="right"/>
              <w:ind w:right="713"/>
              <w:spacing w:after="0" w:line="80" w:lineRule="exact"/>
              <w:rPr>
                <w:sz w:val="20"/>
                <w:szCs w:val="20"/>
                <w:color w:val="auto"/>
              </w:rPr>
            </w:pPr>
            <w:r>
              <w:rPr>
                <w:rFonts w:ascii="Arial" w:cs="Arial" w:eastAsia="Arial" w:hAnsi="Arial"/>
                <w:sz w:val="9"/>
                <w:szCs w:val="9"/>
                <w:color w:val="auto"/>
              </w:rPr>
              <w:t>***</w:t>
            </w:r>
          </w:p>
        </w:tc>
        <w:tc>
          <w:tcPr>
            <w:tcW w:w="82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tcPr>
          <w:p>
            <w:pPr>
              <w:ind w:left="20"/>
              <w:spacing w:after="0" w:line="80" w:lineRule="exact"/>
              <w:rPr>
                <w:sz w:val="20"/>
                <w:szCs w:val="20"/>
                <w:color w:val="auto"/>
              </w:rPr>
            </w:pPr>
            <w:r>
              <w:rPr>
                <w:rFonts w:ascii="Arial" w:cs="Arial" w:eastAsia="Arial" w:hAnsi="Arial"/>
                <w:sz w:val="9"/>
                <w:szCs w:val="9"/>
                <w:color w:val="auto"/>
              </w:rPr>
              <w:t>Maryland HCHRC Matter#14-07-039. EEOC Charge Number:</w:t>
            </w:r>
          </w:p>
        </w:tc>
        <w:tc>
          <w:tcPr>
            <w:tcW w:w="1100" w:type="dxa"/>
            <w:vAlign w:val="bottom"/>
            <w:tcBorders>
              <w:right w:val="single" w:sz="8" w:color="auto"/>
            </w:tcBorders>
          </w:tcPr>
          <w:p>
            <w:pPr>
              <w:jc w:val="right"/>
              <w:ind w:right="913"/>
              <w:spacing w:after="0" w:line="80" w:lineRule="exact"/>
              <w:rPr>
                <w:sz w:val="20"/>
                <w:szCs w:val="20"/>
                <w:color w:val="auto"/>
              </w:rPr>
            </w:pPr>
            <w:r>
              <w:rPr>
                <w:rFonts w:ascii="Arial" w:cs="Arial" w:eastAsia="Arial" w:hAnsi="Arial"/>
                <w:sz w:val="9"/>
                <w:szCs w:val="9"/>
                <w:color w:val="auto"/>
              </w:rPr>
              <w:t>***</w:t>
            </w:r>
          </w:p>
        </w:tc>
        <w:tc>
          <w:tcPr>
            <w:tcW w:w="1040" w:type="dxa"/>
            <w:vAlign w:val="bottom"/>
            <w:tcBorders>
              <w:right w:val="single" w:sz="8" w:color="auto"/>
            </w:tcBorders>
          </w:tcPr>
          <w:p>
            <w:pPr>
              <w:spacing w:after="0"/>
              <w:rPr>
                <w:sz w:val="6"/>
                <w:szCs w:val="6"/>
                <w:color w:val="auto"/>
              </w:rPr>
            </w:pPr>
          </w:p>
        </w:tc>
      </w:tr>
      <w:tr>
        <w:trPr>
          <w:trHeight w:val="120"/>
        </w:trPr>
        <w:tc>
          <w:tcPr>
            <w:tcW w:w="166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12E-2014-00021.</w:t>
            </w:r>
          </w:p>
        </w:tc>
        <w:tc>
          <w:tcPr>
            <w:tcW w:w="11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r>
      <w:tr>
        <w:trPr>
          <w:trHeight w:val="133"/>
        </w:trPr>
        <w:tc>
          <w:tcPr>
            <w:tcW w:w="1660" w:type="dxa"/>
            <w:vAlign w:val="bottom"/>
            <w:tcBorders>
              <w:left w:val="single" w:sz="8" w:color="auto"/>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r>
      <w:tr>
        <w:trPr>
          <w:trHeight w:val="90"/>
        </w:trPr>
        <w:tc>
          <w:tcPr>
            <w:tcW w:w="1660" w:type="dxa"/>
            <w:vAlign w:val="bottom"/>
            <w:tcBorders>
              <w:left w:val="single" w:sz="8" w:color="auto"/>
              <w:right w:val="single" w:sz="8" w:color="auto"/>
            </w:tcBorders>
          </w:tcPr>
          <w:p>
            <w:pPr>
              <w:jc w:val="right"/>
              <w:ind w:right="713"/>
              <w:spacing w:after="0" w:line="90" w:lineRule="exact"/>
              <w:rPr>
                <w:sz w:val="20"/>
                <w:szCs w:val="20"/>
                <w:color w:val="auto"/>
              </w:rPr>
            </w:pPr>
            <w:r>
              <w:rPr>
                <w:rFonts w:ascii="Arial" w:cs="Arial" w:eastAsia="Arial" w:hAnsi="Arial"/>
                <w:sz w:val="9"/>
                <w:szCs w:val="9"/>
                <w:color w:val="auto"/>
              </w:rPr>
              <w:t>***</w:t>
            </w:r>
          </w:p>
        </w:tc>
        <w:tc>
          <w:tcPr>
            <w:tcW w:w="820" w:type="dxa"/>
            <w:vAlign w:val="bottom"/>
            <w:tcBorders>
              <w:right w:val="single" w:sz="8" w:color="auto"/>
            </w:tcBorders>
          </w:tcPr>
          <w:p>
            <w:pPr>
              <w:jc w:val="right"/>
              <w:ind w:right="153"/>
              <w:spacing w:after="0" w:line="90" w:lineRule="exact"/>
              <w:rPr>
                <w:sz w:val="20"/>
                <w:szCs w:val="20"/>
                <w:color w:val="auto"/>
              </w:rPr>
            </w:pPr>
            <w:r>
              <w:rPr>
                <w:rFonts w:ascii="Arial" w:cs="Arial" w:eastAsia="Arial" w:hAnsi="Arial"/>
                <w:sz w:val="9"/>
                <w:szCs w:val="9"/>
                <w:color w:val="auto"/>
              </w:rPr>
              <w:t>8/21/2014</w:t>
            </w:r>
          </w:p>
        </w:tc>
        <w:tc>
          <w:tcPr>
            <w:tcW w:w="2660" w:type="dxa"/>
            <w:vAlign w:val="bottom"/>
            <w:tcBorders>
              <w:right w:val="single" w:sz="8" w:color="auto"/>
            </w:tcBorders>
          </w:tcPr>
          <w:p>
            <w:pPr>
              <w:ind w:left="20"/>
              <w:spacing w:after="0" w:line="90" w:lineRule="exact"/>
              <w:rPr>
                <w:sz w:val="20"/>
                <w:szCs w:val="20"/>
                <w:color w:val="auto"/>
              </w:rPr>
            </w:pPr>
            <w:r>
              <w:rPr>
                <w:rFonts w:ascii="Arial" w:cs="Arial" w:eastAsia="Arial" w:hAnsi="Arial"/>
                <w:sz w:val="9"/>
                <w:szCs w:val="9"/>
                <w:color w:val="auto"/>
              </w:rPr>
              <w:t>Indianapolis EEOC Charge Number 474-2014-</w:t>
            </w:r>
          </w:p>
        </w:tc>
        <w:tc>
          <w:tcPr>
            <w:tcW w:w="1100" w:type="dxa"/>
            <w:vAlign w:val="bottom"/>
            <w:tcBorders>
              <w:right w:val="single" w:sz="8" w:color="auto"/>
            </w:tcBorders>
          </w:tcPr>
          <w:p>
            <w:pPr>
              <w:jc w:val="right"/>
              <w:ind w:right="913"/>
              <w:spacing w:after="0" w:line="90" w:lineRule="exact"/>
              <w:rPr>
                <w:sz w:val="20"/>
                <w:szCs w:val="20"/>
                <w:color w:val="auto"/>
              </w:rPr>
            </w:pPr>
            <w:r>
              <w:rPr>
                <w:rFonts w:ascii="Arial" w:cs="Arial" w:eastAsia="Arial" w:hAnsi="Arial"/>
                <w:sz w:val="9"/>
                <w:szCs w:val="9"/>
                <w:color w:val="auto"/>
              </w:rPr>
              <w:t>***</w:t>
            </w:r>
          </w:p>
        </w:tc>
        <w:tc>
          <w:tcPr>
            <w:tcW w:w="1040" w:type="dxa"/>
            <w:vAlign w:val="bottom"/>
            <w:tcBorders>
              <w:right w:val="single" w:sz="8" w:color="auto"/>
            </w:tcBorders>
          </w:tcPr>
          <w:p>
            <w:pPr>
              <w:spacing w:after="0"/>
              <w:rPr>
                <w:sz w:val="7"/>
                <w:szCs w:val="7"/>
                <w:color w:val="auto"/>
              </w:rPr>
            </w:pPr>
          </w:p>
        </w:tc>
      </w:tr>
      <w:tr>
        <w:trPr>
          <w:trHeight w:val="120"/>
        </w:trPr>
        <w:tc>
          <w:tcPr>
            <w:tcW w:w="1660" w:type="dxa"/>
            <w:vAlign w:val="bottom"/>
            <w:tcBorders>
              <w:left w:val="single" w:sz="8" w:color="auto"/>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9"/>
                <w:szCs w:val="9"/>
                <w:color w:val="auto"/>
              </w:rPr>
              <w:t>00801</w:t>
            </w:r>
          </w:p>
        </w:tc>
        <w:tc>
          <w:tcPr>
            <w:tcW w:w="110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r>
      <w:tr>
        <w:trPr>
          <w:trHeight w:val="123"/>
        </w:trPr>
        <w:tc>
          <w:tcPr>
            <w:tcW w:w="1660" w:type="dxa"/>
            <w:vAlign w:val="bottom"/>
            <w:tcBorders>
              <w:left w:val="single" w:sz="8" w:color="auto"/>
              <w:bottom w:val="single" w:sz="8" w:color="auto"/>
              <w:right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26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59" w:hanging="759"/>
        <w:spacing w:after="0"/>
        <w:tabs>
          <w:tab w:leader="none" w:pos="759" w:val="left"/>
        </w:tabs>
        <w:numPr>
          <w:ilvl w:val="0"/>
          <w:numId w:val="208"/>
        </w:numPr>
        <w:rPr>
          <w:rFonts w:ascii="Arial" w:cs="Arial" w:eastAsia="Arial" w:hAnsi="Arial"/>
          <w:sz w:val="14"/>
          <w:szCs w:val="14"/>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339"/>
          </w:cols>
          <w:pgMar w:left="221" w:top="311" w:right="1339" w:bottom="1440" w:gutter="0" w:footer="0" w:header="0"/>
        </w:sectPr>
      </w:pPr>
    </w:p>
    <w:bookmarkStart w:id="196" w:name="page197"/>
    <w:bookmarkEnd w:id="196"/>
    <w:p>
      <w:pPr>
        <w:jc w:val="center"/>
        <w:ind w:right="-79"/>
        <w:spacing w:after="0"/>
        <w:rPr>
          <w:sz w:val="20"/>
          <w:szCs w:val="20"/>
          <w:color w:val="auto"/>
        </w:rPr>
      </w:pPr>
      <w:r>
        <w:rPr>
          <w:rFonts w:ascii="Arial" w:cs="Arial" w:eastAsia="Arial" w:hAnsi="Arial"/>
          <w:sz w:val="16"/>
          <w:szCs w:val="16"/>
          <w:b w:val="1"/>
          <w:bCs w:val="1"/>
          <w:u w:val="single" w:color="auto"/>
          <w:color w:val="auto"/>
        </w:rPr>
        <w:t>EXHIBIT 4.25</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Franchise Location</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the Franchise Agreement for DXL™ Store by and between CMRG Europe, B.V. and Standard Arabian Business &amp; Enterprise Company WLL, dated June 23, 2011 and amended by Novation Agreement by and between CMRG Europe, B.V., Destination XL Group, Inc. and Standard Arabian Business &amp; Enterprise Company WLL, dated January 7, 2014 for the DXL store located at Symphony Mall, Golf Road, Salmiya, Kuwait.</w:t>
      </w:r>
    </w:p>
    <w:p>
      <w:pPr>
        <w:sectPr>
          <w:pgSz w:w="11900" w:h="16838" w:orient="portrait"/>
          <w:cols w:equalWidth="0" w:num="1">
            <w:col w:w="11460"/>
          </w:cols>
          <w:pgMar w:left="220" w:top="502" w:right="21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6"/>
          <w:szCs w:val="16"/>
          <w:b w:val="1"/>
          <w:bCs w:val="1"/>
          <w:u w:val="single" w:color="auto"/>
          <w:color w:val="auto"/>
        </w:rPr>
        <w:t>EXHIBIT 4.28(b)</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Contingent Obligations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In addition to minimum rental payments, many of the store leases to which Destination XL Group, Inc. and/or its subsidiaries (singularly, “DXLG” or collectively, the “DXLG entities”) is a party, include provisions for common area maintenance, real estate taxes, insurance, promotional charges, and or escalation clauses and in some cases percentage rents based on percentage of store sales above designated levels.</w:t>
      </w:r>
    </w:p>
    <w:p>
      <w:pPr>
        <w:spacing w:after="0" w:line="31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color w:val="auto"/>
        </w:rPr>
        <w:t>On May 14, 2002, DXLG completed the acquisition of substantially all of the assets of Casual Male Corp. and certain of its subsidiaries, for a purchase price of approximately $170 million. In connection with the acquisition, DXLG assumed certain contingent liabilities, including, but not limited to, existing retail store lease arrangements and the existing mortgage for Casual Male Corp.’s corporate office located in Canton, Massachusetts, which DXLG currently occupies as its corporate headquarters.</w:t>
      </w:r>
    </w:p>
    <w:p>
      <w:pPr>
        <w:spacing w:after="0" w:line="9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On January 30, 2006, DXLG entered into a sale-leaseback transaction with Spirit Finance Corporation, a third party real estate investment trust (“Spirit”). In connection with the transaction, DXLG Male sold its headquarters and distribution center property to Spirit for $56.0 million. At the closing on February 1, 2006 DXLG entered into a twenty-year lease agreement with a wholly-owned subsidiary of Spirit whereby DXLG agreed to lease the property back for an annual rent of $4.6 million.</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DXLG is subject to various legal proceedings and claims that arise in the ordinary course of business. Management believes that the resolution of these matters will not have an adverse impact on the results of operations or the financial position of DXLG.</w:t>
      </w:r>
    </w:p>
    <w:p>
      <w:pPr>
        <w:sectPr>
          <w:pgSz w:w="11900" w:h="16838" w:orient="portrait"/>
          <w:cols w:equalWidth="0" w:num="1">
            <w:col w:w="11460"/>
          </w:cols>
          <w:pgMar w:left="220" w:top="301" w:right="21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5"/>
          <w:szCs w:val="15"/>
          <w:b w:val="1"/>
          <w:bCs w:val="1"/>
          <w:u w:val="single" w:color="auto"/>
          <w:color w:val="030303"/>
        </w:rPr>
        <w:t>EXHIBIT 5.4</w:t>
      </w:r>
    </w:p>
    <w:p>
      <w:pPr>
        <w:sectPr>
          <w:pgSz w:w="11900" w:h="16838" w:orient="portrait"/>
          <w:cols w:equalWidth="0" w:num="1">
            <w:col w:w="9019"/>
          </w:cols>
          <w:pgMar w:left="1440" w:top="789"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Attached.</w:t>
      </w:r>
    </w:p>
    <w:p>
      <w:pPr>
        <w:sectPr>
          <w:pgSz w:w="11900" w:h="16838" w:orient="portrait"/>
          <w:cols w:equalWidth="0" w:num="1">
            <w:col w:w="9019"/>
          </w:cols>
          <w:pgMar w:left="1440" w:top="789" w:right="1440" w:bottom="1440" w:gutter="0" w:footer="0" w:header="0"/>
          <w:type w:val="continuous"/>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1491615</wp:posOffset>
            </wp:positionH>
            <wp:positionV relativeFrom="page">
              <wp:posOffset>223520</wp:posOffset>
            </wp:positionV>
            <wp:extent cx="4585335" cy="57892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585335" cy="5789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rFonts w:ascii="Arial" w:cs="Arial" w:eastAsia="Arial" w:hAnsi="Arial"/>
          <w:sz w:val="13"/>
          <w:szCs w:val="13"/>
          <w:b w:val="1"/>
          <w:bCs w:val="1"/>
          <w:u w:val="single" w:color="auto"/>
          <w:color w:val="050505"/>
        </w:rPr>
        <w:t>EXHIBIT 5.8</w:t>
      </w:r>
    </w:p>
    <w:p>
      <w:pPr>
        <w:spacing w:after="0" w:line="205" w:lineRule="exact"/>
        <w:rPr>
          <w:sz w:val="20"/>
          <w:szCs w:val="20"/>
          <w:color w:val="auto"/>
        </w:rPr>
      </w:pPr>
    </w:p>
    <w:p>
      <w:pPr>
        <w:jc w:val="right"/>
        <w:ind w:right="3679"/>
        <w:spacing w:after="0"/>
        <w:rPr>
          <w:sz w:val="20"/>
          <w:szCs w:val="20"/>
          <w:color w:val="auto"/>
        </w:rPr>
      </w:pPr>
      <w:r>
        <w:rPr>
          <w:rFonts w:ascii="Arial" w:cs="Arial" w:eastAsia="Arial" w:hAnsi="Arial"/>
          <w:sz w:val="13"/>
          <w:szCs w:val="13"/>
          <w:color w:val="050505"/>
        </w:rPr>
        <w:t>See attached.</w:t>
      </w:r>
    </w:p>
    <w:p>
      <w:pPr>
        <w:sectPr>
          <w:pgSz w:w="11900" w:h="16838" w:orient="portrait"/>
          <w:cols w:equalWidth="0" w:num="1">
            <w:col w:w="9019"/>
          </w:cols>
          <w:pgMar w:left="1440" w:top="127" w:right="1440" w:bottom="1440" w:gutter="0" w:footer="0" w:header="0"/>
        </w:sectPr>
      </w:pPr>
    </w:p>
    <w:bookmarkStart w:id="201" w:name="page202"/>
    <w:bookmarkEnd w:id="201"/>
    <w:p>
      <w:pPr>
        <w:jc w:val="center"/>
        <w:spacing w:after="0"/>
        <w:rPr>
          <w:sz w:val="20"/>
          <w:szCs w:val="20"/>
          <w:color w:val="auto"/>
        </w:rPr>
      </w:pPr>
      <w:r>
        <w:rPr>
          <w:rFonts w:ascii="Arial" w:cs="Arial" w:eastAsia="Arial" w:hAnsi="Arial"/>
          <w:sz w:val="13"/>
          <w:szCs w:val="13"/>
          <w:color w:val="auto"/>
        </w:rPr>
        <w:t>[Company Letterhead]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 20 __</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070707"/>
        </w:rPr>
        <w:t>Wells Fargo Bank, National Association, as Administrative Agent</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070707"/>
        </w:rPr>
        <w:t>One Boston Place, 18th Floor</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070707"/>
        </w:rPr>
        <w:t>Boston, MA 02108</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070707"/>
        </w:rPr>
        <w:t>Attention: Sally A. Sheehan, Director</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color w:val="070707"/>
        </w:rPr>
        <w:t>RE:</w:t>
      </w:r>
      <w:r>
        <w:rPr>
          <w:sz w:val="20"/>
          <w:szCs w:val="20"/>
          <w:color w:val="auto"/>
        </w:rPr>
        <w:tab/>
      </w:r>
      <w:r>
        <w:rPr>
          <w:rFonts w:ascii="Arial" w:cs="Arial" w:eastAsia="Arial" w:hAnsi="Arial"/>
          <w:sz w:val="13"/>
          <w:szCs w:val="13"/>
          <w:i w:val="1"/>
          <w:iCs w:val="1"/>
          <w:color w:val="auto"/>
        </w:rPr>
        <w:t>DESTINATION XL GROUP, INC.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3"/>
          <w:szCs w:val="13"/>
          <w:color w:val="070707"/>
        </w:rPr>
        <w:t>(the “Borrowers’ Representative”)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070707"/>
        </w:rPr>
        <w:t xml:space="preserve">Financial Statement For: The </w:t>
      </w:r>
      <w:r>
        <w:rPr>
          <w:rFonts w:ascii="Arial" w:cs="Arial" w:eastAsia="Arial" w:hAnsi="Arial"/>
          <w:sz w:val="13"/>
          <w:szCs w:val="13"/>
          <w:color w:val="1C1C1C"/>
        </w:rPr>
        <w:t>[month][</w:t>
      </w:r>
      <w:r>
        <w:rPr>
          <w:rFonts w:ascii="Arial" w:cs="Arial" w:eastAsia="Arial" w:hAnsi="Arial"/>
          <w:sz w:val="13"/>
          <w:szCs w:val="13"/>
          <w:color w:val="070707"/>
        </w:rPr>
        <w:t xml:space="preserve">quarter][year] ended </w:t>
      </w:r>
      <w:r>
        <w:rPr>
          <w:rFonts w:ascii="Arial" w:cs="Arial" w:eastAsia="Arial" w:hAnsi="Arial"/>
          <w:sz w:val="13"/>
          <w:szCs w:val="13"/>
          <w:color w:val="000000"/>
        </w:rPr>
        <w:t>_____________________, 20 __.</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070707"/>
        </w:rPr>
        <w:t>Dear Sally:</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070707"/>
        </w:rPr>
        <w:t>This Certificate accompanies the above described financial statement (the “Financial Statement”) furnished to you by the Borrowers’ Representative and is delivered in accordance with Article 5 of the Term Loan and Security Agreement dated October 29, 2014 (as amended, restated, supplemented or otherwise modified from time to time, the “Loan Agreement”) between, among others, the Borrowers’ Representative, the Borrowers, and you</w:t>
      </w:r>
      <w:r>
        <w:rPr>
          <w:rFonts w:ascii="Arial" w:cs="Arial" w:eastAsia="Arial" w:hAnsi="Arial"/>
          <w:sz w:val="13"/>
          <w:szCs w:val="13"/>
          <w:color w:val="383838"/>
        </w:rPr>
        <w:t>.</w:t>
      </w:r>
      <w:r>
        <w:rPr>
          <w:rFonts w:ascii="Arial" w:cs="Arial" w:eastAsia="Arial" w:hAnsi="Arial"/>
          <w:sz w:val="13"/>
          <w:szCs w:val="13"/>
          <w:color w:val="070707"/>
        </w:rPr>
        <w:t xml:space="preserve"> Terms used herein which are defined in the Loan Agreement are used as so defined</w:t>
      </w:r>
      <w:r>
        <w:rPr>
          <w:rFonts w:ascii="Arial" w:cs="Arial" w:eastAsia="Arial" w:hAnsi="Arial"/>
          <w:sz w:val="13"/>
          <w:szCs w:val="13"/>
          <w:color w:val="383838"/>
        </w:rPr>
        <w:t>.</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070707"/>
        </w:rPr>
        <w:t>The undersigned have each reviewed the Financial Statement, the Loan Agreement, and each of the other Loan Documents, and has made such inquiry as the undersigned deem appropriate</w:t>
      </w:r>
      <w:r>
        <w:rPr>
          <w:rFonts w:ascii="Arial" w:cs="Arial" w:eastAsia="Arial" w:hAnsi="Arial"/>
          <w:sz w:val="13"/>
          <w:szCs w:val="13"/>
          <w:color w:val="383838"/>
        </w:rPr>
        <w:t>.</w:t>
      </w:r>
      <w:r>
        <w:rPr>
          <w:rFonts w:ascii="Arial" w:cs="Arial" w:eastAsia="Arial" w:hAnsi="Arial"/>
          <w:sz w:val="13"/>
          <w:szCs w:val="13"/>
          <w:color w:val="070707"/>
        </w:rPr>
        <w:t xml:space="preserve"> Following such review, the undersigned CERTIFIES as follows:</w:t>
      </w:r>
    </w:p>
    <w:p>
      <w:pPr>
        <w:spacing w:after="0" w:line="118" w:lineRule="exact"/>
        <w:rPr>
          <w:sz w:val="20"/>
          <w:szCs w:val="20"/>
          <w:color w:val="auto"/>
        </w:rPr>
      </w:pPr>
    </w:p>
    <w:p>
      <w:pPr>
        <w:jc w:val="both"/>
        <w:ind w:left="980" w:hanging="2"/>
        <w:spacing w:after="0" w:line="276" w:lineRule="auto"/>
        <w:tabs>
          <w:tab w:leader="none" w:pos="1630"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Financial Statement</w:t>
      </w:r>
      <w:r>
        <w:rPr>
          <w:rFonts w:ascii="Arial" w:cs="Arial" w:eastAsia="Arial" w:hAnsi="Arial"/>
          <w:sz w:val="13"/>
          <w:szCs w:val="13"/>
          <w:color w:val="auto"/>
        </w:rPr>
        <w:t>. The Financial Statement was prepared in accordance with GAAP consistently applied and present fairly the consolidated financial condition of the Loan Parties at the close of, and the results of the Loan Parties’ operations and cash flows for, the period(s) covered by the Financial Statement, subject however (unless this Certificate accompanies the annual Financial Statement) to usual year-end adjustments and the absence of footnotes.</w:t>
      </w:r>
    </w:p>
    <w:p>
      <w:pPr>
        <w:spacing w:after="0" w:line="129" w:lineRule="exact"/>
        <w:rPr>
          <w:rFonts w:ascii="Arial" w:cs="Arial" w:eastAsia="Arial" w:hAnsi="Arial"/>
          <w:sz w:val="13"/>
          <w:szCs w:val="13"/>
          <w:color w:val="auto"/>
        </w:rPr>
      </w:pPr>
    </w:p>
    <w:p>
      <w:pPr>
        <w:ind w:left="980" w:hanging="2"/>
        <w:spacing w:after="0" w:line="294" w:lineRule="auto"/>
        <w:tabs>
          <w:tab w:leader="none" w:pos="1624"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Defaults</w:t>
      </w:r>
      <w:r>
        <w:rPr>
          <w:rFonts w:ascii="Arial" w:cs="Arial" w:eastAsia="Arial" w:hAnsi="Arial"/>
          <w:sz w:val="13"/>
          <w:szCs w:val="13"/>
          <w:color w:val="auto"/>
        </w:rPr>
        <w:t>. Except as set forth below, no Default or Event of Default has occurred or is continuing. If a Default or Event of Default has occurred, the following describes the nature of the Default in reasonable detail and the steps, if any, being taken or contemplated by the Loan Parties to be taken on account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Describe Default(s) or Event(s) of Default and steps taken (Note, if no Default or Event of Default has occurred, insert “Not Applicable”):</w:t>
      </w:r>
    </w:p>
    <w:p>
      <w:pPr>
        <w:spacing w:after="0" w:line="173" w:lineRule="exact"/>
        <w:rPr>
          <w:sz w:val="20"/>
          <w:szCs w:val="20"/>
          <w:color w:val="auto"/>
        </w:rPr>
      </w:pPr>
    </w:p>
    <w:p>
      <w:pPr>
        <w:ind w:left="980" w:hanging="2"/>
        <w:spacing w:after="0" w:line="294" w:lineRule="auto"/>
        <w:tabs>
          <w:tab w:leader="none" w:pos="1617"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No event, immediate notice of which is to be provided by the Borrowers’ Representative in accordance with Section 5.3 of the Loan Agreement, has occurred, other than those events, written notice of which has previously been provided and those events (if any) described below:</w:t>
      </w:r>
    </w:p>
    <w:p>
      <w:pPr>
        <w:spacing w:after="0" w:line="118"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Describe Section 5.3 events (Note, if no such event has occurred, insert “Not Applicable”)</w:t>
      </w:r>
    </w:p>
    <w:p>
      <w:pPr>
        <w:spacing w:after="0" w:line="173" w:lineRule="exact"/>
        <w:rPr>
          <w:sz w:val="20"/>
          <w:szCs w:val="20"/>
          <w:color w:val="auto"/>
        </w:rPr>
      </w:pPr>
    </w:p>
    <w:p>
      <w:pPr>
        <w:ind w:left="1880" w:hanging="902"/>
        <w:spacing w:after="0" w:line="294" w:lineRule="auto"/>
        <w:tabs>
          <w:tab w:leader="none" w:pos="1880" w:val="left"/>
        </w:tabs>
        <w:numPr>
          <w:ilvl w:val="0"/>
          <w:numId w:val="211"/>
        </w:numPr>
        <w:rPr>
          <w:rFonts w:ascii="Arial" w:cs="Arial" w:eastAsia="Arial" w:hAnsi="Arial"/>
          <w:sz w:val="13"/>
          <w:szCs w:val="13"/>
          <w:color w:val="auto"/>
        </w:rPr>
      </w:pPr>
      <w:r>
        <w:rPr>
          <w:rFonts w:ascii="Arial" w:cs="Arial" w:eastAsia="Arial" w:hAnsi="Arial"/>
          <w:sz w:val="13"/>
          <w:szCs w:val="13"/>
          <w:u w:val="single" w:color="auto"/>
          <w:color w:val="auto"/>
        </w:rPr>
        <w:t>Consolidated Fixed Charge Coverage Ratio</w:t>
      </w:r>
      <w:r>
        <w:rPr>
          <w:rFonts w:ascii="Arial" w:cs="Arial" w:eastAsia="Arial" w:hAnsi="Arial"/>
          <w:sz w:val="13"/>
          <w:szCs w:val="13"/>
          <w:color w:val="auto"/>
        </w:rPr>
        <w:t xml:space="preserve">. The reasonably detailed calculations with respect to the Consolidated Fixed Charge Coverage Ratio for the Fiscal Month ending ____________ are attached hereto as </w:t>
      </w:r>
      <w:r>
        <w:rPr>
          <w:rFonts w:ascii="Arial" w:cs="Arial" w:eastAsia="Arial" w:hAnsi="Arial"/>
          <w:sz w:val="13"/>
          <w:szCs w:val="13"/>
          <w:u w:val="single" w:color="auto"/>
          <w:color w:val="auto"/>
        </w:rPr>
        <w:t>Appendix I</w:t>
      </w:r>
      <w:r>
        <w:rPr>
          <w:rFonts w:ascii="Arial" w:cs="Arial" w:eastAsia="Arial" w:hAnsi="Arial"/>
          <w:sz w:val="13"/>
          <w:szCs w:val="13"/>
          <w:color w:val="auto"/>
        </w:rPr>
        <w:t xml:space="preserve"> (whether or not a Covenant Compliance Event has occurred and is continuing).</w:t>
      </w:r>
    </w:p>
    <w:p>
      <w:pPr>
        <w:sectPr>
          <w:pgSz w:w="11900" w:h="16838" w:orient="portrait"/>
          <w:cols w:equalWidth="0" w:num="1">
            <w:col w:w="11460"/>
          </w:cols>
          <w:pgMar w:left="220" w:top="129" w:right="219" w:bottom="1440" w:gutter="0" w:footer="0" w:header="0"/>
        </w:sectPr>
      </w:pPr>
    </w:p>
    <w:bookmarkStart w:id="202" w:name="page203"/>
    <w:bookmarkEnd w:id="202"/>
    <w:p>
      <w:pPr>
        <w:ind w:left="1880" w:hanging="902"/>
        <w:spacing w:after="0"/>
        <w:tabs>
          <w:tab w:leader="none" w:pos="188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[Store Openings/Store Closings. A list of Stores that were opened and/or closed, including,</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2"/>
          <w:szCs w:val="12"/>
          <w:color w:val="auto"/>
        </w:rPr>
        <w:t>without limitation, the name and address of each such Store and date of the opening or closing, since _________________ (the date of the last similar certification), is attached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 xml:space="preserve">hereto as </w:t>
      </w:r>
      <w:r>
        <w:rPr>
          <w:rFonts w:ascii="Arial" w:cs="Arial" w:eastAsia="Arial" w:hAnsi="Arial"/>
          <w:sz w:val="13"/>
          <w:szCs w:val="13"/>
          <w:u w:val="single" w:color="auto"/>
          <w:color w:val="auto"/>
        </w:rPr>
        <w:t>Appendix II</w:t>
      </w:r>
      <w:r>
        <w:rPr>
          <w:rFonts w:ascii="Arial" w:cs="Arial" w:eastAsia="Arial" w:hAnsi="Arial"/>
          <w:sz w:val="13"/>
          <w:szCs w:val="13"/>
          <w:color w:val="auto"/>
        </w:rPr>
        <w:t xml:space="preserve">. Exhibit 4.5 of the Loan Agreement is deemed updated to reflect the information set forth in such </w:t>
      </w:r>
      <w:r>
        <w:rPr>
          <w:rFonts w:ascii="Arial" w:cs="Arial" w:eastAsia="Arial" w:hAnsi="Arial"/>
          <w:sz w:val="13"/>
          <w:szCs w:val="13"/>
          <w:u w:val="single" w:color="auto"/>
          <w:color w:val="auto"/>
        </w:rPr>
        <w:t>Appendix II</w:t>
      </w:r>
      <w:r>
        <w:rPr>
          <w:rFonts w:ascii="Arial" w:cs="Arial" w:eastAsia="Arial" w:hAnsi="Arial"/>
          <w:sz w:val="13"/>
          <w:szCs w:val="13"/>
          <w:color w:val="auto"/>
        </w:rPr>
        <w:t>.</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w:t>
      </w:r>
      <w:r>
        <w:rPr>
          <w:rFonts w:ascii="Arial" w:cs="Arial" w:eastAsia="Arial" w:hAnsi="Arial"/>
          <w:sz w:val="13"/>
          <w:szCs w:val="13"/>
          <w:color w:val="auto"/>
        </w:rPr>
        <w:t>, if no Store openings or closing have occurred, insert “Not Applicable.”)]</w:t>
      </w:r>
      <w:r>
        <w:rPr>
          <w:rFonts w:ascii="Arial" w:cs="Arial" w:eastAsia="Arial" w:hAnsi="Arial"/>
          <w:sz w:val="11"/>
          <w:szCs w:val="11"/>
          <w:color w:val="auto"/>
        </w:rPr>
        <w:t>1</w:t>
      </w:r>
    </w:p>
    <w:p>
      <w:pPr>
        <w:spacing w:after="0" w:line="335" w:lineRule="exact"/>
        <w:rPr>
          <w:sz w:val="20"/>
          <w:szCs w:val="20"/>
          <w:color w:val="auto"/>
        </w:rPr>
      </w:pPr>
    </w:p>
    <w:p>
      <w:pPr>
        <w:ind w:left="6340"/>
        <w:spacing w:after="0"/>
        <w:rPr>
          <w:sz w:val="20"/>
          <w:szCs w:val="20"/>
          <w:color w:val="auto"/>
        </w:rPr>
      </w:pPr>
      <w:r>
        <w:rPr>
          <w:rFonts w:ascii="Arial" w:cs="Arial" w:eastAsia="Arial" w:hAnsi="Arial"/>
          <w:sz w:val="13"/>
          <w:szCs w:val="13"/>
          <w:i w:val="1"/>
          <w:iCs w:val="1"/>
          <w:color w:val="auto"/>
        </w:rPr>
        <w:t>Destination XL Group, Inc.</w:t>
      </w:r>
    </w:p>
    <w:p>
      <w:pPr>
        <w:spacing w:after="0" w:line="200" w:lineRule="exact"/>
        <w:rPr>
          <w:sz w:val="20"/>
          <w:szCs w:val="20"/>
          <w:color w:val="auto"/>
        </w:rPr>
      </w:pPr>
    </w:p>
    <w:p>
      <w:pPr>
        <w:spacing w:after="0" w:line="296"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_____________________________</w:t>
      </w:r>
    </w:p>
    <w:p>
      <w:pPr>
        <w:spacing w:after="0" w:line="22"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By: Peter H. Stratton, Jr.</w:t>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Title: Senior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1 NTD: to be used only if accompanying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145351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3515" cy="6350"/>
                    </a:xfrm>
                    <a:prstGeom prst="rect">
                      <a:avLst/>
                    </a:prstGeom>
                    <a:noFill/>
                  </pic:spPr>
                </pic:pic>
              </a:graphicData>
            </a:graphic>
          </wp:anchor>
        </w:drawing>
      </w:r>
    </w:p>
    <w:p>
      <w:pPr>
        <w:sectPr>
          <w:pgSz w:w="11900" w:h="16838" w:orient="portrait"/>
          <w:cols w:equalWidth="0" w:num="1">
            <w:col w:w="11460"/>
          </w:cols>
          <w:pgMar w:left="220" w:top="290" w:right="219" w:bottom="1440" w:gutter="0" w:footer="0" w:header="0"/>
        </w:sectPr>
      </w:pPr>
    </w:p>
    <w:bookmarkStart w:id="203" w:name="page204"/>
    <w:bookmarkEnd w:id="203"/>
    <w:p>
      <w:pPr>
        <w:jc w:val="center"/>
        <w:ind w:right="-240"/>
        <w:spacing w:after="0"/>
        <w:rPr>
          <w:sz w:val="20"/>
          <w:szCs w:val="20"/>
          <w:color w:val="auto"/>
        </w:rPr>
      </w:pPr>
      <w:r>
        <w:rPr>
          <w:rFonts w:ascii="Arial" w:cs="Arial" w:eastAsia="Arial" w:hAnsi="Arial"/>
          <w:sz w:val="13"/>
          <w:szCs w:val="13"/>
          <w:b w:val="1"/>
          <w:bCs w:val="1"/>
          <w:u w:val="single" w:color="auto"/>
          <w:color w:val="auto"/>
        </w:rPr>
        <w:t>Appendix I to Compliance Certificate</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calculation of Consolidated Fixed Charge Coverage Ratio for the Fiscal Month ending on ___________________________.</w:t>
      </w:r>
    </w:p>
    <w:p>
      <w:pPr>
        <w:sectPr>
          <w:pgSz w:w="11900" w:h="16838" w:orient="portrait"/>
          <w:cols w:equalWidth="0" w:num="1">
            <w:col w:w="9259"/>
          </w:cols>
          <w:pgMar w:left="1200" w:top="127" w:right="1440" w:bottom="1440" w:gutter="0" w:footer="0" w:header="0"/>
        </w:sectPr>
      </w:pPr>
    </w:p>
    <w:bookmarkStart w:id="204" w:name="page205"/>
    <w:bookmarkEnd w:id="204"/>
    <w:p>
      <w:pPr>
        <w:ind w:left="4620"/>
        <w:spacing w:after="0"/>
        <w:rPr>
          <w:sz w:val="20"/>
          <w:szCs w:val="20"/>
          <w:color w:val="auto"/>
        </w:rPr>
      </w:pPr>
      <w:r>
        <w:rPr>
          <w:rFonts w:ascii="Arial" w:cs="Arial" w:eastAsia="Arial" w:hAnsi="Arial"/>
          <w:sz w:val="12"/>
          <w:szCs w:val="12"/>
          <w:b w:val="1"/>
          <w:bCs w:val="1"/>
          <w:u w:val="single" w:color="auto"/>
          <w:color w:val="auto"/>
        </w:rPr>
        <w:t>Appendix II to Compliance Certificate</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following Stores were opened since ________ (the date of the last similar certification):</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1"/>
          <w:szCs w:val="11"/>
          <w:b w:val="1"/>
          <w:bCs w:val="1"/>
          <w:color w:val="auto"/>
        </w:rPr>
        <w:t>AddressDate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following Stores were closed since ________ (the date of the last similar certification):</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1"/>
          <w:szCs w:val="11"/>
          <w:b w:val="1"/>
          <w:bCs w:val="1"/>
          <w:color w:val="auto"/>
        </w:rPr>
        <w:t>AddressDate</w:t>
      </w:r>
    </w:p>
    <w:p>
      <w:pPr>
        <w:sectPr>
          <w:pgSz w:w="11900" w:h="16838" w:orient="portrait"/>
          <w:cols w:equalWidth="0" w:num="1">
            <w:col w:w="10239"/>
          </w:cols>
          <w:pgMar w:left="220" w:top="127" w:right="1440" w:bottom="1440" w:gutter="0" w:footer="0" w:header="0"/>
        </w:sectPr>
      </w:pPr>
    </w:p>
    <w:bookmarkStart w:id="205" w:name="page206"/>
    <w:bookmarkEnd w:id="205"/>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7.1</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DDAs</w:t>
      </w:r>
    </w:p>
    <w:p>
      <w:pPr>
        <w:spacing w:after="0" w:line="93"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420" w:type="dxa"/>
            <w:vAlign w:val="bottom"/>
          </w:tcPr>
          <w:p>
            <w:pPr>
              <w:jc w:val="right"/>
              <w:spacing w:after="0"/>
              <w:rPr>
                <w:sz w:val="20"/>
                <w:szCs w:val="20"/>
                <w:color w:val="auto"/>
              </w:rPr>
            </w:pPr>
            <w:r>
              <w:rPr>
                <w:rFonts w:ascii="Arial" w:cs="Arial" w:eastAsia="Arial" w:hAnsi="Arial"/>
                <w:sz w:val="11"/>
                <w:szCs w:val="11"/>
                <w:b w:val="1"/>
                <w:bCs w:val="1"/>
                <w:u w:val="single" w:color="auto"/>
                <w:color w:val="auto"/>
              </w:rPr>
              <w:t>STORE</w:t>
            </w:r>
          </w:p>
        </w:tc>
        <w:tc>
          <w:tcPr>
            <w:tcW w:w="1160" w:type="dxa"/>
            <w:vAlign w:val="bottom"/>
          </w:tcPr>
          <w:p>
            <w:pPr>
              <w:ind w:left="360"/>
              <w:spacing w:after="0"/>
              <w:rPr>
                <w:sz w:val="20"/>
                <w:szCs w:val="20"/>
                <w:color w:val="auto"/>
              </w:rPr>
            </w:pPr>
            <w:r>
              <w:rPr>
                <w:rFonts w:ascii="Arial" w:cs="Arial" w:eastAsia="Arial" w:hAnsi="Arial"/>
                <w:sz w:val="11"/>
                <w:szCs w:val="11"/>
                <w:b w:val="1"/>
                <w:bCs w:val="1"/>
                <w:u w:val="single" w:color="auto"/>
                <w:color w:val="auto"/>
              </w:rPr>
              <w:t>Bank_Name</w:t>
            </w:r>
          </w:p>
        </w:tc>
        <w:tc>
          <w:tcPr>
            <w:tcW w:w="1480" w:type="dxa"/>
            <w:vAlign w:val="bottom"/>
          </w:tcPr>
          <w:p>
            <w:pPr>
              <w:ind w:left="380"/>
              <w:spacing w:after="0"/>
              <w:rPr>
                <w:sz w:val="20"/>
                <w:szCs w:val="20"/>
                <w:color w:val="auto"/>
              </w:rPr>
            </w:pPr>
            <w:r>
              <w:rPr>
                <w:rFonts w:ascii="Arial" w:cs="Arial" w:eastAsia="Arial" w:hAnsi="Arial"/>
                <w:sz w:val="11"/>
                <w:szCs w:val="11"/>
                <w:b w:val="1"/>
                <w:bCs w:val="1"/>
                <w:u w:val="single" w:color="auto"/>
                <w:color w:val="auto"/>
              </w:rPr>
              <w:t>BANK_ADDRESS</w:t>
            </w:r>
          </w:p>
        </w:tc>
        <w:tc>
          <w:tcPr>
            <w:tcW w:w="960" w:type="dxa"/>
            <w:vAlign w:val="bottom"/>
          </w:tcPr>
          <w:p>
            <w:pPr>
              <w:ind w:left="380"/>
              <w:spacing w:after="0"/>
              <w:rPr>
                <w:sz w:val="20"/>
                <w:szCs w:val="20"/>
                <w:color w:val="auto"/>
              </w:rPr>
            </w:pPr>
            <w:r>
              <w:rPr>
                <w:rFonts w:ascii="Arial" w:cs="Arial" w:eastAsia="Arial" w:hAnsi="Arial"/>
                <w:sz w:val="11"/>
                <w:szCs w:val="11"/>
                <w:b w:val="1"/>
                <w:bCs w:val="1"/>
                <w:u w:val="single" w:color="auto"/>
                <w:color w:val="auto"/>
              </w:rPr>
              <w:t>CITY</w:t>
            </w:r>
          </w:p>
        </w:tc>
        <w:tc>
          <w:tcPr>
            <w:tcW w:w="260" w:type="dxa"/>
            <w:vAlign w:val="bottom"/>
          </w:tcPr>
          <w:p>
            <w:pPr>
              <w:ind w:left="100"/>
              <w:spacing w:after="0"/>
              <w:rPr>
                <w:sz w:val="20"/>
                <w:szCs w:val="20"/>
                <w:color w:val="auto"/>
              </w:rPr>
            </w:pPr>
            <w:r>
              <w:rPr>
                <w:rFonts w:ascii="Arial" w:cs="Arial" w:eastAsia="Arial" w:hAnsi="Arial"/>
                <w:sz w:val="11"/>
                <w:szCs w:val="11"/>
                <w:b w:val="1"/>
                <w:bCs w:val="1"/>
                <w:u w:val="single" w:color="auto"/>
                <w:color w:val="auto"/>
                <w:w w:val="99"/>
              </w:rPr>
              <w:t>ST</w:t>
            </w:r>
          </w:p>
        </w:tc>
        <w:tc>
          <w:tcPr>
            <w:tcW w:w="460" w:type="dxa"/>
            <w:vAlign w:val="bottom"/>
          </w:tcPr>
          <w:p>
            <w:pPr>
              <w:ind w:left="200"/>
              <w:spacing w:after="0"/>
              <w:rPr>
                <w:sz w:val="20"/>
                <w:szCs w:val="20"/>
                <w:color w:val="auto"/>
              </w:rPr>
            </w:pPr>
            <w:r>
              <w:rPr>
                <w:rFonts w:ascii="Arial" w:cs="Arial" w:eastAsia="Arial" w:hAnsi="Arial"/>
                <w:sz w:val="11"/>
                <w:szCs w:val="11"/>
                <w:b w:val="1"/>
                <w:bCs w:val="1"/>
                <w:u w:val="single" w:color="auto"/>
                <w:color w:val="auto"/>
              </w:rPr>
              <w:t>ZIP</w:t>
            </w:r>
          </w:p>
        </w:tc>
        <w:tc>
          <w:tcPr>
            <w:tcW w:w="1020" w:type="dxa"/>
            <w:vAlign w:val="bottom"/>
          </w:tcPr>
          <w:p>
            <w:pPr>
              <w:jc w:val="right"/>
              <w:ind w:right="26"/>
              <w:spacing w:after="0"/>
              <w:rPr>
                <w:sz w:val="20"/>
                <w:szCs w:val="20"/>
                <w:color w:val="auto"/>
              </w:rPr>
            </w:pPr>
            <w:r>
              <w:rPr>
                <w:rFonts w:ascii="Arial" w:cs="Arial" w:eastAsia="Arial" w:hAnsi="Arial"/>
                <w:sz w:val="11"/>
                <w:szCs w:val="11"/>
                <w:b w:val="1"/>
                <w:bCs w:val="1"/>
                <w:u w:val="single" w:color="auto"/>
                <w:color w:val="auto"/>
              </w:rPr>
              <w:t>TELEPHONE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w w:val="98"/>
              </w:rPr>
              <w:t>ACCOUNT</w:t>
            </w:r>
          </w:p>
        </w:tc>
      </w:tr>
      <w:tr>
        <w:trPr>
          <w:trHeight w:val="125"/>
        </w:trPr>
        <w:tc>
          <w:tcPr>
            <w:tcW w:w="420" w:type="dxa"/>
            <w:vAlign w:val="bottom"/>
          </w:tcPr>
          <w:p>
            <w:pPr>
              <w:jc w:val="right"/>
              <w:ind w:right="46"/>
              <w:spacing w:after="0" w:line="125" w:lineRule="exact"/>
              <w:rPr>
                <w:sz w:val="20"/>
                <w:szCs w:val="20"/>
                <w:color w:val="auto"/>
              </w:rPr>
            </w:pPr>
            <w:r>
              <w:rPr>
                <w:rFonts w:ascii="Arial" w:cs="Arial" w:eastAsia="Arial" w:hAnsi="Arial"/>
                <w:sz w:val="11"/>
                <w:szCs w:val="11"/>
                <w:b w:val="1"/>
                <w:bCs w:val="1"/>
                <w:u w:val="single" w:color="auto"/>
                <w:color w:val="auto"/>
              </w:rPr>
              <w:t>NO.</w:t>
            </w:r>
          </w:p>
        </w:tc>
        <w:tc>
          <w:tcPr>
            <w:tcW w:w="1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jc w:val="center"/>
              <w:ind w:left="26"/>
              <w:spacing w:after="0"/>
              <w:rPr>
                <w:sz w:val="20"/>
                <w:szCs w:val="20"/>
                <w:color w:val="auto"/>
              </w:rPr>
            </w:pPr>
            <w:r>
              <w:rPr>
                <w:rFonts w:ascii="Arial" w:cs="Arial" w:eastAsia="Arial" w:hAnsi="Arial"/>
                <w:sz w:val="10"/>
                <w:szCs w:val="10"/>
                <w:b w:val="1"/>
                <w:bCs w:val="1"/>
                <w:u w:val="single" w:color="auto"/>
                <w:color w:val="auto"/>
                <w:w w:val="71"/>
              </w:rPr>
              <w:t>#</w:t>
            </w:r>
          </w:p>
        </w:tc>
      </w:tr>
      <w:tr>
        <w:trPr>
          <w:trHeight w:val="13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9011</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875 N MICHIGAN AVE</w:t>
            </w:r>
          </w:p>
        </w:tc>
        <w:tc>
          <w:tcPr>
            <w:tcW w:w="960" w:type="dxa"/>
            <w:vAlign w:val="bottom"/>
          </w:tcPr>
          <w:p>
            <w:pPr>
              <w:ind w:left="40"/>
              <w:spacing w:after="0"/>
              <w:rPr>
                <w:sz w:val="20"/>
                <w:szCs w:val="20"/>
                <w:color w:val="auto"/>
              </w:rPr>
            </w:pPr>
            <w:r>
              <w:rPr>
                <w:rFonts w:ascii="Arial" w:cs="Arial" w:eastAsia="Arial" w:hAnsi="Arial"/>
                <w:sz w:val="11"/>
                <w:szCs w:val="11"/>
                <w:color w:val="auto"/>
              </w:rPr>
              <w:t>CHICAGO</w:t>
            </w:r>
          </w:p>
        </w:tc>
        <w:tc>
          <w:tcPr>
            <w:tcW w:w="260" w:type="dxa"/>
            <w:vAlign w:val="bottom"/>
          </w:tcPr>
          <w:p>
            <w:pPr>
              <w:ind w:left="40"/>
              <w:spacing w:after="0"/>
              <w:rPr>
                <w:sz w:val="20"/>
                <w:szCs w:val="20"/>
                <w:color w:val="auto"/>
              </w:rPr>
            </w:pPr>
            <w:r>
              <w:rPr>
                <w:rFonts w:ascii="Arial" w:cs="Arial" w:eastAsia="Arial" w:hAnsi="Arial"/>
                <w:sz w:val="11"/>
                <w:szCs w:val="11"/>
                <w:color w:val="auto"/>
              </w:rPr>
              <w:t>IL</w:t>
            </w:r>
          </w:p>
        </w:tc>
        <w:tc>
          <w:tcPr>
            <w:tcW w:w="460" w:type="dxa"/>
            <w:vAlign w:val="bottom"/>
          </w:tcPr>
          <w:p>
            <w:pPr>
              <w:ind w:left="40"/>
              <w:spacing w:after="0"/>
              <w:rPr>
                <w:sz w:val="20"/>
                <w:szCs w:val="20"/>
                <w:color w:val="auto"/>
              </w:rPr>
            </w:pPr>
            <w:r>
              <w:rPr>
                <w:rFonts w:ascii="Arial" w:cs="Arial" w:eastAsia="Arial" w:hAnsi="Arial"/>
                <w:sz w:val="11"/>
                <w:szCs w:val="11"/>
                <w:color w:val="auto"/>
              </w:rPr>
              <w:t>60611</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(312) 664-4600</w:t>
            </w:r>
          </w:p>
        </w:tc>
        <w:tc>
          <w:tcPr>
            <w:tcW w:w="640" w:type="dxa"/>
            <w:vAlign w:val="bottom"/>
          </w:tcPr>
          <w:p>
            <w:pPr>
              <w:ind w:left="80"/>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9015</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3116 Peachtree Road, NE</w:t>
            </w:r>
          </w:p>
        </w:tc>
        <w:tc>
          <w:tcPr>
            <w:tcW w:w="960" w:type="dxa"/>
            <w:vAlign w:val="bottom"/>
          </w:tcPr>
          <w:p>
            <w:pPr>
              <w:ind w:left="40"/>
              <w:spacing w:after="0"/>
              <w:rPr>
                <w:sz w:val="20"/>
                <w:szCs w:val="20"/>
                <w:color w:val="auto"/>
              </w:rPr>
            </w:pPr>
            <w:r>
              <w:rPr>
                <w:rFonts w:ascii="Arial" w:cs="Arial" w:eastAsia="Arial" w:hAnsi="Arial"/>
                <w:sz w:val="11"/>
                <w:szCs w:val="11"/>
                <w:color w:val="auto"/>
              </w:rPr>
              <w:t>Atlanta</w:t>
            </w:r>
          </w:p>
        </w:tc>
        <w:tc>
          <w:tcPr>
            <w:tcW w:w="260" w:type="dxa"/>
            <w:vAlign w:val="bottom"/>
          </w:tcPr>
          <w:p>
            <w:pPr>
              <w:ind w:left="40"/>
              <w:spacing w:after="0"/>
              <w:rPr>
                <w:sz w:val="20"/>
                <w:szCs w:val="20"/>
                <w:color w:val="auto"/>
              </w:rPr>
            </w:pPr>
            <w:r>
              <w:rPr>
                <w:rFonts w:ascii="Arial" w:cs="Arial" w:eastAsia="Arial" w:hAnsi="Arial"/>
                <w:sz w:val="11"/>
                <w:szCs w:val="11"/>
                <w:color w:val="auto"/>
              </w:rPr>
              <w:t>GA</w:t>
            </w:r>
          </w:p>
        </w:tc>
        <w:tc>
          <w:tcPr>
            <w:tcW w:w="460" w:type="dxa"/>
            <w:vAlign w:val="bottom"/>
          </w:tcPr>
          <w:p>
            <w:pPr>
              <w:ind w:left="40"/>
              <w:spacing w:after="0"/>
              <w:rPr>
                <w:sz w:val="20"/>
                <w:szCs w:val="20"/>
                <w:color w:val="auto"/>
              </w:rPr>
            </w:pPr>
            <w:r>
              <w:rPr>
                <w:rFonts w:ascii="Arial" w:cs="Arial" w:eastAsia="Arial" w:hAnsi="Arial"/>
                <w:sz w:val="11"/>
                <w:szCs w:val="11"/>
                <w:color w:val="auto"/>
              </w:rPr>
              <w:t>30305</w:t>
            </w:r>
          </w:p>
        </w:tc>
        <w:tc>
          <w:tcPr>
            <w:tcW w:w="1020" w:type="dxa"/>
            <w:vAlign w:val="bottom"/>
          </w:tcPr>
          <w:p>
            <w:pPr>
              <w:spacing w:after="0"/>
              <w:rPr>
                <w:sz w:val="11"/>
                <w:szCs w:val="11"/>
                <w:color w:val="auto"/>
              </w:rPr>
            </w:pP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353"/>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9053</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9550 METCALF</w:t>
            </w:r>
          </w:p>
        </w:tc>
        <w:tc>
          <w:tcPr>
            <w:tcW w:w="960" w:type="dxa"/>
            <w:vAlign w:val="bottom"/>
          </w:tcPr>
          <w:p>
            <w:pPr>
              <w:ind w:left="40"/>
              <w:spacing w:after="0"/>
              <w:rPr>
                <w:sz w:val="20"/>
                <w:szCs w:val="20"/>
                <w:color w:val="auto"/>
              </w:rPr>
            </w:pPr>
            <w:r>
              <w:rPr>
                <w:rFonts w:ascii="Arial" w:cs="Arial" w:eastAsia="Arial" w:hAnsi="Arial"/>
                <w:sz w:val="11"/>
                <w:szCs w:val="11"/>
                <w:color w:val="auto"/>
                <w:w w:val="96"/>
              </w:rPr>
              <w:t>OVERLAND PARK</w:t>
            </w:r>
          </w:p>
        </w:tc>
        <w:tc>
          <w:tcPr>
            <w:tcW w:w="260" w:type="dxa"/>
            <w:vAlign w:val="bottom"/>
          </w:tcPr>
          <w:p>
            <w:pPr>
              <w:ind w:left="40"/>
              <w:spacing w:after="0"/>
              <w:rPr>
                <w:sz w:val="20"/>
                <w:szCs w:val="20"/>
                <w:color w:val="auto"/>
              </w:rPr>
            </w:pPr>
            <w:r>
              <w:rPr>
                <w:rFonts w:ascii="Arial" w:cs="Arial" w:eastAsia="Arial" w:hAnsi="Arial"/>
                <w:sz w:val="11"/>
                <w:szCs w:val="11"/>
                <w:color w:val="auto"/>
              </w:rPr>
              <w:t>KS</w:t>
            </w:r>
          </w:p>
        </w:tc>
        <w:tc>
          <w:tcPr>
            <w:tcW w:w="460" w:type="dxa"/>
            <w:vAlign w:val="bottom"/>
          </w:tcPr>
          <w:p>
            <w:pPr>
              <w:ind w:left="40"/>
              <w:spacing w:after="0"/>
              <w:rPr>
                <w:sz w:val="20"/>
                <w:szCs w:val="20"/>
                <w:color w:val="auto"/>
              </w:rPr>
            </w:pPr>
            <w:r>
              <w:rPr>
                <w:rFonts w:ascii="Arial" w:cs="Arial" w:eastAsia="Arial" w:hAnsi="Arial"/>
                <w:sz w:val="11"/>
                <w:szCs w:val="11"/>
                <w:color w:val="auto"/>
              </w:rPr>
              <w:t>66212</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(816) 979-8945</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9054</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325 NORTH MILWAKEE</w:t>
            </w:r>
          </w:p>
        </w:tc>
        <w:tc>
          <w:tcPr>
            <w:tcW w:w="960" w:type="dxa"/>
            <w:vAlign w:val="bottom"/>
          </w:tcPr>
          <w:p>
            <w:pPr>
              <w:ind w:left="40"/>
              <w:spacing w:after="0"/>
              <w:rPr>
                <w:sz w:val="20"/>
                <w:szCs w:val="20"/>
                <w:color w:val="auto"/>
              </w:rPr>
            </w:pPr>
            <w:r>
              <w:rPr>
                <w:rFonts w:ascii="Arial" w:cs="Arial" w:eastAsia="Arial" w:hAnsi="Arial"/>
                <w:sz w:val="11"/>
                <w:szCs w:val="11"/>
                <w:color w:val="auto"/>
              </w:rPr>
              <w:t>VERNON HILLS</w:t>
            </w:r>
          </w:p>
        </w:tc>
        <w:tc>
          <w:tcPr>
            <w:tcW w:w="260" w:type="dxa"/>
            <w:vAlign w:val="bottom"/>
          </w:tcPr>
          <w:p>
            <w:pPr>
              <w:ind w:left="40"/>
              <w:spacing w:after="0"/>
              <w:rPr>
                <w:sz w:val="20"/>
                <w:szCs w:val="20"/>
                <w:color w:val="auto"/>
              </w:rPr>
            </w:pPr>
            <w:r>
              <w:rPr>
                <w:rFonts w:ascii="Arial" w:cs="Arial" w:eastAsia="Arial" w:hAnsi="Arial"/>
                <w:sz w:val="11"/>
                <w:szCs w:val="11"/>
                <w:color w:val="auto"/>
              </w:rPr>
              <w:t>IL</w:t>
            </w:r>
          </w:p>
        </w:tc>
        <w:tc>
          <w:tcPr>
            <w:tcW w:w="460" w:type="dxa"/>
            <w:vAlign w:val="bottom"/>
          </w:tcPr>
          <w:p>
            <w:pPr>
              <w:ind w:left="40"/>
              <w:spacing w:after="0"/>
              <w:rPr>
                <w:sz w:val="20"/>
                <w:szCs w:val="20"/>
                <w:color w:val="auto"/>
              </w:rPr>
            </w:pPr>
            <w:r>
              <w:rPr>
                <w:rFonts w:ascii="Arial" w:cs="Arial" w:eastAsia="Arial" w:hAnsi="Arial"/>
                <w:sz w:val="11"/>
                <w:szCs w:val="11"/>
                <w:color w:val="auto"/>
              </w:rPr>
              <w:t>60061</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(847) 821-8716</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AVENUE</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7"/>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9055</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2031 WEST HENDERSON</w:t>
            </w:r>
          </w:p>
        </w:tc>
        <w:tc>
          <w:tcPr>
            <w:tcW w:w="960" w:type="dxa"/>
            <w:vAlign w:val="bottom"/>
          </w:tcPr>
          <w:p>
            <w:pPr>
              <w:ind w:left="40"/>
              <w:spacing w:after="0"/>
              <w:rPr>
                <w:sz w:val="20"/>
                <w:szCs w:val="20"/>
                <w:color w:val="auto"/>
              </w:rPr>
            </w:pPr>
            <w:r>
              <w:rPr>
                <w:rFonts w:ascii="Arial" w:cs="Arial" w:eastAsia="Arial" w:hAnsi="Arial"/>
                <w:sz w:val="11"/>
                <w:szCs w:val="11"/>
                <w:color w:val="auto"/>
              </w:rPr>
              <w:t>COLUMBUS</w:t>
            </w:r>
          </w:p>
        </w:tc>
        <w:tc>
          <w:tcPr>
            <w:tcW w:w="260" w:type="dxa"/>
            <w:vAlign w:val="bottom"/>
          </w:tcPr>
          <w:p>
            <w:pPr>
              <w:ind w:left="40"/>
              <w:spacing w:after="0"/>
              <w:rPr>
                <w:sz w:val="20"/>
                <w:szCs w:val="20"/>
                <w:color w:val="auto"/>
              </w:rPr>
            </w:pPr>
            <w:r>
              <w:rPr>
                <w:rFonts w:ascii="Arial" w:cs="Arial" w:eastAsia="Arial" w:hAnsi="Arial"/>
                <w:sz w:val="11"/>
                <w:szCs w:val="11"/>
                <w:color w:val="auto"/>
              </w:rPr>
              <w:t>OH</w:t>
            </w:r>
          </w:p>
        </w:tc>
        <w:tc>
          <w:tcPr>
            <w:tcW w:w="460" w:type="dxa"/>
            <w:vAlign w:val="bottom"/>
          </w:tcPr>
          <w:p>
            <w:pPr>
              <w:ind w:left="40"/>
              <w:spacing w:after="0"/>
              <w:rPr>
                <w:sz w:val="20"/>
                <w:szCs w:val="20"/>
                <w:color w:val="auto"/>
              </w:rPr>
            </w:pPr>
            <w:r>
              <w:rPr>
                <w:rFonts w:ascii="Arial" w:cs="Arial" w:eastAsia="Arial" w:hAnsi="Arial"/>
                <w:sz w:val="11"/>
                <w:szCs w:val="11"/>
                <w:color w:val="auto"/>
              </w:rPr>
              <w:t>43220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(614) 248-2323</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ROAD</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9056</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5270 POPLAR AVENUE</w:t>
            </w:r>
          </w:p>
        </w:tc>
        <w:tc>
          <w:tcPr>
            <w:tcW w:w="960" w:type="dxa"/>
            <w:vAlign w:val="bottom"/>
          </w:tcPr>
          <w:p>
            <w:pPr>
              <w:ind w:left="40"/>
              <w:spacing w:after="0"/>
              <w:rPr>
                <w:sz w:val="20"/>
                <w:szCs w:val="20"/>
                <w:color w:val="auto"/>
              </w:rPr>
            </w:pPr>
            <w:r>
              <w:rPr>
                <w:rFonts w:ascii="Arial" w:cs="Arial" w:eastAsia="Arial" w:hAnsi="Arial"/>
                <w:sz w:val="11"/>
                <w:szCs w:val="11"/>
                <w:color w:val="auto"/>
              </w:rPr>
              <w:t>MEMPHIS</w:t>
            </w:r>
          </w:p>
        </w:tc>
        <w:tc>
          <w:tcPr>
            <w:tcW w:w="260" w:type="dxa"/>
            <w:vAlign w:val="bottom"/>
          </w:tcPr>
          <w:p>
            <w:pPr>
              <w:ind w:left="40"/>
              <w:spacing w:after="0"/>
              <w:rPr>
                <w:sz w:val="20"/>
                <w:szCs w:val="20"/>
                <w:color w:val="auto"/>
              </w:rPr>
            </w:pPr>
            <w:r>
              <w:rPr>
                <w:rFonts w:ascii="Arial" w:cs="Arial" w:eastAsia="Arial" w:hAnsi="Arial"/>
                <w:sz w:val="11"/>
                <w:szCs w:val="11"/>
                <w:color w:val="auto"/>
              </w:rPr>
              <w:t>TN</w:t>
            </w:r>
          </w:p>
        </w:tc>
        <w:tc>
          <w:tcPr>
            <w:tcW w:w="460" w:type="dxa"/>
            <w:vAlign w:val="bottom"/>
          </w:tcPr>
          <w:p>
            <w:pPr>
              <w:ind w:left="40"/>
              <w:spacing w:after="0"/>
              <w:rPr>
                <w:sz w:val="20"/>
                <w:szCs w:val="20"/>
                <w:color w:val="auto"/>
              </w:rPr>
            </w:pPr>
            <w:r>
              <w:rPr>
                <w:rFonts w:ascii="Arial" w:cs="Arial" w:eastAsia="Arial" w:hAnsi="Arial"/>
                <w:sz w:val="11"/>
                <w:szCs w:val="11"/>
                <w:color w:val="auto"/>
              </w:rPr>
              <w:t>38119</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(901) 684-6000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9058</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8100 FORSYTH BLVD</w:t>
            </w:r>
          </w:p>
        </w:tc>
        <w:tc>
          <w:tcPr>
            <w:tcW w:w="960" w:type="dxa"/>
            <w:vAlign w:val="bottom"/>
          </w:tcPr>
          <w:p>
            <w:pPr>
              <w:ind w:left="40"/>
              <w:spacing w:after="0"/>
              <w:rPr>
                <w:sz w:val="20"/>
                <w:szCs w:val="20"/>
                <w:color w:val="auto"/>
              </w:rPr>
            </w:pPr>
            <w:r>
              <w:rPr>
                <w:rFonts w:ascii="Arial" w:cs="Arial" w:eastAsia="Arial" w:hAnsi="Arial"/>
                <w:sz w:val="11"/>
                <w:szCs w:val="11"/>
                <w:color w:val="auto"/>
              </w:rPr>
              <w:t>ST LOUIS</w:t>
            </w:r>
          </w:p>
        </w:tc>
        <w:tc>
          <w:tcPr>
            <w:tcW w:w="260" w:type="dxa"/>
            <w:vAlign w:val="bottom"/>
          </w:tcPr>
          <w:p>
            <w:pPr>
              <w:ind w:left="40"/>
              <w:spacing w:after="0"/>
              <w:rPr>
                <w:sz w:val="20"/>
                <w:szCs w:val="20"/>
                <w:color w:val="auto"/>
              </w:rPr>
            </w:pPr>
            <w:r>
              <w:rPr>
                <w:rFonts w:ascii="Arial" w:cs="Arial" w:eastAsia="Arial" w:hAnsi="Arial"/>
                <w:sz w:val="11"/>
                <w:szCs w:val="11"/>
                <w:color w:val="auto"/>
              </w:rPr>
              <w:t>MO</w:t>
            </w:r>
          </w:p>
        </w:tc>
        <w:tc>
          <w:tcPr>
            <w:tcW w:w="460" w:type="dxa"/>
            <w:vAlign w:val="bottom"/>
          </w:tcPr>
          <w:p>
            <w:pPr>
              <w:ind w:left="40"/>
              <w:spacing w:after="0"/>
              <w:rPr>
                <w:sz w:val="20"/>
                <w:szCs w:val="20"/>
                <w:color w:val="auto"/>
              </w:rPr>
            </w:pPr>
            <w:r>
              <w:rPr>
                <w:rFonts w:ascii="Arial" w:cs="Arial" w:eastAsia="Arial" w:hAnsi="Arial"/>
                <w:sz w:val="11"/>
                <w:szCs w:val="11"/>
                <w:color w:val="auto"/>
              </w:rPr>
              <w:t>63105</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(314) 466-0482</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9059</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w w:val="95"/>
              </w:rPr>
              <w:t>18100 WEST ELEVEN MILE</w:t>
            </w:r>
          </w:p>
        </w:tc>
        <w:tc>
          <w:tcPr>
            <w:tcW w:w="960" w:type="dxa"/>
            <w:vAlign w:val="bottom"/>
          </w:tcPr>
          <w:p>
            <w:pPr>
              <w:ind w:left="40"/>
              <w:spacing w:after="0"/>
              <w:rPr>
                <w:sz w:val="20"/>
                <w:szCs w:val="20"/>
                <w:color w:val="auto"/>
              </w:rPr>
            </w:pPr>
            <w:r>
              <w:rPr>
                <w:rFonts w:ascii="Arial" w:cs="Arial" w:eastAsia="Arial" w:hAnsi="Arial"/>
                <w:sz w:val="11"/>
                <w:szCs w:val="11"/>
                <w:color w:val="auto"/>
              </w:rPr>
              <w:t>LATHRUP</w:t>
            </w:r>
          </w:p>
        </w:tc>
        <w:tc>
          <w:tcPr>
            <w:tcW w:w="260" w:type="dxa"/>
            <w:vAlign w:val="bottom"/>
          </w:tcPr>
          <w:p>
            <w:pPr>
              <w:ind w:left="40"/>
              <w:spacing w:after="0"/>
              <w:rPr>
                <w:sz w:val="20"/>
                <w:szCs w:val="20"/>
                <w:color w:val="auto"/>
              </w:rPr>
            </w:pPr>
            <w:r>
              <w:rPr>
                <w:rFonts w:ascii="Arial" w:cs="Arial" w:eastAsia="Arial" w:hAnsi="Arial"/>
                <w:sz w:val="11"/>
                <w:szCs w:val="11"/>
                <w:color w:val="auto"/>
              </w:rPr>
              <w:t>MI</w:t>
            </w:r>
          </w:p>
        </w:tc>
        <w:tc>
          <w:tcPr>
            <w:tcW w:w="460" w:type="dxa"/>
            <w:vAlign w:val="bottom"/>
          </w:tcPr>
          <w:p>
            <w:pPr>
              <w:ind w:left="40"/>
              <w:spacing w:after="0"/>
              <w:rPr>
                <w:sz w:val="20"/>
                <w:szCs w:val="20"/>
                <w:color w:val="auto"/>
              </w:rPr>
            </w:pPr>
            <w:r>
              <w:rPr>
                <w:rFonts w:ascii="Arial" w:cs="Arial" w:eastAsia="Arial" w:hAnsi="Arial"/>
                <w:sz w:val="11"/>
                <w:szCs w:val="11"/>
                <w:color w:val="auto"/>
              </w:rPr>
              <w:t>48076</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(248) 424-8720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ROAD</w:t>
            </w:r>
          </w:p>
        </w:tc>
        <w:tc>
          <w:tcPr>
            <w:tcW w:w="960" w:type="dxa"/>
            <w:vAlign w:val="bottom"/>
          </w:tcPr>
          <w:p>
            <w:pPr>
              <w:ind w:left="40"/>
              <w:spacing w:after="0"/>
              <w:rPr>
                <w:sz w:val="20"/>
                <w:szCs w:val="20"/>
                <w:color w:val="auto"/>
              </w:rPr>
            </w:pPr>
            <w:r>
              <w:rPr>
                <w:rFonts w:ascii="Arial" w:cs="Arial" w:eastAsia="Arial" w:hAnsi="Arial"/>
                <w:sz w:val="11"/>
                <w:szCs w:val="11"/>
                <w:color w:val="auto"/>
              </w:rPr>
              <w:t>VILLAGE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9060</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3100 Fairlane Drive</w:t>
            </w:r>
          </w:p>
        </w:tc>
        <w:tc>
          <w:tcPr>
            <w:tcW w:w="960" w:type="dxa"/>
            <w:vAlign w:val="bottom"/>
          </w:tcPr>
          <w:p>
            <w:pPr>
              <w:ind w:left="40"/>
              <w:spacing w:after="0"/>
              <w:rPr>
                <w:sz w:val="20"/>
                <w:szCs w:val="20"/>
                <w:color w:val="auto"/>
              </w:rPr>
            </w:pPr>
            <w:r>
              <w:rPr>
                <w:rFonts w:ascii="Arial" w:cs="Arial" w:eastAsia="Arial" w:hAnsi="Arial"/>
                <w:sz w:val="11"/>
                <w:szCs w:val="11"/>
                <w:color w:val="auto"/>
              </w:rPr>
              <w:t>Allen Park</w:t>
            </w:r>
          </w:p>
        </w:tc>
        <w:tc>
          <w:tcPr>
            <w:tcW w:w="260" w:type="dxa"/>
            <w:vAlign w:val="bottom"/>
          </w:tcPr>
          <w:p>
            <w:pPr>
              <w:ind w:left="40"/>
              <w:spacing w:after="0"/>
              <w:rPr>
                <w:sz w:val="20"/>
                <w:szCs w:val="20"/>
                <w:color w:val="auto"/>
              </w:rPr>
            </w:pPr>
            <w:r>
              <w:rPr>
                <w:rFonts w:ascii="Arial" w:cs="Arial" w:eastAsia="Arial" w:hAnsi="Arial"/>
                <w:sz w:val="11"/>
                <w:szCs w:val="11"/>
                <w:color w:val="auto"/>
              </w:rPr>
              <w:t>MI</w:t>
            </w:r>
          </w:p>
        </w:tc>
        <w:tc>
          <w:tcPr>
            <w:tcW w:w="460" w:type="dxa"/>
            <w:vAlign w:val="bottom"/>
          </w:tcPr>
          <w:p>
            <w:pPr>
              <w:ind w:left="40"/>
              <w:spacing w:after="0"/>
              <w:rPr>
                <w:sz w:val="20"/>
                <w:szCs w:val="20"/>
                <w:color w:val="auto"/>
              </w:rPr>
            </w:pPr>
            <w:r>
              <w:rPr>
                <w:rFonts w:ascii="Arial" w:cs="Arial" w:eastAsia="Arial" w:hAnsi="Arial"/>
                <w:sz w:val="11"/>
                <w:szCs w:val="11"/>
                <w:color w:val="auto"/>
              </w:rPr>
              <w:t>48101</w:t>
            </w:r>
          </w:p>
        </w:tc>
        <w:tc>
          <w:tcPr>
            <w:tcW w:w="1020" w:type="dxa"/>
            <w:vAlign w:val="bottom"/>
          </w:tcPr>
          <w:p>
            <w:pPr>
              <w:jc w:val="right"/>
              <w:ind w:right="186"/>
              <w:spacing w:after="0"/>
              <w:rPr>
                <w:sz w:val="20"/>
                <w:szCs w:val="20"/>
                <w:color w:val="auto"/>
              </w:rPr>
            </w:pPr>
            <w:r>
              <w:rPr>
                <w:rFonts w:ascii="Arial" w:cs="Arial" w:eastAsia="Arial" w:hAnsi="Arial"/>
                <w:sz w:val="11"/>
                <w:szCs w:val="11"/>
                <w:color w:val="auto"/>
              </w:rPr>
              <w:t>(800) 935-9935</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9063</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43100 GRAND RIVER</w:t>
            </w:r>
          </w:p>
        </w:tc>
        <w:tc>
          <w:tcPr>
            <w:tcW w:w="960" w:type="dxa"/>
            <w:vAlign w:val="bottom"/>
          </w:tcPr>
          <w:p>
            <w:pPr>
              <w:ind w:left="40"/>
              <w:spacing w:after="0"/>
              <w:rPr>
                <w:sz w:val="20"/>
                <w:szCs w:val="20"/>
                <w:color w:val="auto"/>
              </w:rPr>
            </w:pPr>
            <w:r>
              <w:rPr>
                <w:rFonts w:ascii="Arial" w:cs="Arial" w:eastAsia="Arial" w:hAnsi="Arial"/>
                <w:sz w:val="11"/>
                <w:szCs w:val="11"/>
                <w:color w:val="auto"/>
              </w:rPr>
              <w:t>NOVI</w:t>
            </w:r>
          </w:p>
        </w:tc>
        <w:tc>
          <w:tcPr>
            <w:tcW w:w="260" w:type="dxa"/>
            <w:vAlign w:val="bottom"/>
          </w:tcPr>
          <w:p>
            <w:pPr>
              <w:ind w:left="40"/>
              <w:spacing w:after="0"/>
              <w:rPr>
                <w:sz w:val="20"/>
                <w:szCs w:val="20"/>
                <w:color w:val="auto"/>
              </w:rPr>
            </w:pPr>
            <w:r>
              <w:rPr>
                <w:rFonts w:ascii="Arial" w:cs="Arial" w:eastAsia="Arial" w:hAnsi="Arial"/>
                <w:sz w:val="11"/>
                <w:szCs w:val="11"/>
                <w:color w:val="auto"/>
              </w:rPr>
              <w:t>MI</w:t>
            </w:r>
          </w:p>
        </w:tc>
        <w:tc>
          <w:tcPr>
            <w:tcW w:w="460" w:type="dxa"/>
            <w:vAlign w:val="bottom"/>
          </w:tcPr>
          <w:p>
            <w:pPr>
              <w:ind w:left="40"/>
              <w:spacing w:after="0"/>
              <w:rPr>
                <w:sz w:val="20"/>
                <w:szCs w:val="20"/>
                <w:color w:val="auto"/>
              </w:rPr>
            </w:pPr>
            <w:r>
              <w:rPr>
                <w:rFonts w:ascii="Arial" w:cs="Arial" w:eastAsia="Arial" w:hAnsi="Arial"/>
                <w:sz w:val="11"/>
                <w:szCs w:val="11"/>
                <w:color w:val="auto"/>
              </w:rPr>
              <w:t>48375</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(248) 349-2424</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AVENUE</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7"/>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9064</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13999 LAKESIDE CIRCLE</w:t>
            </w:r>
          </w:p>
        </w:tc>
        <w:tc>
          <w:tcPr>
            <w:tcW w:w="960" w:type="dxa"/>
            <w:vAlign w:val="bottom"/>
          </w:tcPr>
          <w:p>
            <w:pPr>
              <w:ind w:left="40"/>
              <w:spacing w:after="0"/>
              <w:rPr>
                <w:sz w:val="20"/>
                <w:szCs w:val="20"/>
                <w:color w:val="auto"/>
              </w:rPr>
            </w:pPr>
            <w:r>
              <w:rPr>
                <w:rFonts w:ascii="Arial" w:cs="Arial" w:eastAsia="Arial" w:hAnsi="Arial"/>
                <w:sz w:val="11"/>
                <w:szCs w:val="11"/>
                <w:color w:val="auto"/>
              </w:rPr>
              <w:t>STERLING</w:t>
            </w:r>
          </w:p>
        </w:tc>
        <w:tc>
          <w:tcPr>
            <w:tcW w:w="260" w:type="dxa"/>
            <w:vAlign w:val="bottom"/>
          </w:tcPr>
          <w:p>
            <w:pPr>
              <w:ind w:left="40"/>
              <w:spacing w:after="0"/>
              <w:rPr>
                <w:sz w:val="20"/>
                <w:szCs w:val="20"/>
                <w:color w:val="auto"/>
              </w:rPr>
            </w:pPr>
            <w:r>
              <w:rPr>
                <w:rFonts w:ascii="Arial" w:cs="Arial" w:eastAsia="Arial" w:hAnsi="Arial"/>
                <w:sz w:val="11"/>
                <w:szCs w:val="11"/>
                <w:color w:val="auto"/>
              </w:rPr>
              <w:t>MI</w:t>
            </w:r>
          </w:p>
        </w:tc>
        <w:tc>
          <w:tcPr>
            <w:tcW w:w="460" w:type="dxa"/>
            <w:vAlign w:val="bottom"/>
          </w:tcPr>
          <w:p>
            <w:pPr>
              <w:ind w:left="40"/>
              <w:spacing w:after="0"/>
              <w:rPr>
                <w:sz w:val="20"/>
                <w:szCs w:val="20"/>
                <w:color w:val="auto"/>
              </w:rPr>
            </w:pPr>
            <w:r>
              <w:rPr>
                <w:rFonts w:ascii="Arial" w:cs="Arial" w:eastAsia="Arial" w:hAnsi="Arial"/>
                <w:sz w:val="11"/>
                <w:szCs w:val="11"/>
                <w:color w:val="auto"/>
              </w:rPr>
              <w:t>48313</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(586) 247-4900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Pr>
          <w:p>
            <w:pPr>
              <w:ind w:left="40"/>
              <w:spacing w:after="0"/>
              <w:rPr>
                <w:sz w:val="20"/>
                <w:szCs w:val="20"/>
                <w:color w:val="auto"/>
              </w:rPr>
            </w:pPr>
            <w:r>
              <w:rPr>
                <w:rFonts w:ascii="Arial" w:cs="Arial" w:eastAsia="Arial" w:hAnsi="Arial"/>
                <w:sz w:val="11"/>
                <w:szCs w:val="11"/>
                <w:color w:val="auto"/>
              </w:rPr>
              <w:t>HEIGHTS</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9066</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989 MCBRIDE AVE</w:t>
            </w:r>
          </w:p>
        </w:tc>
        <w:tc>
          <w:tcPr>
            <w:tcW w:w="960" w:type="dxa"/>
            <w:vAlign w:val="bottom"/>
          </w:tcPr>
          <w:p>
            <w:pPr>
              <w:ind w:left="40"/>
              <w:spacing w:after="0"/>
              <w:rPr>
                <w:sz w:val="20"/>
                <w:szCs w:val="20"/>
                <w:color w:val="auto"/>
              </w:rPr>
            </w:pPr>
            <w:r>
              <w:rPr>
                <w:rFonts w:ascii="Arial" w:cs="Arial" w:eastAsia="Arial" w:hAnsi="Arial"/>
                <w:sz w:val="11"/>
                <w:szCs w:val="11"/>
                <w:color w:val="auto"/>
                <w:w w:val="94"/>
              </w:rPr>
              <w:t>WEST PATERSON</w:t>
            </w:r>
          </w:p>
        </w:tc>
        <w:tc>
          <w:tcPr>
            <w:tcW w:w="260" w:type="dxa"/>
            <w:vAlign w:val="bottom"/>
          </w:tcPr>
          <w:p>
            <w:pPr>
              <w:ind w:left="40"/>
              <w:spacing w:after="0"/>
              <w:rPr>
                <w:sz w:val="20"/>
                <w:szCs w:val="20"/>
                <w:color w:val="auto"/>
              </w:rPr>
            </w:pPr>
            <w:r>
              <w:rPr>
                <w:rFonts w:ascii="Arial" w:cs="Arial" w:eastAsia="Arial" w:hAnsi="Arial"/>
                <w:sz w:val="11"/>
                <w:szCs w:val="11"/>
                <w:color w:val="auto"/>
              </w:rPr>
              <w:t>NJ</w:t>
            </w:r>
          </w:p>
        </w:tc>
        <w:tc>
          <w:tcPr>
            <w:tcW w:w="460" w:type="dxa"/>
            <w:vAlign w:val="bottom"/>
          </w:tcPr>
          <w:p>
            <w:pPr>
              <w:ind w:left="40"/>
              <w:spacing w:after="0"/>
              <w:rPr>
                <w:sz w:val="20"/>
                <w:szCs w:val="20"/>
                <w:color w:val="auto"/>
              </w:rPr>
            </w:pPr>
            <w:r>
              <w:rPr>
                <w:rFonts w:ascii="Arial" w:cs="Arial" w:eastAsia="Arial" w:hAnsi="Arial"/>
                <w:sz w:val="11"/>
                <w:szCs w:val="11"/>
                <w:color w:val="auto"/>
              </w:rPr>
              <w:t>07424</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(973) 812-3200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9067</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46 Parsonage Rd</w:t>
            </w:r>
          </w:p>
        </w:tc>
        <w:tc>
          <w:tcPr>
            <w:tcW w:w="960" w:type="dxa"/>
            <w:vAlign w:val="bottom"/>
          </w:tcPr>
          <w:p>
            <w:pPr>
              <w:ind w:left="40"/>
              <w:spacing w:after="0"/>
              <w:rPr>
                <w:sz w:val="20"/>
                <w:szCs w:val="20"/>
                <w:color w:val="auto"/>
              </w:rPr>
            </w:pPr>
            <w:r>
              <w:rPr>
                <w:rFonts w:ascii="Arial" w:cs="Arial" w:eastAsia="Arial" w:hAnsi="Arial"/>
                <w:sz w:val="11"/>
                <w:szCs w:val="11"/>
                <w:color w:val="auto"/>
              </w:rPr>
              <w:t>Menlo Park</w:t>
            </w:r>
          </w:p>
        </w:tc>
        <w:tc>
          <w:tcPr>
            <w:tcW w:w="260" w:type="dxa"/>
            <w:vAlign w:val="bottom"/>
          </w:tcPr>
          <w:p>
            <w:pPr>
              <w:ind w:left="40"/>
              <w:spacing w:after="0"/>
              <w:rPr>
                <w:sz w:val="20"/>
                <w:szCs w:val="20"/>
                <w:color w:val="auto"/>
              </w:rPr>
            </w:pPr>
            <w:r>
              <w:rPr>
                <w:rFonts w:ascii="Arial" w:cs="Arial" w:eastAsia="Arial" w:hAnsi="Arial"/>
                <w:sz w:val="11"/>
                <w:szCs w:val="11"/>
                <w:color w:val="auto"/>
              </w:rPr>
              <w:t>NJ</w:t>
            </w:r>
          </w:p>
        </w:tc>
        <w:tc>
          <w:tcPr>
            <w:tcW w:w="460" w:type="dxa"/>
            <w:vAlign w:val="bottom"/>
          </w:tcPr>
          <w:p>
            <w:pPr>
              <w:ind w:left="40"/>
              <w:spacing w:after="0"/>
              <w:rPr>
                <w:sz w:val="20"/>
                <w:szCs w:val="20"/>
                <w:color w:val="auto"/>
              </w:rPr>
            </w:pPr>
            <w:r>
              <w:rPr>
                <w:rFonts w:ascii="Arial" w:cs="Arial" w:eastAsia="Arial" w:hAnsi="Arial"/>
                <w:sz w:val="11"/>
                <w:szCs w:val="11"/>
                <w:color w:val="auto"/>
              </w:rPr>
              <w:t>08837</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9070</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11800 ROCKVILLE PIKE</w:t>
            </w:r>
          </w:p>
        </w:tc>
        <w:tc>
          <w:tcPr>
            <w:tcW w:w="960" w:type="dxa"/>
            <w:vAlign w:val="bottom"/>
          </w:tcPr>
          <w:p>
            <w:pPr>
              <w:ind w:left="40"/>
              <w:spacing w:after="0"/>
              <w:rPr>
                <w:sz w:val="20"/>
                <w:szCs w:val="20"/>
                <w:color w:val="auto"/>
              </w:rPr>
            </w:pPr>
            <w:r>
              <w:rPr>
                <w:rFonts w:ascii="Arial" w:cs="Arial" w:eastAsia="Arial" w:hAnsi="Arial"/>
                <w:sz w:val="11"/>
                <w:szCs w:val="11"/>
                <w:color w:val="auto"/>
              </w:rPr>
              <w:t>ROCKVILLE</w:t>
            </w:r>
          </w:p>
        </w:tc>
        <w:tc>
          <w:tcPr>
            <w:tcW w:w="260" w:type="dxa"/>
            <w:vAlign w:val="bottom"/>
          </w:tcPr>
          <w:p>
            <w:pPr>
              <w:ind w:left="40"/>
              <w:spacing w:after="0"/>
              <w:rPr>
                <w:sz w:val="20"/>
                <w:szCs w:val="20"/>
                <w:color w:val="auto"/>
              </w:rPr>
            </w:pPr>
            <w:r>
              <w:rPr>
                <w:rFonts w:ascii="Arial" w:cs="Arial" w:eastAsia="Arial" w:hAnsi="Arial"/>
                <w:sz w:val="11"/>
                <w:szCs w:val="11"/>
                <w:color w:val="auto"/>
              </w:rPr>
              <w:t>MD</w:t>
            </w:r>
          </w:p>
        </w:tc>
        <w:tc>
          <w:tcPr>
            <w:tcW w:w="460" w:type="dxa"/>
            <w:vAlign w:val="bottom"/>
          </w:tcPr>
          <w:p>
            <w:pPr>
              <w:ind w:left="40"/>
              <w:spacing w:after="0"/>
              <w:rPr>
                <w:sz w:val="20"/>
                <w:szCs w:val="20"/>
                <w:color w:val="auto"/>
              </w:rPr>
            </w:pPr>
            <w:r>
              <w:rPr>
                <w:rFonts w:ascii="Arial" w:cs="Arial" w:eastAsia="Arial" w:hAnsi="Arial"/>
                <w:sz w:val="11"/>
                <w:szCs w:val="11"/>
                <w:color w:val="auto"/>
              </w:rPr>
              <w:t>20852</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(301) 881-8390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9072</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3235 NORTH MESQUITE</w:t>
            </w:r>
          </w:p>
        </w:tc>
        <w:tc>
          <w:tcPr>
            <w:tcW w:w="960" w:type="dxa"/>
            <w:vAlign w:val="bottom"/>
          </w:tcPr>
          <w:p>
            <w:pPr>
              <w:ind w:left="40"/>
              <w:spacing w:after="0"/>
              <w:rPr>
                <w:sz w:val="20"/>
                <w:szCs w:val="20"/>
                <w:color w:val="auto"/>
              </w:rPr>
            </w:pPr>
            <w:r>
              <w:rPr>
                <w:rFonts w:ascii="Arial" w:cs="Arial" w:eastAsia="Arial" w:hAnsi="Arial"/>
                <w:sz w:val="11"/>
                <w:szCs w:val="11"/>
                <w:color w:val="auto"/>
              </w:rPr>
              <w:t>MESQUITE</w:t>
            </w:r>
          </w:p>
        </w:tc>
        <w:tc>
          <w:tcPr>
            <w:tcW w:w="260" w:type="dxa"/>
            <w:vAlign w:val="bottom"/>
          </w:tcPr>
          <w:p>
            <w:pPr>
              <w:ind w:left="40"/>
              <w:spacing w:after="0"/>
              <w:rPr>
                <w:sz w:val="20"/>
                <w:szCs w:val="20"/>
                <w:color w:val="auto"/>
              </w:rPr>
            </w:pPr>
            <w:r>
              <w:rPr>
                <w:rFonts w:ascii="Arial" w:cs="Arial" w:eastAsia="Arial" w:hAnsi="Arial"/>
                <w:sz w:val="11"/>
                <w:szCs w:val="11"/>
                <w:color w:val="auto"/>
              </w:rPr>
              <w:t>TX</w:t>
            </w:r>
          </w:p>
        </w:tc>
        <w:tc>
          <w:tcPr>
            <w:tcW w:w="460" w:type="dxa"/>
            <w:vAlign w:val="bottom"/>
          </w:tcPr>
          <w:p>
            <w:pPr>
              <w:ind w:left="40"/>
              <w:spacing w:after="0"/>
              <w:rPr>
                <w:sz w:val="20"/>
                <w:szCs w:val="20"/>
                <w:color w:val="auto"/>
              </w:rPr>
            </w:pPr>
            <w:r>
              <w:rPr>
                <w:rFonts w:ascii="Arial" w:cs="Arial" w:eastAsia="Arial" w:hAnsi="Arial"/>
                <w:sz w:val="11"/>
                <w:szCs w:val="11"/>
                <w:color w:val="auto"/>
              </w:rPr>
              <w:t>75150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(972) 270-5481</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9074</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1337 GESSNER</w:t>
            </w:r>
          </w:p>
        </w:tc>
        <w:tc>
          <w:tcPr>
            <w:tcW w:w="960" w:type="dxa"/>
            <w:vAlign w:val="bottom"/>
          </w:tcPr>
          <w:p>
            <w:pPr>
              <w:ind w:left="40"/>
              <w:spacing w:after="0"/>
              <w:rPr>
                <w:sz w:val="20"/>
                <w:szCs w:val="20"/>
                <w:color w:val="auto"/>
              </w:rPr>
            </w:pPr>
            <w:r>
              <w:rPr>
                <w:rFonts w:ascii="Arial" w:cs="Arial" w:eastAsia="Arial" w:hAnsi="Arial"/>
                <w:sz w:val="11"/>
                <w:szCs w:val="11"/>
                <w:color w:val="auto"/>
              </w:rPr>
              <w:t>HOUSTON</w:t>
            </w:r>
          </w:p>
        </w:tc>
        <w:tc>
          <w:tcPr>
            <w:tcW w:w="260" w:type="dxa"/>
            <w:vAlign w:val="bottom"/>
          </w:tcPr>
          <w:p>
            <w:pPr>
              <w:ind w:left="40"/>
              <w:spacing w:after="0"/>
              <w:rPr>
                <w:sz w:val="20"/>
                <w:szCs w:val="20"/>
                <w:color w:val="auto"/>
              </w:rPr>
            </w:pPr>
            <w:r>
              <w:rPr>
                <w:rFonts w:ascii="Arial" w:cs="Arial" w:eastAsia="Arial" w:hAnsi="Arial"/>
                <w:sz w:val="11"/>
                <w:szCs w:val="11"/>
                <w:color w:val="auto"/>
              </w:rPr>
              <w:t>TX</w:t>
            </w:r>
          </w:p>
        </w:tc>
        <w:tc>
          <w:tcPr>
            <w:tcW w:w="460" w:type="dxa"/>
            <w:vAlign w:val="bottom"/>
          </w:tcPr>
          <w:p>
            <w:pPr>
              <w:ind w:left="40"/>
              <w:spacing w:after="0"/>
              <w:rPr>
                <w:sz w:val="20"/>
                <w:szCs w:val="20"/>
                <w:color w:val="auto"/>
              </w:rPr>
            </w:pPr>
            <w:r>
              <w:rPr>
                <w:rFonts w:ascii="Arial" w:cs="Arial" w:eastAsia="Arial" w:hAnsi="Arial"/>
                <w:sz w:val="11"/>
                <w:szCs w:val="11"/>
                <w:color w:val="auto"/>
              </w:rPr>
              <w:t>77055</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(713) 751-6100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9076</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4040 SOUTH COOPER</w:t>
            </w:r>
          </w:p>
        </w:tc>
        <w:tc>
          <w:tcPr>
            <w:tcW w:w="960" w:type="dxa"/>
            <w:vAlign w:val="bottom"/>
          </w:tcPr>
          <w:p>
            <w:pPr>
              <w:ind w:left="40"/>
              <w:spacing w:after="0"/>
              <w:rPr>
                <w:sz w:val="20"/>
                <w:szCs w:val="20"/>
                <w:color w:val="auto"/>
              </w:rPr>
            </w:pPr>
            <w:r>
              <w:rPr>
                <w:rFonts w:ascii="Arial" w:cs="Arial" w:eastAsia="Arial" w:hAnsi="Arial"/>
                <w:sz w:val="11"/>
                <w:szCs w:val="11"/>
                <w:color w:val="auto"/>
              </w:rPr>
              <w:t>ARLINGTON</w:t>
            </w:r>
          </w:p>
        </w:tc>
        <w:tc>
          <w:tcPr>
            <w:tcW w:w="260" w:type="dxa"/>
            <w:vAlign w:val="bottom"/>
          </w:tcPr>
          <w:p>
            <w:pPr>
              <w:ind w:left="40"/>
              <w:spacing w:after="0"/>
              <w:rPr>
                <w:sz w:val="20"/>
                <w:szCs w:val="20"/>
                <w:color w:val="auto"/>
              </w:rPr>
            </w:pPr>
            <w:r>
              <w:rPr>
                <w:rFonts w:ascii="Arial" w:cs="Arial" w:eastAsia="Arial" w:hAnsi="Arial"/>
                <w:sz w:val="11"/>
                <w:szCs w:val="11"/>
                <w:color w:val="auto"/>
              </w:rPr>
              <w:t>TX</w:t>
            </w:r>
          </w:p>
        </w:tc>
        <w:tc>
          <w:tcPr>
            <w:tcW w:w="460" w:type="dxa"/>
            <w:vAlign w:val="bottom"/>
          </w:tcPr>
          <w:p>
            <w:pPr>
              <w:ind w:left="40"/>
              <w:spacing w:after="0"/>
              <w:rPr>
                <w:sz w:val="20"/>
                <w:szCs w:val="20"/>
                <w:color w:val="auto"/>
              </w:rPr>
            </w:pPr>
            <w:r>
              <w:rPr>
                <w:rFonts w:ascii="Arial" w:cs="Arial" w:eastAsia="Arial" w:hAnsi="Arial"/>
                <w:sz w:val="11"/>
                <w:szCs w:val="11"/>
                <w:color w:val="auto"/>
              </w:rPr>
              <w:t>76015</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(817) 468-4787</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STREET</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7"/>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9080</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220 SOUTH ESCONDIDO</w:t>
            </w:r>
          </w:p>
        </w:tc>
        <w:tc>
          <w:tcPr>
            <w:tcW w:w="960" w:type="dxa"/>
            <w:vAlign w:val="bottom"/>
          </w:tcPr>
          <w:p>
            <w:pPr>
              <w:ind w:left="40"/>
              <w:spacing w:after="0"/>
              <w:rPr>
                <w:sz w:val="20"/>
                <w:szCs w:val="20"/>
                <w:color w:val="auto"/>
              </w:rPr>
            </w:pPr>
            <w:r>
              <w:rPr>
                <w:rFonts w:ascii="Arial" w:cs="Arial" w:eastAsia="Arial" w:hAnsi="Arial"/>
                <w:sz w:val="11"/>
                <w:szCs w:val="11"/>
                <w:color w:val="auto"/>
              </w:rPr>
              <w:t>ESCONDIDO</w:t>
            </w:r>
          </w:p>
        </w:tc>
        <w:tc>
          <w:tcPr>
            <w:tcW w:w="260" w:type="dxa"/>
            <w:vAlign w:val="bottom"/>
          </w:tcPr>
          <w:p>
            <w:pPr>
              <w:ind w:left="40"/>
              <w:spacing w:after="0"/>
              <w:rPr>
                <w:sz w:val="20"/>
                <w:szCs w:val="20"/>
                <w:color w:val="auto"/>
              </w:rPr>
            </w:pPr>
            <w:r>
              <w:rPr>
                <w:rFonts w:ascii="Arial" w:cs="Arial" w:eastAsia="Arial" w:hAnsi="Arial"/>
                <w:sz w:val="11"/>
                <w:szCs w:val="11"/>
                <w:color w:val="auto"/>
              </w:rPr>
              <w:t>CA</w:t>
            </w:r>
          </w:p>
        </w:tc>
        <w:tc>
          <w:tcPr>
            <w:tcW w:w="460" w:type="dxa"/>
            <w:vAlign w:val="bottom"/>
          </w:tcPr>
          <w:p>
            <w:pPr>
              <w:ind w:left="40"/>
              <w:spacing w:after="0"/>
              <w:rPr>
                <w:sz w:val="20"/>
                <w:szCs w:val="20"/>
                <w:color w:val="auto"/>
              </w:rPr>
            </w:pPr>
            <w:r>
              <w:rPr>
                <w:rFonts w:ascii="Arial" w:cs="Arial" w:eastAsia="Arial" w:hAnsi="Arial"/>
                <w:sz w:val="11"/>
                <w:szCs w:val="11"/>
                <w:color w:val="auto"/>
              </w:rPr>
              <w:t>92025-</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(760) 489-2001</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BLVD</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40"/>
              <w:spacing w:after="0"/>
              <w:rPr>
                <w:sz w:val="20"/>
                <w:szCs w:val="20"/>
                <w:color w:val="auto"/>
              </w:rPr>
            </w:pPr>
            <w:r>
              <w:rPr>
                <w:rFonts w:ascii="Arial" w:cs="Arial" w:eastAsia="Arial" w:hAnsi="Arial"/>
                <w:sz w:val="11"/>
                <w:szCs w:val="11"/>
                <w:color w:val="auto"/>
              </w:rPr>
              <w:t>4183</w:t>
            </w: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9082</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w w:val="94"/>
              </w:rPr>
              <w:t>19240 NORDHOFF STREET</w:t>
            </w:r>
          </w:p>
        </w:tc>
        <w:tc>
          <w:tcPr>
            <w:tcW w:w="960" w:type="dxa"/>
            <w:vAlign w:val="bottom"/>
          </w:tcPr>
          <w:p>
            <w:pPr>
              <w:ind w:left="40"/>
              <w:spacing w:after="0"/>
              <w:rPr>
                <w:sz w:val="20"/>
                <w:szCs w:val="20"/>
                <w:color w:val="auto"/>
              </w:rPr>
            </w:pPr>
            <w:r>
              <w:rPr>
                <w:rFonts w:ascii="Arial" w:cs="Arial" w:eastAsia="Arial" w:hAnsi="Arial"/>
                <w:sz w:val="11"/>
                <w:szCs w:val="11"/>
                <w:color w:val="auto"/>
              </w:rPr>
              <w:t>NORTHRIDGE</w:t>
            </w:r>
          </w:p>
        </w:tc>
        <w:tc>
          <w:tcPr>
            <w:tcW w:w="260" w:type="dxa"/>
            <w:vAlign w:val="bottom"/>
          </w:tcPr>
          <w:p>
            <w:pPr>
              <w:ind w:left="40"/>
              <w:spacing w:after="0"/>
              <w:rPr>
                <w:sz w:val="20"/>
                <w:szCs w:val="20"/>
                <w:color w:val="auto"/>
              </w:rPr>
            </w:pPr>
            <w:r>
              <w:rPr>
                <w:rFonts w:ascii="Arial" w:cs="Arial" w:eastAsia="Arial" w:hAnsi="Arial"/>
                <w:sz w:val="11"/>
                <w:szCs w:val="11"/>
                <w:color w:val="auto"/>
              </w:rPr>
              <w:t>CA</w:t>
            </w:r>
          </w:p>
        </w:tc>
        <w:tc>
          <w:tcPr>
            <w:tcW w:w="460" w:type="dxa"/>
            <w:vAlign w:val="bottom"/>
          </w:tcPr>
          <w:p>
            <w:pPr>
              <w:ind w:left="40"/>
              <w:spacing w:after="0"/>
              <w:rPr>
                <w:sz w:val="20"/>
                <w:szCs w:val="20"/>
                <w:color w:val="auto"/>
              </w:rPr>
            </w:pPr>
            <w:r>
              <w:rPr>
                <w:rFonts w:ascii="Arial" w:cs="Arial" w:eastAsia="Arial" w:hAnsi="Arial"/>
                <w:sz w:val="11"/>
                <w:szCs w:val="11"/>
                <w:color w:val="auto"/>
              </w:rPr>
              <w:t>91324</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(818) 885-4060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9084</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1108 THE MALL IN</w:t>
            </w:r>
          </w:p>
        </w:tc>
        <w:tc>
          <w:tcPr>
            <w:tcW w:w="960" w:type="dxa"/>
            <w:vAlign w:val="bottom"/>
          </w:tcPr>
          <w:p>
            <w:pPr>
              <w:ind w:left="40"/>
              <w:spacing w:after="0"/>
              <w:rPr>
                <w:sz w:val="20"/>
                <w:szCs w:val="20"/>
                <w:color w:val="auto"/>
              </w:rPr>
            </w:pPr>
            <w:r>
              <w:rPr>
                <w:rFonts w:ascii="Arial" w:cs="Arial" w:eastAsia="Arial" w:hAnsi="Arial"/>
                <w:sz w:val="11"/>
                <w:szCs w:val="11"/>
                <w:color w:val="auto"/>
              </w:rPr>
              <w:t>COLUMBIA</w:t>
            </w:r>
          </w:p>
        </w:tc>
        <w:tc>
          <w:tcPr>
            <w:tcW w:w="260" w:type="dxa"/>
            <w:vAlign w:val="bottom"/>
          </w:tcPr>
          <w:p>
            <w:pPr>
              <w:ind w:left="40"/>
              <w:spacing w:after="0"/>
              <w:rPr>
                <w:sz w:val="20"/>
                <w:szCs w:val="20"/>
                <w:color w:val="auto"/>
              </w:rPr>
            </w:pPr>
            <w:r>
              <w:rPr>
                <w:rFonts w:ascii="Arial" w:cs="Arial" w:eastAsia="Arial" w:hAnsi="Arial"/>
                <w:sz w:val="11"/>
                <w:szCs w:val="11"/>
                <w:color w:val="auto"/>
              </w:rPr>
              <w:t>MD</w:t>
            </w:r>
          </w:p>
        </w:tc>
        <w:tc>
          <w:tcPr>
            <w:tcW w:w="460" w:type="dxa"/>
            <w:vAlign w:val="bottom"/>
          </w:tcPr>
          <w:p>
            <w:pPr>
              <w:ind w:left="40"/>
              <w:spacing w:after="0"/>
              <w:rPr>
                <w:sz w:val="20"/>
                <w:szCs w:val="20"/>
                <w:color w:val="auto"/>
              </w:rPr>
            </w:pPr>
            <w:r>
              <w:rPr>
                <w:rFonts w:ascii="Arial" w:cs="Arial" w:eastAsia="Arial" w:hAnsi="Arial"/>
                <w:sz w:val="11"/>
                <w:szCs w:val="11"/>
                <w:color w:val="auto"/>
              </w:rPr>
              <w:t>33401</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(410) 730-8971</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COLUMBIA</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9105</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900 BALD HILL ROAD</w:t>
            </w:r>
          </w:p>
        </w:tc>
        <w:tc>
          <w:tcPr>
            <w:tcW w:w="960" w:type="dxa"/>
            <w:vAlign w:val="bottom"/>
          </w:tcPr>
          <w:p>
            <w:pPr>
              <w:ind w:left="40"/>
              <w:spacing w:after="0"/>
              <w:rPr>
                <w:sz w:val="20"/>
                <w:szCs w:val="20"/>
                <w:color w:val="auto"/>
              </w:rPr>
            </w:pPr>
            <w:r>
              <w:rPr>
                <w:rFonts w:ascii="Arial" w:cs="Arial" w:eastAsia="Arial" w:hAnsi="Arial"/>
                <w:sz w:val="11"/>
                <w:szCs w:val="11"/>
                <w:color w:val="auto"/>
              </w:rPr>
              <w:t>WARWICK</w:t>
            </w:r>
          </w:p>
        </w:tc>
        <w:tc>
          <w:tcPr>
            <w:tcW w:w="260" w:type="dxa"/>
            <w:vAlign w:val="bottom"/>
          </w:tcPr>
          <w:p>
            <w:pPr>
              <w:ind w:left="40"/>
              <w:spacing w:after="0"/>
              <w:rPr>
                <w:sz w:val="20"/>
                <w:szCs w:val="20"/>
                <w:color w:val="auto"/>
              </w:rPr>
            </w:pPr>
            <w:r>
              <w:rPr>
                <w:rFonts w:ascii="Arial" w:cs="Arial" w:eastAsia="Arial" w:hAnsi="Arial"/>
                <w:sz w:val="11"/>
                <w:szCs w:val="11"/>
                <w:color w:val="auto"/>
              </w:rPr>
              <w:t>RI</w:t>
            </w:r>
          </w:p>
        </w:tc>
        <w:tc>
          <w:tcPr>
            <w:tcW w:w="460" w:type="dxa"/>
            <w:vAlign w:val="bottom"/>
          </w:tcPr>
          <w:p>
            <w:pPr>
              <w:ind w:left="40"/>
              <w:spacing w:after="0"/>
              <w:rPr>
                <w:sz w:val="20"/>
                <w:szCs w:val="20"/>
                <w:color w:val="auto"/>
              </w:rPr>
            </w:pPr>
            <w:r>
              <w:rPr>
                <w:rFonts w:ascii="Arial" w:cs="Arial" w:eastAsia="Arial" w:hAnsi="Arial"/>
                <w:sz w:val="11"/>
                <w:szCs w:val="11"/>
                <w:color w:val="auto"/>
              </w:rPr>
              <w:t>02886</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(401) 821-7588</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9112</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71 Faunce Corner Rd</w:t>
            </w:r>
          </w:p>
        </w:tc>
        <w:tc>
          <w:tcPr>
            <w:tcW w:w="960" w:type="dxa"/>
            <w:vAlign w:val="bottom"/>
          </w:tcPr>
          <w:p>
            <w:pPr>
              <w:ind w:left="40"/>
              <w:spacing w:after="0"/>
              <w:rPr>
                <w:sz w:val="20"/>
                <w:szCs w:val="20"/>
                <w:color w:val="auto"/>
              </w:rPr>
            </w:pPr>
            <w:r>
              <w:rPr>
                <w:rFonts w:ascii="Arial" w:cs="Arial" w:eastAsia="Arial" w:hAnsi="Arial"/>
                <w:sz w:val="11"/>
                <w:szCs w:val="11"/>
                <w:color w:val="auto"/>
              </w:rPr>
              <w:t>North Dartmouth</w:t>
            </w:r>
          </w:p>
        </w:tc>
        <w:tc>
          <w:tcPr>
            <w:tcW w:w="260" w:type="dxa"/>
            <w:vAlign w:val="bottom"/>
          </w:tcPr>
          <w:p>
            <w:pPr>
              <w:ind w:left="40"/>
              <w:spacing w:after="0"/>
              <w:rPr>
                <w:sz w:val="20"/>
                <w:szCs w:val="20"/>
                <w:color w:val="auto"/>
              </w:rPr>
            </w:pPr>
            <w:r>
              <w:rPr>
                <w:rFonts w:ascii="Arial" w:cs="Arial" w:eastAsia="Arial" w:hAnsi="Arial"/>
                <w:sz w:val="11"/>
                <w:szCs w:val="11"/>
                <w:color w:val="auto"/>
              </w:rPr>
              <w:t>MA</w:t>
            </w:r>
          </w:p>
        </w:tc>
        <w:tc>
          <w:tcPr>
            <w:tcW w:w="460" w:type="dxa"/>
            <w:vAlign w:val="bottom"/>
          </w:tcPr>
          <w:p>
            <w:pPr>
              <w:ind w:left="40"/>
              <w:spacing w:after="0"/>
              <w:rPr>
                <w:sz w:val="20"/>
                <w:szCs w:val="20"/>
                <w:color w:val="auto"/>
              </w:rPr>
            </w:pPr>
            <w:r>
              <w:rPr>
                <w:rFonts w:ascii="Arial" w:cs="Arial" w:eastAsia="Arial" w:hAnsi="Arial"/>
                <w:sz w:val="11"/>
                <w:szCs w:val="11"/>
                <w:color w:val="auto"/>
              </w:rPr>
              <w:t>02747</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9117</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w w:val="94"/>
              </w:rPr>
              <w:t>310 Daniel Webster Highway</w:t>
            </w:r>
          </w:p>
        </w:tc>
        <w:tc>
          <w:tcPr>
            <w:tcW w:w="960" w:type="dxa"/>
            <w:vAlign w:val="bottom"/>
          </w:tcPr>
          <w:p>
            <w:pPr>
              <w:ind w:left="40"/>
              <w:spacing w:after="0"/>
              <w:rPr>
                <w:sz w:val="20"/>
                <w:szCs w:val="20"/>
                <w:color w:val="auto"/>
              </w:rPr>
            </w:pPr>
            <w:r>
              <w:rPr>
                <w:rFonts w:ascii="Arial" w:cs="Arial" w:eastAsia="Arial" w:hAnsi="Arial"/>
                <w:sz w:val="11"/>
                <w:szCs w:val="11"/>
                <w:color w:val="auto"/>
              </w:rPr>
              <w:t>Nashua</w:t>
            </w:r>
          </w:p>
        </w:tc>
        <w:tc>
          <w:tcPr>
            <w:tcW w:w="260" w:type="dxa"/>
            <w:vAlign w:val="bottom"/>
          </w:tcPr>
          <w:p>
            <w:pPr>
              <w:ind w:left="40"/>
              <w:spacing w:after="0"/>
              <w:rPr>
                <w:sz w:val="20"/>
                <w:szCs w:val="20"/>
                <w:color w:val="auto"/>
              </w:rPr>
            </w:pPr>
            <w:r>
              <w:rPr>
                <w:rFonts w:ascii="Arial" w:cs="Arial" w:eastAsia="Arial" w:hAnsi="Arial"/>
                <w:sz w:val="11"/>
                <w:szCs w:val="11"/>
                <w:color w:val="auto"/>
              </w:rPr>
              <w:t>NH</w:t>
            </w:r>
          </w:p>
        </w:tc>
        <w:tc>
          <w:tcPr>
            <w:tcW w:w="460" w:type="dxa"/>
            <w:vAlign w:val="bottom"/>
          </w:tcPr>
          <w:p>
            <w:pPr>
              <w:ind w:left="40"/>
              <w:spacing w:after="0"/>
              <w:rPr>
                <w:sz w:val="20"/>
                <w:szCs w:val="20"/>
                <w:color w:val="auto"/>
              </w:rPr>
            </w:pPr>
            <w:r>
              <w:rPr>
                <w:rFonts w:ascii="Arial" w:cs="Arial" w:eastAsia="Arial" w:hAnsi="Arial"/>
                <w:sz w:val="11"/>
                <w:szCs w:val="11"/>
                <w:color w:val="auto"/>
              </w:rPr>
              <w:t>03060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9119</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4730 WEST 79th STREET</w:t>
            </w:r>
          </w:p>
        </w:tc>
        <w:tc>
          <w:tcPr>
            <w:tcW w:w="960" w:type="dxa"/>
            <w:vAlign w:val="bottom"/>
          </w:tcPr>
          <w:p>
            <w:pPr>
              <w:ind w:left="40"/>
              <w:spacing w:after="0"/>
              <w:rPr>
                <w:sz w:val="20"/>
                <w:szCs w:val="20"/>
                <w:color w:val="auto"/>
              </w:rPr>
            </w:pPr>
            <w:r>
              <w:rPr>
                <w:rFonts w:ascii="Arial" w:cs="Arial" w:eastAsia="Arial" w:hAnsi="Arial"/>
                <w:sz w:val="11"/>
                <w:szCs w:val="11"/>
                <w:color w:val="auto"/>
              </w:rPr>
              <w:t>CHICAGO</w:t>
            </w:r>
          </w:p>
        </w:tc>
        <w:tc>
          <w:tcPr>
            <w:tcW w:w="260" w:type="dxa"/>
            <w:vAlign w:val="bottom"/>
          </w:tcPr>
          <w:p>
            <w:pPr>
              <w:ind w:left="40"/>
              <w:spacing w:after="0"/>
              <w:rPr>
                <w:sz w:val="20"/>
                <w:szCs w:val="20"/>
                <w:color w:val="auto"/>
              </w:rPr>
            </w:pPr>
            <w:r>
              <w:rPr>
                <w:rFonts w:ascii="Arial" w:cs="Arial" w:eastAsia="Arial" w:hAnsi="Arial"/>
                <w:sz w:val="11"/>
                <w:szCs w:val="11"/>
                <w:color w:val="auto"/>
              </w:rPr>
              <w:t>IL</w:t>
            </w:r>
          </w:p>
        </w:tc>
        <w:tc>
          <w:tcPr>
            <w:tcW w:w="460" w:type="dxa"/>
            <w:vAlign w:val="bottom"/>
          </w:tcPr>
          <w:p>
            <w:pPr>
              <w:ind w:left="40"/>
              <w:spacing w:after="0"/>
              <w:rPr>
                <w:sz w:val="20"/>
                <w:szCs w:val="20"/>
                <w:color w:val="auto"/>
              </w:rPr>
            </w:pPr>
            <w:r>
              <w:rPr>
                <w:rFonts w:ascii="Arial" w:cs="Arial" w:eastAsia="Arial" w:hAnsi="Arial"/>
                <w:sz w:val="11"/>
                <w:szCs w:val="11"/>
                <w:color w:val="auto"/>
              </w:rPr>
              <w:t>60652</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(773) 585-7700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9120</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215 ROUTE 83</w:t>
            </w:r>
          </w:p>
        </w:tc>
        <w:tc>
          <w:tcPr>
            <w:tcW w:w="960" w:type="dxa"/>
            <w:vAlign w:val="bottom"/>
          </w:tcPr>
          <w:p>
            <w:pPr>
              <w:ind w:left="40"/>
              <w:spacing w:after="0"/>
              <w:rPr>
                <w:sz w:val="20"/>
                <w:szCs w:val="20"/>
                <w:color w:val="auto"/>
              </w:rPr>
            </w:pPr>
            <w:r>
              <w:rPr>
                <w:rFonts w:ascii="Arial" w:cs="Arial" w:eastAsia="Arial" w:hAnsi="Arial"/>
                <w:sz w:val="11"/>
                <w:szCs w:val="11"/>
                <w:color w:val="auto"/>
              </w:rPr>
              <w:t>ELMHURST</w:t>
            </w:r>
          </w:p>
        </w:tc>
        <w:tc>
          <w:tcPr>
            <w:tcW w:w="260" w:type="dxa"/>
            <w:vAlign w:val="bottom"/>
          </w:tcPr>
          <w:p>
            <w:pPr>
              <w:ind w:left="40"/>
              <w:spacing w:after="0"/>
              <w:rPr>
                <w:sz w:val="20"/>
                <w:szCs w:val="20"/>
                <w:color w:val="auto"/>
              </w:rPr>
            </w:pPr>
            <w:r>
              <w:rPr>
                <w:rFonts w:ascii="Arial" w:cs="Arial" w:eastAsia="Arial" w:hAnsi="Arial"/>
                <w:sz w:val="11"/>
                <w:szCs w:val="11"/>
                <w:color w:val="auto"/>
              </w:rPr>
              <w:t>IL</w:t>
            </w:r>
          </w:p>
        </w:tc>
        <w:tc>
          <w:tcPr>
            <w:tcW w:w="460" w:type="dxa"/>
            <w:vAlign w:val="bottom"/>
          </w:tcPr>
          <w:p>
            <w:pPr>
              <w:ind w:left="40"/>
              <w:spacing w:after="0"/>
              <w:rPr>
                <w:sz w:val="20"/>
                <w:szCs w:val="20"/>
                <w:color w:val="auto"/>
              </w:rPr>
            </w:pPr>
            <w:r>
              <w:rPr>
                <w:rFonts w:ascii="Arial" w:cs="Arial" w:eastAsia="Arial" w:hAnsi="Arial"/>
                <w:sz w:val="11"/>
                <w:szCs w:val="11"/>
                <w:color w:val="auto"/>
              </w:rPr>
              <w:t>60126</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(630) 834-7329</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9123</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2030 COLISEUM DRIVE</w:t>
            </w:r>
          </w:p>
        </w:tc>
        <w:tc>
          <w:tcPr>
            <w:tcW w:w="960" w:type="dxa"/>
            <w:vAlign w:val="bottom"/>
          </w:tcPr>
          <w:p>
            <w:pPr>
              <w:ind w:left="40"/>
              <w:spacing w:after="0"/>
              <w:rPr>
                <w:sz w:val="20"/>
                <w:szCs w:val="20"/>
                <w:color w:val="auto"/>
              </w:rPr>
            </w:pPr>
            <w:r>
              <w:rPr>
                <w:rFonts w:ascii="Arial" w:cs="Arial" w:eastAsia="Arial" w:hAnsi="Arial"/>
                <w:sz w:val="11"/>
                <w:szCs w:val="11"/>
                <w:color w:val="auto"/>
              </w:rPr>
              <w:t>HAMPTON</w:t>
            </w:r>
          </w:p>
        </w:tc>
        <w:tc>
          <w:tcPr>
            <w:tcW w:w="260" w:type="dxa"/>
            <w:vAlign w:val="bottom"/>
          </w:tcPr>
          <w:p>
            <w:pPr>
              <w:ind w:left="40"/>
              <w:spacing w:after="0"/>
              <w:rPr>
                <w:sz w:val="20"/>
                <w:szCs w:val="20"/>
                <w:color w:val="auto"/>
              </w:rPr>
            </w:pPr>
            <w:r>
              <w:rPr>
                <w:rFonts w:ascii="Arial" w:cs="Arial" w:eastAsia="Arial" w:hAnsi="Arial"/>
                <w:sz w:val="11"/>
                <w:szCs w:val="11"/>
                <w:color w:val="auto"/>
              </w:rPr>
              <w:t>VA</w:t>
            </w:r>
          </w:p>
        </w:tc>
        <w:tc>
          <w:tcPr>
            <w:tcW w:w="460" w:type="dxa"/>
            <w:vAlign w:val="bottom"/>
          </w:tcPr>
          <w:p>
            <w:pPr>
              <w:ind w:left="40"/>
              <w:spacing w:after="0"/>
              <w:rPr>
                <w:sz w:val="20"/>
                <w:szCs w:val="20"/>
                <w:color w:val="auto"/>
              </w:rPr>
            </w:pPr>
            <w:r>
              <w:rPr>
                <w:rFonts w:ascii="Arial" w:cs="Arial" w:eastAsia="Arial" w:hAnsi="Arial"/>
                <w:sz w:val="11"/>
                <w:szCs w:val="11"/>
                <w:color w:val="auto"/>
              </w:rPr>
              <w:t>23666</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(757) 896-3300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SUIT A</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9127</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w w:val="98"/>
              </w:rPr>
              <w:t>1225 SOUTH PARK DRIVE</w:t>
            </w:r>
          </w:p>
        </w:tc>
        <w:tc>
          <w:tcPr>
            <w:tcW w:w="960" w:type="dxa"/>
            <w:vAlign w:val="bottom"/>
          </w:tcPr>
          <w:p>
            <w:pPr>
              <w:ind w:left="40"/>
              <w:spacing w:after="0"/>
              <w:rPr>
                <w:sz w:val="20"/>
                <w:szCs w:val="20"/>
                <w:color w:val="auto"/>
              </w:rPr>
            </w:pPr>
            <w:r>
              <w:rPr>
                <w:rFonts w:ascii="Arial" w:cs="Arial" w:eastAsia="Arial" w:hAnsi="Arial"/>
                <w:sz w:val="11"/>
                <w:szCs w:val="11"/>
                <w:color w:val="auto"/>
              </w:rPr>
              <w:t>GREENWOOD</w:t>
            </w:r>
          </w:p>
        </w:tc>
        <w:tc>
          <w:tcPr>
            <w:tcW w:w="260" w:type="dxa"/>
            <w:vAlign w:val="bottom"/>
          </w:tcPr>
          <w:p>
            <w:pPr>
              <w:ind w:left="40"/>
              <w:spacing w:after="0"/>
              <w:rPr>
                <w:sz w:val="20"/>
                <w:szCs w:val="20"/>
                <w:color w:val="auto"/>
              </w:rPr>
            </w:pPr>
            <w:r>
              <w:rPr>
                <w:rFonts w:ascii="Arial" w:cs="Arial" w:eastAsia="Arial" w:hAnsi="Arial"/>
                <w:sz w:val="11"/>
                <w:szCs w:val="11"/>
                <w:color w:val="auto"/>
              </w:rPr>
              <w:t>IN</w:t>
            </w:r>
          </w:p>
        </w:tc>
        <w:tc>
          <w:tcPr>
            <w:tcW w:w="460" w:type="dxa"/>
            <w:vAlign w:val="bottom"/>
          </w:tcPr>
          <w:p>
            <w:pPr>
              <w:ind w:left="40"/>
              <w:spacing w:after="0"/>
              <w:rPr>
                <w:sz w:val="20"/>
                <w:szCs w:val="20"/>
                <w:color w:val="auto"/>
              </w:rPr>
            </w:pPr>
            <w:r>
              <w:rPr>
                <w:rFonts w:ascii="Arial" w:cs="Arial" w:eastAsia="Arial" w:hAnsi="Arial"/>
                <w:sz w:val="11"/>
                <w:szCs w:val="11"/>
                <w:color w:val="auto"/>
              </w:rPr>
              <w:t>46143</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(317) 321-4004</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9131</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2440" w:type="dxa"/>
            <w:vAlign w:val="bottom"/>
            <w:gridSpan w:val="2"/>
          </w:tcPr>
          <w:p>
            <w:pPr>
              <w:ind w:left="120"/>
              <w:spacing w:after="0"/>
              <w:rPr>
                <w:sz w:val="20"/>
                <w:szCs w:val="20"/>
                <w:color w:val="auto"/>
              </w:rPr>
            </w:pPr>
            <w:r>
              <w:rPr>
                <w:rFonts w:ascii="Arial" w:cs="Arial" w:eastAsia="Arial" w:hAnsi="Arial"/>
                <w:sz w:val="11"/>
                <w:szCs w:val="11"/>
                <w:color w:val="auto"/>
              </w:rPr>
              <w:t>1188 NIAGARA FALLS BLVDTONAWANDA</w:t>
            </w:r>
          </w:p>
        </w:tc>
        <w:tc>
          <w:tcPr>
            <w:tcW w:w="260" w:type="dxa"/>
            <w:vAlign w:val="bottom"/>
          </w:tcPr>
          <w:p>
            <w:pPr>
              <w:ind w:left="40"/>
              <w:spacing w:after="0"/>
              <w:rPr>
                <w:sz w:val="20"/>
                <w:szCs w:val="20"/>
                <w:color w:val="auto"/>
              </w:rPr>
            </w:pPr>
            <w:r>
              <w:rPr>
                <w:rFonts w:ascii="Arial" w:cs="Arial" w:eastAsia="Arial" w:hAnsi="Arial"/>
                <w:sz w:val="11"/>
                <w:szCs w:val="11"/>
                <w:color w:val="auto"/>
              </w:rPr>
              <w:t>NY</w:t>
            </w:r>
          </w:p>
        </w:tc>
        <w:tc>
          <w:tcPr>
            <w:tcW w:w="460" w:type="dxa"/>
            <w:vAlign w:val="bottom"/>
          </w:tcPr>
          <w:p>
            <w:pPr>
              <w:ind w:left="40"/>
              <w:spacing w:after="0"/>
              <w:rPr>
                <w:sz w:val="20"/>
                <w:szCs w:val="20"/>
                <w:color w:val="auto"/>
              </w:rPr>
            </w:pPr>
            <w:r>
              <w:rPr>
                <w:rFonts w:ascii="Arial" w:cs="Arial" w:eastAsia="Arial" w:hAnsi="Arial"/>
                <w:sz w:val="11"/>
                <w:szCs w:val="11"/>
                <w:color w:val="auto"/>
              </w:rPr>
              <w:t>14150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(716) 833-3330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9137</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330 BUSH RIVER ROAD</w:t>
            </w:r>
          </w:p>
        </w:tc>
        <w:tc>
          <w:tcPr>
            <w:tcW w:w="960" w:type="dxa"/>
            <w:vAlign w:val="bottom"/>
          </w:tcPr>
          <w:p>
            <w:pPr>
              <w:ind w:left="40"/>
              <w:spacing w:after="0"/>
              <w:rPr>
                <w:sz w:val="20"/>
                <w:szCs w:val="20"/>
                <w:color w:val="auto"/>
              </w:rPr>
            </w:pPr>
            <w:r>
              <w:rPr>
                <w:rFonts w:ascii="Arial" w:cs="Arial" w:eastAsia="Arial" w:hAnsi="Arial"/>
                <w:sz w:val="11"/>
                <w:szCs w:val="11"/>
                <w:color w:val="auto"/>
              </w:rPr>
              <w:t>COLUMBIA</w:t>
            </w:r>
          </w:p>
        </w:tc>
        <w:tc>
          <w:tcPr>
            <w:tcW w:w="260" w:type="dxa"/>
            <w:vAlign w:val="bottom"/>
          </w:tcPr>
          <w:p>
            <w:pPr>
              <w:ind w:left="40"/>
              <w:spacing w:after="0"/>
              <w:rPr>
                <w:sz w:val="20"/>
                <w:szCs w:val="20"/>
                <w:color w:val="auto"/>
              </w:rPr>
            </w:pPr>
            <w:r>
              <w:rPr>
                <w:rFonts w:ascii="Arial" w:cs="Arial" w:eastAsia="Arial" w:hAnsi="Arial"/>
                <w:sz w:val="11"/>
                <w:szCs w:val="11"/>
                <w:color w:val="auto"/>
              </w:rPr>
              <w:t>SC</w:t>
            </w:r>
          </w:p>
        </w:tc>
        <w:tc>
          <w:tcPr>
            <w:tcW w:w="460" w:type="dxa"/>
            <w:vAlign w:val="bottom"/>
          </w:tcPr>
          <w:p>
            <w:pPr>
              <w:ind w:left="40"/>
              <w:spacing w:after="0"/>
              <w:rPr>
                <w:sz w:val="20"/>
                <w:szCs w:val="20"/>
                <w:color w:val="auto"/>
              </w:rPr>
            </w:pPr>
            <w:r>
              <w:rPr>
                <w:rFonts w:ascii="Arial" w:cs="Arial" w:eastAsia="Arial" w:hAnsi="Arial"/>
                <w:sz w:val="11"/>
                <w:szCs w:val="11"/>
                <w:color w:val="auto"/>
              </w:rPr>
              <w:t>29210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(803) 765-4730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9139</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7420 RIVERS AVENUE</w:t>
            </w:r>
          </w:p>
        </w:tc>
        <w:tc>
          <w:tcPr>
            <w:tcW w:w="960" w:type="dxa"/>
            <w:vAlign w:val="bottom"/>
          </w:tcPr>
          <w:p>
            <w:pPr>
              <w:ind w:left="40"/>
              <w:spacing w:after="0"/>
              <w:rPr>
                <w:sz w:val="20"/>
                <w:szCs w:val="20"/>
                <w:color w:val="auto"/>
              </w:rPr>
            </w:pPr>
            <w:r>
              <w:rPr>
                <w:rFonts w:ascii="Arial" w:cs="Arial" w:eastAsia="Arial" w:hAnsi="Arial"/>
                <w:sz w:val="11"/>
                <w:szCs w:val="11"/>
                <w:color w:val="auto"/>
              </w:rPr>
              <w:t>NORTH</w:t>
            </w:r>
          </w:p>
        </w:tc>
        <w:tc>
          <w:tcPr>
            <w:tcW w:w="260" w:type="dxa"/>
            <w:vAlign w:val="bottom"/>
          </w:tcPr>
          <w:p>
            <w:pPr>
              <w:ind w:left="40"/>
              <w:spacing w:after="0"/>
              <w:rPr>
                <w:sz w:val="20"/>
                <w:szCs w:val="20"/>
                <w:color w:val="auto"/>
              </w:rPr>
            </w:pPr>
            <w:r>
              <w:rPr>
                <w:rFonts w:ascii="Arial" w:cs="Arial" w:eastAsia="Arial" w:hAnsi="Arial"/>
                <w:sz w:val="11"/>
                <w:szCs w:val="11"/>
                <w:color w:val="auto"/>
              </w:rPr>
              <w:t>SC</w:t>
            </w:r>
          </w:p>
        </w:tc>
        <w:tc>
          <w:tcPr>
            <w:tcW w:w="460" w:type="dxa"/>
            <w:vAlign w:val="bottom"/>
          </w:tcPr>
          <w:p>
            <w:pPr>
              <w:ind w:left="40"/>
              <w:spacing w:after="0"/>
              <w:rPr>
                <w:sz w:val="20"/>
                <w:szCs w:val="20"/>
                <w:color w:val="auto"/>
              </w:rPr>
            </w:pPr>
            <w:r>
              <w:rPr>
                <w:rFonts w:ascii="Arial" w:cs="Arial" w:eastAsia="Arial" w:hAnsi="Arial"/>
                <w:sz w:val="11"/>
                <w:szCs w:val="11"/>
                <w:color w:val="auto"/>
              </w:rPr>
              <w:t>29406</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(843) 720-4945</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Pr>
          <w:p>
            <w:pPr>
              <w:ind w:left="40"/>
              <w:spacing w:after="0"/>
              <w:rPr>
                <w:sz w:val="20"/>
                <w:szCs w:val="20"/>
                <w:color w:val="auto"/>
              </w:rPr>
            </w:pPr>
            <w:r>
              <w:rPr>
                <w:rFonts w:ascii="Arial" w:cs="Arial" w:eastAsia="Arial" w:hAnsi="Arial"/>
                <w:sz w:val="11"/>
                <w:szCs w:val="11"/>
                <w:color w:val="auto"/>
              </w:rPr>
              <w:t>CHARLESTON</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9142</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2440" w:type="dxa"/>
            <w:vAlign w:val="bottom"/>
            <w:gridSpan w:val="2"/>
          </w:tcPr>
          <w:p>
            <w:pPr>
              <w:ind w:left="120"/>
              <w:spacing w:after="0"/>
              <w:rPr>
                <w:sz w:val="20"/>
                <w:szCs w:val="20"/>
                <w:color w:val="auto"/>
              </w:rPr>
            </w:pPr>
            <w:r>
              <w:rPr>
                <w:rFonts w:ascii="Arial" w:cs="Arial" w:eastAsia="Arial" w:hAnsi="Arial"/>
                <w:sz w:val="11"/>
                <w:szCs w:val="11"/>
                <w:color w:val="auto"/>
              </w:rPr>
              <w:t>1774 WASHINGTON STREET HANOVER</w:t>
            </w:r>
          </w:p>
        </w:tc>
        <w:tc>
          <w:tcPr>
            <w:tcW w:w="260" w:type="dxa"/>
            <w:vAlign w:val="bottom"/>
          </w:tcPr>
          <w:p>
            <w:pPr>
              <w:ind w:left="40"/>
              <w:spacing w:after="0"/>
              <w:rPr>
                <w:sz w:val="20"/>
                <w:szCs w:val="20"/>
                <w:color w:val="auto"/>
              </w:rPr>
            </w:pPr>
            <w:r>
              <w:rPr>
                <w:rFonts w:ascii="Arial" w:cs="Arial" w:eastAsia="Arial" w:hAnsi="Arial"/>
                <w:sz w:val="11"/>
                <w:szCs w:val="11"/>
                <w:color w:val="auto"/>
              </w:rPr>
              <w:t>MA</w:t>
            </w:r>
          </w:p>
        </w:tc>
        <w:tc>
          <w:tcPr>
            <w:tcW w:w="460" w:type="dxa"/>
            <w:vAlign w:val="bottom"/>
          </w:tcPr>
          <w:p>
            <w:pPr>
              <w:ind w:left="40"/>
              <w:spacing w:after="0"/>
              <w:rPr>
                <w:sz w:val="20"/>
                <w:szCs w:val="20"/>
                <w:color w:val="auto"/>
              </w:rPr>
            </w:pPr>
            <w:r>
              <w:rPr>
                <w:rFonts w:ascii="Arial" w:cs="Arial" w:eastAsia="Arial" w:hAnsi="Arial"/>
                <w:sz w:val="11"/>
                <w:szCs w:val="11"/>
                <w:color w:val="auto"/>
              </w:rPr>
              <w:t>02339</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9144</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225 MEMORIAL AVENUE</w:t>
            </w:r>
          </w:p>
        </w:tc>
        <w:tc>
          <w:tcPr>
            <w:tcW w:w="960" w:type="dxa"/>
            <w:vAlign w:val="bottom"/>
          </w:tcPr>
          <w:p>
            <w:pPr>
              <w:ind w:left="40"/>
              <w:spacing w:after="0"/>
              <w:rPr>
                <w:sz w:val="20"/>
                <w:szCs w:val="20"/>
                <w:color w:val="auto"/>
              </w:rPr>
            </w:pPr>
            <w:r>
              <w:rPr>
                <w:rFonts w:ascii="Arial" w:cs="Arial" w:eastAsia="Arial" w:hAnsi="Arial"/>
                <w:sz w:val="11"/>
                <w:szCs w:val="11"/>
                <w:color w:val="auto"/>
              </w:rPr>
              <w:t>WEST</w:t>
            </w:r>
          </w:p>
        </w:tc>
        <w:tc>
          <w:tcPr>
            <w:tcW w:w="260" w:type="dxa"/>
            <w:vAlign w:val="bottom"/>
          </w:tcPr>
          <w:p>
            <w:pPr>
              <w:ind w:left="40"/>
              <w:spacing w:after="0"/>
              <w:rPr>
                <w:sz w:val="20"/>
                <w:szCs w:val="20"/>
                <w:color w:val="auto"/>
              </w:rPr>
            </w:pPr>
            <w:r>
              <w:rPr>
                <w:rFonts w:ascii="Arial" w:cs="Arial" w:eastAsia="Arial" w:hAnsi="Arial"/>
                <w:sz w:val="11"/>
                <w:szCs w:val="11"/>
                <w:color w:val="auto"/>
              </w:rPr>
              <w:t>MA</w:t>
            </w:r>
          </w:p>
        </w:tc>
        <w:tc>
          <w:tcPr>
            <w:tcW w:w="460" w:type="dxa"/>
            <w:vAlign w:val="bottom"/>
          </w:tcPr>
          <w:p>
            <w:pPr>
              <w:ind w:left="40"/>
              <w:spacing w:after="0"/>
              <w:rPr>
                <w:sz w:val="20"/>
                <w:szCs w:val="20"/>
                <w:color w:val="auto"/>
              </w:rPr>
            </w:pPr>
            <w:r>
              <w:rPr>
                <w:rFonts w:ascii="Arial" w:cs="Arial" w:eastAsia="Arial" w:hAnsi="Arial"/>
                <w:sz w:val="11"/>
                <w:szCs w:val="11"/>
                <w:color w:val="auto"/>
              </w:rPr>
              <w:t>01089</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(413) 746-3263</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60" w:type="dxa"/>
            <w:vAlign w:val="bottom"/>
          </w:tcPr>
          <w:p>
            <w:pPr>
              <w:ind w:left="40"/>
              <w:spacing w:after="0"/>
              <w:rPr>
                <w:sz w:val="20"/>
                <w:szCs w:val="20"/>
                <w:color w:val="auto"/>
              </w:rPr>
            </w:pPr>
            <w:r>
              <w:rPr>
                <w:rFonts w:ascii="Arial" w:cs="Arial" w:eastAsia="Arial" w:hAnsi="Arial"/>
                <w:sz w:val="11"/>
                <w:szCs w:val="11"/>
                <w:color w:val="auto"/>
              </w:rPr>
              <w:t>SPRINGFIELD</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9147</w:t>
            </w:r>
          </w:p>
        </w:tc>
        <w:tc>
          <w:tcPr>
            <w:tcW w:w="1160" w:type="dxa"/>
            <w:vAlign w:val="bottom"/>
          </w:tcPr>
          <w:p>
            <w:pPr>
              <w:ind w:left="40"/>
              <w:spacing w:after="0"/>
              <w:rPr>
                <w:sz w:val="20"/>
                <w:szCs w:val="20"/>
                <w:color w:val="auto"/>
              </w:rPr>
            </w:pPr>
            <w:r>
              <w:rPr>
                <w:rFonts w:ascii="Arial" w:cs="Arial" w:eastAsia="Arial" w:hAnsi="Arial"/>
                <w:sz w:val="11"/>
                <w:szCs w:val="11"/>
                <w:color w:val="auto"/>
              </w:rPr>
              <w:t>WELLS FARGO</w:t>
            </w: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1"/>
                <w:szCs w:val="11"/>
                <w:color w:val="auto"/>
              </w:rPr>
              <w:t>MA</w:t>
            </w:r>
          </w:p>
        </w:tc>
        <w:tc>
          <w:tcPr>
            <w:tcW w:w="46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(617) 310-8041</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353"/>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9149</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133 Wolf Rd</w:t>
            </w:r>
          </w:p>
        </w:tc>
        <w:tc>
          <w:tcPr>
            <w:tcW w:w="960" w:type="dxa"/>
            <w:vAlign w:val="bottom"/>
          </w:tcPr>
          <w:p>
            <w:pPr>
              <w:ind w:left="40"/>
              <w:spacing w:after="0"/>
              <w:rPr>
                <w:sz w:val="20"/>
                <w:szCs w:val="20"/>
                <w:color w:val="auto"/>
              </w:rPr>
            </w:pPr>
            <w:r>
              <w:rPr>
                <w:rFonts w:ascii="Arial" w:cs="Arial" w:eastAsia="Arial" w:hAnsi="Arial"/>
                <w:sz w:val="11"/>
                <w:szCs w:val="11"/>
                <w:color w:val="auto"/>
              </w:rPr>
              <w:t>Albany</w:t>
            </w:r>
          </w:p>
        </w:tc>
        <w:tc>
          <w:tcPr>
            <w:tcW w:w="260" w:type="dxa"/>
            <w:vAlign w:val="bottom"/>
          </w:tcPr>
          <w:p>
            <w:pPr>
              <w:ind w:left="40"/>
              <w:spacing w:after="0"/>
              <w:rPr>
                <w:sz w:val="20"/>
                <w:szCs w:val="20"/>
                <w:color w:val="auto"/>
              </w:rPr>
            </w:pPr>
            <w:r>
              <w:rPr>
                <w:rFonts w:ascii="Arial" w:cs="Arial" w:eastAsia="Arial" w:hAnsi="Arial"/>
                <w:sz w:val="11"/>
                <w:szCs w:val="11"/>
                <w:color w:val="auto"/>
              </w:rPr>
              <w:t>NY</w:t>
            </w:r>
          </w:p>
        </w:tc>
        <w:tc>
          <w:tcPr>
            <w:tcW w:w="460" w:type="dxa"/>
            <w:vAlign w:val="bottom"/>
          </w:tcPr>
          <w:p>
            <w:pPr>
              <w:ind w:left="40"/>
              <w:spacing w:after="0"/>
              <w:rPr>
                <w:sz w:val="20"/>
                <w:szCs w:val="20"/>
                <w:color w:val="auto"/>
              </w:rPr>
            </w:pPr>
            <w:r>
              <w:rPr>
                <w:rFonts w:ascii="Arial" w:cs="Arial" w:eastAsia="Arial" w:hAnsi="Arial"/>
                <w:sz w:val="11"/>
                <w:szCs w:val="11"/>
                <w:color w:val="auto"/>
              </w:rPr>
              <w:t>12205</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9152</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w w:val="96"/>
              </w:rPr>
              <w:t>2501 NORTH OAK STREET</w:t>
            </w:r>
          </w:p>
        </w:tc>
        <w:tc>
          <w:tcPr>
            <w:tcW w:w="960" w:type="dxa"/>
            <w:vAlign w:val="bottom"/>
          </w:tcPr>
          <w:p>
            <w:pPr>
              <w:ind w:left="40"/>
              <w:spacing w:after="0"/>
              <w:rPr>
                <w:sz w:val="20"/>
                <w:szCs w:val="20"/>
                <w:color w:val="auto"/>
              </w:rPr>
            </w:pPr>
            <w:r>
              <w:rPr>
                <w:rFonts w:ascii="Arial" w:cs="Arial" w:eastAsia="Arial" w:hAnsi="Arial"/>
                <w:sz w:val="11"/>
                <w:szCs w:val="11"/>
                <w:color w:val="auto"/>
              </w:rPr>
              <w:t>MYRTLE BEACH</w:t>
            </w:r>
          </w:p>
        </w:tc>
        <w:tc>
          <w:tcPr>
            <w:tcW w:w="260" w:type="dxa"/>
            <w:vAlign w:val="bottom"/>
          </w:tcPr>
          <w:p>
            <w:pPr>
              <w:ind w:left="40"/>
              <w:spacing w:after="0"/>
              <w:rPr>
                <w:sz w:val="20"/>
                <w:szCs w:val="20"/>
                <w:color w:val="auto"/>
              </w:rPr>
            </w:pPr>
            <w:r>
              <w:rPr>
                <w:rFonts w:ascii="Arial" w:cs="Arial" w:eastAsia="Arial" w:hAnsi="Arial"/>
                <w:sz w:val="11"/>
                <w:szCs w:val="11"/>
                <w:color w:val="auto"/>
              </w:rPr>
              <w:t>SC</w:t>
            </w:r>
          </w:p>
        </w:tc>
        <w:tc>
          <w:tcPr>
            <w:tcW w:w="460" w:type="dxa"/>
            <w:vAlign w:val="bottom"/>
          </w:tcPr>
          <w:p>
            <w:pPr>
              <w:ind w:left="40"/>
              <w:spacing w:after="0"/>
              <w:rPr>
                <w:sz w:val="20"/>
                <w:szCs w:val="20"/>
                <w:color w:val="auto"/>
              </w:rPr>
            </w:pPr>
            <w:r>
              <w:rPr>
                <w:rFonts w:ascii="Arial" w:cs="Arial" w:eastAsia="Arial" w:hAnsi="Arial"/>
                <w:sz w:val="11"/>
                <w:szCs w:val="11"/>
                <w:color w:val="auto"/>
              </w:rPr>
              <w:t>29577</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(843) 946-2100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9155</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6303 N PORTLAND</w:t>
            </w:r>
          </w:p>
        </w:tc>
        <w:tc>
          <w:tcPr>
            <w:tcW w:w="1220" w:type="dxa"/>
            <w:vAlign w:val="bottom"/>
            <w:gridSpan w:val="2"/>
          </w:tcPr>
          <w:p>
            <w:pPr>
              <w:ind w:left="40"/>
              <w:spacing w:after="0"/>
              <w:rPr>
                <w:sz w:val="20"/>
                <w:szCs w:val="20"/>
                <w:color w:val="auto"/>
              </w:rPr>
            </w:pPr>
            <w:r>
              <w:rPr>
                <w:rFonts w:ascii="Arial" w:cs="Arial" w:eastAsia="Arial" w:hAnsi="Arial"/>
                <w:sz w:val="11"/>
                <w:szCs w:val="11"/>
                <w:color w:val="auto"/>
              </w:rPr>
              <w:t>OKLAHOMA CITY OK</w:t>
            </w:r>
          </w:p>
        </w:tc>
        <w:tc>
          <w:tcPr>
            <w:tcW w:w="460" w:type="dxa"/>
            <w:vAlign w:val="bottom"/>
          </w:tcPr>
          <w:p>
            <w:pPr>
              <w:ind w:left="40"/>
              <w:spacing w:after="0"/>
              <w:rPr>
                <w:sz w:val="20"/>
                <w:szCs w:val="20"/>
                <w:color w:val="auto"/>
              </w:rPr>
            </w:pPr>
            <w:r>
              <w:rPr>
                <w:rFonts w:ascii="Arial" w:cs="Arial" w:eastAsia="Arial" w:hAnsi="Arial"/>
                <w:sz w:val="11"/>
                <w:szCs w:val="11"/>
                <w:color w:val="auto"/>
              </w:rPr>
              <w:t>73112</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(405) 440-8575</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9157</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756 TWO MILE PARKWAY</w:t>
            </w:r>
          </w:p>
        </w:tc>
        <w:tc>
          <w:tcPr>
            <w:tcW w:w="1220" w:type="dxa"/>
            <w:vAlign w:val="bottom"/>
            <w:gridSpan w:val="2"/>
          </w:tcPr>
          <w:p>
            <w:pPr>
              <w:ind w:left="40"/>
              <w:spacing w:after="0"/>
              <w:rPr>
                <w:sz w:val="20"/>
                <w:szCs w:val="20"/>
                <w:color w:val="auto"/>
              </w:rPr>
            </w:pPr>
            <w:r>
              <w:rPr>
                <w:rFonts w:ascii="Arial" w:cs="Arial" w:eastAsia="Arial" w:hAnsi="Arial"/>
                <w:sz w:val="11"/>
                <w:szCs w:val="11"/>
                <w:color w:val="auto"/>
                <w:w w:val="99"/>
              </w:rPr>
              <w:t>GOODLETESVILLE TN</w:t>
            </w:r>
          </w:p>
        </w:tc>
        <w:tc>
          <w:tcPr>
            <w:tcW w:w="460" w:type="dxa"/>
            <w:vAlign w:val="bottom"/>
          </w:tcPr>
          <w:p>
            <w:pPr>
              <w:ind w:left="40"/>
              <w:spacing w:after="0"/>
              <w:rPr>
                <w:sz w:val="20"/>
                <w:szCs w:val="20"/>
                <w:color w:val="auto"/>
              </w:rPr>
            </w:pPr>
            <w:r>
              <w:rPr>
                <w:rFonts w:ascii="Arial" w:cs="Arial" w:eastAsia="Arial" w:hAnsi="Arial"/>
                <w:sz w:val="11"/>
                <w:szCs w:val="11"/>
                <w:color w:val="auto"/>
              </w:rPr>
              <w:t>37072</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(615) 859-4158</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9159</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2850 PRINCE WILLIAM</w:t>
            </w:r>
          </w:p>
        </w:tc>
        <w:tc>
          <w:tcPr>
            <w:tcW w:w="960" w:type="dxa"/>
            <w:vAlign w:val="bottom"/>
          </w:tcPr>
          <w:p>
            <w:pPr>
              <w:ind w:left="40"/>
              <w:spacing w:after="0"/>
              <w:rPr>
                <w:sz w:val="20"/>
                <w:szCs w:val="20"/>
                <w:color w:val="auto"/>
              </w:rPr>
            </w:pPr>
            <w:r>
              <w:rPr>
                <w:rFonts w:ascii="Arial" w:cs="Arial" w:eastAsia="Arial" w:hAnsi="Arial"/>
                <w:sz w:val="11"/>
                <w:szCs w:val="11"/>
                <w:color w:val="auto"/>
              </w:rPr>
              <w:t>WOODBRIDGE</w:t>
            </w:r>
          </w:p>
        </w:tc>
        <w:tc>
          <w:tcPr>
            <w:tcW w:w="260" w:type="dxa"/>
            <w:vAlign w:val="bottom"/>
          </w:tcPr>
          <w:p>
            <w:pPr>
              <w:ind w:left="40"/>
              <w:spacing w:after="0"/>
              <w:rPr>
                <w:sz w:val="20"/>
                <w:szCs w:val="20"/>
                <w:color w:val="auto"/>
              </w:rPr>
            </w:pPr>
            <w:r>
              <w:rPr>
                <w:rFonts w:ascii="Arial" w:cs="Arial" w:eastAsia="Arial" w:hAnsi="Arial"/>
                <w:sz w:val="11"/>
                <w:szCs w:val="11"/>
                <w:color w:val="auto"/>
              </w:rPr>
              <w:t>VA</w:t>
            </w:r>
          </w:p>
        </w:tc>
        <w:tc>
          <w:tcPr>
            <w:tcW w:w="460" w:type="dxa"/>
            <w:vAlign w:val="bottom"/>
          </w:tcPr>
          <w:p>
            <w:pPr>
              <w:ind w:left="40"/>
              <w:spacing w:after="0"/>
              <w:rPr>
                <w:sz w:val="20"/>
                <w:szCs w:val="20"/>
                <w:color w:val="auto"/>
              </w:rPr>
            </w:pPr>
            <w:r>
              <w:rPr>
                <w:rFonts w:ascii="Arial" w:cs="Arial" w:eastAsia="Arial" w:hAnsi="Arial"/>
                <w:sz w:val="11"/>
                <w:szCs w:val="11"/>
                <w:color w:val="auto"/>
              </w:rPr>
              <w:t>22191</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(703) 497-0801</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PARKWAY</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9160</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858 WASHINGTON ST</w:t>
            </w:r>
          </w:p>
        </w:tc>
        <w:tc>
          <w:tcPr>
            <w:tcW w:w="960" w:type="dxa"/>
            <w:vAlign w:val="bottom"/>
          </w:tcPr>
          <w:p>
            <w:pPr>
              <w:ind w:left="40"/>
              <w:spacing w:after="0"/>
              <w:rPr>
                <w:sz w:val="20"/>
                <w:szCs w:val="20"/>
                <w:color w:val="auto"/>
              </w:rPr>
            </w:pPr>
            <w:r>
              <w:rPr>
                <w:rFonts w:ascii="Arial" w:cs="Arial" w:eastAsia="Arial" w:hAnsi="Arial"/>
                <w:sz w:val="11"/>
                <w:szCs w:val="11"/>
                <w:color w:val="auto"/>
              </w:rPr>
              <w:t>DEDHAM</w:t>
            </w:r>
          </w:p>
        </w:tc>
        <w:tc>
          <w:tcPr>
            <w:tcW w:w="260" w:type="dxa"/>
            <w:vAlign w:val="bottom"/>
          </w:tcPr>
          <w:p>
            <w:pPr>
              <w:ind w:left="40"/>
              <w:spacing w:after="0"/>
              <w:rPr>
                <w:sz w:val="20"/>
                <w:szCs w:val="20"/>
                <w:color w:val="auto"/>
              </w:rPr>
            </w:pPr>
            <w:r>
              <w:rPr>
                <w:rFonts w:ascii="Arial" w:cs="Arial" w:eastAsia="Arial" w:hAnsi="Arial"/>
                <w:sz w:val="11"/>
                <w:szCs w:val="11"/>
                <w:color w:val="auto"/>
              </w:rPr>
              <w:t>MA</w:t>
            </w:r>
          </w:p>
        </w:tc>
        <w:tc>
          <w:tcPr>
            <w:tcW w:w="460" w:type="dxa"/>
            <w:vAlign w:val="bottom"/>
          </w:tcPr>
          <w:p>
            <w:pPr>
              <w:ind w:left="40"/>
              <w:spacing w:after="0"/>
              <w:rPr>
                <w:sz w:val="20"/>
                <w:szCs w:val="20"/>
                <w:color w:val="auto"/>
              </w:rPr>
            </w:pPr>
            <w:r>
              <w:rPr>
                <w:rFonts w:ascii="Arial" w:cs="Arial" w:eastAsia="Arial" w:hAnsi="Arial"/>
                <w:sz w:val="11"/>
                <w:szCs w:val="11"/>
                <w:color w:val="auto"/>
              </w:rPr>
              <w:t>02026</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9161</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One Post Office Square</w:t>
            </w:r>
          </w:p>
        </w:tc>
        <w:tc>
          <w:tcPr>
            <w:tcW w:w="960" w:type="dxa"/>
            <w:vAlign w:val="bottom"/>
          </w:tcPr>
          <w:p>
            <w:pPr>
              <w:ind w:left="40"/>
              <w:spacing w:after="0"/>
              <w:rPr>
                <w:sz w:val="20"/>
                <w:szCs w:val="20"/>
                <w:color w:val="auto"/>
              </w:rPr>
            </w:pPr>
            <w:r>
              <w:rPr>
                <w:rFonts w:ascii="Arial" w:cs="Arial" w:eastAsia="Arial" w:hAnsi="Arial"/>
                <w:sz w:val="11"/>
                <w:szCs w:val="11"/>
                <w:color w:val="auto"/>
              </w:rPr>
              <w:t>Lynnfield</w:t>
            </w:r>
          </w:p>
        </w:tc>
        <w:tc>
          <w:tcPr>
            <w:tcW w:w="260" w:type="dxa"/>
            <w:vAlign w:val="bottom"/>
          </w:tcPr>
          <w:p>
            <w:pPr>
              <w:ind w:left="40"/>
              <w:spacing w:after="0"/>
              <w:rPr>
                <w:sz w:val="20"/>
                <w:szCs w:val="20"/>
                <w:color w:val="auto"/>
              </w:rPr>
            </w:pPr>
            <w:r>
              <w:rPr>
                <w:rFonts w:ascii="Arial" w:cs="Arial" w:eastAsia="Arial" w:hAnsi="Arial"/>
                <w:sz w:val="11"/>
                <w:szCs w:val="11"/>
                <w:color w:val="auto"/>
              </w:rPr>
              <w:t>MA</w:t>
            </w:r>
          </w:p>
        </w:tc>
        <w:tc>
          <w:tcPr>
            <w:tcW w:w="460" w:type="dxa"/>
            <w:vAlign w:val="bottom"/>
          </w:tcPr>
          <w:p>
            <w:pPr>
              <w:ind w:left="40"/>
              <w:spacing w:after="0"/>
              <w:rPr>
                <w:sz w:val="20"/>
                <w:szCs w:val="20"/>
                <w:color w:val="auto"/>
              </w:rPr>
            </w:pPr>
            <w:r>
              <w:rPr>
                <w:rFonts w:ascii="Arial" w:cs="Arial" w:eastAsia="Arial" w:hAnsi="Arial"/>
                <w:sz w:val="11"/>
                <w:szCs w:val="11"/>
                <w:color w:val="auto"/>
              </w:rPr>
              <w:t>01940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9166</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1263 MILITARY RD</w:t>
            </w:r>
          </w:p>
        </w:tc>
        <w:tc>
          <w:tcPr>
            <w:tcW w:w="960" w:type="dxa"/>
            <w:vAlign w:val="bottom"/>
          </w:tcPr>
          <w:p>
            <w:pPr>
              <w:ind w:left="40"/>
              <w:spacing w:after="0"/>
              <w:rPr>
                <w:sz w:val="20"/>
                <w:szCs w:val="20"/>
                <w:color w:val="auto"/>
              </w:rPr>
            </w:pPr>
            <w:r>
              <w:rPr>
                <w:rFonts w:ascii="Arial" w:cs="Arial" w:eastAsia="Arial" w:hAnsi="Arial"/>
                <w:sz w:val="11"/>
                <w:szCs w:val="11"/>
                <w:color w:val="auto"/>
              </w:rPr>
              <w:t>NIAGARA FALLS</w:t>
            </w:r>
          </w:p>
        </w:tc>
        <w:tc>
          <w:tcPr>
            <w:tcW w:w="260" w:type="dxa"/>
            <w:vAlign w:val="bottom"/>
          </w:tcPr>
          <w:p>
            <w:pPr>
              <w:ind w:left="40"/>
              <w:spacing w:after="0"/>
              <w:rPr>
                <w:sz w:val="20"/>
                <w:szCs w:val="20"/>
                <w:color w:val="auto"/>
              </w:rPr>
            </w:pPr>
            <w:r>
              <w:rPr>
                <w:rFonts w:ascii="Arial" w:cs="Arial" w:eastAsia="Arial" w:hAnsi="Arial"/>
                <w:sz w:val="11"/>
                <w:szCs w:val="11"/>
                <w:color w:val="auto"/>
              </w:rPr>
              <w:t>NY</w:t>
            </w:r>
          </w:p>
        </w:tc>
        <w:tc>
          <w:tcPr>
            <w:tcW w:w="460" w:type="dxa"/>
            <w:vAlign w:val="bottom"/>
          </w:tcPr>
          <w:p>
            <w:pPr>
              <w:ind w:left="40"/>
              <w:spacing w:after="0"/>
              <w:rPr>
                <w:sz w:val="20"/>
                <w:szCs w:val="20"/>
                <w:color w:val="auto"/>
              </w:rPr>
            </w:pPr>
            <w:r>
              <w:rPr>
                <w:rFonts w:ascii="Arial" w:cs="Arial" w:eastAsia="Arial" w:hAnsi="Arial"/>
                <w:sz w:val="11"/>
                <w:szCs w:val="11"/>
                <w:color w:val="auto"/>
              </w:rPr>
              <w:t>14304</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(716) 283-8783</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9171</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2325 SOUTHLAKE MALL</w:t>
            </w:r>
          </w:p>
        </w:tc>
        <w:tc>
          <w:tcPr>
            <w:tcW w:w="960" w:type="dxa"/>
            <w:vAlign w:val="bottom"/>
          </w:tcPr>
          <w:p>
            <w:pPr>
              <w:ind w:left="40"/>
              <w:spacing w:after="0"/>
              <w:rPr>
                <w:sz w:val="20"/>
                <w:szCs w:val="20"/>
                <w:color w:val="auto"/>
              </w:rPr>
            </w:pPr>
            <w:r>
              <w:rPr>
                <w:rFonts w:ascii="Arial" w:cs="Arial" w:eastAsia="Arial" w:hAnsi="Arial"/>
                <w:sz w:val="11"/>
                <w:szCs w:val="11"/>
                <w:color w:val="auto"/>
              </w:rPr>
              <w:t>MERRILLVILLE</w:t>
            </w:r>
          </w:p>
        </w:tc>
        <w:tc>
          <w:tcPr>
            <w:tcW w:w="260" w:type="dxa"/>
            <w:vAlign w:val="bottom"/>
          </w:tcPr>
          <w:p>
            <w:pPr>
              <w:ind w:left="40"/>
              <w:spacing w:after="0"/>
              <w:rPr>
                <w:sz w:val="20"/>
                <w:szCs w:val="20"/>
                <w:color w:val="auto"/>
              </w:rPr>
            </w:pPr>
            <w:r>
              <w:rPr>
                <w:rFonts w:ascii="Arial" w:cs="Arial" w:eastAsia="Arial" w:hAnsi="Arial"/>
                <w:sz w:val="11"/>
                <w:szCs w:val="11"/>
                <w:color w:val="auto"/>
              </w:rPr>
              <w:t>IN</w:t>
            </w:r>
          </w:p>
        </w:tc>
        <w:tc>
          <w:tcPr>
            <w:tcW w:w="460" w:type="dxa"/>
            <w:vAlign w:val="bottom"/>
          </w:tcPr>
          <w:p>
            <w:pPr>
              <w:ind w:left="40"/>
              <w:spacing w:after="0"/>
              <w:rPr>
                <w:sz w:val="20"/>
                <w:szCs w:val="20"/>
                <w:color w:val="auto"/>
              </w:rPr>
            </w:pPr>
            <w:r>
              <w:rPr>
                <w:rFonts w:ascii="Arial" w:cs="Arial" w:eastAsia="Arial" w:hAnsi="Arial"/>
                <w:sz w:val="11"/>
                <w:szCs w:val="11"/>
                <w:color w:val="auto"/>
              </w:rPr>
              <w:t>46410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(219) 738-4254</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9172</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7220 SAND LAKE RD</w:t>
            </w:r>
          </w:p>
        </w:tc>
        <w:tc>
          <w:tcPr>
            <w:tcW w:w="960" w:type="dxa"/>
            <w:vAlign w:val="bottom"/>
          </w:tcPr>
          <w:p>
            <w:pPr>
              <w:ind w:left="40"/>
              <w:spacing w:after="0"/>
              <w:rPr>
                <w:sz w:val="20"/>
                <w:szCs w:val="20"/>
                <w:color w:val="auto"/>
              </w:rPr>
            </w:pPr>
            <w:r>
              <w:rPr>
                <w:rFonts w:ascii="Arial" w:cs="Arial" w:eastAsia="Arial" w:hAnsi="Arial"/>
                <w:sz w:val="11"/>
                <w:szCs w:val="11"/>
                <w:color w:val="auto"/>
              </w:rPr>
              <w:t>ORLANDO</w:t>
            </w:r>
          </w:p>
        </w:tc>
        <w:tc>
          <w:tcPr>
            <w:tcW w:w="260" w:type="dxa"/>
            <w:vAlign w:val="bottom"/>
          </w:tcPr>
          <w:p>
            <w:pPr>
              <w:ind w:left="40"/>
              <w:spacing w:after="0"/>
              <w:rPr>
                <w:sz w:val="20"/>
                <w:szCs w:val="20"/>
                <w:color w:val="auto"/>
              </w:rPr>
            </w:pPr>
            <w:r>
              <w:rPr>
                <w:rFonts w:ascii="Arial" w:cs="Arial" w:eastAsia="Arial" w:hAnsi="Arial"/>
                <w:sz w:val="11"/>
                <w:szCs w:val="11"/>
                <w:color w:val="auto"/>
              </w:rPr>
              <w:t>FL</w:t>
            </w:r>
          </w:p>
        </w:tc>
        <w:tc>
          <w:tcPr>
            <w:tcW w:w="460" w:type="dxa"/>
            <w:vAlign w:val="bottom"/>
          </w:tcPr>
          <w:p>
            <w:pPr>
              <w:ind w:left="40"/>
              <w:spacing w:after="0"/>
              <w:rPr>
                <w:sz w:val="20"/>
                <w:szCs w:val="20"/>
                <w:color w:val="auto"/>
              </w:rPr>
            </w:pPr>
            <w:r>
              <w:rPr>
                <w:rFonts w:ascii="Arial" w:cs="Arial" w:eastAsia="Arial" w:hAnsi="Arial"/>
                <w:sz w:val="11"/>
                <w:szCs w:val="11"/>
                <w:color w:val="auto"/>
              </w:rPr>
              <w:t>32819</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(407) 351-4220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9174</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w w:val="93"/>
              </w:rPr>
              <w:t>3333 WEST HENRIETTA RD</w:t>
            </w:r>
          </w:p>
        </w:tc>
        <w:tc>
          <w:tcPr>
            <w:tcW w:w="960" w:type="dxa"/>
            <w:vAlign w:val="bottom"/>
          </w:tcPr>
          <w:p>
            <w:pPr>
              <w:ind w:left="40"/>
              <w:spacing w:after="0"/>
              <w:rPr>
                <w:sz w:val="20"/>
                <w:szCs w:val="20"/>
                <w:color w:val="auto"/>
              </w:rPr>
            </w:pPr>
            <w:r>
              <w:rPr>
                <w:rFonts w:ascii="Arial" w:cs="Arial" w:eastAsia="Arial" w:hAnsi="Arial"/>
                <w:sz w:val="11"/>
                <w:szCs w:val="11"/>
                <w:color w:val="auto"/>
              </w:rPr>
              <w:t>ROCHESTER</w:t>
            </w:r>
          </w:p>
        </w:tc>
        <w:tc>
          <w:tcPr>
            <w:tcW w:w="260" w:type="dxa"/>
            <w:vAlign w:val="bottom"/>
          </w:tcPr>
          <w:p>
            <w:pPr>
              <w:ind w:left="40"/>
              <w:spacing w:after="0"/>
              <w:rPr>
                <w:sz w:val="20"/>
                <w:szCs w:val="20"/>
                <w:color w:val="auto"/>
              </w:rPr>
            </w:pPr>
            <w:r>
              <w:rPr>
                <w:rFonts w:ascii="Arial" w:cs="Arial" w:eastAsia="Arial" w:hAnsi="Arial"/>
                <w:sz w:val="11"/>
                <w:szCs w:val="11"/>
                <w:color w:val="auto"/>
              </w:rPr>
              <w:t>NY</w:t>
            </w:r>
          </w:p>
        </w:tc>
        <w:tc>
          <w:tcPr>
            <w:tcW w:w="460" w:type="dxa"/>
            <w:vAlign w:val="bottom"/>
          </w:tcPr>
          <w:p>
            <w:pPr>
              <w:ind w:left="40"/>
              <w:spacing w:after="0"/>
              <w:rPr>
                <w:sz w:val="20"/>
                <w:szCs w:val="20"/>
                <w:color w:val="auto"/>
              </w:rPr>
            </w:pPr>
            <w:r>
              <w:rPr>
                <w:rFonts w:ascii="Arial" w:cs="Arial" w:eastAsia="Arial" w:hAnsi="Arial"/>
                <w:sz w:val="11"/>
                <w:szCs w:val="11"/>
                <w:color w:val="auto"/>
              </w:rPr>
              <w:t>14623</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(585) 475-1687</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9175</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w w:val="94"/>
              </w:rPr>
              <w:t>1349 BOSTON POST ROAD</w:t>
            </w:r>
          </w:p>
        </w:tc>
        <w:tc>
          <w:tcPr>
            <w:tcW w:w="960" w:type="dxa"/>
            <w:vAlign w:val="bottom"/>
          </w:tcPr>
          <w:p>
            <w:pPr>
              <w:ind w:left="40"/>
              <w:spacing w:after="0"/>
              <w:rPr>
                <w:sz w:val="20"/>
                <w:szCs w:val="20"/>
                <w:color w:val="auto"/>
              </w:rPr>
            </w:pPr>
            <w:r>
              <w:rPr>
                <w:rFonts w:ascii="Arial" w:cs="Arial" w:eastAsia="Arial" w:hAnsi="Arial"/>
                <w:sz w:val="11"/>
                <w:szCs w:val="11"/>
                <w:color w:val="auto"/>
              </w:rPr>
              <w:t>MILFORD</w:t>
            </w:r>
          </w:p>
        </w:tc>
        <w:tc>
          <w:tcPr>
            <w:tcW w:w="260" w:type="dxa"/>
            <w:vAlign w:val="bottom"/>
          </w:tcPr>
          <w:p>
            <w:pPr>
              <w:ind w:left="40"/>
              <w:spacing w:after="0"/>
              <w:rPr>
                <w:sz w:val="20"/>
                <w:szCs w:val="20"/>
                <w:color w:val="auto"/>
              </w:rPr>
            </w:pPr>
            <w:r>
              <w:rPr>
                <w:rFonts w:ascii="Arial" w:cs="Arial" w:eastAsia="Arial" w:hAnsi="Arial"/>
                <w:sz w:val="11"/>
                <w:szCs w:val="11"/>
                <w:color w:val="auto"/>
              </w:rPr>
              <w:t>CT</w:t>
            </w:r>
          </w:p>
        </w:tc>
        <w:tc>
          <w:tcPr>
            <w:tcW w:w="460" w:type="dxa"/>
            <w:vAlign w:val="bottom"/>
          </w:tcPr>
          <w:p>
            <w:pPr>
              <w:ind w:left="40"/>
              <w:spacing w:after="0"/>
              <w:rPr>
                <w:sz w:val="20"/>
                <w:szCs w:val="20"/>
                <w:color w:val="auto"/>
              </w:rPr>
            </w:pPr>
            <w:r>
              <w:rPr>
                <w:rFonts w:ascii="Arial" w:cs="Arial" w:eastAsia="Arial" w:hAnsi="Arial"/>
                <w:sz w:val="11"/>
                <w:szCs w:val="11"/>
                <w:color w:val="auto"/>
              </w:rPr>
              <w:t>06460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(203) 876-3383</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9176</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2105 PINECROFT ROAD</w:t>
            </w:r>
          </w:p>
        </w:tc>
        <w:tc>
          <w:tcPr>
            <w:tcW w:w="960" w:type="dxa"/>
            <w:vAlign w:val="bottom"/>
          </w:tcPr>
          <w:p>
            <w:pPr>
              <w:ind w:left="40"/>
              <w:spacing w:after="0"/>
              <w:rPr>
                <w:sz w:val="20"/>
                <w:szCs w:val="20"/>
                <w:color w:val="auto"/>
              </w:rPr>
            </w:pPr>
            <w:r>
              <w:rPr>
                <w:rFonts w:ascii="Arial" w:cs="Arial" w:eastAsia="Arial" w:hAnsi="Arial"/>
                <w:sz w:val="11"/>
                <w:szCs w:val="11"/>
                <w:color w:val="auto"/>
              </w:rPr>
              <w:t>GREENSBORO</w:t>
            </w:r>
          </w:p>
        </w:tc>
        <w:tc>
          <w:tcPr>
            <w:tcW w:w="260" w:type="dxa"/>
            <w:vAlign w:val="bottom"/>
          </w:tcPr>
          <w:p>
            <w:pPr>
              <w:ind w:left="40"/>
              <w:spacing w:after="0"/>
              <w:rPr>
                <w:sz w:val="20"/>
                <w:szCs w:val="20"/>
                <w:color w:val="auto"/>
              </w:rPr>
            </w:pPr>
            <w:r>
              <w:rPr>
                <w:rFonts w:ascii="Arial" w:cs="Arial" w:eastAsia="Arial" w:hAnsi="Arial"/>
                <w:sz w:val="11"/>
                <w:szCs w:val="11"/>
                <w:color w:val="auto"/>
              </w:rPr>
              <w:t>NC</w:t>
            </w:r>
          </w:p>
        </w:tc>
        <w:tc>
          <w:tcPr>
            <w:tcW w:w="460" w:type="dxa"/>
            <w:vAlign w:val="bottom"/>
          </w:tcPr>
          <w:p>
            <w:pPr>
              <w:ind w:left="40"/>
              <w:spacing w:after="0"/>
              <w:rPr>
                <w:sz w:val="20"/>
                <w:szCs w:val="20"/>
                <w:color w:val="auto"/>
              </w:rPr>
            </w:pPr>
            <w:r>
              <w:rPr>
                <w:rFonts w:ascii="Arial" w:cs="Arial" w:eastAsia="Arial" w:hAnsi="Arial"/>
                <w:sz w:val="11"/>
                <w:szCs w:val="11"/>
                <w:color w:val="auto"/>
              </w:rPr>
              <w:t>27407</w:t>
            </w:r>
          </w:p>
        </w:tc>
        <w:tc>
          <w:tcPr>
            <w:tcW w:w="1020" w:type="dxa"/>
            <w:vAlign w:val="bottom"/>
          </w:tcPr>
          <w:p>
            <w:pPr>
              <w:jc w:val="right"/>
              <w:ind w:right="186"/>
              <w:spacing w:after="0"/>
              <w:rPr>
                <w:sz w:val="20"/>
                <w:szCs w:val="20"/>
                <w:color w:val="auto"/>
              </w:rPr>
            </w:pPr>
            <w:r>
              <w:rPr>
                <w:rFonts w:ascii="Arial" w:cs="Arial" w:eastAsia="Arial" w:hAnsi="Arial"/>
                <w:sz w:val="11"/>
                <w:szCs w:val="11"/>
                <w:color w:val="auto"/>
              </w:rPr>
              <w:t>(336) 805-3745</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9178</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880 NORTH MILITARY</w:t>
            </w:r>
          </w:p>
        </w:tc>
        <w:tc>
          <w:tcPr>
            <w:tcW w:w="960" w:type="dxa"/>
            <w:vAlign w:val="bottom"/>
          </w:tcPr>
          <w:p>
            <w:pPr>
              <w:ind w:left="40"/>
              <w:spacing w:after="0"/>
              <w:rPr>
                <w:sz w:val="20"/>
                <w:szCs w:val="20"/>
                <w:color w:val="auto"/>
              </w:rPr>
            </w:pPr>
            <w:r>
              <w:rPr>
                <w:rFonts w:ascii="Arial" w:cs="Arial" w:eastAsia="Arial" w:hAnsi="Arial"/>
                <w:sz w:val="11"/>
                <w:szCs w:val="11"/>
                <w:color w:val="auto"/>
              </w:rPr>
              <w:t>NORFOLK</w:t>
            </w:r>
          </w:p>
        </w:tc>
        <w:tc>
          <w:tcPr>
            <w:tcW w:w="260" w:type="dxa"/>
            <w:vAlign w:val="bottom"/>
          </w:tcPr>
          <w:p>
            <w:pPr>
              <w:ind w:left="40"/>
              <w:spacing w:after="0"/>
              <w:rPr>
                <w:sz w:val="20"/>
                <w:szCs w:val="20"/>
                <w:color w:val="auto"/>
              </w:rPr>
            </w:pPr>
            <w:r>
              <w:rPr>
                <w:rFonts w:ascii="Arial" w:cs="Arial" w:eastAsia="Arial" w:hAnsi="Arial"/>
                <w:sz w:val="11"/>
                <w:szCs w:val="11"/>
                <w:color w:val="auto"/>
              </w:rPr>
              <w:t>VA</w:t>
            </w:r>
          </w:p>
        </w:tc>
        <w:tc>
          <w:tcPr>
            <w:tcW w:w="460" w:type="dxa"/>
            <w:vAlign w:val="bottom"/>
          </w:tcPr>
          <w:p>
            <w:pPr>
              <w:ind w:left="40"/>
              <w:spacing w:after="0"/>
              <w:rPr>
                <w:sz w:val="20"/>
                <w:szCs w:val="20"/>
                <w:color w:val="auto"/>
              </w:rPr>
            </w:pPr>
            <w:r>
              <w:rPr>
                <w:rFonts w:ascii="Arial" w:cs="Arial" w:eastAsia="Arial" w:hAnsi="Arial"/>
                <w:sz w:val="11"/>
                <w:szCs w:val="11"/>
                <w:color w:val="auto"/>
              </w:rPr>
              <w:t>23502</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(757) 466-5150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HIGHWAY</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9180</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36 E Midland Ave</w:t>
            </w:r>
          </w:p>
        </w:tc>
        <w:tc>
          <w:tcPr>
            <w:tcW w:w="960" w:type="dxa"/>
            <w:vAlign w:val="bottom"/>
          </w:tcPr>
          <w:p>
            <w:pPr>
              <w:ind w:left="40"/>
              <w:spacing w:after="0"/>
              <w:rPr>
                <w:sz w:val="20"/>
                <w:szCs w:val="20"/>
                <w:color w:val="auto"/>
              </w:rPr>
            </w:pPr>
            <w:r>
              <w:rPr>
                <w:rFonts w:ascii="Arial" w:cs="Arial" w:eastAsia="Arial" w:hAnsi="Arial"/>
                <w:sz w:val="11"/>
                <w:szCs w:val="11"/>
                <w:color w:val="auto"/>
              </w:rPr>
              <w:t>Paramus</w:t>
            </w:r>
          </w:p>
        </w:tc>
        <w:tc>
          <w:tcPr>
            <w:tcW w:w="260" w:type="dxa"/>
            <w:vAlign w:val="bottom"/>
          </w:tcPr>
          <w:p>
            <w:pPr>
              <w:ind w:left="40"/>
              <w:spacing w:after="0"/>
              <w:rPr>
                <w:sz w:val="20"/>
                <w:szCs w:val="20"/>
                <w:color w:val="auto"/>
              </w:rPr>
            </w:pPr>
            <w:r>
              <w:rPr>
                <w:rFonts w:ascii="Arial" w:cs="Arial" w:eastAsia="Arial" w:hAnsi="Arial"/>
                <w:sz w:val="11"/>
                <w:szCs w:val="11"/>
                <w:color w:val="auto"/>
              </w:rPr>
              <w:t>NJ</w:t>
            </w:r>
          </w:p>
        </w:tc>
        <w:tc>
          <w:tcPr>
            <w:tcW w:w="460" w:type="dxa"/>
            <w:vAlign w:val="bottom"/>
          </w:tcPr>
          <w:p>
            <w:pPr>
              <w:ind w:left="40"/>
              <w:spacing w:after="0"/>
              <w:rPr>
                <w:sz w:val="20"/>
                <w:szCs w:val="20"/>
                <w:color w:val="auto"/>
              </w:rPr>
            </w:pPr>
            <w:r>
              <w:rPr>
                <w:rFonts w:ascii="Arial" w:cs="Arial" w:eastAsia="Arial" w:hAnsi="Arial"/>
                <w:sz w:val="11"/>
                <w:szCs w:val="11"/>
                <w:color w:val="auto"/>
              </w:rPr>
              <w:t>07652</w:t>
            </w:r>
          </w:p>
        </w:tc>
        <w:tc>
          <w:tcPr>
            <w:tcW w:w="1020" w:type="dxa"/>
            <w:vAlign w:val="bottom"/>
          </w:tcPr>
          <w:p>
            <w:pPr>
              <w:jc w:val="right"/>
              <w:ind w:right="186"/>
              <w:spacing w:after="0"/>
              <w:rPr>
                <w:sz w:val="20"/>
                <w:szCs w:val="20"/>
                <w:color w:val="auto"/>
              </w:rPr>
            </w:pPr>
            <w:r>
              <w:rPr>
                <w:rFonts w:ascii="Arial" w:cs="Arial" w:eastAsia="Arial" w:hAnsi="Arial"/>
                <w:sz w:val="11"/>
                <w:szCs w:val="11"/>
                <w:color w:val="auto"/>
              </w:rPr>
              <w:t>(201) 634-1047</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9186</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2500 ROUTE 22 CTR</w:t>
            </w:r>
          </w:p>
        </w:tc>
        <w:tc>
          <w:tcPr>
            <w:tcW w:w="960" w:type="dxa"/>
            <w:vAlign w:val="bottom"/>
          </w:tcPr>
          <w:p>
            <w:pPr>
              <w:ind w:left="40"/>
              <w:spacing w:after="0"/>
              <w:rPr>
                <w:sz w:val="20"/>
                <w:szCs w:val="20"/>
                <w:color w:val="auto"/>
              </w:rPr>
            </w:pPr>
            <w:r>
              <w:rPr>
                <w:rFonts w:ascii="Arial" w:cs="Arial" w:eastAsia="Arial" w:hAnsi="Arial"/>
                <w:sz w:val="11"/>
                <w:szCs w:val="11"/>
                <w:color w:val="auto"/>
              </w:rPr>
              <w:t>UNION</w:t>
            </w:r>
          </w:p>
        </w:tc>
        <w:tc>
          <w:tcPr>
            <w:tcW w:w="260" w:type="dxa"/>
            <w:vAlign w:val="bottom"/>
          </w:tcPr>
          <w:p>
            <w:pPr>
              <w:ind w:left="40"/>
              <w:spacing w:after="0"/>
              <w:rPr>
                <w:sz w:val="20"/>
                <w:szCs w:val="20"/>
                <w:color w:val="auto"/>
              </w:rPr>
            </w:pPr>
            <w:r>
              <w:rPr>
                <w:rFonts w:ascii="Arial" w:cs="Arial" w:eastAsia="Arial" w:hAnsi="Arial"/>
                <w:sz w:val="11"/>
                <w:szCs w:val="11"/>
                <w:color w:val="auto"/>
              </w:rPr>
              <w:t>NJ</w:t>
            </w:r>
          </w:p>
        </w:tc>
        <w:tc>
          <w:tcPr>
            <w:tcW w:w="460" w:type="dxa"/>
            <w:vAlign w:val="bottom"/>
          </w:tcPr>
          <w:p>
            <w:pPr>
              <w:ind w:left="40"/>
              <w:spacing w:after="0"/>
              <w:rPr>
                <w:sz w:val="20"/>
                <w:szCs w:val="20"/>
                <w:color w:val="auto"/>
              </w:rPr>
            </w:pPr>
            <w:r>
              <w:rPr>
                <w:rFonts w:ascii="Arial" w:cs="Arial" w:eastAsia="Arial" w:hAnsi="Arial"/>
                <w:sz w:val="11"/>
                <w:szCs w:val="11"/>
                <w:color w:val="auto"/>
              </w:rPr>
              <w:t>07083</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(908) 622-9324</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9187</w:t>
            </w:r>
          </w:p>
        </w:tc>
        <w:tc>
          <w:tcPr>
            <w:tcW w:w="1160" w:type="dxa"/>
            <w:vAlign w:val="bottom"/>
          </w:tcPr>
          <w:p>
            <w:pPr>
              <w:ind w:left="40"/>
              <w:spacing w:after="0"/>
              <w:rPr>
                <w:sz w:val="20"/>
                <w:szCs w:val="20"/>
                <w:color w:val="auto"/>
              </w:rPr>
            </w:pPr>
            <w:r>
              <w:rPr>
                <w:rFonts w:ascii="Arial" w:cs="Arial" w:eastAsia="Arial" w:hAnsi="Arial"/>
                <w:sz w:val="11"/>
                <w:szCs w:val="11"/>
                <w:color w:val="auto"/>
              </w:rPr>
              <w:t>US BANK</w:t>
            </w:r>
          </w:p>
        </w:tc>
        <w:tc>
          <w:tcPr>
            <w:tcW w:w="1480" w:type="dxa"/>
            <w:vAlign w:val="bottom"/>
          </w:tcPr>
          <w:p>
            <w:pPr>
              <w:ind w:left="120"/>
              <w:spacing w:after="0"/>
              <w:rPr>
                <w:sz w:val="20"/>
                <w:szCs w:val="20"/>
                <w:color w:val="auto"/>
              </w:rPr>
            </w:pPr>
            <w:r>
              <w:rPr>
                <w:rFonts w:ascii="Arial" w:cs="Arial" w:eastAsia="Arial" w:hAnsi="Arial"/>
                <w:sz w:val="11"/>
                <w:szCs w:val="11"/>
                <w:color w:val="auto"/>
                <w:w w:val="97"/>
              </w:rPr>
              <w:t>2690 Snelling Avenue North</w:t>
            </w:r>
          </w:p>
        </w:tc>
        <w:tc>
          <w:tcPr>
            <w:tcW w:w="960" w:type="dxa"/>
            <w:vAlign w:val="bottom"/>
          </w:tcPr>
          <w:p>
            <w:pPr>
              <w:ind w:left="40"/>
              <w:spacing w:after="0"/>
              <w:rPr>
                <w:sz w:val="20"/>
                <w:szCs w:val="20"/>
                <w:color w:val="auto"/>
              </w:rPr>
            </w:pPr>
            <w:r>
              <w:rPr>
                <w:rFonts w:ascii="Arial" w:cs="Arial" w:eastAsia="Arial" w:hAnsi="Arial"/>
                <w:sz w:val="11"/>
                <w:szCs w:val="11"/>
                <w:color w:val="auto"/>
              </w:rPr>
              <w:t>ROSEVILLE</w:t>
            </w:r>
          </w:p>
        </w:tc>
        <w:tc>
          <w:tcPr>
            <w:tcW w:w="260" w:type="dxa"/>
            <w:vAlign w:val="bottom"/>
          </w:tcPr>
          <w:p>
            <w:pPr>
              <w:ind w:left="40"/>
              <w:spacing w:after="0"/>
              <w:rPr>
                <w:sz w:val="20"/>
                <w:szCs w:val="20"/>
                <w:color w:val="auto"/>
              </w:rPr>
            </w:pPr>
            <w:r>
              <w:rPr>
                <w:rFonts w:ascii="Arial" w:cs="Arial" w:eastAsia="Arial" w:hAnsi="Arial"/>
                <w:sz w:val="11"/>
                <w:szCs w:val="11"/>
                <w:color w:val="auto"/>
              </w:rPr>
              <w:t>MN</w:t>
            </w:r>
          </w:p>
        </w:tc>
        <w:tc>
          <w:tcPr>
            <w:tcW w:w="460" w:type="dxa"/>
            <w:vAlign w:val="bottom"/>
          </w:tcPr>
          <w:p>
            <w:pPr>
              <w:ind w:left="40"/>
              <w:spacing w:after="0"/>
              <w:rPr>
                <w:sz w:val="20"/>
                <w:szCs w:val="20"/>
                <w:color w:val="auto"/>
              </w:rPr>
            </w:pPr>
            <w:r>
              <w:rPr>
                <w:rFonts w:ascii="Arial" w:cs="Arial" w:eastAsia="Arial" w:hAnsi="Arial"/>
                <w:sz w:val="11"/>
                <w:szCs w:val="11"/>
                <w:color w:val="auto"/>
              </w:rPr>
              <w:t>55113</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(631) 636-8300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9190</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7606 WEST MORGAN</w:t>
            </w:r>
          </w:p>
        </w:tc>
        <w:tc>
          <w:tcPr>
            <w:tcW w:w="960" w:type="dxa"/>
            <w:vAlign w:val="bottom"/>
          </w:tcPr>
          <w:p>
            <w:pPr>
              <w:ind w:left="40"/>
              <w:spacing w:after="0"/>
              <w:rPr>
                <w:sz w:val="20"/>
                <w:szCs w:val="20"/>
                <w:color w:val="auto"/>
              </w:rPr>
            </w:pPr>
            <w:r>
              <w:rPr>
                <w:rFonts w:ascii="Arial" w:cs="Arial" w:eastAsia="Arial" w:hAnsi="Arial"/>
                <w:sz w:val="11"/>
                <w:szCs w:val="11"/>
                <w:color w:val="auto"/>
              </w:rPr>
              <w:t>MILWAUKEE</w:t>
            </w:r>
          </w:p>
        </w:tc>
        <w:tc>
          <w:tcPr>
            <w:tcW w:w="260" w:type="dxa"/>
            <w:vAlign w:val="bottom"/>
          </w:tcPr>
          <w:p>
            <w:pPr>
              <w:ind w:left="40"/>
              <w:spacing w:after="0"/>
              <w:rPr>
                <w:sz w:val="20"/>
                <w:szCs w:val="20"/>
                <w:color w:val="auto"/>
              </w:rPr>
            </w:pPr>
            <w:r>
              <w:rPr>
                <w:rFonts w:ascii="Arial" w:cs="Arial" w:eastAsia="Arial" w:hAnsi="Arial"/>
                <w:sz w:val="11"/>
                <w:szCs w:val="11"/>
                <w:color w:val="auto"/>
              </w:rPr>
              <w:t>WI</w:t>
            </w:r>
          </w:p>
        </w:tc>
        <w:tc>
          <w:tcPr>
            <w:tcW w:w="460" w:type="dxa"/>
            <w:vAlign w:val="bottom"/>
          </w:tcPr>
          <w:p>
            <w:pPr>
              <w:ind w:left="40"/>
              <w:spacing w:after="0"/>
              <w:rPr>
                <w:sz w:val="20"/>
                <w:szCs w:val="20"/>
                <w:color w:val="auto"/>
              </w:rPr>
            </w:pPr>
            <w:r>
              <w:rPr>
                <w:rFonts w:ascii="Arial" w:cs="Arial" w:eastAsia="Arial" w:hAnsi="Arial"/>
                <w:sz w:val="11"/>
                <w:szCs w:val="11"/>
                <w:color w:val="auto"/>
              </w:rPr>
              <w:t>53220</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(414) 546-7485</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AVENUE</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9191</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2440" w:type="dxa"/>
            <w:vAlign w:val="bottom"/>
            <w:gridSpan w:val="2"/>
          </w:tcPr>
          <w:p>
            <w:pPr>
              <w:ind w:left="120"/>
              <w:spacing w:after="0"/>
              <w:rPr>
                <w:sz w:val="20"/>
                <w:szCs w:val="20"/>
                <w:color w:val="auto"/>
              </w:rPr>
            </w:pPr>
            <w:r>
              <w:rPr>
                <w:rFonts w:ascii="Arial" w:cs="Arial" w:eastAsia="Arial" w:hAnsi="Arial"/>
                <w:sz w:val="11"/>
                <w:szCs w:val="11"/>
                <w:color w:val="auto"/>
              </w:rPr>
              <w:t>99 Rockingham Park Boulevard Salem</w:t>
            </w:r>
          </w:p>
        </w:tc>
        <w:tc>
          <w:tcPr>
            <w:tcW w:w="260" w:type="dxa"/>
            <w:vAlign w:val="bottom"/>
          </w:tcPr>
          <w:p>
            <w:pPr>
              <w:ind w:left="40"/>
              <w:spacing w:after="0"/>
              <w:rPr>
                <w:sz w:val="20"/>
                <w:szCs w:val="20"/>
                <w:color w:val="auto"/>
              </w:rPr>
            </w:pPr>
            <w:r>
              <w:rPr>
                <w:rFonts w:ascii="Arial" w:cs="Arial" w:eastAsia="Arial" w:hAnsi="Arial"/>
                <w:sz w:val="11"/>
                <w:szCs w:val="11"/>
                <w:color w:val="auto"/>
              </w:rPr>
              <w:t>NH</w:t>
            </w:r>
          </w:p>
        </w:tc>
        <w:tc>
          <w:tcPr>
            <w:tcW w:w="460" w:type="dxa"/>
            <w:vAlign w:val="bottom"/>
          </w:tcPr>
          <w:p>
            <w:pPr>
              <w:ind w:left="40"/>
              <w:spacing w:after="0"/>
              <w:rPr>
                <w:sz w:val="20"/>
                <w:szCs w:val="20"/>
                <w:color w:val="auto"/>
              </w:rPr>
            </w:pPr>
            <w:r>
              <w:rPr>
                <w:rFonts w:ascii="Arial" w:cs="Arial" w:eastAsia="Arial" w:hAnsi="Arial"/>
                <w:sz w:val="11"/>
                <w:szCs w:val="11"/>
                <w:color w:val="auto"/>
              </w:rPr>
              <w:t>03079</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9193</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994 Middle Country Rd</w:t>
            </w:r>
          </w:p>
        </w:tc>
        <w:tc>
          <w:tcPr>
            <w:tcW w:w="960" w:type="dxa"/>
            <w:vAlign w:val="bottom"/>
          </w:tcPr>
          <w:p>
            <w:pPr>
              <w:ind w:left="40"/>
              <w:spacing w:after="0"/>
              <w:rPr>
                <w:sz w:val="20"/>
                <w:szCs w:val="20"/>
                <w:color w:val="auto"/>
              </w:rPr>
            </w:pPr>
            <w:r>
              <w:rPr>
                <w:rFonts w:ascii="Arial" w:cs="Arial" w:eastAsia="Arial" w:hAnsi="Arial"/>
                <w:sz w:val="11"/>
                <w:szCs w:val="11"/>
                <w:color w:val="auto"/>
              </w:rPr>
              <w:t>Selden</w:t>
            </w:r>
          </w:p>
        </w:tc>
        <w:tc>
          <w:tcPr>
            <w:tcW w:w="260" w:type="dxa"/>
            <w:vAlign w:val="bottom"/>
          </w:tcPr>
          <w:p>
            <w:pPr>
              <w:ind w:left="40"/>
              <w:spacing w:after="0"/>
              <w:rPr>
                <w:sz w:val="20"/>
                <w:szCs w:val="20"/>
                <w:color w:val="auto"/>
              </w:rPr>
            </w:pPr>
            <w:r>
              <w:rPr>
                <w:rFonts w:ascii="Arial" w:cs="Arial" w:eastAsia="Arial" w:hAnsi="Arial"/>
                <w:sz w:val="11"/>
                <w:szCs w:val="11"/>
                <w:color w:val="auto"/>
              </w:rPr>
              <w:t>NY</w:t>
            </w:r>
          </w:p>
        </w:tc>
        <w:tc>
          <w:tcPr>
            <w:tcW w:w="460" w:type="dxa"/>
            <w:vAlign w:val="bottom"/>
          </w:tcPr>
          <w:p>
            <w:pPr>
              <w:ind w:left="40"/>
              <w:spacing w:after="0"/>
              <w:rPr>
                <w:sz w:val="20"/>
                <w:szCs w:val="20"/>
                <w:color w:val="auto"/>
              </w:rPr>
            </w:pPr>
            <w:r>
              <w:rPr>
                <w:rFonts w:ascii="Arial" w:cs="Arial" w:eastAsia="Arial" w:hAnsi="Arial"/>
                <w:sz w:val="11"/>
                <w:szCs w:val="11"/>
                <w:color w:val="auto"/>
              </w:rPr>
              <w:t>11784</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58"/>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9194</w:t>
            </w:r>
          </w:p>
        </w:tc>
        <w:tc>
          <w:tcPr>
            <w:tcW w:w="1160" w:type="dxa"/>
            <w:vAlign w:val="bottom"/>
          </w:tcPr>
          <w:p>
            <w:pPr>
              <w:ind w:left="40"/>
              <w:spacing w:after="0"/>
              <w:rPr>
                <w:sz w:val="20"/>
                <w:szCs w:val="20"/>
                <w:color w:val="auto"/>
              </w:rPr>
            </w:pPr>
            <w:r>
              <w:rPr>
                <w:rFonts w:ascii="Arial" w:cs="Arial" w:eastAsia="Arial" w:hAnsi="Arial"/>
                <w:sz w:val="11"/>
                <w:szCs w:val="11"/>
                <w:color w:val="auto"/>
                <w:w w:val="99"/>
              </w:rPr>
              <w:t>CHASE (JPMORGAN)</w:t>
            </w:r>
          </w:p>
        </w:tc>
        <w:tc>
          <w:tcPr>
            <w:tcW w:w="1480" w:type="dxa"/>
            <w:vAlign w:val="bottom"/>
          </w:tcPr>
          <w:p>
            <w:pPr>
              <w:ind w:left="120"/>
              <w:spacing w:after="0"/>
              <w:rPr>
                <w:sz w:val="20"/>
                <w:szCs w:val="20"/>
                <w:color w:val="auto"/>
              </w:rPr>
            </w:pPr>
            <w:r>
              <w:rPr>
                <w:rFonts w:ascii="Arial" w:cs="Arial" w:eastAsia="Arial" w:hAnsi="Arial"/>
                <w:sz w:val="11"/>
                <w:szCs w:val="11"/>
                <w:color w:val="auto"/>
              </w:rPr>
              <w:t>2255 NORTH CALHOUN</w:t>
            </w:r>
          </w:p>
        </w:tc>
        <w:tc>
          <w:tcPr>
            <w:tcW w:w="960" w:type="dxa"/>
            <w:vAlign w:val="bottom"/>
          </w:tcPr>
          <w:p>
            <w:pPr>
              <w:ind w:left="40"/>
              <w:spacing w:after="0"/>
              <w:rPr>
                <w:sz w:val="20"/>
                <w:szCs w:val="20"/>
                <w:color w:val="auto"/>
              </w:rPr>
            </w:pPr>
            <w:r>
              <w:rPr>
                <w:rFonts w:ascii="Arial" w:cs="Arial" w:eastAsia="Arial" w:hAnsi="Arial"/>
                <w:sz w:val="11"/>
                <w:szCs w:val="11"/>
                <w:color w:val="auto"/>
              </w:rPr>
              <w:t>BROOKFIELD</w:t>
            </w:r>
          </w:p>
        </w:tc>
        <w:tc>
          <w:tcPr>
            <w:tcW w:w="260" w:type="dxa"/>
            <w:vAlign w:val="bottom"/>
          </w:tcPr>
          <w:p>
            <w:pPr>
              <w:ind w:left="40"/>
              <w:spacing w:after="0"/>
              <w:rPr>
                <w:sz w:val="20"/>
                <w:szCs w:val="20"/>
                <w:color w:val="auto"/>
              </w:rPr>
            </w:pPr>
            <w:r>
              <w:rPr>
                <w:rFonts w:ascii="Arial" w:cs="Arial" w:eastAsia="Arial" w:hAnsi="Arial"/>
                <w:sz w:val="11"/>
                <w:szCs w:val="11"/>
                <w:color w:val="auto"/>
              </w:rPr>
              <w:t>WI</w:t>
            </w:r>
          </w:p>
        </w:tc>
        <w:tc>
          <w:tcPr>
            <w:tcW w:w="460" w:type="dxa"/>
            <w:vAlign w:val="bottom"/>
          </w:tcPr>
          <w:p>
            <w:pPr>
              <w:ind w:left="40"/>
              <w:spacing w:after="0"/>
              <w:rPr>
                <w:sz w:val="20"/>
                <w:szCs w:val="20"/>
                <w:color w:val="auto"/>
              </w:rPr>
            </w:pPr>
            <w:r>
              <w:rPr>
                <w:rFonts w:ascii="Arial" w:cs="Arial" w:eastAsia="Arial" w:hAnsi="Arial"/>
                <w:sz w:val="11"/>
                <w:szCs w:val="11"/>
                <w:color w:val="auto"/>
              </w:rPr>
              <w:t>53005</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(262) 821-4321</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136"/>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ind w:left="120"/>
              <w:spacing w:after="0"/>
              <w:rPr>
                <w:sz w:val="20"/>
                <w:szCs w:val="20"/>
                <w:color w:val="auto"/>
              </w:rPr>
            </w:pPr>
            <w:r>
              <w:rPr>
                <w:rFonts w:ascii="Arial" w:cs="Arial" w:eastAsia="Arial" w:hAnsi="Arial"/>
                <w:sz w:val="11"/>
                <w:szCs w:val="11"/>
                <w:color w:val="auto"/>
              </w:rPr>
              <w:t>ROAD</w:t>
            </w: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71"/>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9197</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75 Middlesex Turnpke</w:t>
            </w:r>
          </w:p>
        </w:tc>
        <w:tc>
          <w:tcPr>
            <w:tcW w:w="960" w:type="dxa"/>
            <w:vAlign w:val="bottom"/>
          </w:tcPr>
          <w:p>
            <w:pPr>
              <w:ind w:left="40"/>
              <w:spacing w:after="0"/>
              <w:rPr>
                <w:sz w:val="20"/>
                <w:szCs w:val="20"/>
                <w:color w:val="auto"/>
              </w:rPr>
            </w:pPr>
            <w:r>
              <w:rPr>
                <w:rFonts w:ascii="Arial" w:cs="Arial" w:eastAsia="Arial" w:hAnsi="Arial"/>
                <w:sz w:val="11"/>
                <w:szCs w:val="11"/>
                <w:color w:val="auto"/>
              </w:rPr>
              <w:t>Burlington</w:t>
            </w:r>
          </w:p>
        </w:tc>
        <w:tc>
          <w:tcPr>
            <w:tcW w:w="260" w:type="dxa"/>
            <w:vAlign w:val="bottom"/>
          </w:tcPr>
          <w:p>
            <w:pPr>
              <w:ind w:left="40"/>
              <w:spacing w:after="0"/>
              <w:rPr>
                <w:sz w:val="20"/>
                <w:szCs w:val="20"/>
                <w:color w:val="auto"/>
              </w:rPr>
            </w:pPr>
            <w:r>
              <w:rPr>
                <w:rFonts w:ascii="Arial" w:cs="Arial" w:eastAsia="Arial" w:hAnsi="Arial"/>
                <w:sz w:val="11"/>
                <w:szCs w:val="11"/>
                <w:color w:val="auto"/>
              </w:rPr>
              <w:t>MA</w:t>
            </w:r>
          </w:p>
        </w:tc>
        <w:tc>
          <w:tcPr>
            <w:tcW w:w="460" w:type="dxa"/>
            <w:vAlign w:val="bottom"/>
          </w:tcPr>
          <w:p>
            <w:pPr>
              <w:ind w:left="40"/>
              <w:spacing w:after="0"/>
              <w:rPr>
                <w:sz w:val="20"/>
                <w:szCs w:val="20"/>
                <w:color w:val="auto"/>
              </w:rPr>
            </w:pPr>
            <w:r>
              <w:rPr>
                <w:rFonts w:ascii="Arial" w:cs="Arial" w:eastAsia="Arial" w:hAnsi="Arial"/>
                <w:sz w:val="11"/>
                <w:szCs w:val="11"/>
                <w:color w:val="auto"/>
              </w:rPr>
              <w:t>01803</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(800) 841-4000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9199</w:t>
            </w:r>
          </w:p>
        </w:tc>
        <w:tc>
          <w:tcPr>
            <w:tcW w:w="1160" w:type="dxa"/>
            <w:vAlign w:val="bottom"/>
          </w:tcPr>
          <w:p>
            <w:pPr>
              <w:ind w:left="40"/>
              <w:spacing w:after="0"/>
              <w:rPr>
                <w:sz w:val="20"/>
                <w:szCs w:val="20"/>
                <w:color w:val="auto"/>
              </w:rPr>
            </w:pPr>
            <w:r>
              <w:rPr>
                <w:rFonts w:ascii="Arial" w:cs="Arial" w:eastAsia="Arial" w:hAnsi="Arial"/>
                <w:sz w:val="11"/>
                <w:szCs w:val="11"/>
                <w:color w:val="auto"/>
              </w:rPr>
              <w:t>BANK OF AMERICA</w:t>
            </w:r>
          </w:p>
        </w:tc>
        <w:tc>
          <w:tcPr>
            <w:tcW w:w="1480" w:type="dxa"/>
            <w:vAlign w:val="bottom"/>
          </w:tcPr>
          <w:p>
            <w:pPr>
              <w:ind w:left="120"/>
              <w:spacing w:after="0"/>
              <w:rPr>
                <w:sz w:val="20"/>
                <w:szCs w:val="20"/>
                <w:color w:val="auto"/>
              </w:rPr>
            </w:pPr>
            <w:r>
              <w:rPr>
                <w:rFonts w:ascii="Arial" w:cs="Arial" w:eastAsia="Arial" w:hAnsi="Arial"/>
                <w:sz w:val="11"/>
                <w:szCs w:val="11"/>
                <w:color w:val="auto"/>
              </w:rPr>
              <w:t>1290 HOOPER AVENUE</w:t>
            </w:r>
          </w:p>
        </w:tc>
        <w:tc>
          <w:tcPr>
            <w:tcW w:w="960" w:type="dxa"/>
            <w:vAlign w:val="bottom"/>
          </w:tcPr>
          <w:p>
            <w:pPr>
              <w:ind w:left="40"/>
              <w:spacing w:after="0"/>
              <w:rPr>
                <w:sz w:val="20"/>
                <w:szCs w:val="20"/>
                <w:color w:val="auto"/>
              </w:rPr>
            </w:pPr>
            <w:r>
              <w:rPr>
                <w:rFonts w:ascii="Arial" w:cs="Arial" w:eastAsia="Arial" w:hAnsi="Arial"/>
                <w:sz w:val="11"/>
                <w:szCs w:val="11"/>
                <w:color w:val="auto"/>
              </w:rPr>
              <w:t>TOMS RIVER</w:t>
            </w:r>
          </w:p>
        </w:tc>
        <w:tc>
          <w:tcPr>
            <w:tcW w:w="260" w:type="dxa"/>
            <w:vAlign w:val="bottom"/>
          </w:tcPr>
          <w:p>
            <w:pPr>
              <w:ind w:left="40"/>
              <w:spacing w:after="0"/>
              <w:rPr>
                <w:sz w:val="20"/>
                <w:szCs w:val="20"/>
                <w:color w:val="auto"/>
              </w:rPr>
            </w:pPr>
            <w:r>
              <w:rPr>
                <w:rFonts w:ascii="Arial" w:cs="Arial" w:eastAsia="Arial" w:hAnsi="Arial"/>
                <w:sz w:val="11"/>
                <w:szCs w:val="11"/>
                <w:color w:val="auto"/>
              </w:rPr>
              <w:t>NJ</w:t>
            </w:r>
          </w:p>
        </w:tc>
        <w:tc>
          <w:tcPr>
            <w:tcW w:w="460" w:type="dxa"/>
            <w:vAlign w:val="bottom"/>
          </w:tcPr>
          <w:p>
            <w:pPr>
              <w:ind w:left="40"/>
              <w:spacing w:after="0"/>
              <w:rPr>
                <w:sz w:val="20"/>
                <w:szCs w:val="20"/>
                <w:color w:val="auto"/>
              </w:rPr>
            </w:pPr>
            <w:r>
              <w:rPr>
                <w:rFonts w:ascii="Arial" w:cs="Arial" w:eastAsia="Arial" w:hAnsi="Arial"/>
                <w:sz w:val="11"/>
                <w:szCs w:val="11"/>
                <w:color w:val="auto"/>
              </w:rPr>
              <w:t>08753</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w w:val="98"/>
              </w:rPr>
              <w:t>(732) 240-3300</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r>
        <w:trPr>
          <w:trHeight w:val="282"/>
        </w:trPr>
        <w:tc>
          <w:tcPr>
            <w:tcW w:w="420" w:type="dxa"/>
            <w:vAlign w:val="bottom"/>
          </w:tcPr>
          <w:p>
            <w:pPr>
              <w:jc w:val="right"/>
              <w:ind w:right="146"/>
              <w:spacing w:after="0"/>
              <w:rPr>
                <w:sz w:val="20"/>
                <w:szCs w:val="20"/>
                <w:color w:val="auto"/>
              </w:rPr>
            </w:pPr>
            <w:r>
              <w:rPr>
                <w:rFonts w:ascii="Arial" w:cs="Arial" w:eastAsia="Arial" w:hAnsi="Arial"/>
                <w:sz w:val="11"/>
                <w:szCs w:val="11"/>
                <w:color w:val="auto"/>
                <w:w w:val="81"/>
              </w:rPr>
              <w:t>9201</w:t>
            </w:r>
          </w:p>
        </w:tc>
        <w:tc>
          <w:tcPr>
            <w:tcW w:w="1160" w:type="dxa"/>
            <w:vAlign w:val="bottom"/>
          </w:tcPr>
          <w:p>
            <w:pPr>
              <w:ind w:left="40"/>
              <w:spacing w:after="0"/>
              <w:rPr>
                <w:sz w:val="20"/>
                <w:szCs w:val="20"/>
                <w:color w:val="auto"/>
              </w:rPr>
            </w:pPr>
            <w:r>
              <w:rPr>
                <w:rFonts w:ascii="Arial" w:cs="Arial" w:eastAsia="Arial" w:hAnsi="Arial"/>
                <w:sz w:val="11"/>
                <w:szCs w:val="11"/>
                <w:color w:val="auto"/>
              </w:rPr>
              <w:t>US BANK</w:t>
            </w:r>
          </w:p>
        </w:tc>
        <w:tc>
          <w:tcPr>
            <w:tcW w:w="1480" w:type="dxa"/>
            <w:vAlign w:val="bottom"/>
          </w:tcPr>
          <w:p>
            <w:pPr>
              <w:ind w:left="120"/>
              <w:spacing w:after="0"/>
              <w:rPr>
                <w:sz w:val="20"/>
                <w:szCs w:val="20"/>
                <w:color w:val="auto"/>
              </w:rPr>
            </w:pPr>
            <w:r>
              <w:rPr>
                <w:rFonts w:ascii="Arial" w:cs="Arial" w:eastAsia="Arial" w:hAnsi="Arial"/>
                <w:sz w:val="11"/>
                <w:szCs w:val="11"/>
                <w:color w:val="auto"/>
                <w:w w:val="96"/>
              </w:rPr>
              <w:t>8000 Lyndale Avenue South</w:t>
            </w:r>
          </w:p>
        </w:tc>
        <w:tc>
          <w:tcPr>
            <w:tcW w:w="960" w:type="dxa"/>
            <w:vAlign w:val="bottom"/>
          </w:tcPr>
          <w:p>
            <w:pPr>
              <w:ind w:left="40"/>
              <w:spacing w:after="0"/>
              <w:rPr>
                <w:sz w:val="20"/>
                <w:szCs w:val="20"/>
                <w:color w:val="auto"/>
              </w:rPr>
            </w:pPr>
            <w:r>
              <w:rPr>
                <w:rFonts w:ascii="Arial" w:cs="Arial" w:eastAsia="Arial" w:hAnsi="Arial"/>
                <w:sz w:val="11"/>
                <w:szCs w:val="11"/>
                <w:color w:val="auto"/>
              </w:rPr>
              <w:t>Bloomington</w:t>
            </w:r>
          </w:p>
        </w:tc>
        <w:tc>
          <w:tcPr>
            <w:tcW w:w="260" w:type="dxa"/>
            <w:vAlign w:val="bottom"/>
          </w:tcPr>
          <w:p>
            <w:pPr>
              <w:ind w:left="40"/>
              <w:spacing w:after="0"/>
              <w:rPr>
                <w:sz w:val="20"/>
                <w:szCs w:val="20"/>
                <w:color w:val="auto"/>
              </w:rPr>
            </w:pPr>
            <w:r>
              <w:rPr>
                <w:rFonts w:ascii="Arial" w:cs="Arial" w:eastAsia="Arial" w:hAnsi="Arial"/>
                <w:sz w:val="11"/>
                <w:szCs w:val="11"/>
                <w:color w:val="auto"/>
              </w:rPr>
              <w:t>MN</w:t>
            </w:r>
          </w:p>
        </w:tc>
        <w:tc>
          <w:tcPr>
            <w:tcW w:w="460" w:type="dxa"/>
            <w:vAlign w:val="bottom"/>
          </w:tcPr>
          <w:p>
            <w:pPr>
              <w:ind w:left="40"/>
              <w:spacing w:after="0"/>
              <w:rPr>
                <w:sz w:val="20"/>
                <w:szCs w:val="20"/>
                <w:color w:val="auto"/>
              </w:rPr>
            </w:pPr>
            <w:r>
              <w:rPr>
                <w:rFonts w:ascii="Arial" w:cs="Arial" w:eastAsia="Arial" w:hAnsi="Arial"/>
                <w:sz w:val="11"/>
                <w:szCs w:val="11"/>
                <w:color w:val="auto"/>
              </w:rPr>
              <w:t>55420</w:t>
            </w:r>
          </w:p>
        </w:tc>
        <w:tc>
          <w:tcPr>
            <w:tcW w:w="1020" w:type="dxa"/>
            <w:vAlign w:val="bottom"/>
          </w:tcPr>
          <w:p>
            <w:pPr>
              <w:jc w:val="right"/>
              <w:ind w:right="186"/>
              <w:spacing w:after="0"/>
              <w:rPr>
                <w:sz w:val="20"/>
                <w:szCs w:val="20"/>
                <w:color w:val="auto"/>
              </w:rPr>
            </w:pPr>
            <w:r>
              <w:rPr>
                <w:rFonts w:ascii="Arial" w:cs="Arial" w:eastAsia="Arial" w:hAnsi="Arial"/>
                <w:sz w:val="11"/>
                <w:szCs w:val="11"/>
                <w:color w:val="auto"/>
              </w:rPr>
              <w:t>(952) 887-6045</w:t>
            </w:r>
          </w:p>
        </w:tc>
        <w:tc>
          <w:tcPr>
            <w:tcW w:w="640" w:type="dxa"/>
            <w:vAlign w:val="bottom"/>
          </w:tcPr>
          <w:p>
            <w:pPr>
              <w:jc w:val="center"/>
              <w:ind w:left="26"/>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-10266045</wp:posOffset>
            </wp:positionV>
            <wp:extent cx="4066540" cy="102527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66540" cy="10252710"/>
                    </a:xfrm>
                    <a:prstGeom prst="rect">
                      <a:avLst/>
                    </a:prstGeom>
                    <a:noFill/>
                  </pic:spPr>
                </pic:pic>
              </a:graphicData>
            </a:graphic>
          </wp:anchor>
        </w:drawing>
      </w:r>
    </w:p>
    <w:p>
      <w:pPr>
        <w:sectPr>
          <w:pgSz w:w="11900" w:h="16922" w:orient="portrait"/>
          <w:cols w:equalWidth="0" w:num="1">
            <w:col w:w="9019"/>
          </w:cols>
          <w:pgMar w:left="1440" w:top="126" w:right="1440" w:bottom="0" w:gutter="0" w:footer="0" w:header="0"/>
        </w:sectPr>
      </w:pPr>
    </w:p>
    <w:bookmarkStart w:id="206" w:name="page207"/>
    <w:bookmarkEnd w:id="206"/>
    <w:tbl>
      <w:tblPr>
        <w:tblLayout w:type="fixed"/>
        <w:tblInd w:w="2539" w:type="dxa"/>
        <w:tblCellMar>
          <w:top w:w="0" w:type="dxa"/>
          <w:left w:w="0" w:type="dxa"/>
          <w:bottom w:w="0" w:type="dxa"/>
          <w:right w:w="0" w:type="dxa"/>
        </w:tblCellMar>
      </w:tblPr>
      <w:tr>
        <w:trPr>
          <w:trHeight w:val="136"/>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9202</w:t>
            </w:r>
          </w:p>
        </w:tc>
        <w:tc>
          <w:tcPr>
            <w:tcW w:w="1240" w:type="dxa"/>
            <w:vAlign w:val="bottom"/>
          </w:tcPr>
          <w:p>
            <w:pPr>
              <w:ind w:left="120"/>
              <w:spacing w:after="0"/>
              <w:rPr>
                <w:sz w:val="20"/>
                <w:szCs w:val="20"/>
                <w:color w:val="auto"/>
              </w:rPr>
            </w:pPr>
            <w:r>
              <w:rPr>
                <w:rFonts w:ascii="Arial" w:cs="Arial" w:eastAsia="Arial" w:hAnsi="Arial"/>
                <w:sz w:val="11"/>
                <w:szCs w:val="11"/>
                <w:color w:val="auto"/>
                <w:w w:val="99"/>
              </w:rPr>
              <w:t>CHASE (JPMORGAN)</w:t>
            </w:r>
          </w:p>
        </w:tc>
        <w:tc>
          <w:tcPr>
            <w:tcW w:w="1440" w:type="dxa"/>
            <w:vAlign w:val="bottom"/>
          </w:tcPr>
          <w:p>
            <w:pPr>
              <w:ind w:left="120"/>
              <w:spacing w:after="0"/>
              <w:rPr>
                <w:sz w:val="20"/>
                <w:szCs w:val="20"/>
                <w:color w:val="auto"/>
              </w:rPr>
            </w:pPr>
            <w:r>
              <w:rPr>
                <w:rFonts w:ascii="Arial" w:cs="Arial" w:eastAsia="Arial" w:hAnsi="Arial"/>
                <w:sz w:val="11"/>
                <w:szCs w:val="11"/>
                <w:color w:val="auto"/>
              </w:rPr>
              <w:t>7510 BRISTOL RD</w:t>
            </w:r>
          </w:p>
        </w:tc>
        <w:tc>
          <w:tcPr>
            <w:tcW w:w="900" w:type="dxa"/>
            <w:vAlign w:val="bottom"/>
          </w:tcPr>
          <w:p>
            <w:pPr>
              <w:ind w:left="80"/>
              <w:spacing w:after="0"/>
              <w:rPr>
                <w:sz w:val="20"/>
                <w:szCs w:val="20"/>
                <w:color w:val="auto"/>
              </w:rPr>
            </w:pPr>
            <w:r>
              <w:rPr>
                <w:rFonts w:ascii="Arial" w:cs="Arial" w:eastAsia="Arial" w:hAnsi="Arial"/>
                <w:sz w:val="11"/>
                <w:szCs w:val="11"/>
                <w:color w:val="auto"/>
              </w:rPr>
              <w:t>BRISTOL</w:t>
            </w:r>
          </w:p>
        </w:tc>
        <w:tc>
          <w:tcPr>
            <w:tcW w:w="340" w:type="dxa"/>
            <w:vAlign w:val="bottom"/>
          </w:tcPr>
          <w:p>
            <w:pPr>
              <w:ind w:left="140"/>
              <w:spacing w:after="0"/>
              <w:rPr>
                <w:sz w:val="20"/>
                <w:szCs w:val="20"/>
                <w:color w:val="auto"/>
              </w:rPr>
            </w:pPr>
            <w:r>
              <w:rPr>
                <w:rFonts w:ascii="Arial" w:cs="Arial" w:eastAsia="Arial" w:hAnsi="Arial"/>
                <w:sz w:val="11"/>
                <w:szCs w:val="11"/>
                <w:color w:val="auto"/>
              </w:rPr>
              <w:t>WI</w:t>
            </w:r>
          </w:p>
        </w:tc>
        <w:tc>
          <w:tcPr>
            <w:tcW w:w="460" w:type="dxa"/>
            <w:vAlign w:val="bottom"/>
          </w:tcPr>
          <w:p>
            <w:pPr>
              <w:ind w:left="60"/>
              <w:spacing w:after="0"/>
              <w:rPr>
                <w:sz w:val="20"/>
                <w:szCs w:val="20"/>
                <w:color w:val="auto"/>
              </w:rPr>
            </w:pPr>
            <w:r>
              <w:rPr>
                <w:rFonts w:ascii="Arial" w:cs="Arial" w:eastAsia="Arial" w:hAnsi="Arial"/>
                <w:sz w:val="11"/>
                <w:szCs w:val="11"/>
                <w:color w:val="auto"/>
              </w:rPr>
              <w:t>53104</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(262) 857-3827</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9204</w:t>
            </w:r>
          </w:p>
        </w:tc>
        <w:tc>
          <w:tcPr>
            <w:tcW w:w="1240" w:type="dxa"/>
            <w:vAlign w:val="bottom"/>
          </w:tcPr>
          <w:p>
            <w:pPr>
              <w:ind w:left="120"/>
              <w:spacing w:after="0"/>
              <w:rPr>
                <w:sz w:val="20"/>
                <w:szCs w:val="20"/>
                <w:color w:val="auto"/>
              </w:rPr>
            </w:pPr>
            <w:r>
              <w:rPr>
                <w:rFonts w:ascii="Arial" w:cs="Arial" w:eastAsia="Arial" w:hAnsi="Arial"/>
                <w:sz w:val="11"/>
                <w:szCs w:val="11"/>
                <w:color w:val="auto"/>
              </w:rPr>
              <w:t>PROVIDENT BANK</w:t>
            </w:r>
          </w:p>
        </w:tc>
        <w:tc>
          <w:tcPr>
            <w:tcW w:w="1440" w:type="dxa"/>
            <w:vAlign w:val="bottom"/>
          </w:tcPr>
          <w:p>
            <w:pPr>
              <w:ind w:left="120"/>
              <w:spacing w:after="0"/>
              <w:rPr>
                <w:sz w:val="20"/>
                <w:szCs w:val="20"/>
                <w:color w:val="auto"/>
              </w:rPr>
            </w:pPr>
            <w:r>
              <w:rPr>
                <w:rFonts w:ascii="Arial" w:cs="Arial" w:eastAsia="Arial" w:hAnsi="Arial"/>
                <w:sz w:val="11"/>
                <w:szCs w:val="11"/>
                <w:color w:val="auto"/>
              </w:rPr>
              <w:t>44 WEST ROUTE 59</w:t>
            </w:r>
          </w:p>
        </w:tc>
        <w:tc>
          <w:tcPr>
            <w:tcW w:w="900" w:type="dxa"/>
            <w:vAlign w:val="bottom"/>
          </w:tcPr>
          <w:p>
            <w:pPr>
              <w:ind w:left="80"/>
              <w:spacing w:after="0"/>
              <w:rPr>
                <w:sz w:val="20"/>
                <w:szCs w:val="20"/>
                <w:color w:val="auto"/>
              </w:rPr>
            </w:pPr>
            <w:r>
              <w:rPr>
                <w:rFonts w:ascii="Arial" w:cs="Arial" w:eastAsia="Arial" w:hAnsi="Arial"/>
                <w:sz w:val="11"/>
                <w:szCs w:val="11"/>
                <w:color w:val="auto"/>
              </w:rPr>
              <w:t>NANUET</w:t>
            </w:r>
          </w:p>
        </w:tc>
        <w:tc>
          <w:tcPr>
            <w:tcW w:w="340" w:type="dxa"/>
            <w:vAlign w:val="bottom"/>
          </w:tcPr>
          <w:p>
            <w:pPr>
              <w:ind w:left="140"/>
              <w:spacing w:after="0"/>
              <w:rPr>
                <w:sz w:val="20"/>
                <w:szCs w:val="20"/>
                <w:color w:val="auto"/>
              </w:rPr>
            </w:pPr>
            <w:r>
              <w:rPr>
                <w:rFonts w:ascii="Arial" w:cs="Arial" w:eastAsia="Arial" w:hAnsi="Arial"/>
                <w:sz w:val="11"/>
                <w:szCs w:val="11"/>
                <w:color w:val="auto"/>
              </w:rPr>
              <w:t>NY</w:t>
            </w:r>
          </w:p>
        </w:tc>
        <w:tc>
          <w:tcPr>
            <w:tcW w:w="460" w:type="dxa"/>
            <w:vAlign w:val="bottom"/>
          </w:tcPr>
          <w:p>
            <w:pPr>
              <w:ind w:left="60"/>
              <w:spacing w:after="0"/>
              <w:rPr>
                <w:sz w:val="20"/>
                <w:szCs w:val="20"/>
                <w:color w:val="auto"/>
              </w:rPr>
            </w:pPr>
            <w:r>
              <w:rPr>
                <w:rFonts w:ascii="Arial" w:cs="Arial" w:eastAsia="Arial" w:hAnsi="Arial"/>
                <w:sz w:val="11"/>
                <w:szCs w:val="11"/>
                <w:color w:val="auto"/>
              </w:rPr>
              <w:t>10954</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(845) 627-6180</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9205</w:t>
            </w:r>
          </w:p>
        </w:tc>
        <w:tc>
          <w:tcPr>
            <w:tcW w:w="1240" w:type="dxa"/>
            <w:vAlign w:val="bottom"/>
          </w:tcPr>
          <w:p>
            <w:pPr>
              <w:ind w:left="120"/>
              <w:spacing w:after="0"/>
              <w:rPr>
                <w:sz w:val="20"/>
                <w:szCs w:val="20"/>
                <w:color w:val="auto"/>
              </w:rPr>
            </w:pPr>
            <w:r>
              <w:rPr>
                <w:rFonts w:ascii="Arial" w:cs="Arial" w:eastAsia="Arial" w:hAnsi="Arial"/>
                <w:sz w:val="11"/>
                <w:szCs w:val="11"/>
                <w:color w:val="auto"/>
                <w:w w:val="99"/>
              </w:rPr>
              <w:t>CHASE (JPMORGAN)</w:t>
            </w:r>
          </w:p>
        </w:tc>
        <w:tc>
          <w:tcPr>
            <w:tcW w:w="2340" w:type="dxa"/>
            <w:vAlign w:val="bottom"/>
            <w:gridSpan w:val="2"/>
          </w:tcPr>
          <w:p>
            <w:pPr>
              <w:ind w:left="120"/>
              <w:spacing w:after="0"/>
              <w:rPr>
                <w:sz w:val="20"/>
                <w:szCs w:val="20"/>
                <w:color w:val="auto"/>
              </w:rPr>
            </w:pPr>
            <w:r>
              <w:rPr>
                <w:rFonts w:ascii="Arial" w:cs="Arial" w:eastAsia="Arial" w:hAnsi="Arial"/>
                <w:sz w:val="11"/>
                <w:szCs w:val="11"/>
                <w:color w:val="auto"/>
                <w:w w:val="98"/>
              </w:rPr>
              <w:t>2101 SOUTH BEND AVENUE SOUTH BEND</w:t>
            </w:r>
          </w:p>
        </w:tc>
        <w:tc>
          <w:tcPr>
            <w:tcW w:w="340" w:type="dxa"/>
            <w:vAlign w:val="bottom"/>
          </w:tcPr>
          <w:p>
            <w:pPr>
              <w:ind w:left="140"/>
              <w:spacing w:after="0"/>
              <w:rPr>
                <w:sz w:val="20"/>
                <w:szCs w:val="20"/>
                <w:color w:val="auto"/>
              </w:rPr>
            </w:pPr>
            <w:r>
              <w:rPr>
                <w:rFonts w:ascii="Arial" w:cs="Arial" w:eastAsia="Arial" w:hAnsi="Arial"/>
                <w:sz w:val="11"/>
                <w:szCs w:val="11"/>
                <w:color w:val="auto"/>
              </w:rPr>
              <w:t>IN</w:t>
            </w:r>
          </w:p>
        </w:tc>
        <w:tc>
          <w:tcPr>
            <w:tcW w:w="460" w:type="dxa"/>
            <w:vAlign w:val="bottom"/>
          </w:tcPr>
          <w:p>
            <w:pPr>
              <w:ind w:left="60"/>
              <w:spacing w:after="0"/>
              <w:rPr>
                <w:sz w:val="20"/>
                <w:szCs w:val="20"/>
                <w:color w:val="auto"/>
              </w:rPr>
            </w:pPr>
            <w:r>
              <w:rPr>
                <w:rFonts w:ascii="Arial" w:cs="Arial" w:eastAsia="Arial" w:hAnsi="Arial"/>
                <w:sz w:val="11"/>
                <w:szCs w:val="11"/>
                <w:color w:val="auto"/>
              </w:rPr>
              <w:t>46637</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(574) 283-4150</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9207</w:t>
            </w:r>
          </w:p>
        </w:tc>
        <w:tc>
          <w:tcPr>
            <w:tcW w:w="1240" w:type="dxa"/>
            <w:vAlign w:val="bottom"/>
          </w:tcPr>
          <w:p>
            <w:pPr>
              <w:ind w:left="120"/>
              <w:spacing w:after="0"/>
              <w:rPr>
                <w:sz w:val="20"/>
                <w:szCs w:val="20"/>
                <w:color w:val="auto"/>
              </w:rPr>
            </w:pPr>
            <w:r>
              <w:rPr>
                <w:rFonts w:ascii="Arial" w:cs="Arial" w:eastAsia="Arial" w:hAnsi="Arial"/>
                <w:sz w:val="11"/>
                <w:szCs w:val="11"/>
                <w:color w:val="auto"/>
                <w:w w:val="99"/>
              </w:rPr>
              <w:t>CHASE (JPMORGAN)</w:t>
            </w:r>
          </w:p>
        </w:tc>
        <w:tc>
          <w:tcPr>
            <w:tcW w:w="1440" w:type="dxa"/>
            <w:vAlign w:val="bottom"/>
          </w:tcPr>
          <w:p>
            <w:pPr>
              <w:ind w:left="120"/>
              <w:spacing w:after="0"/>
              <w:rPr>
                <w:sz w:val="20"/>
                <w:szCs w:val="20"/>
                <w:color w:val="auto"/>
              </w:rPr>
            </w:pPr>
            <w:r>
              <w:rPr>
                <w:rFonts w:ascii="Arial" w:cs="Arial" w:eastAsia="Arial" w:hAnsi="Arial"/>
                <w:sz w:val="11"/>
                <w:szCs w:val="11"/>
                <w:color w:val="auto"/>
                <w:w w:val="94"/>
              </w:rPr>
              <w:t>2368 CENTRAL PARK AVE</w:t>
            </w:r>
          </w:p>
        </w:tc>
        <w:tc>
          <w:tcPr>
            <w:tcW w:w="900" w:type="dxa"/>
            <w:vAlign w:val="bottom"/>
          </w:tcPr>
          <w:p>
            <w:pPr>
              <w:ind w:left="80"/>
              <w:spacing w:after="0"/>
              <w:rPr>
                <w:sz w:val="20"/>
                <w:szCs w:val="20"/>
                <w:color w:val="auto"/>
              </w:rPr>
            </w:pPr>
            <w:r>
              <w:rPr>
                <w:rFonts w:ascii="Arial" w:cs="Arial" w:eastAsia="Arial" w:hAnsi="Arial"/>
                <w:sz w:val="11"/>
                <w:szCs w:val="11"/>
                <w:color w:val="auto"/>
              </w:rPr>
              <w:t>Yonkers</w:t>
            </w:r>
          </w:p>
        </w:tc>
        <w:tc>
          <w:tcPr>
            <w:tcW w:w="340" w:type="dxa"/>
            <w:vAlign w:val="bottom"/>
          </w:tcPr>
          <w:p>
            <w:pPr>
              <w:ind w:left="140"/>
              <w:spacing w:after="0"/>
              <w:rPr>
                <w:sz w:val="20"/>
                <w:szCs w:val="20"/>
                <w:color w:val="auto"/>
              </w:rPr>
            </w:pPr>
            <w:r>
              <w:rPr>
                <w:rFonts w:ascii="Arial" w:cs="Arial" w:eastAsia="Arial" w:hAnsi="Arial"/>
                <w:sz w:val="11"/>
                <w:szCs w:val="11"/>
                <w:color w:val="auto"/>
              </w:rPr>
              <w:t>NY</w:t>
            </w:r>
          </w:p>
        </w:tc>
        <w:tc>
          <w:tcPr>
            <w:tcW w:w="460" w:type="dxa"/>
            <w:vAlign w:val="bottom"/>
          </w:tcPr>
          <w:p>
            <w:pPr>
              <w:ind w:left="60"/>
              <w:spacing w:after="0"/>
              <w:rPr>
                <w:sz w:val="20"/>
                <w:szCs w:val="20"/>
                <w:color w:val="auto"/>
              </w:rPr>
            </w:pPr>
            <w:r>
              <w:rPr>
                <w:rFonts w:ascii="Arial" w:cs="Arial" w:eastAsia="Arial" w:hAnsi="Arial"/>
                <w:sz w:val="11"/>
                <w:szCs w:val="11"/>
                <w:color w:val="auto"/>
              </w:rPr>
              <w:t>10710</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(914) 337-0878</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9208</w:t>
            </w:r>
          </w:p>
        </w:tc>
        <w:tc>
          <w:tcPr>
            <w:tcW w:w="1240" w:type="dxa"/>
            <w:vAlign w:val="bottom"/>
          </w:tcPr>
          <w:p>
            <w:pPr>
              <w:ind w:left="120"/>
              <w:spacing w:after="0"/>
              <w:rPr>
                <w:sz w:val="20"/>
                <w:szCs w:val="20"/>
                <w:color w:val="auto"/>
              </w:rPr>
            </w:pPr>
            <w:r>
              <w:rPr>
                <w:rFonts w:ascii="Arial" w:cs="Arial" w:eastAsia="Arial" w:hAnsi="Arial"/>
                <w:sz w:val="11"/>
                <w:szCs w:val="11"/>
                <w:color w:val="auto"/>
                <w:w w:val="99"/>
              </w:rPr>
              <w:t>CHASE (JPMORGAN)</w:t>
            </w:r>
          </w:p>
        </w:tc>
        <w:tc>
          <w:tcPr>
            <w:tcW w:w="1440" w:type="dxa"/>
            <w:vAlign w:val="bottom"/>
          </w:tcPr>
          <w:p>
            <w:pPr>
              <w:ind w:left="120"/>
              <w:spacing w:after="0"/>
              <w:rPr>
                <w:sz w:val="20"/>
                <w:szCs w:val="20"/>
                <w:color w:val="auto"/>
              </w:rPr>
            </w:pPr>
            <w:r>
              <w:rPr>
                <w:rFonts w:ascii="Arial" w:cs="Arial" w:eastAsia="Arial" w:hAnsi="Arial"/>
                <w:sz w:val="11"/>
                <w:szCs w:val="11"/>
                <w:color w:val="auto"/>
                <w:w w:val="95"/>
              </w:rPr>
              <w:t>5485 EAST HURON RIVER</w:t>
            </w:r>
          </w:p>
        </w:tc>
        <w:tc>
          <w:tcPr>
            <w:tcW w:w="900" w:type="dxa"/>
            <w:vAlign w:val="bottom"/>
          </w:tcPr>
          <w:p>
            <w:pPr>
              <w:ind w:left="80"/>
              <w:spacing w:after="0"/>
              <w:rPr>
                <w:sz w:val="20"/>
                <w:szCs w:val="20"/>
                <w:color w:val="auto"/>
              </w:rPr>
            </w:pPr>
            <w:r>
              <w:rPr>
                <w:rFonts w:ascii="Arial" w:cs="Arial" w:eastAsia="Arial" w:hAnsi="Arial"/>
                <w:sz w:val="11"/>
                <w:szCs w:val="11"/>
                <w:color w:val="auto"/>
              </w:rPr>
              <w:t>YPSILANTI</w:t>
            </w:r>
          </w:p>
        </w:tc>
        <w:tc>
          <w:tcPr>
            <w:tcW w:w="340" w:type="dxa"/>
            <w:vAlign w:val="bottom"/>
          </w:tcPr>
          <w:p>
            <w:pPr>
              <w:ind w:left="140"/>
              <w:spacing w:after="0"/>
              <w:rPr>
                <w:sz w:val="20"/>
                <w:szCs w:val="20"/>
                <w:color w:val="auto"/>
              </w:rPr>
            </w:pPr>
            <w:r>
              <w:rPr>
                <w:rFonts w:ascii="Arial" w:cs="Arial" w:eastAsia="Arial" w:hAnsi="Arial"/>
                <w:sz w:val="11"/>
                <w:szCs w:val="11"/>
                <w:color w:val="auto"/>
              </w:rPr>
              <w:t>MI</w:t>
            </w:r>
          </w:p>
        </w:tc>
        <w:tc>
          <w:tcPr>
            <w:tcW w:w="460" w:type="dxa"/>
            <w:vAlign w:val="bottom"/>
          </w:tcPr>
          <w:p>
            <w:pPr>
              <w:ind w:left="60"/>
              <w:spacing w:after="0"/>
              <w:rPr>
                <w:sz w:val="20"/>
                <w:szCs w:val="20"/>
                <w:color w:val="auto"/>
              </w:rPr>
            </w:pPr>
            <w:r>
              <w:rPr>
                <w:rFonts w:ascii="Arial" w:cs="Arial" w:eastAsia="Arial" w:hAnsi="Arial"/>
                <w:sz w:val="11"/>
                <w:szCs w:val="11"/>
                <w:color w:val="auto"/>
              </w:rPr>
              <w:t>48197</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(734) 995-8094</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40" w:type="dxa"/>
            <w:vAlign w:val="bottom"/>
          </w:tcPr>
          <w:p>
            <w:pPr>
              <w:ind w:left="120"/>
              <w:spacing w:after="0"/>
              <w:rPr>
                <w:sz w:val="20"/>
                <w:szCs w:val="20"/>
                <w:color w:val="auto"/>
              </w:rPr>
            </w:pPr>
            <w:r>
              <w:rPr>
                <w:rFonts w:ascii="Arial" w:cs="Arial" w:eastAsia="Arial" w:hAnsi="Arial"/>
                <w:sz w:val="11"/>
                <w:szCs w:val="11"/>
                <w:color w:val="auto"/>
              </w:rPr>
              <w:t>DRIVE</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7"/>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9211</w:t>
            </w:r>
          </w:p>
        </w:tc>
        <w:tc>
          <w:tcPr>
            <w:tcW w:w="1240" w:type="dxa"/>
            <w:vAlign w:val="bottom"/>
          </w:tcPr>
          <w:p>
            <w:pPr>
              <w:ind w:left="120"/>
              <w:spacing w:after="0"/>
              <w:rPr>
                <w:sz w:val="20"/>
                <w:szCs w:val="20"/>
                <w:color w:val="auto"/>
              </w:rPr>
            </w:pPr>
            <w:r>
              <w:rPr>
                <w:rFonts w:ascii="Arial" w:cs="Arial" w:eastAsia="Arial" w:hAnsi="Arial"/>
                <w:sz w:val="11"/>
                <w:szCs w:val="11"/>
                <w:color w:val="auto"/>
                <w:w w:val="99"/>
              </w:rPr>
              <w:t>CHASE (JPMORGAN)</w:t>
            </w:r>
          </w:p>
        </w:tc>
        <w:tc>
          <w:tcPr>
            <w:tcW w:w="2340" w:type="dxa"/>
            <w:vAlign w:val="bottom"/>
            <w:gridSpan w:val="2"/>
          </w:tcPr>
          <w:p>
            <w:pPr>
              <w:ind w:left="120"/>
              <w:spacing w:after="0"/>
              <w:rPr>
                <w:sz w:val="20"/>
                <w:szCs w:val="20"/>
                <w:color w:val="auto"/>
              </w:rPr>
            </w:pPr>
            <w:r>
              <w:rPr>
                <w:rFonts w:ascii="Arial" w:cs="Arial" w:eastAsia="Arial" w:hAnsi="Arial"/>
                <w:sz w:val="11"/>
                <w:szCs w:val="11"/>
                <w:color w:val="auto"/>
              </w:rPr>
              <w:t>5230 FLATBUSH AVENUE &amp; BROOKLYN</w:t>
            </w:r>
          </w:p>
        </w:tc>
        <w:tc>
          <w:tcPr>
            <w:tcW w:w="340" w:type="dxa"/>
            <w:vAlign w:val="bottom"/>
          </w:tcPr>
          <w:p>
            <w:pPr>
              <w:ind w:left="140"/>
              <w:spacing w:after="0"/>
              <w:rPr>
                <w:sz w:val="20"/>
                <w:szCs w:val="20"/>
                <w:color w:val="auto"/>
              </w:rPr>
            </w:pPr>
            <w:r>
              <w:rPr>
                <w:rFonts w:ascii="Arial" w:cs="Arial" w:eastAsia="Arial" w:hAnsi="Arial"/>
                <w:sz w:val="11"/>
                <w:szCs w:val="11"/>
                <w:color w:val="auto"/>
              </w:rPr>
              <w:t>NY</w:t>
            </w:r>
          </w:p>
        </w:tc>
        <w:tc>
          <w:tcPr>
            <w:tcW w:w="460" w:type="dxa"/>
            <w:vAlign w:val="bottom"/>
          </w:tcPr>
          <w:p>
            <w:pPr>
              <w:ind w:left="60"/>
              <w:spacing w:after="0"/>
              <w:rPr>
                <w:sz w:val="20"/>
                <w:szCs w:val="20"/>
                <w:color w:val="auto"/>
              </w:rPr>
            </w:pPr>
            <w:r>
              <w:rPr>
                <w:rFonts w:ascii="Arial" w:cs="Arial" w:eastAsia="Arial" w:hAnsi="Arial"/>
                <w:sz w:val="11"/>
                <w:szCs w:val="11"/>
                <w:color w:val="auto"/>
              </w:rPr>
              <w:t>11234</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(718) 692-5850</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40" w:type="dxa"/>
            <w:vAlign w:val="bottom"/>
          </w:tcPr>
          <w:p>
            <w:pPr>
              <w:ind w:left="120"/>
              <w:spacing w:after="0"/>
              <w:rPr>
                <w:sz w:val="20"/>
                <w:szCs w:val="20"/>
                <w:color w:val="auto"/>
              </w:rPr>
            </w:pPr>
            <w:r>
              <w:rPr>
                <w:rFonts w:ascii="Arial" w:cs="Arial" w:eastAsia="Arial" w:hAnsi="Arial"/>
                <w:sz w:val="11"/>
                <w:szCs w:val="11"/>
                <w:color w:val="auto"/>
              </w:rPr>
              <w:t>AVENUE U</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1"/>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9213</w:t>
            </w:r>
          </w:p>
        </w:tc>
        <w:tc>
          <w:tcPr>
            <w:tcW w:w="1240" w:type="dxa"/>
            <w:vAlign w:val="bottom"/>
          </w:tcPr>
          <w:p>
            <w:pPr>
              <w:ind w:left="120"/>
              <w:spacing w:after="0"/>
              <w:rPr>
                <w:sz w:val="20"/>
                <w:szCs w:val="20"/>
                <w:color w:val="auto"/>
              </w:rPr>
            </w:pPr>
            <w:r>
              <w:rPr>
                <w:rFonts w:ascii="Arial" w:cs="Arial" w:eastAsia="Arial" w:hAnsi="Arial"/>
                <w:sz w:val="11"/>
                <w:szCs w:val="11"/>
                <w:color w:val="auto"/>
              </w:rPr>
              <w:t>BANK OF AMERICA</w:t>
            </w:r>
          </w:p>
        </w:tc>
        <w:tc>
          <w:tcPr>
            <w:tcW w:w="2340" w:type="dxa"/>
            <w:vAlign w:val="bottom"/>
            <w:gridSpan w:val="2"/>
          </w:tcPr>
          <w:p>
            <w:pPr>
              <w:ind w:left="120"/>
              <w:spacing w:after="0"/>
              <w:rPr>
                <w:sz w:val="20"/>
                <w:szCs w:val="20"/>
                <w:color w:val="auto"/>
              </w:rPr>
            </w:pPr>
            <w:r>
              <w:rPr>
                <w:rFonts w:ascii="Arial" w:cs="Arial" w:eastAsia="Arial" w:hAnsi="Arial"/>
                <w:sz w:val="11"/>
                <w:szCs w:val="11"/>
                <w:color w:val="auto"/>
              </w:rPr>
              <w:t>195 Bristol Oxford Valley Road Langhorne</w:t>
            </w:r>
          </w:p>
        </w:tc>
        <w:tc>
          <w:tcPr>
            <w:tcW w:w="340" w:type="dxa"/>
            <w:vAlign w:val="bottom"/>
          </w:tcPr>
          <w:p>
            <w:pPr>
              <w:ind w:left="140"/>
              <w:spacing w:after="0"/>
              <w:rPr>
                <w:sz w:val="20"/>
                <w:szCs w:val="20"/>
                <w:color w:val="auto"/>
              </w:rPr>
            </w:pPr>
            <w:r>
              <w:rPr>
                <w:rFonts w:ascii="Arial" w:cs="Arial" w:eastAsia="Arial" w:hAnsi="Arial"/>
                <w:sz w:val="11"/>
                <w:szCs w:val="11"/>
                <w:color w:val="auto"/>
              </w:rPr>
              <w:t>PA</w:t>
            </w:r>
          </w:p>
        </w:tc>
        <w:tc>
          <w:tcPr>
            <w:tcW w:w="460" w:type="dxa"/>
            <w:vAlign w:val="bottom"/>
          </w:tcPr>
          <w:p>
            <w:pPr>
              <w:ind w:left="60"/>
              <w:spacing w:after="0"/>
              <w:rPr>
                <w:sz w:val="20"/>
                <w:szCs w:val="20"/>
                <w:color w:val="auto"/>
              </w:rPr>
            </w:pPr>
            <w:r>
              <w:rPr>
                <w:rFonts w:ascii="Arial" w:cs="Arial" w:eastAsia="Arial" w:hAnsi="Arial"/>
                <w:sz w:val="11"/>
                <w:szCs w:val="11"/>
                <w:color w:val="auto"/>
              </w:rPr>
              <w:t>19047</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(800) 841-4000</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9220</w:t>
            </w:r>
          </w:p>
        </w:tc>
        <w:tc>
          <w:tcPr>
            <w:tcW w:w="1240" w:type="dxa"/>
            <w:vAlign w:val="bottom"/>
          </w:tcPr>
          <w:p>
            <w:pPr>
              <w:ind w:left="120"/>
              <w:spacing w:after="0"/>
              <w:rPr>
                <w:sz w:val="20"/>
                <w:szCs w:val="20"/>
                <w:color w:val="auto"/>
              </w:rPr>
            </w:pPr>
            <w:r>
              <w:rPr>
                <w:rFonts w:ascii="Arial" w:cs="Arial" w:eastAsia="Arial" w:hAnsi="Arial"/>
                <w:sz w:val="11"/>
                <w:szCs w:val="11"/>
                <w:color w:val="auto"/>
                <w:w w:val="99"/>
              </w:rPr>
              <w:t>CHASE (JPMORGAN)</w:t>
            </w:r>
          </w:p>
        </w:tc>
        <w:tc>
          <w:tcPr>
            <w:tcW w:w="1440" w:type="dxa"/>
            <w:vAlign w:val="bottom"/>
          </w:tcPr>
          <w:p>
            <w:pPr>
              <w:ind w:left="120"/>
              <w:spacing w:after="0"/>
              <w:rPr>
                <w:sz w:val="20"/>
                <w:szCs w:val="20"/>
                <w:color w:val="auto"/>
              </w:rPr>
            </w:pPr>
            <w:r>
              <w:rPr>
                <w:rFonts w:ascii="Arial" w:cs="Arial" w:eastAsia="Arial" w:hAnsi="Arial"/>
                <w:sz w:val="11"/>
                <w:szCs w:val="11"/>
                <w:color w:val="auto"/>
                <w:w w:val="99"/>
              </w:rPr>
              <w:t>4763 GREAT NORTHERN</w:t>
            </w:r>
          </w:p>
        </w:tc>
        <w:tc>
          <w:tcPr>
            <w:tcW w:w="1240" w:type="dxa"/>
            <w:vAlign w:val="bottom"/>
            <w:gridSpan w:val="2"/>
          </w:tcPr>
          <w:p>
            <w:pPr>
              <w:ind w:left="80"/>
              <w:spacing w:after="0"/>
              <w:rPr>
                <w:sz w:val="20"/>
                <w:szCs w:val="20"/>
                <w:color w:val="auto"/>
              </w:rPr>
            </w:pPr>
            <w:r>
              <w:rPr>
                <w:rFonts w:ascii="Arial" w:cs="Arial" w:eastAsia="Arial" w:hAnsi="Arial"/>
                <w:sz w:val="11"/>
                <w:szCs w:val="11"/>
                <w:color w:val="auto"/>
                <w:w w:val="99"/>
              </w:rPr>
              <w:t>NORTH OLMSTED OH</w:t>
            </w:r>
          </w:p>
        </w:tc>
        <w:tc>
          <w:tcPr>
            <w:tcW w:w="460" w:type="dxa"/>
            <w:vAlign w:val="bottom"/>
          </w:tcPr>
          <w:p>
            <w:pPr>
              <w:ind w:left="60"/>
              <w:spacing w:after="0"/>
              <w:rPr>
                <w:sz w:val="20"/>
                <w:szCs w:val="20"/>
                <w:color w:val="auto"/>
              </w:rPr>
            </w:pPr>
            <w:r>
              <w:rPr>
                <w:rFonts w:ascii="Arial" w:cs="Arial" w:eastAsia="Arial" w:hAnsi="Arial"/>
                <w:sz w:val="11"/>
                <w:szCs w:val="11"/>
                <w:color w:val="auto"/>
              </w:rPr>
              <w:t>44070</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(440) 777-4888</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40" w:type="dxa"/>
            <w:vAlign w:val="bottom"/>
          </w:tcPr>
          <w:p>
            <w:pPr>
              <w:ind w:left="120"/>
              <w:spacing w:after="0"/>
              <w:rPr>
                <w:sz w:val="20"/>
                <w:szCs w:val="20"/>
                <w:color w:val="auto"/>
              </w:rPr>
            </w:pPr>
            <w:r>
              <w:rPr>
                <w:rFonts w:ascii="Arial" w:cs="Arial" w:eastAsia="Arial" w:hAnsi="Arial"/>
                <w:sz w:val="11"/>
                <w:szCs w:val="11"/>
                <w:color w:val="auto"/>
              </w:rPr>
              <w:t>BLVD</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7"/>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9221</w:t>
            </w:r>
          </w:p>
        </w:tc>
        <w:tc>
          <w:tcPr>
            <w:tcW w:w="1240" w:type="dxa"/>
            <w:vAlign w:val="bottom"/>
          </w:tcPr>
          <w:p>
            <w:pPr>
              <w:ind w:left="120"/>
              <w:spacing w:after="0"/>
              <w:rPr>
                <w:sz w:val="20"/>
                <w:szCs w:val="20"/>
                <w:color w:val="auto"/>
              </w:rPr>
            </w:pPr>
            <w:r>
              <w:rPr>
                <w:rFonts w:ascii="Arial" w:cs="Arial" w:eastAsia="Arial" w:hAnsi="Arial"/>
                <w:sz w:val="11"/>
                <w:szCs w:val="11"/>
                <w:color w:val="auto"/>
              </w:rPr>
              <w:t>BANK OF AMERICA</w:t>
            </w:r>
          </w:p>
        </w:tc>
        <w:tc>
          <w:tcPr>
            <w:tcW w:w="1440" w:type="dxa"/>
            <w:vAlign w:val="bottom"/>
          </w:tcPr>
          <w:p>
            <w:pPr>
              <w:ind w:left="120"/>
              <w:spacing w:after="0"/>
              <w:rPr>
                <w:sz w:val="20"/>
                <w:szCs w:val="20"/>
                <w:color w:val="auto"/>
              </w:rPr>
            </w:pPr>
            <w:r>
              <w:rPr>
                <w:rFonts w:ascii="Arial" w:cs="Arial" w:eastAsia="Arial" w:hAnsi="Arial"/>
                <w:sz w:val="11"/>
                <w:szCs w:val="11"/>
                <w:color w:val="auto"/>
              </w:rPr>
              <w:t>2669 MURFREESBORO</w:t>
            </w:r>
          </w:p>
        </w:tc>
        <w:tc>
          <w:tcPr>
            <w:tcW w:w="900" w:type="dxa"/>
            <w:vAlign w:val="bottom"/>
          </w:tcPr>
          <w:p>
            <w:pPr>
              <w:ind w:left="80"/>
              <w:spacing w:after="0"/>
              <w:rPr>
                <w:sz w:val="20"/>
                <w:szCs w:val="20"/>
                <w:color w:val="auto"/>
              </w:rPr>
            </w:pPr>
            <w:r>
              <w:rPr>
                <w:rFonts w:ascii="Arial" w:cs="Arial" w:eastAsia="Arial" w:hAnsi="Arial"/>
                <w:sz w:val="11"/>
                <w:szCs w:val="11"/>
                <w:color w:val="auto"/>
              </w:rPr>
              <w:t>NASHVILLE</w:t>
            </w:r>
          </w:p>
        </w:tc>
        <w:tc>
          <w:tcPr>
            <w:tcW w:w="340" w:type="dxa"/>
            <w:vAlign w:val="bottom"/>
          </w:tcPr>
          <w:p>
            <w:pPr>
              <w:ind w:left="140"/>
              <w:spacing w:after="0"/>
              <w:rPr>
                <w:sz w:val="20"/>
                <w:szCs w:val="20"/>
                <w:color w:val="auto"/>
              </w:rPr>
            </w:pPr>
            <w:r>
              <w:rPr>
                <w:rFonts w:ascii="Arial" w:cs="Arial" w:eastAsia="Arial" w:hAnsi="Arial"/>
                <w:sz w:val="11"/>
                <w:szCs w:val="11"/>
                <w:color w:val="auto"/>
              </w:rPr>
              <w:t>TN</w:t>
            </w:r>
          </w:p>
        </w:tc>
        <w:tc>
          <w:tcPr>
            <w:tcW w:w="460" w:type="dxa"/>
            <w:vAlign w:val="bottom"/>
          </w:tcPr>
          <w:p>
            <w:pPr>
              <w:ind w:left="60"/>
              <w:spacing w:after="0"/>
              <w:rPr>
                <w:sz w:val="20"/>
                <w:szCs w:val="20"/>
                <w:color w:val="auto"/>
              </w:rPr>
            </w:pPr>
            <w:r>
              <w:rPr>
                <w:rFonts w:ascii="Arial" w:cs="Arial" w:eastAsia="Arial" w:hAnsi="Arial"/>
                <w:sz w:val="11"/>
                <w:szCs w:val="11"/>
                <w:color w:val="auto"/>
              </w:rPr>
              <w:t>37217</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(615) 291-2945</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40" w:type="dxa"/>
            <w:vAlign w:val="bottom"/>
          </w:tcPr>
          <w:p>
            <w:pPr>
              <w:ind w:left="120"/>
              <w:spacing w:after="0"/>
              <w:rPr>
                <w:sz w:val="20"/>
                <w:szCs w:val="20"/>
                <w:color w:val="auto"/>
              </w:rPr>
            </w:pPr>
            <w:r>
              <w:rPr>
                <w:rFonts w:ascii="Arial" w:cs="Arial" w:eastAsia="Arial" w:hAnsi="Arial"/>
                <w:sz w:val="11"/>
                <w:szCs w:val="11"/>
                <w:color w:val="auto"/>
              </w:rPr>
              <w:t>ROAD</w:t>
            </w: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71"/>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9223</w:t>
            </w:r>
          </w:p>
        </w:tc>
        <w:tc>
          <w:tcPr>
            <w:tcW w:w="1240" w:type="dxa"/>
            <w:vAlign w:val="bottom"/>
          </w:tcPr>
          <w:p>
            <w:pPr>
              <w:ind w:left="120"/>
              <w:spacing w:after="0"/>
              <w:rPr>
                <w:sz w:val="20"/>
                <w:szCs w:val="20"/>
                <w:color w:val="auto"/>
              </w:rPr>
            </w:pPr>
            <w:r>
              <w:rPr>
                <w:rFonts w:ascii="Arial" w:cs="Arial" w:eastAsia="Arial" w:hAnsi="Arial"/>
                <w:sz w:val="11"/>
                <w:szCs w:val="11"/>
                <w:color w:val="auto"/>
              </w:rPr>
              <w:t>BANK OF AMERICA</w:t>
            </w:r>
          </w:p>
        </w:tc>
        <w:tc>
          <w:tcPr>
            <w:tcW w:w="1440" w:type="dxa"/>
            <w:vAlign w:val="bottom"/>
          </w:tcPr>
          <w:p>
            <w:pPr>
              <w:ind w:left="120"/>
              <w:spacing w:after="0"/>
              <w:rPr>
                <w:sz w:val="20"/>
                <w:szCs w:val="20"/>
                <w:color w:val="auto"/>
              </w:rPr>
            </w:pPr>
            <w:r>
              <w:rPr>
                <w:rFonts w:ascii="Arial" w:cs="Arial" w:eastAsia="Arial" w:hAnsi="Arial"/>
                <w:sz w:val="11"/>
                <w:szCs w:val="11"/>
                <w:color w:val="auto"/>
              </w:rPr>
              <w:t>141 SOUTH ROCK RD</w:t>
            </w:r>
          </w:p>
        </w:tc>
        <w:tc>
          <w:tcPr>
            <w:tcW w:w="900" w:type="dxa"/>
            <w:vAlign w:val="bottom"/>
          </w:tcPr>
          <w:p>
            <w:pPr>
              <w:ind w:left="80"/>
              <w:spacing w:after="0"/>
              <w:rPr>
                <w:sz w:val="20"/>
                <w:szCs w:val="20"/>
                <w:color w:val="auto"/>
              </w:rPr>
            </w:pPr>
            <w:r>
              <w:rPr>
                <w:rFonts w:ascii="Arial" w:cs="Arial" w:eastAsia="Arial" w:hAnsi="Arial"/>
                <w:sz w:val="11"/>
                <w:szCs w:val="11"/>
                <w:color w:val="auto"/>
              </w:rPr>
              <w:t>WICHITA</w:t>
            </w:r>
          </w:p>
        </w:tc>
        <w:tc>
          <w:tcPr>
            <w:tcW w:w="340" w:type="dxa"/>
            <w:vAlign w:val="bottom"/>
          </w:tcPr>
          <w:p>
            <w:pPr>
              <w:ind w:left="140"/>
              <w:spacing w:after="0"/>
              <w:rPr>
                <w:sz w:val="20"/>
                <w:szCs w:val="20"/>
                <w:color w:val="auto"/>
              </w:rPr>
            </w:pPr>
            <w:r>
              <w:rPr>
                <w:rFonts w:ascii="Arial" w:cs="Arial" w:eastAsia="Arial" w:hAnsi="Arial"/>
                <w:sz w:val="11"/>
                <w:szCs w:val="11"/>
                <w:color w:val="auto"/>
              </w:rPr>
              <w:t>KS</w:t>
            </w:r>
          </w:p>
        </w:tc>
        <w:tc>
          <w:tcPr>
            <w:tcW w:w="460" w:type="dxa"/>
            <w:vAlign w:val="bottom"/>
          </w:tcPr>
          <w:p>
            <w:pPr>
              <w:ind w:left="60"/>
              <w:spacing w:after="0"/>
              <w:rPr>
                <w:sz w:val="20"/>
                <w:szCs w:val="20"/>
                <w:color w:val="auto"/>
              </w:rPr>
            </w:pPr>
            <w:r>
              <w:rPr>
                <w:rFonts w:ascii="Arial" w:cs="Arial" w:eastAsia="Arial" w:hAnsi="Arial"/>
                <w:sz w:val="11"/>
                <w:szCs w:val="11"/>
                <w:color w:val="auto"/>
              </w:rPr>
              <w:t>67207</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(316) 261-4557</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9224</w:t>
            </w:r>
          </w:p>
        </w:tc>
        <w:tc>
          <w:tcPr>
            <w:tcW w:w="1240" w:type="dxa"/>
            <w:vAlign w:val="bottom"/>
          </w:tcPr>
          <w:p>
            <w:pPr>
              <w:ind w:left="120"/>
              <w:spacing w:after="0"/>
              <w:rPr>
                <w:sz w:val="20"/>
                <w:szCs w:val="20"/>
                <w:color w:val="auto"/>
              </w:rPr>
            </w:pPr>
            <w:r>
              <w:rPr>
                <w:rFonts w:ascii="Arial" w:cs="Arial" w:eastAsia="Arial" w:hAnsi="Arial"/>
                <w:sz w:val="11"/>
                <w:szCs w:val="11"/>
                <w:color w:val="auto"/>
                <w:w w:val="99"/>
              </w:rPr>
              <w:t>CHASE (JPMORGAN)</w:t>
            </w:r>
          </w:p>
        </w:tc>
        <w:tc>
          <w:tcPr>
            <w:tcW w:w="1440" w:type="dxa"/>
            <w:vAlign w:val="bottom"/>
          </w:tcPr>
          <w:p>
            <w:pPr>
              <w:ind w:left="120"/>
              <w:spacing w:after="0"/>
              <w:rPr>
                <w:sz w:val="20"/>
                <w:szCs w:val="20"/>
                <w:color w:val="auto"/>
              </w:rPr>
            </w:pPr>
            <w:r>
              <w:rPr>
                <w:rFonts w:ascii="Arial" w:cs="Arial" w:eastAsia="Arial" w:hAnsi="Arial"/>
                <w:sz w:val="11"/>
                <w:szCs w:val="11"/>
                <w:color w:val="auto"/>
              </w:rPr>
              <w:t>4144 BAY RD</w:t>
            </w:r>
          </w:p>
        </w:tc>
        <w:tc>
          <w:tcPr>
            <w:tcW w:w="900" w:type="dxa"/>
            <w:vAlign w:val="bottom"/>
          </w:tcPr>
          <w:p>
            <w:pPr>
              <w:ind w:left="80"/>
              <w:spacing w:after="0"/>
              <w:rPr>
                <w:sz w:val="20"/>
                <w:szCs w:val="20"/>
                <w:color w:val="auto"/>
              </w:rPr>
            </w:pPr>
            <w:r>
              <w:rPr>
                <w:rFonts w:ascii="Arial" w:cs="Arial" w:eastAsia="Arial" w:hAnsi="Arial"/>
                <w:sz w:val="11"/>
                <w:szCs w:val="11"/>
                <w:color w:val="auto"/>
              </w:rPr>
              <w:t>SAGINAW</w:t>
            </w:r>
          </w:p>
        </w:tc>
        <w:tc>
          <w:tcPr>
            <w:tcW w:w="340" w:type="dxa"/>
            <w:vAlign w:val="bottom"/>
          </w:tcPr>
          <w:p>
            <w:pPr>
              <w:ind w:left="140"/>
              <w:spacing w:after="0"/>
              <w:rPr>
                <w:sz w:val="20"/>
                <w:szCs w:val="20"/>
                <w:color w:val="auto"/>
              </w:rPr>
            </w:pPr>
            <w:r>
              <w:rPr>
                <w:rFonts w:ascii="Arial" w:cs="Arial" w:eastAsia="Arial" w:hAnsi="Arial"/>
                <w:sz w:val="11"/>
                <w:szCs w:val="11"/>
                <w:color w:val="auto"/>
              </w:rPr>
              <w:t>MI</w:t>
            </w:r>
          </w:p>
        </w:tc>
        <w:tc>
          <w:tcPr>
            <w:tcW w:w="460" w:type="dxa"/>
            <w:vAlign w:val="bottom"/>
          </w:tcPr>
          <w:p>
            <w:pPr>
              <w:ind w:left="60"/>
              <w:spacing w:after="0"/>
              <w:rPr>
                <w:sz w:val="20"/>
                <w:szCs w:val="20"/>
                <w:color w:val="auto"/>
              </w:rPr>
            </w:pPr>
            <w:r>
              <w:rPr>
                <w:rFonts w:ascii="Arial" w:cs="Arial" w:eastAsia="Arial" w:hAnsi="Arial"/>
                <w:sz w:val="11"/>
                <w:szCs w:val="11"/>
                <w:color w:val="auto"/>
              </w:rPr>
              <w:t>48603</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(989) 771-2440</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340" w:type="dxa"/>
            <w:vAlign w:val="bottom"/>
          </w:tcPr>
          <w:p>
            <w:pPr>
              <w:jc w:val="right"/>
              <w:ind w:right="66"/>
              <w:spacing w:after="0"/>
              <w:rPr>
                <w:sz w:val="20"/>
                <w:szCs w:val="20"/>
                <w:color w:val="auto"/>
              </w:rPr>
            </w:pPr>
            <w:r>
              <w:rPr>
                <w:rFonts w:ascii="Arial" w:cs="Arial" w:eastAsia="Arial" w:hAnsi="Arial"/>
                <w:sz w:val="11"/>
                <w:szCs w:val="11"/>
                <w:color w:val="auto"/>
                <w:w w:val="81"/>
              </w:rPr>
              <w:t>9225</w:t>
            </w:r>
          </w:p>
        </w:tc>
        <w:tc>
          <w:tcPr>
            <w:tcW w:w="1240" w:type="dxa"/>
            <w:vAlign w:val="bottom"/>
          </w:tcPr>
          <w:p>
            <w:pPr>
              <w:ind w:left="120"/>
              <w:spacing w:after="0"/>
              <w:rPr>
                <w:sz w:val="20"/>
                <w:szCs w:val="20"/>
                <w:color w:val="auto"/>
              </w:rPr>
            </w:pPr>
            <w:r>
              <w:rPr>
                <w:rFonts w:ascii="Arial" w:cs="Arial" w:eastAsia="Arial" w:hAnsi="Arial"/>
                <w:sz w:val="11"/>
                <w:szCs w:val="11"/>
                <w:color w:val="auto"/>
              </w:rPr>
              <w:t>BANK OF AMERICA</w:t>
            </w:r>
          </w:p>
        </w:tc>
        <w:tc>
          <w:tcPr>
            <w:tcW w:w="1440" w:type="dxa"/>
            <w:vAlign w:val="bottom"/>
          </w:tcPr>
          <w:p>
            <w:pPr>
              <w:ind w:left="120"/>
              <w:spacing w:after="0"/>
              <w:rPr>
                <w:sz w:val="20"/>
                <w:szCs w:val="20"/>
                <w:color w:val="auto"/>
              </w:rPr>
            </w:pPr>
            <w:r>
              <w:rPr>
                <w:rFonts w:ascii="Arial" w:cs="Arial" w:eastAsia="Arial" w:hAnsi="Arial"/>
                <w:sz w:val="11"/>
                <w:szCs w:val="11"/>
                <w:color w:val="auto"/>
              </w:rPr>
              <w:t>6711 RITCHIE HIGHWAY</w:t>
            </w:r>
          </w:p>
        </w:tc>
        <w:tc>
          <w:tcPr>
            <w:tcW w:w="900" w:type="dxa"/>
            <w:vAlign w:val="bottom"/>
          </w:tcPr>
          <w:p>
            <w:pPr>
              <w:ind w:left="80"/>
              <w:spacing w:after="0"/>
              <w:rPr>
                <w:sz w:val="20"/>
                <w:szCs w:val="20"/>
                <w:color w:val="auto"/>
              </w:rPr>
            </w:pPr>
            <w:r>
              <w:rPr>
                <w:rFonts w:ascii="Arial" w:cs="Arial" w:eastAsia="Arial" w:hAnsi="Arial"/>
                <w:sz w:val="11"/>
                <w:szCs w:val="11"/>
                <w:color w:val="auto"/>
              </w:rPr>
              <w:t>GLEN BURNIE</w:t>
            </w:r>
          </w:p>
        </w:tc>
        <w:tc>
          <w:tcPr>
            <w:tcW w:w="340" w:type="dxa"/>
            <w:vAlign w:val="bottom"/>
          </w:tcPr>
          <w:p>
            <w:pPr>
              <w:ind w:left="140"/>
              <w:spacing w:after="0"/>
              <w:rPr>
                <w:sz w:val="20"/>
                <w:szCs w:val="20"/>
                <w:color w:val="auto"/>
              </w:rPr>
            </w:pPr>
            <w:r>
              <w:rPr>
                <w:rFonts w:ascii="Arial" w:cs="Arial" w:eastAsia="Arial" w:hAnsi="Arial"/>
                <w:sz w:val="11"/>
                <w:szCs w:val="11"/>
                <w:color w:val="auto"/>
              </w:rPr>
              <w:t>MD</w:t>
            </w:r>
          </w:p>
        </w:tc>
        <w:tc>
          <w:tcPr>
            <w:tcW w:w="460" w:type="dxa"/>
            <w:vAlign w:val="bottom"/>
          </w:tcPr>
          <w:p>
            <w:pPr>
              <w:ind w:left="60"/>
              <w:spacing w:after="0"/>
              <w:rPr>
                <w:sz w:val="20"/>
                <w:szCs w:val="20"/>
                <w:color w:val="auto"/>
              </w:rPr>
            </w:pPr>
            <w:r>
              <w:rPr>
                <w:rFonts w:ascii="Arial" w:cs="Arial" w:eastAsia="Arial" w:hAnsi="Arial"/>
                <w:sz w:val="11"/>
                <w:szCs w:val="11"/>
                <w:color w:val="auto"/>
              </w:rPr>
              <w:t>21061-</w:t>
            </w:r>
          </w:p>
        </w:tc>
        <w:tc>
          <w:tcPr>
            <w:tcW w:w="1060" w:type="dxa"/>
            <w:vAlign w:val="bottom"/>
          </w:tcPr>
          <w:p>
            <w:pPr>
              <w:jc w:val="right"/>
              <w:ind w:right="226"/>
              <w:spacing w:after="0"/>
              <w:rPr>
                <w:sz w:val="20"/>
                <w:szCs w:val="20"/>
                <w:color w:val="auto"/>
              </w:rPr>
            </w:pPr>
            <w:r>
              <w:rPr>
                <w:rFonts w:ascii="Arial" w:cs="Arial" w:eastAsia="Arial" w:hAnsi="Arial"/>
                <w:sz w:val="11"/>
                <w:szCs w:val="11"/>
                <w:color w:val="auto"/>
              </w:rPr>
              <w:t>(410) 766-3500</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60"/>
              <w:spacing w:after="0"/>
              <w:rPr>
                <w:sz w:val="20"/>
                <w:szCs w:val="20"/>
                <w:color w:val="auto"/>
              </w:rPr>
            </w:pPr>
            <w:r>
              <w:rPr>
                <w:rFonts w:ascii="Arial" w:cs="Arial" w:eastAsia="Arial" w:hAnsi="Arial"/>
                <w:sz w:val="11"/>
                <w:szCs w:val="11"/>
                <w:color w:val="auto"/>
              </w:rPr>
              <w:t>2395</w:t>
            </w: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1753870</wp:posOffset>
            </wp:positionH>
            <wp:positionV relativeFrom="page">
              <wp:posOffset>88900</wp:posOffset>
            </wp:positionV>
            <wp:extent cx="4066540" cy="2260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66540" cy="2260600"/>
                    </a:xfrm>
                    <a:prstGeom prst="rect">
                      <a:avLst/>
                    </a:prstGeom>
                    <a:noFill/>
                  </pic:spPr>
                </pic:pic>
              </a:graphicData>
            </a:graphic>
          </wp:anchor>
        </w:drawing>
      </w:r>
    </w:p>
    <w:p>
      <w:pPr>
        <w:ind w:left="259" w:hanging="259"/>
        <w:spacing w:after="0"/>
        <w:tabs>
          <w:tab w:leader="none" w:pos="259" w:val="left"/>
        </w:tabs>
        <w:numPr>
          <w:ilvl w:val="0"/>
          <w:numId w:val="213"/>
        </w:numPr>
        <w:rPr>
          <w:rFonts w:ascii="Arial" w:cs="Arial" w:eastAsia="Arial" w:hAnsi="Arial"/>
          <w:sz w:val="14"/>
          <w:szCs w:val="14"/>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39"/>
          </w:cols>
          <w:pgMar w:left="221" w:top="298" w:right="1440" w:bottom="1440" w:gutter="0" w:footer="0" w:header="0"/>
        </w:sectPr>
      </w:pPr>
    </w:p>
    <w:bookmarkStart w:id="207" w:name="page208"/>
    <w:bookmarkEnd w:id="207"/>
    <w:tbl>
      <w:tblPr>
        <w:tblLayout w:type="fixed"/>
        <w:tblInd w:w="1320" w:type="dxa"/>
        <w:tblCellMar>
          <w:top w:w="0" w:type="dxa"/>
          <w:left w:w="0" w:type="dxa"/>
          <w:bottom w:w="0" w:type="dxa"/>
          <w:right w:w="0" w:type="dxa"/>
        </w:tblCellMar>
      </w:tblPr>
      <w:tr>
        <w:trPr>
          <w:trHeight w:val="136"/>
        </w:trPr>
        <w:tc>
          <w:tcPr>
            <w:tcW w:w="1680" w:type="dxa"/>
            <w:vAlign w:val="bottom"/>
          </w:tcPr>
          <w:p>
            <w:pPr>
              <w:spacing w:after="0"/>
              <w:rPr>
                <w:sz w:val="20"/>
                <w:szCs w:val="20"/>
                <w:color w:val="auto"/>
              </w:rPr>
            </w:pPr>
            <w:r>
              <w:rPr>
                <w:rFonts w:ascii="Arial" w:cs="Arial" w:eastAsia="Arial" w:hAnsi="Arial"/>
                <w:sz w:val="11"/>
                <w:szCs w:val="11"/>
                <w:color w:val="auto"/>
              </w:rPr>
              <w:t>9227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17800 FORT STREET</w:t>
            </w:r>
          </w:p>
        </w:tc>
        <w:tc>
          <w:tcPr>
            <w:tcW w:w="1000" w:type="dxa"/>
            <w:vAlign w:val="bottom"/>
          </w:tcPr>
          <w:p>
            <w:pPr>
              <w:ind w:left="20"/>
              <w:spacing w:after="0"/>
              <w:rPr>
                <w:sz w:val="20"/>
                <w:szCs w:val="20"/>
                <w:color w:val="auto"/>
              </w:rPr>
            </w:pPr>
            <w:r>
              <w:rPr>
                <w:rFonts w:ascii="Arial" w:cs="Arial" w:eastAsia="Arial" w:hAnsi="Arial"/>
                <w:sz w:val="11"/>
                <w:szCs w:val="11"/>
                <w:color w:val="auto"/>
              </w:rPr>
              <w:t>RIVERVIEW</w:t>
            </w:r>
          </w:p>
        </w:tc>
        <w:tc>
          <w:tcPr>
            <w:tcW w:w="200" w:type="dxa"/>
            <w:vAlign w:val="bottom"/>
          </w:tcPr>
          <w:p>
            <w:pPr>
              <w:ind w:left="40"/>
              <w:spacing w:after="0"/>
              <w:rPr>
                <w:sz w:val="20"/>
                <w:szCs w:val="20"/>
                <w:color w:val="auto"/>
              </w:rPr>
            </w:pPr>
            <w:r>
              <w:rPr>
                <w:rFonts w:ascii="Arial" w:cs="Arial" w:eastAsia="Arial" w:hAnsi="Arial"/>
                <w:sz w:val="11"/>
                <w:szCs w:val="11"/>
                <w:color w:val="auto"/>
              </w:rPr>
              <w:t>MI</w:t>
            </w:r>
          </w:p>
        </w:tc>
        <w:tc>
          <w:tcPr>
            <w:tcW w:w="440" w:type="dxa"/>
            <w:vAlign w:val="bottom"/>
          </w:tcPr>
          <w:p>
            <w:pPr>
              <w:ind w:left="20"/>
              <w:spacing w:after="0"/>
              <w:rPr>
                <w:sz w:val="20"/>
                <w:szCs w:val="20"/>
                <w:color w:val="auto"/>
              </w:rPr>
            </w:pPr>
            <w:r>
              <w:rPr>
                <w:rFonts w:ascii="Arial" w:cs="Arial" w:eastAsia="Arial" w:hAnsi="Arial"/>
                <w:sz w:val="11"/>
                <w:szCs w:val="11"/>
                <w:color w:val="auto"/>
              </w:rPr>
              <w:t>48192</w:t>
            </w:r>
          </w:p>
        </w:tc>
        <w:tc>
          <w:tcPr>
            <w:tcW w:w="380" w:type="dxa"/>
            <w:vAlign w:val="bottom"/>
          </w:tcPr>
          <w:p>
            <w:pPr>
              <w:jc w:val="right"/>
              <w:spacing w:after="0"/>
              <w:rPr>
                <w:sz w:val="20"/>
                <w:szCs w:val="20"/>
                <w:color w:val="auto"/>
              </w:rPr>
            </w:pPr>
            <w:r>
              <w:rPr>
                <w:rFonts w:ascii="Arial" w:cs="Arial" w:eastAsia="Arial" w:hAnsi="Arial"/>
                <w:sz w:val="11"/>
                <w:szCs w:val="11"/>
                <w:color w:val="auto"/>
              </w:rPr>
              <w:t>(734)</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284-0365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9229 US BANK</w:t>
            </w:r>
          </w:p>
        </w:tc>
        <w:tc>
          <w:tcPr>
            <w:tcW w:w="2040" w:type="dxa"/>
            <w:vAlign w:val="bottom"/>
          </w:tcPr>
          <w:p>
            <w:pPr>
              <w:ind w:left="80"/>
              <w:spacing w:after="0"/>
              <w:rPr>
                <w:sz w:val="20"/>
                <w:szCs w:val="20"/>
                <w:color w:val="auto"/>
              </w:rPr>
            </w:pPr>
            <w:r>
              <w:rPr>
                <w:rFonts w:ascii="Arial" w:cs="Arial" w:eastAsia="Arial" w:hAnsi="Arial"/>
                <w:sz w:val="11"/>
                <w:szCs w:val="11"/>
                <w:color w:val="auto"/>
              </w:rPr>
              <w:t>100 NORTH 56TH STREET</w:t>
            </w:r>
          </w:p>
        </w:tc>
        <w:tc>
          <w:tcPr>
            <w:tcW w:w="1000" w:type="dxa"/>
            <w:vAlign w:val="bottom"/>
          </w:tcPr>
          <w:p>
            <w:pPr>
              <w:ind w:left="20"/>
              <w:spacing w:after="0"/>
              <w:rPr>
                <w:sz w:val="20"/>
                <w:szCs w:val="20"/>
                <w:color w:val="auto"/>
              </w:rPr>
            </w:pPr>
            <w:r>
              <w:rPr>
                <w:rFonts w:ascii="Arial" w:cs="Arial" w:eastAsia="Arial" w:hAnsi="Arial"/>
                <w:sz w:val="11"/>
                <w:szCs w:val="11"/>
                <w:color w:val="auto"/>
              </w:rPr>
              <w:t>LINCOLN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NE 68504</w:t>
            </w:r>
          </w:p>
        </w:tc>
        <w:tc>
          <w:tcPr>
            <w:tcW w:w="380" w:type="dxa"/>
            <w:vAlign w:val="bottom"/>
          </w:tcPr>
          <w:p>
            <w:pPr>
              <w:jc w:val="right"/>
              <w:spacing w:after="0"/>
              <w:rPr>
                <w:sz w:val="20"/>
                <w:szCs w:val="20"/>
                <w:color w:val="auto"/>
              </w:rPr>
            </w:pPr>
            <w:r>
              <w:rPr>
                <w:rFonts w:ascii="Arial" w:cs="Arial" w:eastAsia="Arial" w:hAnsi="Arial"/>
                <w:sz w:val="11"/>
                <w:szCs w:val="11"/>
                <w:color w:val="auto"/>
              </w:rPr>
              <w:t>(402)</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467-8002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9232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4600 DRESSLER ROAD</w:t>
            </w:r>
          </w:p>
        </w:tc>
        <w:tc>
          <w:tcPr>
            <w:tcW w:w="1000" w:type="dxa"/>
            <w:vAlign w:val="bottom"/>
          </w:tcPr>
          <w:p>
            <w:pPr>
              <w:ind w:left="20"/>
              <w:spacing w:after="0"/>
              <w:rPr>
                <w:sz w:val="20"/>
                <w:szCs w:val="20"/>
                <w:color w:val="auto"/>
              </w:rPr>
            </w:pPr>
            <w:r>
              <w:rPr>
                <w:rFonts w:ascii="Arial" w:cs="Arial" w:eastAsia="Arial" w:hAnsi="Arial"/>
                <w:sz w:val="11"/>
                <w:szCs w:val="11"/>
                <w:color w:val="auto"/>
              </w:rPr>
              <w:t>CANTON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OH 44718</w:t>
            </w:r>
          </w:p>
        </w:tc>
        <w:tc>
          <w:tcPr>
            <w:tcW w:w="380" w:type="dxa"/>
            <w:vAlign w:val="bottom"/>
          </w:tcPr>
          <w:p>
            <w:pPr>
              <w:jc w:val="right"/>
              <w:spacing w:after="0"/>
              <w:rPr>
                <w:sz w:val="20"/>
                <w:szCs w:val="20"/>
                <w:color w:val="auto"/>
              </w:rPr>
            </w:pPr>
            <w:r>
              <w:rPr>
                <w:rFonts w:ascii="Arial" w:cs="Arial" w:eastAsia="Arial" w:hAnsi="Arial"/>
                <w:sz w:val="11"/>
                <w:szCs w:val="11"/>
                <w:color w:val="auto"/>
              </w:rPr>
              <w:t>(330)</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492-4431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9235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w w:val="94"/>
              </w:rPr>
              <w:t>SOUTH FLINT PLAZA 4841 FENTON RD</w:t>
            </w:r>
          </w:p>
        </w:tc>
        <w:tc>
          <w:tcPr>
            <w:tcW w:w="1000" w:type="dxa"/>
            <w:vAlign w:val="bottom"/>
          </w:tcPr>
          <w:p>
            <w:pPr>
              <w:ind w:left="20"/>
              <w:spacing w:after="0"/>
              <w:rPr>
                <w:sz w:val="20"/>
                <w:szCs w:val="20"/>
                <w:color w:val="auto"/>
              </w:rPr>
            </w:pPr>
            <w:r>
              <w:rPr>
                <w:rFonts w:ascii="Arial" w:cs="Arial" w:eastAsia="Arial" w:hAnsi="Arial"/>
                <w:sz w:val="11"/>
                <w:szCs w:val="11"/>
                <w:color w:val="auto"/>
              </w:rPr>
              <w:t>FLINT</w:t>
            </w:r>
          </w:p>
        </w:tc>
        <w:tc>
          <w:tcPr>
            <w:tcW w:w="200" w:type="dxa"/>
            <w:vAlign w:val="bottom"/>
          </w:tcPr>
          <w:p>
            <w:pPr>
              <w:ind w:left="40"/>
              <w:spacing w:after="0"/>
              <w:rPr>
                <w:sz w:val="20"/>
                <w:szCs w:val="20"/>
                <w:color w:val="auto"/>
              </w:rPr>
            </w:pPr>
            <w:r>
              <w:rPr>
                <w:rFonts w:ascii="Arial" w:cs="Arial" w:eastAsia="Arial" w:hAnsi="Arial"/>
                <w:sz w:val="11"/>
                <w:szCs w:val="11"/>
                <w:color w:val="auto"/>
              </w:rPr>
              <w:t>MI</w:t>
            </w:r>
          </w:p>
        </w:tc>
        <w:tc>
          <w:tcPr>
            <w:tcW w:w="440" w:type="dxa"/>
            <w:vAlign w:val="bottom"/>
          </w:tcPr>
          <w:p>
            <w:pPr>
              <w:ind w:left="20"/>
              <w:spacing w:after="0"/>
              <w:rPr>
                <w:sz w:val="20"/>
                <w:szCs w:val="20"/>
                <w:color w:val="auto"/>
              </w:rPr>
            </w:pPr>
            <w:r>
              <w:rPr>
                <w:rFonts w:ascii="Arial" w:cs="Arial" w:eastAsia="Arial" w:hAnsi="Arial"/>
                <w:sz w:val="11"/>
                <w:szCs w:val="11"/>
                <w:color w:val="auto"/>
              </w:rPr>
              <w:t>48507</w:t>
            </w:r>
          </w:p>
        </w:tc>
        <w:tc>
          <w:tcPr>
            <w:tcW w:w="380" w:type="dxa"/>
            <w:vAlign w:val="bottom"/>
          </w:tcPr>
          <w:p>
            <w:pPr>
              <w:jc w:val="right"/>
              <w:spacing w:after="0"/>
              <w:rPr>
                <w:sz w:val="20"/>
                <w:szCs w:val="20"/>
                <w:color w:val="auto"/>
              </w:rPr>
            </w:pPr>
            <w:r>
              <w:rPr>
                <w:rFonts w:ascii="Arial" w:cs="Arial" w:eastAsia="Arial" w:hAnsi="Arial"/>
                <w:sz w:val="11"/>
                <w:szCs w:val="11"/>
                <w:color w:val="auto"/>
              </w:rPr>
              <w:t>(810)</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234-3557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9236 UNITED SAVINGS BANK</w:t>
            </w:r>
          </w:p>
        </w:tc>
        <w:tc>
          <w:tcPr>
            <w:tcW w:w="2040" w:type="dxa"/>
            <w:vAlign w:val="bottom"/>
          </w:tcPr>
          <w:p>
            <w:pPr>
              <w:ind w:left="80"/>
              <w:spacing w:after="0"/>
              <w:rPr>
                <w:sz w:val="20"/>
                <w:szCs w:val="20"/>
                <w:color w:val="auto"/>
              </w:rPr>
            </w:pPr>
            <w:r>
              <w:rPr>
                <w:rFonts w:ascii="Arial" w:cs="Arial" w:eastAsia="Arial" w:hAnsi="Arial"/>
                <w:sz w:val="11"/>
                <w:szCs w:val="11"/>
                <w:color w:val="auto"/>
              </w:rPr>
              <w:t>301 BALTIMORE PIKE &amp; WEST AVE</w:t>
            </w:r>
          </w:p>
        </w:tc>
        <w:tc>
          <w:tcPr>
            <w:tcW w:w="1000" w:type="dxa"/>
            <w:vAlign w:val="bottom"/>
          </w:tcPr>
          <w:p>
            <w:pPr>
              <w:ind w:left="20"/>
              <w:spacing w:after="0"/>
              <w:rPr>
                <w:sz w:val="20"/>
                <w:szCs w:val="20"/>
                <w:color w:val="auto"/>
              </w:rPr>
            </w:pPr>
            <w:r>
              <w:rPr>
                <w:rFonts w:ascii="Arial" w:cs="Arial" w:eastAsia="Arial" w:hAnsi="Arial"/>
                <w:sz w:val="11"/>
                <w:szCs w:val="11"/>
                <w:color w:val="auto"/>
              </w:rPr>
              <w:t>SPRINFFIELD</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1460" w:type="dxa"/>
            <w:vAlign w:val="bottom"/>
            <w:gridSpan w:val="3"/>
          </w:tcPr>
          <w:p>
            <w:pPr>
              <w:jc w:val="right"/>
              <w:spacing w:after="0"/>
              <w:rPr>
                <w:sz w:val="20"/>
                <w:szCs w:val="20"/>
                <w:color w:val="auto"/>
              </w:rPr>
            </w:pPr>
            <w:r>
              <w:rPr>
                <w:rFonts w:ascii="Arial" w:cs="Arial" w:eastAsia="Arial" w:hAnsi="Arial"/>
                <w:sz w:val="11"/>
                <w:szCs w:val="11"/>
                <w:color w:val="auto"/>
                <w:w w:val="94"/>
              </w:rPr>
              <w:t>19064-3809 (610) 544-9090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9241 CHEVY CHASE BANK</w:t>
            </w:r>
          </w:p>
        </w:tc>
        <w:tc>
          <w:tcPr>
            <w:tcW w:w="2040" w:type="dxa"/>
            <w:vAlign w:val="bottom"/>
          </w:tcPr>
          <w:p>
            <w:pPr>
              <w:ind w:left="80"/>
              <w:spacing w:after="0"/>
              <w:rPr>
                <w:sz w:val="20"/>
                <w:szCs w:val="20"/>
                <w:color w:val="auto"/>
              </w:rPr>
            </w:pPr>
            <w:r>
              <w:rPr>
                <w:rFonts w:ascii="Arial" w:cs="Arial" w:eastAsia="Arial" w:hAnsi="Arial"/>
                <w:sz w:val="11"/>
                <w:szCs w:val="11"/>
                <w:color w:val="auto"/>
              </w:rPr>
              <w:t>7515 Greenbelt Road</w:t>
            </w:r>
          </w:p>
        </w:tc>
        <w:tc>
          <w:tcPr>
            <w:tcW w:w="1000" w:type="dxa"/>
            <w:vAlign w:val="bottom"/>
          </w:tcPr>
          <w:p>
            <w:pPr>
              <w:ind w:left="20"/>
              <w:spacing w:after="0"/>
              <w:rPr>
                <w:sz w:val="20"/>
                <w:szCs w:val="20"/>
                <w:color w:val="auto"/>
              </w:rPr>
            </w:pPr>
            <w:r>
              <w:rPr>
                <w:rFonts w:ascii="Arial" w:cs="Arial" w:eastAsia="Arial" w:hAnsi="Arial"/>
                <w:sz w:val="11"/>
                <w:szCs w:val="11"/>
                <w:color w:val="auto"/>
              </w:rPr>
              <w:t>GREENBELT</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MD 20770</w:t>
            </w:r>
          </w:p>
        </w:tc>
        <w:tc>
          <w:tcPr>
            <w:tcW w:w="380" w:type="dxa"/>
            <w:vAlign w:val="bottom"/>
          </w:tcPr>
          <w:p>
            <w:pPr>
              <w:jc w:val="right"/>
              <w:spacing w:after="0"/>
              <w:rPr>
                <w:sz w:val="20"/>
                <w:szCs w:val="20"/>
                <w:color w:val="auto"/>
              </w:rPr>
            </w:pPr>
            <w:r>
              <w:rPr>
                <w:rFonts w:ascii="Arial" w:cs="Arial" w:eastAsia="Arial" w:hAnsi="Arial"/>
                <w:sz w:val="11"/>
                <w:szCs w:val="11"/>
                <w:color w:val="auto"/>
              </w:rPr>
              <w:t>(301)</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614-2401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9242 CITIZENS BANK</w:t>
            </w:r>
          </w:p>
        </w:tc>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NY 12804</w:t>
            </w:r>
          </w:p>
        </w:tc>
        <w:tc>
          <w:tcPr>
            <w:tcW w:w="380" w:type="dxa"/>
            <w:vAlign w:val="bottom"/>
          </w:tcPr>
          <w:p>
            <w:pPr>
              <w:jc w:val="right"/>
              <w:spacing w:after="0"/>
              <w:rPr>
                <w:sz w:val="20"/>
                <w:szCs w:val="20"/>
                <w:color w:val="auto"/>
              </w:rPr>
            </w:pPr>
            <w:r>
              <w:rPr>
                <w:rFonts w:ascii="Arial" w:cs="Arial" w:eastAsia="Arial" w:hAnsi="Arial"/>
                <w:sz w:val="11"/>
                <w:szCs w:val="11"/>
                <w:color w:val="auto"/>
              </w:rPr>
              <w:t>(518)</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798-4057 ***</w:t>
            </w:r>
          </w:p>
        </w:tc>
      </w:tr>
      <w:tr>
        <w:trPr>
          <w:trHeight w:val="353"/>
        </w:trPr>
        <w:tc>
          <w:tcPr>
            <w:tcW w:w="1680" w:type="dxa"/>
            <w:vAlign w:val="bottom"/>
          </w:tcPr>
          <w:p>
            <w:pPr>
              <w:spacing w:after="0"/>
              <w:rPr>
                <w:sz w:val="20"/>
                <w:szCs w:val="20"/>
                <w:color w:val="auto"/>
              </w:rPr>
            </w:pPr>
            <w:r>
              <w:rPr>
                <w:rFonts w:ascii="Arial" w:cs="Arial" w:eastAsia="Arial" w:hAnsi="Arial"/>
                <w:sz w:val="11"/>
                <w:szCs w:val="11"/>
                <w:color w:val="auto"/>
              </w:rPr>
              <w:t>9250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910 TALON DRIVE</w:t>
            </w:r>
          </w:p>
        </w:tc>
        <w:tc>
          <w:tcPr>
            <w:tcW w:w="1000" w:type="dxa"/>
            <w:vAlign w:val="bottom"/>
          </w:tcPr>
          <w:p>
            <w:pPr>
              <w:ind w:left="20"/>
              <w:spacing w:after="0"/>
              <w:rPr>
                <w:sz w:val="20"/>
                <w:szCs w:val="20"/>
                <w:color w:val="auto"/>
              </w:rPr>
            </w:pPr>
            <w:r>
              <w:rPr>
                <w:rFonts w:ascii="Arial" w:cs="Arial" w:eastAsia="Arial" w:hAnsi="Arial"/>
                <w:sz w:val="11"/>
                <w:szCs w:val="11"/>
                <w:color w:val="auto"/>
              </w:rPr>
              <w:t>O'FALLON</w:t>
            </w:r>
          </w:p>
        </w:tc>
        <w:tc>
          <w:tcPr>
            <w:tcW w:w="200" w:type="dxa"/>
            <w:vAlign w:val="bottom"/>
          </w:tcPr>
          <w:p>
            <w:pPr>
              <w:ind w:left="40"/>
              <w:spacing w:after="0"/>
              <w:rPr>
                <w:sz w:val="20"/>
                <w:szCs w:val="20"/>
                <w:color w:val="auto"/>
              </w:rPr>
            </w:pPr>
            <w:r>
              <w:rPr>
                <w:rFonts w:ascii="Arial" w:cs="Arial" w:eastAsia="Arial" w:hAnsi="Arial"/>
                <w:sz w:val="11"/>
                <w:szCs w:val="11"/>
                <w:color w:val="auto"/>
              </w:rPr>
              <w:t>IL</w:t>
            </w:r>
          </w:p>
        </w:tc>
        <w:tc>
          <w:tcPr>
            <w:tcW w:w="440" w:type="dxa"/>
            <w:vAlign w:val="bottom"/>
          </w:tcPr>
          <w:p>
            <w:pPr>
              <w:ind w:left="20"/>
              <w:spacing w:after="0"/>
              <w:rPr>
                <w:sz w:val="20"/>
                <w:szCs w:val="20"/>
                <w:color w:val="auto"/>
              </w:rPr>
            </w:pPr>
            <w:r>
              <w:rPr>
                <w:rFonts w:ascii="Arial" w:cs="Arial" w:eastAsia="Arial" w:hAnsi="Arial"/>
                <w:sz w:val="11"/>
                <w:szCs w:val="11"/>
                <w:color w:val="auto"/>
              </w:rPr>
              <w:t>62269</w:t>
            </w:r>
          </w:p>
        </w:tc>
        <w:tc>
          <w:tcPr>
            <w:tcW w:w="380" w:type="dxa"/>
            <w:vAlign w:val="bottom"/>
          </w:tcPr>
          <w:p>
            <w:pPr>
              <w:jc w:val="right"/>
              <w:spacing w:after="0"/>
              <w:rPr>
                <w:sz w:val="20"/>
                <w:szCs w:val="20"/>
                <w:color w:val="auto"/>
              </w:rPr>
            </w:pPr>
            <w:r>
              <w:rPr>
                <w:rFonts w:ascii="Arial" w:cs="Arial" w:eastAsia="Arial" w:hAnsi="Arial"/>
                <w:sz w:val="11"/>
                <w:szCs w:val="11"/>
                <w:color w:val="auto"/>
              </w:rPr>
              <w:t>(618)</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632-5500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w w:val="98"/>
              </w:rPr>
              <w:t>9251 CITIZENS NATIOANL BANK</w:t>
            </w:r>
          </w:p>
        </w:tc>
        <w:tc>
          <w:tcPr>
            <w:tcW w:w="2040" w:type="dxa"/>
            <w:vAlign w:val="bottom"/>
          </w:tcPr>
          <w:p>
            <w:pPr>
              <w:ind w:left="80"/>
              <w:spacing w:after="0"/>
              <w:rPr>
                <w:sz w:val="20"/>
                <w:szCs w:val="20"/>
                <w:color w:val="auto"/>
              </w:rPr>
            </w:pPr>
            <w:r>
              <w:rPr>
                <w:rFonts w:ascii="Arial" w:cs="Arial" w:eastAsia="Arial" w:hAnsi="Arial"/>
                <w:sz w:val="11"/>
                <w:szCs w:val="11"/>
                <w:color w:val="auto"/>
                <w:w w:val="96"/>
              </w:rPr>
              <w:t>PO BOX 4610 PIGEON FORGE OFFICE</w:t>
            </w:r>
          </w:p>
        </w:tc>
        <w:tc>
          <w:tcPr>
            <w:tcW w:w="1000" w:type="dxa"/>
            <w:vAlign w:val="bottom"/>
          </w:tcPr>
          <w:p>
            <w:pPr>
              <w:ind w:left="20"/>
              <w:spacing w:after="0"/>
              <w:rPr>
                <w:sz w:val="20"/>
                <w:szCs w:val="20"/>
                <w:color w:val="auto"/>
              </w:rPr>
            </w:pPr>
            <w:r>
              <w:rPr>
                <w:rFonts w:ascii="Arial" w:cs="Arial" w:eastAsia="Arial" w:hAnsi="Arial"/>
                <w:sz w:val="11"/>
                <w:szCs w:val="11"/>
                <w:color w:val="auto"/>
              </w:rPr>
              <w:t>SEVIERVILLE</w:t>
            </w:r>
          </w:p>
        </w:tc>
        <w:tc>
          <w:tcPr>
            <w:tcW w:w="1660" w:type="dxa"/>
            <w:vAlign w:val="bottom"/>
            <w:gridSpan w:val="4"/>
          </w:tcPr>
          <w:p>
            <w:pPr>
              <w:ind w:left="40"/>
              <w:spacing w:after="0"/>
              <w:rPr>
                <w:sz w:val="20"/>
                <w:szCs w:val="20"/>
                <w:color w:val="auto"/>
              </w:rPr>
            </w:pPr>
            <w:r>
              <w:rPr>
                <w:rFonts w:ascii="Arial" w:cs="Arial" w:eastAsia="Arial" w:hAnsi="Arial"/>
                <w:sz w:val="11"/>
                <w:szCs w:val="11"/>
                <w:color w:val="auto"/>
                <w:w w:val="93"/>
              </w:rPr>
              <w:t>TN 37864-4610 (865) 429-7585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9252 US BANK</w:t>
            </w:r>
          </w:p>
        </w:tc>
        <w:tc>
          <w:tcPr>
            <w:tcW w:w="2040" w:type="dxa"/>
            <w:vAlign w:val="bottom"/>
          </w:tcPr>
          <w:p>
            <w:pPr>
              <w:ind w:left="80"/>
              <w:spacing w:after="0"/>
              <w:rPr>
                <w:sz w:val="20"/>
                <w:szCs w:val="20"/>
                <w:color w:val="auto"/>
              </w:rPr>
            </w:pPr>
            <w:r>
              <w:rPr>
                <w:rFonts w:ascii="Arial" w:cs="Arial" w:eastAsia="Arial" w:hAnsi="Arial"/>
                <w:sz w:val="11"/>
                <w:szCs w:val="11"/>
                <w:color w:val="auto"/>
              </w:rPr>
              <w:t>72nd and Dodge</w:t>
            </w:r>
          </w:p>
        </w:tc>
        <w:tc>
          <w:tcPr>
            <w:tcW w:w="1000" w:type="dxa"/>
            <w:vAlign w:val="bottom"/>
          </w:tcPr>
          <w:p>
            <w:pPr>
              <w:ind w:left="20"/>
              <w:spacing w:after="0"/>
              <w:rPr>
                <w:sz w:val="20"/>
                <w:szCs w:val="20"/>
                <w:color w:val="auto"/>
              </w:rPr>
            </w:pPr>
            <w:r>
              <w:rPr>
                <w:rFonts w:ascii="Arial" w:cs="Arial" w:eastAsia="Arial" w:hAnsi="Arial"/>
                <w:sz w:val="11"/>
                <w:szCs w:val="11"/>
                <w:color w:val="auto"/>
              </w:rPr>
              <w:t>OMAHA</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NE 68114</w:t>
            </w:r>
          </w:p>
        </w:tc>
        <w:tc>
          <w:tcPr>
            <w:tcW w:w="380" w:type="dxa"/>
            <w:vAlign w:val="bottom"/>
          </w:tcPr>
          <w:p>
            <w:pPr>
              <w:jc w:val="right"/>
              <w:spacing w:after="0"/>
              <w:rPr>
                <w:sz w:val="20"/>
                <w:szCs w:val="20"/>
                <w:color w:val="auto"/>
              </w:rPr>
            </w:pPr>
            <w:r>
              <w:rPr>
                <w:rFonts w:ascii="Arial" w:cs="Arial" w:eastAsia="Arial" w:hAnsi="Arial"/>
                <w:sz w:val="11"/>
                <w:szCs w:val="11"/>
                <w:color w:val="auto"/>
              </w:rPr>
              <w:t>(402)</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399-3733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9254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120 NORTH SCOTT</w:t>
            </w:r>
          </w:p>
        </w:tc>
        <w:tc>
          <w:tcPr>
            <w:tcW w:w="1000" w:type="dxa"/>
            <w:vAlign w:val="bottom"/>
          </w:tcPr>
          <w:p>
            <w:pPr>
              <w:ind w:left="20"/>
              <w:spacing w:after="0"/>
              <w:rPr>
                <w:sz w:val="20"/>
                <w:szCs w:val="20"/>
                <w:color w:val="auto"/>
              </w:rPr>
            </w:pPr>
            <w:r>
              <w:rPr>
                <w:rFonts w:ascii="Arial" w:cs="Arial" w:eastAsia="Arial" w:hAnsi="Arial"/>
                <w:sz w:val="11"/>
                <w:szCs w:val="11"/>
                <w:color w:val="auto"/>
              </w:rPr>
              <w:t>JOLIET</w:t>
            </w:r>
          </w:p>
        </w:tc>
        <w:tc>
          <w:tcPr>
            <w:tcW w:w="200" w:type="dxa"/>
            <w:vAlign w:val="bottom"/>
          </w:tcPr>
          <w:p>
            <w:pPr>
              <w:ind w:left="40"/>
              <w:spacing w:after="0"/>
              <w:rPr>
                <w:sz w:val="20"/>
                <w:szCs w:val="20"/>
                <w:color w:val="auto"/>
              </w:rPr>
            </w:pPr>
            <w:r>
              <w:rPr>
                <w:rFonts w:ascii="Arial" w:cs="Arial" w:eastAsia="Arial" w:hAnsi="Arial"/>
                <w:sz w:val="11"/>
                <w:szCs w:val="11"/>
                <w:color w:val="auto"/>
              </w:rPr>
              <w:t>IL</w:t>
            </w:r>
          </w:p>
        </w:tc>
        <w:tc>
          <w:tcPr>
            <w:tcW w:w="440" w:type="dxa"/>
            <w:vAlign w:val="bottom"/>
          </w:tcPr>
          <w:p>
            <w:pPr>
              <w:ind w:left="20"/>
              <w:spacing w:after="0"/>
              <w:rPr>
                <w:sz w:val="20"/>
                <w:szCs w:val="20"/>
                <w:color w:val="auto"/>
              </w:rPr>
            </w:pPr>
            <w:r>
              <w:rPr>
                <w:rFonts w:ascii="Arial" w:cs="Arial" w:eastAsia="Arial" w:hAnsi="Arial"/>
                <w:sz w:val="11"/>
                <w:szCs w:val="11"/>
                <w:color w:val="auto"/>
              </w:rPr>
              <w:t>60432</w:t>
            </w:r>
          </w:p>
        </w:tc>
        <w:tc>
          <w:tcPr>
            <w:tcW w:w="380" w:type="dxa"/>
            <w:vAlign w:val="bottom"/>
          </w:tcPr>
          <w:p>
            <w:pPr>
              <w:jc w:val="right"/>
              <w:spacing w:after="0"/>
              <w:rPr>
                <w:sz w:val="20"/>
                <w:szCs w:val="20"/>
                <w:color w:val="auto"/>
              </w:rPr>
            </w:pPr>
            <w:r>
              <w:rPr>
                <w:rFonts w:ascii="Arial" w:cs="Arial" w:eastAsia="Arial" w:hAnsi="Arial"/>
                <w:sz w:val="11"/>
                <w:szCs w:val="11"/>
                <w:color w:val="auto"/>
              </w:rPr>
              <w:t>(815)</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727-2601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9256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3371 US HWY 1</w:t>
            </w:r>
          </w:p>
        </w:tc>
        <w:tc>
          <w:tcPr>
            <w:tcW w:w="1000" w:type="dxa"/>
            <w:vAlign w:val="bottom"/>
          </w:tcPr>
          <w:p>
            <w:pPr>
              <w:ind w:left="20"/>
              <w:spacing w:after="0"/>
              <w:rPr>
                <w:sz w:val="20"/>
                <w:szCs w:val="20"/>
                <w:color w:val="auto"/>
              </w:rPr>
            </w:pPr>
            <w:r>
              <w:rPr>
                <w:rFonts w:ascii="Arial" w:cs="Arial" w:eastAsia="Arial" w:hAnsi="Arial"/>
                <w:sz w:val="11"/>
                <w:szCs w:val="11"/>
                <w:color w:val="auto"/>
              </w:rPr>
              <w:t>LAWRENCEVILLE</w:t>
            </w:r>
          </w:p>
        </w:tc>
        <w:tc>
          <w:tcPr>
            <w:tcW w:w="200" w:type="dxa"/>
            <w:vAlign w:val="bottom"/>
          </w:tcPr>
          <w:p>
            <w:pPr>
              <w:ind w:left="40"/>
              <w:spacing w:after="0"/>
              <w:rPr>
                <w:sz w:val="20"/>
                <w:szCs w:val="20"/>
                <w:color w:val="auto"/>
              </w:rPr>
            </w:pPr>
            <w:r>
              <w:rPr>
                <w:rFonts w:ascii="Arial" w:cs="Arial" w:eastAsia="Arial" w:hAnsi="Arial"/>
                <w:sz w:val="11"/>
                <w:szCs w:val="11"/>
                <w:color w:val="auto"/>
              </w:rPr>
              <w:t>NJ</w:t>
            </w:r>
          </w:p>
        </w:tc>
        <w:tc>
          <w:tcPr>
            <w:tcW w:w="440" w:type="dxa"/>
            <w:vAlign w:val="bottom"/>
          </w:tcPr>
          <w:p>
            <w:pPr>
              <w:ind w:left="20"/>
              <w:spacing w:after="0"/>
              <w:rPr>
                <w:sz w:val="20"/>
                <w:szCs w:val="20"/>
                <w:color w:val="auto"/>
              </w:rPr>
            </w:pPr>
            <w:r>
              <w:rPr>
                <w:rFonts w:ascii="Arial" w:cs="Arial" w:eastAsia="Arial" w:hAnsi="Arial"/>
                <w:sz w:val="11"/>
                <w:szCs w:val="11"/>
                <w:color w:val="auto"/>
              </w:rPr>
              <w:t>08648</w:t>
            </w:r>
          </w:p>
        </w:tc>
        <w:tc>
          <w:tcPr>
            <w:tcW w:w="380" w:type="dxa"/>
            <w:vAlign w:val="bottom"/>
          </w:tcPr>
          <w:p>
            <w:pPr>
              <w:jc w:val="right"/>
              <w:spacing w:after="0"/>
              <w:rPr>
                <w:sz w:val="20"/>
                <w:szCs w:val="20"/>
                <w:color w:val="auto"/>
              </w:rPr>
            </w:pPr>
            <w:r>
              <w:rPr>
                <w:rFonts w:ascii="Arial" w:cs="Arial" w:eastAsia="Arial" w:hAnsi="Arial"/>
                <w:sz w:val="11"/>
                <w:szCs w:val="11"/>
                <w:color w:val="auto"/>
              </w:rPr>
              <w:t>(800)</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432-1000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9257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5435 NORTHFIELD ROAD</w:t>
            </w:r>
          </w:p>
        </w:tc>
        <w:tc>
          <w:tcPr>
            <w:tcW w:w="1640" w:type="dxa"/>
            <w:vAlign w:val="bottom"/>
            <w:gridSpan w:val="3"/>
          </w:tcPr>
          <w:p>
            <w:pPr>
              <w:ind w:left="20"/>
              <w:spacing w:after="0"/>
              <w:rPr>
                <w:sz w:val="20"/>
                <w:szCs w:val="20"/>
                <w:color w:val="auto"/>
              </w:rPr>
            </w:pPr>
            <w:r>
              <w:rPr>
                <w:rFonts w:ascii="Arial" w:cs="Arial" w:eastAsia="Arial" w:hAnsi="Arial"/>
                <w:sz w:val="11"/>
                <w:szCs w:val="11"/>
                <w:color w:val="auto"/>
              </w:rPr>
              <w:t>BEDFORD HEIGHTS OH 44146</w:t>
            </w:r>
          </w:p>
        </w:tc>
        <w:tc>
          <w:tcPr>
            <w:tcW w:w="380" w:type="dxa"/>
            <w:vAlign w:val="bottom"/>
          </w:tcPr>
          <w:p>
            <w:pPr>
              <w:jc w:val="right"/>
              <w:spacing w:after="0"/>
              <w:rPr>
                <w:sz w:val="20"/>
                <w:szCs w:val="20"/>
                <w:color w:val="auto"/>
              </w:rPr>
            </w:pPr>
            <w:r>
              <w:rPr>
                <w:rFonts w:ascii="Arial" w:cs="Arial" w:eastAsia="Arial" w:hAnsi="Arial"/>
                <w:sz w:val="11"/>
                <w:szCs w:val="11"/>
                <w:color w:val="auto"/>
              </w:rPr>
              <w:t>(216)</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475-5300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9258 HUNTINGTON BANK</w:t>
            </w:r>
          </w:p>
        </w:tc>
        <w:tc>
          <w:tcPr>
            <w:tcW w:w="2040" w:type="dxa"/>
            <w:vAlign w:val="bottom"/>
          </w:tcPr>
          <w:p>
            <w:pPr>
              <w:ind w:left="80"/>
              <w:spacing w:after="0"/>
              <w:rPr>
                <w:sz w:val="20"/>
                <w:szCs w:val="20"/>
                <w:color w:val="auto"/>
              </w:rPr>
            </w:pPr>
            <w:r>
              <w:rPr>
                <w:rFonts w:ascii="Arial" w:cs="Arial" w:eastAsia="Arial" w:hAnsi="Arial"/>
                <w:sz w:val="11"/>
                <w:szCs w:val="11"/>
                <w:color w:val="auto"/>
              </w:rPr>
              <w:t>4105 TALMADGE ROAD</w:t>
            </w:r>
          </w:p>
        </w:tc>
        <w:tc>
          <w:tcPr>
            <w:tcW w:w="1000" w:type="dxa"/>
            <w:vAlign w:val="bottom"/>
          </w:tcPr>
          <w:p>
            <w:pPr>
              <w:ind w:left="20"/>
              <w:spacing w:after="0"/>
              <w:rPr>
                <w:sz w:val="20"/>
                <w:szCs w:val="20"/>
                <w:color w:val="auto"/>
              </w:rPr>
            </w:pPr>
            <w:r>
              <w:rPr>
                <w:rFonts w:ascii="Arial" w:cs="Arial" w:eastAsia="Arial" w:hAnsi="Arial"/>
                <w:sz w:val="11"/>
                <w:szCs w:val="11"/>
                <w:color w:val="auto"/>
              </w:rPr>
              <w:t>TOLEDO</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OH 43623</w:t>
            </w:r>
          </w:p>
        </w:tc>
        <w:tc>
          <w:tcPr>
            <w:tcW w:w="380" w:type="dxa"/>
            <w:vAlign w:val="bottom"/>
          </w:tcPr>
          <w:p>
            <w:pPr>
              <w:jc w:val="right"/>
              <w:spacing w:after="0"/>
              <w:rPr>
                <w:sz w:val="20"/>
                <w:szCs w:val="20"/>
                <w:color w:val="auto"/>
              </w:rPr>
            </w:pPr>
            <w:r>
              <w:rPr>
                <w:rFonts w:ascii="Arial" w:cs="Arial" w:eastAsia="Arial" w:hAnsi="Arial"/>
                <w:sz w:val="11"/>
                <w:szCs w:val="11"/>
                <w:color w:val="auto"/>
              </w:rPr>
              <w:t>(419)</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254-7052 ***</w:t>
            </w:r>
          </w:p>
        </w:tc>
      </w:tr>
      <w:tr>
        <w:trPr>
          <w:trHeight w:val="282"/>
        </w:trPr>
        <w:tc>
          <w:tcPr>
            <w:tcW w:w="3720" w:type="dxa"/>
            <w:vAlign w:val="bottom"/>
            <w:gridSpan w:val="2"/>
          </w:tcPr>
          <w:p>
            <w:pPr>
              <w:spacing w:after="0"/>
              <w:rPr>
                <w:sz w:val="20"/>
                <w:szCs w:val="20"/>
                <w:color w:val="auto"/>
              </w:rPr>
            </w:pPr>
            <w:r>
              <w:rPr>
                <w:rFonts w:ascii="Arial" w:cs="Arial" w:eastAsia="Arial" w:hAnsi="Arial"/>
                <w:sz w:val="11"/>
                <w:szCs w:val="11"/>
                <w:color w:val="auto"/>
              </w:rPr>
              <w:t>9260 NORTHWEST SAVINGS BANK 8 MILLCREEK SQUARE</w:t>
            </w:r>
          </w:p>
        </w:tc>
        <w:tc>
          <w:tcPr>
            <w:tcW w:w="1000" w:type="dxa"/>
            <w:vAlign w:val="bottom"/>
          </w:tcPr>
          <w:p>
            <w:pPr>
              <w:ind w:left="20"/>
              <w:spacing w:after="0"/>
              <w:rPr>
                <w:sz w:val="20"/>
                <w:szCs w:val="20"/>
                <w:color w:val="auto"/>
              </w:rPr>
            </w:pPr>
            <w:r>
              <w:rPr>
                <w:rFonts w:ascii="Arial" w:cs="Arial" w:eastAsia="Arial" w:hAnsi="Arial"/>
                <w:sz w:val="11"/>
                <w:szCs w:val="11"/>
                <w:color w:val="auto"/>
              </w:rPr>
              <w:t>ERIE</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16509</w:t>
            </w:r>
          </w:p>
        </w:tc>
        <w:tc>
          <w:tcPr>
            <w:tcW w:w="380" w:type="dxa"/>
            <w:vAlign w:val="bottom"/>
          </w:tcPr>
          <w:p>
            <w:pPr>
              <w:jc w:val="right"/>
              <w:spacing w:after="0"/>
              <w:rPr>
                <w:sz w:val="20"/>
                <w:szCs w:val="20"/>
                <w:color w:val="auto"/>
              </w:rPr>
            </w:pPr>
            <w:r>
              <w:rPr>
                <w:rFonts w:ascii="Arial" w:cs="Arial" w:eastAsia="Arial" w:hAnsi="Arial"/>
                <w:sz w:val="11"/>
                <w:szCs w:val="11"/>
                <w:color w:val="auto"/>
              </w:rPr>
              <w:t>(814)</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866-3900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9270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2404 EAST OAKLAND AVENUE</w:t>
            </w:r>
          </w:p>
        </w:tc>
        <w:tc>
          <w:tcPr>
            <w:tcW w:w="1000" w:type="dxa"/>
            <w:vAlign w:val="bottom"/>
          </w:tcPr>
          <w:p>
            <w:pPr>
              <w:ind w:left="20"/>
              <w:spacing w:after="0"/>
              <w:rPr>
                <w:sz w:val="20"/>
                <w:szCs w:val="20"/>
                <w:color w:val="auto"/>
              </w:rPr>
            </w:pPr>
            <w:r>
              <w:rPr>
                <w:rFonts w:ascii="Arial" w:cs="Arial" w:eastAsia="Arial" w:hAnsi="Arial"/>
                <w:sz w:val="11"/>
                <w:szCs w:val="11"/>
                <w:color w:val="auto"/>
              </w:rPr>
              <w:t>BLOOMINGTON</w:t>
            </w:r>
          </w:p>
        </w:tc>
        <w:tc>
          <w:tcPr>
            <w:tcW w:w="200" w:type="dxa"/>
            <w:vAlign w:val="bottom"/>
          </w:tcPr>
          <w:p>
            <w:pPr>
              <w:ind w:left="40"/>
              <w:spacing w:after="0"/>
              <w:rPr>
                <w:sz w:val="20"/>
                <w:szCs w:val="20"/>
                <w:color w:val="auto"/>
              </w:rPr>
            </w:pPr>
            <w:r>
              <w:rPr>
                <w:rFonts w:ascii="Arial" w:cs="Arial" w:eastAsia="Arial" w:hAnsi="Arial"/>
                <w:sz w:val="11"/>
                <w:szCs w:val="11"/>
                <w:color w:val="auto"/>
              </w:rPr>
              <w:t>IL</w:t>
            </w:r>
          </w:p>
        </w:tc>
        <w:tc>
          <w:tcPr>
            <w:tcW w:w="440" w:type="dxa"/>
            <w:vAlign w:val="bottom"/>
          </w:tcPr>
          <w:p>
            <w:pPr>
              <w:ind w:left="20"/>
              <w:spacing w:after="0"/>
              <w:rPr>
                <w:sz w:val="20"/>
                <w:szCs w:val="20"/>
                <w:color w:val="auto"/>
              </w:rPr>
            </w:pPr>
            <w:r>
              <w:rPr>
                <w:rFonts w:ascii="Arial" w:cs="Arial" w:eastAsia="Arial" w:hAnsi="Arial"/>
                <w:sz w:val="11"/>
                <w:szCs w:val="11"/>
                <w:color w:val="auto"/>
              </w:rPr>
              <w:t>61701</w:t>
            </w:r>
          </w:p>
        </w:tc>
        <w:tc>
          <w:tcPr>
            <w:tcW w:w="380" w:type="dxa"/>
            <w:vAlign w:val="bottom"/>
          </w:tcPr>
          <w:p>
            <w:pPr>
              <w:jc w:val="right"/>
              <w:spacing w:after="0"/>
              <w:rPr>
                <w:sz w:val="20"/>
                <w:szCs w:val="20"/>
                <w:color w:val="auto"/>
              </w:rPr>
            </w:pPr>
            <w:r>
              <w:rPr>
                <w:rFonts w:ascii="Arial" w:cs="Arial" w:eastAsia="Arial" w:hAnsi="Arial"/>
                <w:sz w:val="11"/>
                <w:szCs w:val="11"/>
                <w:color w:val="auto"/>
              </w:rPr>
              <w:t>(309)</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433-9151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9271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202 FOREST BLVD</w:t>
            </w:r>
          </w:p>
        </w:tc>
        <w:tc>
          <w:tcPr>
            <w:tcW w:w="1000" w:type="dxa"/>
            <w:vAlign w:val="bottom"/>
          </w:tcPr>
          <w:p>
            <w:pPr>
              <w:ind w:left="20"/>
              <w:spacing w:after="0"/>
              <w:rPr>
                <w:sz w:val="20"/>
                <w:szCs w:val="20"/>
                <w:color w:val="auto"/>
              </w:rPr>
            </w:pPr>
            <w:r>
              <w:rPr>
                <w:rFonts w:ascii="Arial" w:cs="Arial" w:eastAsia="Arial" w:hAnsi="Arial"/>
                <w:sz w:val="11"/>
                <w:szCs w:val="11"/>
                <w:color w:val="auto"/>
              </w:rPr>
              <w:t>PARK FOREST</w:t>
            </w:r>
          </w:p>
        </w:tc>
        <w:tc>
          <w:tcPr>
            <w:tcW w:w="200" w:type="dxa"/>
            <w:vAlign w:val="bottom"/>
          </w:tcPr>
          <w:p>
            <w:pPr>
              <w:ind w:left="40"/>
              <w:spacing w:after="0"/>
              <w:rPr>
                <w:sz w:val="20"/>
                <w:szCs w:val="20"/>
                <w:color w:val="auto"/>
              </w:rPr>
            </w:pPr>
            <w:r>
              <w:rPr>
                <w:rFonts w:ascii="Arial" w:cs="Arial" w:eastAsia="Arial" w:hAnsi="Arial"/>
                <w:sz w:val="11"/>
                <w:szCs w:val="11"/>
                <w:color w:val="auto"/>
              </w:rPr>
              <w:t>IL</w:t>
            </w:r>
          </w:p>
        </w:tc>
        <w:tc>
          <w:tcPr>
            <w:tcW w:w="440" w:type="dxa"/>
            <w:vAlign w:val="bottom"/>
          </w:tcPr>
          <w:p>
            <w:pPr>
              <w:ind w:left="20"/>
              <w:spacing w:after="0"/>
              <w:rPr>
                <w:sz w:val="20"/>
                <w:szCs w:val="20"/>
                <w:color w:val="auto"/>
              </w:rPr>
            </w:pPr>
            <w:r>
              <w:rPr>
                <w:rFonts w:ascii="Arial" w:cs="Arial" w:eastAsia="Arial" w:hAnsi="Arial"/>
                <w:sz w:val="11"/>
                <w:szCs w:val="11"/>
                <w:color w:val="auto"/>
              </w:rPr>
              <w:t>60466</w:t>
            </w:r>
          </w:p>
        </w:tc>
        <w:tc>
          <w:tcPr>
            <w:tcW w:w="380" w:type="dxa"/>
            <w:vAlign w:val="bottom"/>
          </w:tcPr>
          <w:p>
            <w:pPr>
              <w:jc w:val="right"/>
              <w:spacing w:after="0"/>
              <w:rPr>
                <w:sz w:val="20"/>
                <w:szCs w:val="20"/>
                <w:color w:val="auto"/>
              </w:rPr>
            </w:pPr>
            <w:r>
              <w:rPr>
                <w:rFonts w:ascii="Arial" w:cs="Arial" w:eastAsia="Arial" w:hAnsi="Arial"/>
                <w:sz w:val="11"/>
                <w:szCs w:val="11"/>
                <w:color w:val="auto"/>
              </w:rPr>
              <w:t>(708)</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747-2400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9272 TD BANK</w:t>
            </w:r>
          </w:p>
        </w:tc>
        <w:tc>
          <w:tcPr>
            <w:tcW w:w="2040" w:type="dxa"/>
            <w:vAlign w:val="bottom"/>
          </w:tcPr>
          <w:p>
            <w:pPr>
              <w:ind w:left="80"/>
              <w:spacing w:after="0"/>
              <w:rPr>
                <w:sz w:val="20"/>
                <w:szCs w:val="20"/>
                <w:color w:val="auto"/>
              </w:rPr>
            </w:pPr>
            <w:r>
              <w:rPr>
                <w:rFonts w:ascii="Arial" w:cs="Arial" w:eastAsia="Arial" w:hAnsi="Arial"/>
                <w:sz w:val="11"/>
                <w:szCs w:val="11"/>
                <w:color w:val="auto"/>
              </w:rPr>
              <w:t>30 STATE ROAD</w:t>
            </w:r>
          </w:p>
        </w:tc>
        <w:tc>
          <w:tcPr>
            <w:tcW w:w="1000" w:type="dxa"/>
            <w:vAlign w:val="bottom"/>
          </w:tcPr>
          <w:p>
            <w:pPr>
              <w:ind w:left="20"/>
              <w:spacing w:after="0"/>
              <w:rPr>
                <w:sz w:val="20"/>
                <w:szCs w:val="20"/>
                <w:color w:val="auto"/>
              </w:rPr>
            </w:pPr>
            <w:r>
              <w:rPr>
                <w:rFonts w:ascii="Arial" w:cs="Arial" w:eastAsia="Arial" w:hAnsi="Arial"/>
                <w:sz w:val="11"/>
                <w:szCs w:val="11"/>
                <w:color w:val="auto"/>
              </w:rPr>
              <w:t>KITTERY</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ME 03904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207 - 439-2066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9273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1935 BRETON ROAD SOUTHEAST</w:t>
            </w:r>
          </w:p>
        </w:tc>
        <w:tc>
          <w:tcPr>
            <w:tcW w:w="1000" w:type="dxa"/>
            <w:vAlign w:val="bottom"/>
          </w:tcPr>
          <w:p>
            <w:pPr>
              <w:ind w:left="20"/>
              <w:spacing w:after="0"/>
              <w:rPr>
                <w:sz w:val="20"/>
                <w:szCs w:val="20"/>
                <w:color w:val="auto"/>
              </w:rPr>
            </w:pPr>
            <w:r>
              <w:rPr>
                <w:rFonts w:ascii="Arial" w:cs="Arial" w:eastAsia="Arial" w:hAnsi="Arial"/>
                <w:sz w:val="11"/>
                <w:szCs w:val="11"/>
                <w:color w:val="auto"/>
              </w:rPr>
              <w:t>GRAND RAPIDS</w:t>
            </w:r>
          </w:p>
        </w:tc>
        <w:tc>
          <w:tcPr>
            <w:tcW w:w="200" w:type="dxa"/>
            <w:vAlign w:val="bottom"/>
          </w:tcPr>
          <w:p>
            <w:pPr>
              <w:ind w:left="40"/>
              <w:spacing w:after="0"/>
              <w:rPr>
                <w:sz w:val="20"/>
                <w:szCs w:val="20"/>
                <w:color w:val="auto"/>
              </w:rPr>
            </w:pPr>
            <w:r>
              <w:rPr>
                <w:rFonts w:ascii="Arial" w:cs="Arial" w:eastAsia="Arial" w:hAnsi="Arial"/>
                <w:sz w:val="11"/>
                <w:szCs w:val="11"/>
                <w:color w:val="auto"/>
              </w:rPr>
              <w:t>MI</w:t>
            </w:r>
          </w:p>
        </w:tc>
        <w:tc>
          <w:tcPr>
            <w:tcW w:w="440" w:type="dxa"/>
            <w:vAlign w:val="bottom"/>
          </w:tcPr>
          <w:p>
            <w:pPr>
              <w:ind w:left="20"/>
              <w:spacing w:after="0"/>
              <w:rPr>
                <w:sz w:val="20"/>
                <w:szCs w:val="20"/>
                <w:color w:val="auto"/>
              </w:rPr>
            </w:pPr>
            <w:r>
              <w:rPr>
                <w:rFonts w:ascii="Arial" w:cs="Arial" w:eastAsia="Arial" w:hAnsi="Arial"/>
                <w:sz w:val="11"/>
                <w:szCs w:val="11"/>
                <w:color w:val="auto"/>
              </w:rPr>
              <w:t>49506</w:t>
            </w:r>
          </w:p>
        </w:tc>
        <w:tc>
          <w:tcPr>
            <w:tcW w:w="380" w:type="dxa"/>
            <w:vAlign w:val="bottom"/>
          </w:tcPr>
          <w:p>
            <w:pPr>
              <w:jc w:val="right"/>
              <w:spacing w:after="0"/>
              <w:rPr>
                <w:sz w:val="20"/>
                <w:szCs w:val="20"/>
                <w:color w:val="auto"/>
              </w:rPr>
            </w:pPr>
            <w:r>
              <w:rPr>
                <w:rFonts w:ascii="Arial" w:cs="Arial" w:eastAsia="Arial" w:hAnsi="Arial"/>
                <w:sz w:val="11"/>
                <w:szCs w:val="11"/>
                <w:color w:val="auto"/>
              </w:rPr>
              <w:t>(616)</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771-7025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9274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1 EAST OLD STATE CAPITOL PLAZA</w:t>
            </w:r>
          </w:p>
        </w:tc>
        <w:tc>
          <w:tcPr>
            <w:tcW w:w="1000" w:type="dxa"/>
            <w:vAlign w:val="bottom"/>
          </w:tcPr>
          <w:p>
            <w:pPr>
              <w:ind w:left="20"/>
              <w:spacing w:after="0"/>
              <w:rPr>
                <w:sz w:val="20"/>
                <w:szCs w:val="20"/>
                <w:color w:val="auto"/>
              </w:rPr>
            </w:pPr>
            <w:r>
              <w:rPr>
                <w:rFonts w:ascii="Arial" w:cs="Arial" w:eastAsia="Arial" w:hAnsi="Arial"/>
                <w:sz w:val="11"/>
                <w:szCs w:val="11"/>
                <w:color w:val="auto"/>
              </w:rPr>
              <w:t>SPRINGFIELD</w:t>
            </w:r>
          </w:p>
        </w:tc>
        <w:tc>
          <w:tcPr>
            <w:tcW w:w="200" w:type="dxa"/>
            <w:vAlign w:val="bottom"/>
          </w:tcPr>
          <w:p>
            <w:pPr>
              <w:ind w:left="40"/>
              <w:spacing w:after="0"/>
              <w:rPr>
                <w:sz w:val="20"/>
                <w:szCs w:val="20"/>
                <w:color w:val="auto"/>
              </w:rPr>
            </w:pPr>
            <w:r>
              <w:rPr>
                <w:rFonts w:ascii="Arial" w:cs="Arial" w:eastAsia="Arial" w:hAnsi="Arial"/>
                <w:sz w:val="11"/>
                <w:szCs w:val="11"/>
                <w:color w:val="auto"/>
              </w:rPr>
              <w:t>IL</w:t>
            </w:r>
          </w:p>
        </w:tc>
        <w:tc>
          <w:tcPr>
            <w:tcW w:w="440" w:type="dxa"/>
            <w:vAlign w:val="bottom"/>
          </w:tcPr>
          <w:p>
            <w:pPr>
              <w:ind w:left="20"/>
              <w:spacing w:after="0"/>
              <w:rPr>
                <w:sz w:val="20"/>
                <w:szCs w:val="20"/>
                <w:color w:val="auto"/>
              </w:rPr>
            </w:pPr>
            <w:r>
              <w:rPr>
                <w:rFonts w:ascii="Arial" w:cs="Arial" w:eastAsia="Arial" w:hAnsi="Arial"/>
                <w:sz w:val="11"/>
                <w:szCs w:val="11"/>
                <w:color w:val="auto"/>
              </w:rPr>
              <w:t>62701</w:t>
            </w:r>
          </w:p>
        </w:tc>
        <w:tc>
          <w:tcPr>
            <w:tcW w:w="380" w:type="dxa"/>
            <w:vAlign w:val="bottom"/>
          </w:tcPr>
          <w:p>
            <w:pPr>
              <w:jc w:val="right"/>
              <w:spacing w:after="0"/>
              <w:rPr>
                <w:sz w:val="20"/>
                <w:szCs w:val="20"/>
                <w:color w:val="auto"/>
              </w:rPr>
            </w:pPr>
            <w:r>
              <w:rPr>
                <w:rFonts w:ascii="Arial" w:cs="Arial" w:eastAsia="Arial" w:hAnsi="Arial"/>
                <w:sz w:val="11"/>
                <w:szCs w:val="11"/>
                <w:color w:val="auto"/>
              </w:rPr>
              <w:t>(217)</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525-9600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9280 FIRST NAT'L BANK OF PA</w:t>
            </w:r>
          </w:p>
        </w:tc>
        <w:tc>
          <w:tcPr>
            <w:tcW w:w="2040" w:type="dxa"/>
            <w:vAlign w:val="bottom"/>
          </w:tcPr>
          <w:p>
            <w:pPr>
              <w:ind w:left="80"/>
              <w:spacing w:after="0"/>
              <w:rPr>
                <w:sz w:val="20"/>
                <w:szCs w:val="20"/>
                <w:color w:val="auto"/>
              </w:rPr>
            </w:pPr>
            <w:r>
              <w:rPr>
                <w:rFonts w:ascii="Arial" w:cs="Arial" w:eastAsia="Arial" w:hAnsi="Arial"/>
                <w:sz w:val="11"/>
                <w:szCs w:val="11"/>
                <w:color w:val="auto"/>
              </w:rPr>
              <w:t>4885 MCKNIGHT RD</w:t>
            </w:r>
          </w:p>
        </w:tc>
        <w:tc>
          <w:tcPr>
            <w:tcW w:w="1000" w:type="dxa"/>
            <w:vAlign w:val="bottom"/>
          </w:tcPr>
          <w:p>
            <w:pPr>
              <w:ind w:left="20"/>
              <w:spacing w:after="0"/>
              <w:rPr>
                <w:sz w:val="20"/>
                <w:szCs w:val="20"/>
                <w:color w:val="auto"/>
              </w:rPr>
            </w:pPr>
            <w:r>
              <w:rPr>
                <w:rFonts w:ascii="Arial" w:cs="Arial" w:eastAsia="Arial" w:hAnsi="Arial"/>
                <w:sz w:val="11"/>
                <w:szCs w:val="11"/>
                <w:color w:val="auto"/>
              </w:rPr>
              <w:t>PITTSBURG</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15237</w:t>
            </w:r>
          </w:p>
        </w:tc>
        <w:tc>
          <w:tcPr>
            <w:tcW w:w="380" w:type="dxa"/>
            <w:vAlign w:val="bottom"/>
          </w:tcPr>
          <w:p>
            <w:pPr>
              <w:jc w:val="right"/>
              <w:spacing w:after="0"/>
              <w:rPr>
                <w:sz w:val="20"/>
                <w:szCs w:val="20"/>
                <w:color w:val="auto"/>
              </w:rPr>
            </w:pPr>
            <w:r>
              <w:rPr>
                <w:rFonts w:ascii="Arial" w:cs="Arial" w:eastAsia="Arial" w:hAnsi="Arial"/>
                <w:sz w:val="11"/>
                <w:szCs w:val="11"/>
                <w:color w:val="auto"/>
              </w:rPr>
              <w:t>(412)</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366-7700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9286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1699 Whitney Ave</w:t>
            </w:r>
          </w:p>
        </w:tc>
        <w:tc>
          <w:tcPr>
            <w:tcW w:w="1000" w:type="dxa"/>
            <w:vAlign w:val="bottom"/>
          </w:tcPr>
          <w:p>
            <w:pPr>
              <w:ind w:left="20"/>
              <w:spacing w:after="0"/>
              <w:rPr>
                <w:sz w:val="20"/>
                <w:szCs w:val="20"/>
                <w:color w:val="auto"/>
              </w:rPr>
            </w:pPr>
            <w:r>
              <w:rPr>
                <w:rFonts w:ascii="Arial" w:cs="Arial" w:eastAsia="Arial" w:hAnsi="Arial"/>
                <w:sz w:val="11"/>
                <w:szCs w:val="11"/>
                <w:color w:val="auto"/>
              </w:rPr>
              <w:t>Hamden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CT 06517</w:t>
            </w:r>
          </w:p>
        </w:tc>
        <w:tc>
          <w:tcPr>
            <w:tcW w:w="380" w:type="dxa"/>
            <w:vAlign w:val="bottom"/>
          </w:tcPr>
          <w:p>
            <w:pPr>
              <w:jc w:val="right"/>
              <w:spacing w:after="0"/>
              <w:rPr>
                <w:sz w:val="20"/>
                <w:szCs w:val="20"/>
                <w:color w:val="auto"/>
              </w:rPr>
            </w:pPr>
            <w:r>
              <w:rPr>
                <w:rFonts w:ascii="Arial" w:cs="Arial" w:eastAsia="Arial" w:hAnsi="Arial"/>
                <w:sz w:val="11"/>
                <w:szCs w:val="11"/>
                <w:color w:val="auto"/>
              </w:rPr>
              <w:t>(800)</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841-4000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9292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1469 Route 9</w:t>
            </w:r>
          </w:p>
        </w:tc>
        <w:tc>
          <w:tcPr>
            <w:tcW w:w="1000" w:type="dxa"/>
            <w:vAlign w:val="bottom"/>
          </w:tcPr>
          <w:p>
            <w:pPr>
              <w:ind w:left="20"/>
              <w:spacing w:after="0"/>
              <w:rPr>
                <w:sz w:val="20"/>
                <w:szCs w:val="20"/>
                <w:color w:val="auto"/>
              </w:rPr>
            </w:pPr>
            <w:r>
              <w:rPr>
                <w:rFonts w:ascii="Arial" w:cs="Arial" w:eastAsia="Arial" w:hAnsi="Arial"/>
                <w:sz w:val="11"/>
                <w:szCs w:val="11"/>
                <w:color w:val="auto"/>
              </w:rPr>
              <w:t>Wappingers Falls</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NY 12590</w:t>
            </w:r>
          </w:p>
        </w:tc>
        <w:tc>
          <w:tcPr>
            <w:tcW w:w="380" w:type="dxa"/>
            <w:vAlign w:val="bottom"/>
          </w:tcPr>
          <w:p>
            <w:pPr>
              <w:jc w:val="right"/>
              <w:spacing w:after="0"/>
              <w:rPr>
                <w:sz w:val="20"/>
                <w:szCs w:val="20"/>
                <w:color w:val="auto"/>
              </w:rPr>
            </w:pPr>
            <w:r>
              <w:rPr>
                <w:rFonts w:ascii="Arial" w:cs="Arial" w:eastAsia="Arial" w:hAnsi="Arial"/>
                <w:sz w:val="11"/>
                <w:szCs w:val="11"/>
                <w:color w:val="auto"/>
              </w:rPr>
              <w:t>(800)</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841-4000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9302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1123 SOUTH UNIVERSITY</w:t>
            </w:r>
          </w:p>
        </w:tc>
        <w:tc>
          <w:tcPr>
            <w:tcW w:w="1000" w:type="dxa"/>
            <w:vAlign w:val="bottom"/>
          </w:tcPr>
          <w:p>
            <w:pPr>
              <w:ind w:left="20"/>
              <w:spacing w:after="0"/>
              <w:rPr>
                <w:sz w:val="20"/>
                <w:szCs w:val="20"/>
                <w:color w:val="auto"/>
              </w:rPr>
            </w:pPr>
            <w:r>
              <w:rPr>
                <w:rFonts w:ascii="Arial" w:cs="Arial" w:eastAsia="Arial" w:hAnsi="Arial"/>
                <w:sz w:val="11"/>
                <w:szCs w:val="11"/>
                <w:color w:val="auto"/>
              </w:rPr>
              <w:t>LITTLE ROCK</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AR 72205</w:t>
            </w:r>
          </w:p>
        </w:tc>
        <w:tc>
          <w:tcPr>
            <w:tcW w:w="380" w:type="dxa"/>
            <w:vAlign w:val="bottom"/>
          </w:tcPr>
          <w:p>
            <w:pPr>
              <w:jc w:val="right"/>
              <w:spacing w:after="0"/>
              <w:rPr>
                <w:sz w:val="20"/>
                <w:szCs w:val="20"/>
                <w:color w:val="auto"/>
              </w:rPr>
            </w:pPr>
            <w:r>
              <w:rPr>
                <w:rFonts w:ascii="Arial" w:cs="Arial" w:eastAsia="Arial" w:hAnsi="Arial"/>
                <w:sz w:val="11"/>
                <w:szCs w:val="11"/>
                <w:color w:val="auto"/>
              </w:rPr>
              <w:t>(501)</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664-3613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9304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2109 WEST CENTRE</w:t>
            </w:r>
          </w:p>
        </w:tc>
        <w:tc>
          <w:tcPr>
            <w:tcW w:w="1000" w:type="dxa"/>
            <w:vAlign w:val="bottom"/>
          </w:tcPr>
          <w:p>
            <w:pPr>
              <w:ind w:left="20"/>
              <w:spacing w:after="0"/>
              <w:rPr>
                <w:sz w:val="20"/>
                <w:szCs w:val="20"/>
                <w:color w:val="auto"/>
              </w:rPr>
            </w:pPr>
            <w:r>
              <w:rPr>
                <w:rFonts w:ascii="Arial" w:cs="Arial" w:eastAsia="Arial" w:hAnsi="Arial"/>
                <w:sz w:val="11"/>
                <w:szCs w:val="11"/>
                <w:color w:val="auto"/>
              </w:rPr>
              <w:t>PORTAGE</w:t>
            </w:r>
          </w:p>
        </w:tc>
        <w:tc>
          <w:tcPr>
            <w:tcW w:w="200" w:type="dxa"/>
            <w:vAlign w:val="bottom"/>
          </w:tcPr>
          <w:p>
            <w:pPr>
              <w:ind w:left="40"/>
              <w:spacing w:after="0"/>
              <w:rPr>
                <w:sz w:val="20"/>
                <w:szCs w:val="20"/>
                <w:color w:val="auto"/>
              </w:rPr>
            </w:pPr>
            <w:r>
              <w:rPr>
                <w:rFonts w:ascii="Arial" w:cs="Arial" w:eastAsia="Arial" w:hAnsi="Arial"/>
                <w:sz w:val="11"/>
                <w:szCs w:val="11"/>
                <w:color w:val="auto"/>
              </w:rPr>
              <w:t>MI</w:t>
            </w:r>
          </w:p>
        </w:tc>
        <w:tc>
          <w:tcPr>
            <w:tcW w:w="440" w:type="dxa"/>
            <w:vAlign w:val="bottom"/>
          </w:tcPr>
          <w:p>
            <w:pPr>
              <w:ind w:left="20"/>
              <w:spacing w:after="0"/>
              <w:rPr>
                <w:sz w:val="20"/>
                <w:szCs w:val="20"/>
                <w:color w:val="auto"/>
              </w:rPr>
            </w:pPr>
            <w:r>
              <w:rPr>
                <w:rFonts w:ascii="Arial" w:cs="Arial" w:eastAsia="Arial" w:hAnsi="Arial"/>
                <w:sz w:val="11"/>
                <w:szCs w:val="11"/>
                <w:color w:val="auto"/>
              </w:rPr>
              <w:t>49002</w:t>
            </w:r>
          </w:p>
        </w:tc>
        <w:tc>
          <w:tcPr>
            <w:tcW w:w="380" w:type="dxa"/>
            <w:vAlign w:val="bottom"/>
          </w:tcPr>
          <w:p>
            <w:pPr>
              <w:jc w:val="right"/>
              <w:spacing w:after="0"/>
              <w:rPr>
                <w:sz w:val="20"/>
                <w:szCs w:val="20"/>
                <w:color w:val="auto"/>
              </w:rPr>
            </w:pPr>
            <w:r>
              <w:rPr>
                <w:rFonts w:ascii="Arial" w:cs="Arial" w:eastAsia="Arial" w:hAnsi="Arial"/>
                <w:sz w:val="11"/>
                <w:szCs w:val="11"/>
                <w:color w:val="auto"/>
              </w:rPr>
              <w:t>(269)</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323-0381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9306 M &amp; T BANK</w:t>
            </w:r>
          </w:p>
        </w:tc>
        <w:tc>
          <w:tcPr>
            <w:tcW w:w="2040" w:type="dxa"/>
            <w:vAlign w:val="bottom"/>
          </w:tcPr>
          <w:p>
            <w:pPr>
              <w:ind w:left="80"/>
              <w:spacing w:after="0"/>
              <w:rPr>
                <w:sz w:val="20"/>
                <w:szCs w:val="20"/>
                <w:color w:val="auto"/>
              </w:rPr>
            </w:pPr>
            <w:r>
              <w:rPr>
                <w:rFonts w:ascii="Arial" w:cs="Arial" w:eastAsia="Arial" w:hAnsi="Arial"/>
                <w:sz w:val="11"/>
                <w:szCs w:val="11"/>
                <w:color w:val="auto"/>
              </w:rPr>
              <w:t>811 KIDDER STREET</w:t>
            </w:r>
          </w:p>
        </w:tc>
        <w:tc>
          <w:tcPr>
            <w:tcW w:w="1000" w:type="dxa"/>
            <w:vAlign w:val="bottom"/>
          </w:tcPr>
          <w:p>
            <w:pPr>
              <w:ind w:left="20"/>
              <w:spacing w:after="0"/>
              <w:rPr>
                <w:sz w:val="20"/>
                <w:szCs w:val="20"/>
                <w:color w:val="auto"/>
              </w:rPr>
            </w:pPr>
            <w:r>
              <w:rPr>
                <w:rFonts w:ascii="Arial" w:cs="Arial" w:eastAsia="Arial" w:hAnsi="Arial"/>
                <w:sz w:val="11"/>
                <w:szCs w:val="11"/>
                <w:color w:val="auto"/>
              </w:rPr>
              <w:t>WILKES-BARRE</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18702</w:t>
            </w:r>
          </w:p>
        </w:tc>
        <w:tc>
          <w:tcPr>
            <w:tcW w:w="380" w:type="dxa"/>
            <w:vAlign w:val="bottom"/>
          </w:tcPr>
          <w:p>
            <w:pPr>
              <w:jc w:val="right"/>
              <w:spacing w:after="0"/>
              <w:rPr>
                <w:sz w:val="20"/>
                <w:szCs w:val="20"/>
                <w:color w:val="auto"/>
              </w:rPr>
            </w:pPr>
            <w:r>
              <w:rPr>
                <w:rFonts w:ascii="Arial" w:cs="Arial" w:eastAsia="Arial" w:hAnsi="Arial"/>
                <w:sz w:val="11"/>
                <w:szCs w:val="11"/>
                <w:color w:val="auto"/>
              </w:rPr>
              <w:t>(570)</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824-5915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9309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3400 WESTOWN PARKWAY</w:t>
            </w:r>
          </w:p>
        </w:tc>
        <w:tc>
          <w:tcPr>
            <w:tcW w:w="1000" w:type="dxa"/>
            <w:vAlign w:val="bottom"/>
          </w:tcPr>
          <w:p>
            <w:pPr>
              <w:ind w:left="20"/>
              <w:spacing w:after="0"/>
              <w:rPr>
                <w:sz w:val="20"/>
                <w:szCs w:val="20"/>
                <w:color w:val="auto"/>
              </w:rPr>
            </w:pPr>
            <w:r>
              <w:rPr>
                <w:rFonts w:ascii="Arial" w:cs="Arial" w:eastAsia="Arial" w:hAnsi="Arial"/>
                <w:sz w:val="11"/>
                <w:szCs w:val="11"/>
                <w:color w:val="auto"/>
                <w:w w:val="92"/>
              </w:rPr>
              <w:t>WEST DES MOINES</w:t>
            </w:r>
          </w:p>
        </w:tc>
        <w:tc>
          <w:tcPr>
            <w:tcW w:w="200" w:type="dxa"/>
            <w:vAlign w:val="bottom"/>
          </w:tcPr>
          <w:p>
            <w:pPr>
              <w:ind w:left="40"/>
              <w:spacing w:after="0"/>
              <w:rPr>
                <w:sz w:val="20"/>
                <w:szCs w:val="20"/>
                <w:color w:val="auto"/>
              </w:rPr>
            </w:pPr>
            <w:r>
              <w:rPr>
                <w:rFonts w:ascii="Arial" w:cs="Arial" w:eastAsia="Arial" w:hAnsi="Arial"/>
                <w:sz w:val="11"/>
                <w:szCs w:val="11"/>
                <w:color w:val="auto"/>
              </w:rPr>
              <w:t>IA</w:t>
            </w:r>
          </w:p>
        </w:tc>
        <w:tc>
          <w:tcPr>
            <w:tcW w:w="440" w:type="dxa"/>
            <w:vAlign w:val="bottom"/>
          </w:tcPr>
          <w:p>
            <w:pPr>
              <w:ind w:left="20"/>
              <w:spacing w:after="0"/>
              <w:rPr>
                <w:sz w:val="20"/>
                <w:szCs w:val="20"/>
                <w:color w:val="auto"/>
              </w:rPr>
            </w:pPr>
            <w:r>
              <w:rPr>
                <w:rFonts w:ascii="Arial" w:cs="Arial" w:eastAsia="Arial" w:hAnsi="Arial"/>
                <w:sz w:val="11"/>
                <w:szCs w:val="11"/>
                <w:color w:val="auto"/>
              </w:rPr>
              <w:t>50266</w:t>
            </w:r>
          </w:p>
        </w:tc>
        <w:tc>
          <w:tcPr>
            <w:tcW w:w="380" w:type="dxa"/>
            <w:vAlign w:val="bottom"/>
          </w:tcPr>
          <w:p>
            <w:pPr>
              <w:jc w:val="right"/>
              <w:spacing w:after="0"/>
              <w:rPr>
                <w:sz w:val="20"/>
                <w:szCs w:val="20"/>
                <w:color w:val="auto"/>
              </w:rPr>
            </w:pPr>
            <w:r>
              <w:rPr>
                <w:rFonts w:ascii="Arial" w:cs="Arial" w:eastAsia="Arial" w:hAnsi="Arial"/>
                <w:sz w:val="11"/>
                <w:szCs w:val="11"/>
                <w:color w:val="auto"/>
              </w:rPr>
              <w:t>(515)</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224-0615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9311 PNC BANK</w:t>
            </w:r>
          </w:p>
        </w:tc>
        <w:tc>
          <w:tcPr>
            <w:tcW w:w="2040" w:type="dxa"/>
            <w:vAlign w:val="bottom"/>
          </w:tcPr>
          <w:p>
            <w:pPr>
              <w:ind w:left="80"/>
              <w:spacing w:after="0"/>
              <w:rPr>
                <w:sz w:val="20"/>
                <w:szCs w:val="20"/>
                <w:color w:val="auto"/>
              </w:rPr>
            </w:pPr>
            <w:r>
              <w:rPr>
                <w:rFonts w:ascii="Arial" w:cs="Arial" w:eastAsia="Arial" w:hAnsi="Arial"/>
                <w:sz w:val="11"/>
                <w:szCs w:val="11"/>
                <w:color w:val="auto"/>
                <w:w w:val="95"/>
              </w:rPr>
              <w:t>32 MIRACLE MILE SHOPPING CENTER</w:t>
            </w:r>
          </w:p>
        </w:tc>
        <w:tc>
          <w:tcPr>
            <w:tcW w:w="1000" w:type="dxa"/>
            <w:vAlign w:val="bottom"/>
          </w:tcPr>
          <w:p>
            <w:pPr>
              <w:ind w:left="20"/>
              <w:spacing w:after="0"/>
              <w:rPr>
                <w:sz w:val="20"/>
                <w:szCs w:val="20"/>
                <w:color w:val="auto"/>
              </w:rPr>
            </w:pPr>
            <w:r>
              <w:rPr>
                <w:rFonts w:ascii="Arial" w:cs="Arial" w:eastAsia="Arial" w:hAnsi="Arial"/>
                <w:sz w:val="11"/>
                <w:szCs w:val="11"/>
                <w:color w:val="auto"/>
              </w:rPr>
              <w:t>MONROEVILLE</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15146</w:t>
            </w:r>
          </w:p>
        </w:tc>
        <w:tc>
          <w:tcPr>
            <w:tcW w:w="380" w:type="dxa"/>
            <w:vAlign w:val="bottom"/>
          </w:tcPr>
          <w:p>
            <w:pPr>
              <w:jc w:val="right"/>
              <w:spacing w:after="0"/>
              <w:rPr>
                <w:sz w:val="20"/>
                <w:szCs w:val="20"/>
                <w:color w:val="auto"/>
              </w:rPr>
            </w:pPr>
            <w:r>
              <w:rPr>
                <w:rFonts w:ascii="Arial" w:cs="Arial" w:eastAsia="Arial" w:hAnsi="Arial"/>
                <w:sz w:val="11"/>
                <w:szCs w:val="11"/>
                <w:color w:val="auto"/>
              </w:rPr>
              <w:t>(412)</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373-2476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9312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67 Old Newtown Rd</w:t>
            </w:r>
          </w:p>
        </w:tc>
        <w:tc>
          <w:tcPr>
            <w:tcW w:w="1000" w:type="dxa"/>
            <w:vAlign w:val="bottom"/>
          </w:tcPr>
          <w:p>
            <w:pPr>
              <w:ind w:left="20"/>
              <w:spacing w:after="0"/>
              <w:rPr>
                <w:sz w:val="20"/>
                <w:szCs w:val="20"/>
                <w:color w:val="auto"/>
              </w:rPr>
            </w:pPr>
            <w:r>
              <w:rPr>
                <w:rFonts w:ascii="Arial" w:cs="Arial" w:eastAsia="Arial" w:hAnsi="Arial"/>
                <w:sz w:val="11"/>
                <w:szCs w:val="11"/>
                <w:color w:val="auto"/>
              </w:rPr>
              <w:t>Danbury</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CT 06810</w:t>
            </w:r>
          </w:p>
        </w:tc>
        <w:tc>
          <w:tcPr>
            <w:tcW w:w="380" w:type="dxa"/>
            <w:vAlign w:val="bottom"/>
          </w:tcPr>
          <w:p>
            <w:pPr>
              <w:jc w:val="right"/>
              <w:spacing w:after="0"/>
              <w:rPr>
                <w:sz w:val="20"/>
                <w:szCs w:val="20"/>
                <w:color w:val="auto"/>
              </w:rPr>
            </w:pPr>
            <w:r>
              <w:rPr>
                <w:rFonts w:ascii="Arial" w:cs="Arial" w:eastAsia="Arial" w:hAnsi="Arial"/>
                <w:sz w:val="11"/>
                <w:szCs w:val="11"/>
                <w:color w:val="auto"/>
              </w:rPr>
              <w:t>(800)</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841-4000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9316 M &amp; T Bank</w:t>
            </w:r>
          </w:p>
        </w:tc>
        <w:tc>
          <w:tcPr>
            <w:tcW w:w="2040" w:type="dxa"/>
            <w:vAlign w:val="bottom"/>
          </w:tcPr>
          <w:p>
            <w:pPr>
              <w:ind w:left="80"/>
              <w:spacing w:after="0"/>
              <w:rPr>
                <w:sz w:val="20"/>
                <w:szCs w:val="20"/>
                <w:color w:val="auto"/>
              </w:rPr>
            </w:pPr>
            <w:r>
              <w:rPr>
                <w:rFonts w:ascii="Arial" w:cs="Arial" w:eastAsia="Arial" w:hAnsi="Arial"/>
                <w:sz w:val="11"/>
                <w:szCs w:val="11"/>
                <w:color w:val="auto"/>
              </w:rPr>
              <w:t>2421 Old Philadelphia Pike</w:t>
            </w:r>
          </w:p>
        </w:tc>
        <w:tc>
          <w:tcPr>
            <w:tcW w:w="1000" w:type="dxa"/>
            <w:vAlign w:val="bottom"/>
          </w:tcPr>
          <w:p>
            <w:pPr>
              <w:ind w:left="20"/>
              <w:spacing w:after="0"/>
              <w:rPr>
                <w:sz w:val="20"/>
                <w:szCs w:val="20"/>
                <w:color w:val="auto"/>
              </w:rPr>
            </w:pPr>
            <w:r>
              <w:rPr>
                <w:rFonts w:ascii="Arial" w:cs="Arial" w:eastAsia="Arial" w:hAnsi="Arial"/>
                <w:sz w:val="11"/>
                <w:szCs w:val="11"/>
                <w:color w:val="auto"/>
              </w:rPr>
              <w:t>LANCASTER</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17602</w:t>
            </w:r>
          </w:p>
        </w:tc>
        <w:tc>
          <w:tcPr>
            <w:tcW w:w="380" w:type="dxa"/>
            <w:vAlign w:val="bottom"/>
          </w:tcPr>
          <w:p>
            <w:pPr>
              <w:jc w:val="right"/>
              <w:spacing w:after="0"/>
              <w:rPr>
                <w:sz w:val="20"/>
                <w:szCs w:val="20"/>
                <w:color w:val="auto"/>
              </w:rPr>
            </w:pPr>
            <w:r>
              <w:rPr>
                <w:rFonts w:ascii="Arial" w:cs="Arial" w:eastAsia="Arial" w:hAnsi="Arial"/>
                <w:sz w:val="11"/>
                <w:szCs w:val="11"/>
                <w:color w:val="auto"/>
              </w:rPr>
              <w:t>(717)</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293-5505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9319 US BANK</w:t>
            </w:r>
          </w:p>
        </w:tc>
        <w:tc>
          <w:tcPr>
            <w:tcW w:w="2040" w:type="dxa"/>
            <w:vAlign w:val="bottom"/>
          </w:tcPr>
          <w:p>
            <w:pPr>
              <w:ind w:left="80"/>
              <w:spacing w:after="0"/>
              <w:rPr>
                <w:sz w:val="20"/>
                <w:szCs w:val="20"/>
                <w:color w:val="auto"/>
              </w:rPr>
            </w:pPr>
            <w:r>
              <w:rPr>
                <w:rFonts w:ascii="Arial" w:cs="Arial" w:eastAsia="Arial" w:hAnsi="Arial"/>
                <w:sz w:val="11"/>
                <w:szCs w:val="11"/>
                <w:color w:val="auto"/>
              </w:rPr>
              <w:t>5501 WEST 41ST</w:t>
            </w:r>
          </w:p>
        </w:tc>
        <w:tc>
          <w:tcPr>
            <w:tcW w:w="1000" w:type="dxa"/>
            <w:vAlign w:val="bottom"/>
          </w:tcPr>
          <w:p>
            <w:pPr>
              <w:ind w:left="20"/>
              <w:spacing w:after="0"/>
              <w:rPr>
                <w:sz w:val="20"/>
                <w:szCs w:val="20"/>
                <w:color w:val="auto"/>
              </w:rPr>
            </w:pPr>
            <w:r>
              <w:rPr>
                <w:rFonts w:ascii="Arial" w:cs="Arial" w:eastAsia="Arial" w:hAnsi="Arial"/>
                <w:sz w:val="11"/>
                <w:szCs w:val="11"/>
                <w:color w:val="auto"/>
              </w:rPr>
              <w:t>SIOUX FALLS</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SD 57106</w:t>
            </w:r>
          </w:p>
        </w:tc>
        <w:tc>
          <w:tcPr>
            <w:tcW w:w="380" w:type="dxa"/>
            <w:vAlign w:val="bottom"/>
          </w:tcPr>
          <w:p>
            <w:pPr>
              <w:jc w:val="right"/>
              <w:spacing w:after="0"/>
              <w:rPr>
                <w:sz w:val="20"/>
                <w:szCs w:val="20"/>
                <w:color w:val="auto"/>
              </w:rPr>
            </w:pPr>
            <w:r>
              <w:rPr>
                <w:rFonts w:ascii="Arial" w:cs="Arial" w:eastAsia="Arial" w:hAnsi="Arial"/>
                <w:sz w:val="11"/>
                <w:szCs w:val="11"/>
                <w:color w:val="auto"/>
              </w:rPr>
              <w:t>(605)</w:t>
            </w:r>
          </w:p>
        </w:tc>
        <w:tc>
          <w:tcPr>
            <w:tcW w:w="640" w:type="dxa"/>
            <w:vAlign w:val="bottom"/>
          </w:tcPr>
          <w:p>
            <w:pPr>
              <w:jc w:val="right"/>
              <w:spacing w:after="0"/>
              <w:rPr>
                <w:sz w:val="20"/>
                <w:szCs w:val="20"/>
                <w:color w:val="auto"/>
              </w:rPr>
            </w:pPr>
            <w:r>
              <w:rPr>
                <w:rFonts w:ascii="Arial" w:cs="Arial" w:eastAsia="Arial" w:hAnsi="Arial"/>
                <w:sz w:val="11"/>
                <w:szCs w:val="11"/>
                <w:color w:val="auto"/>
                <w:w w:val="99"/>
              </w:rPr>
              <w:t>323-3580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9323 FIRST CITIZENS BANK</w:t>
            </w:r>
          </w:p>
        </w:tc>
        <w:tc>
          <w:tcPr>
            <w:tcW w:w="2040" w:type="dxa"/>
            <w:vAlign w:val="bottom"/>
          </w:tcPr>
          <w:p>
            <w:pPr>
              <w:ind w:left="80"/>
              <w:spacing w:after="0"/>
              <w:rPr>
                <w:sz w:val="20"/>
                <w:szCs w:val="20"/>
                <w:color w:val="auto"/>
              </w:rPr>
            </w:pPr>
            <w:r>
              <w:rPr>
                <w:rFonts w:ascii="Arial" w:cs="Arial" w:eastAsia="Arial" w:hAnsi="Arial"/>
                <w:sz w:val="11"/>
                <w:szCs w:val="11"/>
                <w:color w:val="auto"/>
              </w:rPr>
              <w:t>241 EAST MARKET ST, PO BOX 1377</w:t>
            </w:r>
          </w:p>
        </w:tc>
        <w:tc>
          <w:tcPr>
            <w:tcW w:w="1000" w:type="dxa"/>
            <w:vAlign w:val="bottom"/>
          </w:tcPr>
          <w:p>
            <w:pPr>
              <w:ind w:left="20"/>
              <w:spacing w:after="0"/>
              <w:rPr>
                <w:sz w:val="20"/>
                <w:szCs w:val="20"/>
                <w:color w:val="auto"/>
              </w:rPr>
            </w:pPr>
            <w:r>
              <w:rPr>
                <w:rFonts w:ascii="Arial" w:cs="Arial" w:eastAsia="Arial" w:hAnsi="Arial"/>
                <w:sz w:val="11"/>
                <w:szCs w:val="11"/>
                <w:color w:val="auto"/>
              </w:rPr>
              <w:t>SMITHFIELD</w:t>
            </w:r>
          </w:p>
        </w:tc>
        <w:tc>
          <w:tcPr>
            <w:tcW w:w="1660" w:type="dxa"/>
            <w:vAlign w:val="bottom"/>
            <w:gridSpan w:val="4"/>
          </w:tcPr>
          <w:p>
            <w:pPr>
              <w:ind w:left="40"/>
              <w:spacing w:after="0"/>
              <w:rPr>
                <w:sz w:val="20"/>
                <w:szCs w:val="20"/>
                <w:color w:val="auto"/>
              </w:rPr>
            </w:pPr>
            <w:r>
              <w:rPr>
                <w:rFonts w:ascii="Arial" w:cs="Arial" w:eastAsia="Arial" w:hAnsi="Arial"/>
                <w:sz w:val="11"/>
                <w:szCs w:val="11"/>
                <w:color w:val="auto"/>
                <w:w w:val="93"/>
              </w:rPr>
              <w:t>NC 27577-1377 (919) 989-3274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9324 US BANK</w:t>
            </w:r>
          </w:p>
        </w:tc>
        <w:tc>
          <w:tcPr>
            <w:tcW w:w="2040" w:type="dxa"/>
            <w:vAlign w:val="bottom"/>
          </w:tcPr>
          <w:p>
            <w:pPr>
              <w:ind w:left="80"/>
              <w:spacing w:after="0"/>
              <w:rPr>
                <w:sz w:val="20"/>
                <w:szCs w:val="20"/>
                <w:color w:val="auto"/>
              </w:rPr>
            </w:pPr>
            <w:r>
              <w:rPr>
                <w:rFonts w:ascii="Arial" w:cs="Arial" w:eastAsia="Arial" w:hAnsi="Arial"/>
                <w:sz w:val="11"/>
                <w:szCs w:val="11"/>
                <w:color w:val="auto"/>
              </w:rPr>
              <w:t>3802 13th Avenue South</w:t>
            </w:r>
          </w:p>
        </w:tc>
        <w:tc>
          <w:tcPr>
            <w:tcW w:w="1000" w:type="dxa"/>
            <w:vAlign w:val="bottom"/>
          </w:tcPr>
          <w:p>
            <w:pPr>
              <w:ind w:left="20"/>
              <w:spacing w:after="0"/>
              <w:rPr>
                <w:sz w:val="20"/>
                <w:szCs w:val="20"/>
                <w:color w:val="auto"/>
              </w:rPr>
            </w:pPr>
            <w:r>
              <w:rPr>
                <w:rFonts w:ascii="Arial" w:cs="Arial" w:eastAsia="Arial" w:hAnsi="Arial"/>
                <w:sz w:val="11"/>
                <w:szCs w:val="11"/>
                <w:color w:val="auto"/>
              </w:rPr>
              <w:t>FARGO</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ND 58103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(701) 281-0975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9327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30730 GROESBECK HIGHWAY</w:t>
            </w:r>
          </w:p>
        </w:tc>
        <w:tc>
          <w:tcPr>
            <w:tcW w:w="1000" w:type="dxa"/>
            <w:vAlign w:val="bottom"/>
          </w:tcPr>
          <w:p>
            <w:pPr>
              <w:ind w:left="20"/>
              <w:spacing w:after="0"/>
              <w:rPr>
                <w:sz w:val="20"/>
                <w:szCs w:val="20"/>
                <w:color w:val="auto"/>
              </w:rPr>
            </w:pPr>
            <w:r>
              <w:rPr>
                <w:rFonts w:ascii="Arial" w:cs="Arial" w:eastAsia="Arial" w:hAnsi="Arial"/>
                <w:sz w:val="11"/>
                <w:szCs w:val="11"/>
                <w:color w:val="auto"/>
              </w:rPr>
              <w:t>ROSEVILLE</w:t>
            </w:r>
          </w:p>
        </w:tc>
        <w:tc>
          <w:tcPr>
            <w:tcW w:w="200" w:type="dxa"/>
            <w:vAlign w:val="bottom"/>
          </w:tcPr>
          <w:p>
            <w:pPr>
              <w:ind w:left="40"/>
              <w:spacing w:after="0"/>
              <w:rPr>
                <w:sz w:val="20"/>
                <w:szCs w:val="20"/>
                <w:color w:val="auto"/>
              </w:rPr>
            </w:pPr>
            <w:r>
              <w:rPr>
                <w:rFonts w:ascii="Arial" w:cs="Arial" w:eastAsia="Arial" w:hAnsi="Arial"/>
                <w:sz w:val="11"/>
                <w:szCs w:val="11"/>
                <w:color w:val="auto"/>
              </w:rPr>
              <w:t>MI</w:t>
            </w:r>
          </w:p>
        </w:tc>
        <w:tc>
          <w:tcPr>
            <w:tcW w:w="440" w:type="dxa"/>
            <w:vAlign w:val="bottom"/>
          </w:tcPr>
          <w:p>
            <w:pPr>
              <w:ind w:left="20"/>
              <w:spacing w:after="0"/>
              <w:rPr>
                <w:sz w:val="20"/>
                <w:szCs w:val="20"/>
                <w:color w:val="auto"/>
              </w:rPr>
            </w:pPr>
            <w:r>
              <w:rPr>
                <w:rFonts w:ascii="Arial" w:cs="Arial" w:eastAsia="Arial" w:hAnsi="Arial"/>
                <w:sz w:val="11"/>
                <w:szCs w:val="11"/>
                <w:color w:val="auto"/>
              </w:rPr>
              <w:t>48066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(586) 775-7800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9330 WELLS FARGO</w:t>
            </w:r>
          </w:p>
        </w:tc>
        <w:tc>
          <w:tcPr>
            <w:tcW w:w="2040" w:type="dxa"/>
            <w:vAlign w:val="bottom"/>
          </w:tcPr>
          <w:p>
            <w:pPr>
              <w:ind w:left="80"/>
              <w:spacing w:after="0"/>
              <w:rPr>
                <w:sz w:val="20"/>
                <w:szCs w:val="20"/>
                <w:color w:val="auto"/>
              </w:rPr>
            </w:pPr>
            <w:r>
              <w:rPr>
                <w:rFonts w:ascii="Arial" w:cs="Arial" w:eastAsia="Arial" w:hAnsi="Arial"/>
                <w:sz w:val="11"/>
                <w:szCs w:val="11"/>
                <w:color w:val="auto"/>
              </w:rPr>
              <w:t>143 OLD COUNTRY RD</w:t>
            </w:r>
          </w:p>
        </w:tc>
        <w:tc>
          <w:tcPr>
            <w:tcW w:w="1000" w:type="dxa"/>
            <w:vAlign w:val="bottom"/>
          </w:tcPr>
          <w:p>
            <w:pPr>
              <w:ind w:left="20"/>
              <w:spacing w:after="0"/>
              <w:rPr>
                <w:sz w:val="20"/>
                <w:szCs w:val="20"/>
                <w:color w:val="auto"/>
              </w:rPr>
            </w:pPr>
            <w:r>
              <w:rPr>
                <w:rFonts w:ascii="Arial" w:cs="Arial" w:eastAsia="Arial" w:hAnsi="Arial"/>
                <w:sz w:val="11"/>
                <w:szCs w:val="11"/>
                <w:color w:val="auto"/>
              </w:rPr>
              <w:t>Carle Place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NY 11514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(516) 577-8317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9331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4495 LEMAY FERRY ROAD</w:t>
            </w:r>
          </w:p>
        </w:tc>
        <w:tc>
          <w:tcPr>
            <w:tcW w:w="1000" w:type="dxa"/>
            <w:vAlign w:val="bottom"/>
          </w:tcPr>
          <w:p>
            <w:pPr>
              <w:ind w:left="20"/>
              <w:spacing w:after="0"/>
              <w:rPr>
                <w:sz w:val="20"/>
                <w:szCs w:val="20"/>
                <w:color w:val="auto"/>
              </w:rPr>
            </w:pPr>
            <w:r>
              <w:rPr>
                <w:rFonts w:ascii="Arial" w:cs="Arial" w:eastAsia="Arial" w:hAnsi="Arial"/>
                <w:sz w:val="11"/>
                <w:szCs w:val="11"/>
                <w:color w:val="auto"/>
              </w:rPr>
              <w:t>ST LOUIS</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MO 63129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(314) 284-3800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9333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4189 SOUTH SERVICE ROAD</w:t>
            </w:r>
          </w:p>
        </w:tc>
        <w:tc>
          <w:tcPr>
            <w:tcW w:w="1000" w:type="dxa"/>
            <w:vAlign w:val="bottom"/>
          </w:tcPr>
          <w:p>
            <w:pPr>
              <w:ind w:left="20"/>
              <w:spacing w:after="0"/>
              <w:rPr>
                <w:sz w:val="20"/>
                <w:szCs w:val="20"/>
                <w:color w:val="auto"/>
              </w:rPr>
            </w:pPr>
            <w:r>
              <w:rPr>
                <w:rFonts w:ascii="Arial" w:cs="Arial" w:eastAsia="Arial" w:hAnsi="Arial"/>
                <w:sz w:val="11"/>
                <w:szCs w:val="11"/>
                <w:color w:val="auto"/>
              </w:rPr>
              <w:t>ST PETERS</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MO 63376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(636) 939-1236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9336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425 Philbrook Ave</w:t>
            </w:r>
          </w:p>
        </w:tc>
        <w:tc>
          <w:tcPr>
            <w:tcW w:w="1000" w:type="dxa"/>
            <w:vAlign w:val="bottom"/>
          </w:tcPr>
          <w:p>
            <w:pPr>
              <w:ind w:left="20"/>
              <w:spacing w:after="0"/>
              <w:rPr>
                <w:sz w:val="20"/>
                <w:szCs w:val="20"/>
                <w:color w:val="auto"/>
              </w:rPr>
            </w:pPr>
            <w:r>
              <w:rPr>
                <w:rFonts w:ascii="Arial" w:cs="Arial" w:eastAsia="Arial" w:hAnsi="Arial"/>
                <w:sz w:val="11"/>
                <w:szCs w:val="11"/>
                <w:color w:val="auto"/>
              </w:rPr>
              <w:t>South Portland</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ME 04106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(800) 841-4000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9340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7520 MARLBORO PIKE</w:t>
            </w:r>
          </w:p>
        </w:tc>
        <w:tc>
          <w:tcPr>
            <w:tcW w:w="1000" w:type="dxa"/>
            <w:vAlign w:val="bottom"/>
          </w:tcPr>
          <w:p>
            <w:pPr>
              <w:ind w:left="20"/>
              <w:spacing w:after="0"/>
              <w:rPr>
                <w:sz w:val="20"/>
                <w:szCs w:val="20"/>
                <w:color w:val="auto"/>
              </w:rPr>
            </w:pPr>
            <w:r>
              <w:rPr>
                <w:rFonts w:ascii="Arial" w:cs="Arial" w:eastAsia="Arial" w:hAnsi="Arial"/>
                <w:sz w:val="11"/>
                <w:szCs w:val="11"/>
                <w:color w:val="auto"/>
              </w:rPr>
              <w:t>FORESTVILLE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MD 20747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(301) 817-7760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9343 FIRST NATIONAL BANK</w:t>
            </w:r>
          </w:p>
        </w:tc>
        <w:tc>
          <w:tcPr>
            <w:tcW w:w="20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1"/>
                <w:szCs w:val="11"/>
                <w:color w:val="auto"/>
              </w:rPr>
              <w:t>PITTSBURGH</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15205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(412) 490-0330 ***</w:t>
            </w:r>
          </w:p>
        </w:tc>
      </w:tr>
      <w:tr>
        <w:trPr>
          <w:trHeight w:val="353"/>
        </w:trPr>
        <w:tc>
          <w:tcPr>
            <w:tcW w:w="1680" w:type="dxa"/>
            <w:vAlign w:val="bottom"/>
          </w:tcPr>
          <w:p>
            <w:pPr>
              <w:spacing w:after="0"/>
              <w:rPr>
                <w:sz w:val="20"/>
                <w:szCs w:val="20"/>
                <w:color w:val="auto"/>
              </w:rPr>
            </w:pPr>
            <w:r>
              <w:rPr>
                <w:rFonts w:ascii="Arial" w:cs="Arial" w:eastAsia="Arial" w:hAnsi="Arial"/>
                <w:sz w:val="11"/>
                <w:szCs w:val="11"/>
                <w:color w:val="auto"/>
              </w:rPr>
              <w:t>9347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6701 SOUTH MEMORIAL DRIVE</w:t>
            </w:r>
          </w:p>
        </w:tc>
        <w:tc>
          <w:tcPr>
            <w:tcW w:w="1000" w:type="dxa"/>
            <w:vAlign w:val="bottom"/>
          </w:tcPr>
          <w:p>
            <w:pPr>
              <w:ind w:left="20"/>
              <w:spacing w:after="0"/>
              <w:rPr>
                <w:sz w:val="20"/>
                <w:szCs w:val="20"/>
                <w:color w:val="auto"/>
              </w:rPr>
            </w:pPr>
            <w:r>
              <w:rPr>
                <w:rFonts w:ascii="Arial" w:cs="Arial" w:eastAsia="Arial" w:hAnsi="Arial"/>
                <w:sz w:val="11"/>
                <w:szCs w:val="11"/>
                <w:color w:val="auto"/>
              </w:rPr>
              <w:t>TULSA</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OK 74133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(918) 591-6865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9349 FIFTH THIRD BANK</w:t>
            </w:r>
          </w:p>
        </w:tc>
        <w:tc>
          <w:tcPr>
            <w:tcW w:w="2040" w:type="dxa"/>
            <w:vAlign w:val="bottom"/>
          </w:tcPr>
          <w:p>
            <w:pPr>
              <w:ind w:left="80"/>
              <w:spacing w:after="0"/>
              <w:rPr>
                <w:sz w:val="20"/>
                <w:szCs w:val="20"/>
                <w:color w:val="auto"/>
              </w:rPr>
            </w:pPr>
            <w:r>
              <w:rPr>
                <w:rFonts w:ascii="Arial" w:cs="Arial" w:eastAsia="Arial" w:hAnsi="Arial"/>
                <w:sz w:val="11"/>
                <w:szCs w:val="11"/>
                <w:color w:val="auto"/>
              </w:rPr>
              <w:t>1250 NORTH GREEN RIVER RD</w:t>
            </w:r>
          </w:p>
        </w:tc>
        <w:tc>
          <w:tcPr>
            <w:tcW w:w="1000" w:type="dxa"/>
            <w:vAlign w:val="bottom"/>
          </w:tcPr>
          <w:p>
            <w:pPr>
              <w:ind w:left="20"/>
              <w:spacing w:after="0"/>
              <w:rPr>
                <w:sz w:val="20"/>
                <w:szCs w:val="20"/>
                <w:color w:val="auto"/>
              </w:rPr>
            </w:pPr>
            <w:r>
              <w:rPr>
                <w:rFonts w:ascii="Arial" w:cs="Arial" w:eastAsia="Arial" w:hAnsi="Arial"/>
                <w:sz w:val="11"/>
                <w:szCs w:val="11"/>
                <w:color w:val="auto"/>
              </w:rPr>
              <w:t>EVANSVILLE</w:t>
            </w:r>
          </w:p>
        </w:tc>
        <w:tc>
          <w:tcPr>
            <w:tcW w:w="200" w:type="dxa"/>
            <w:vAlign w:val="bottom"/>
          </w:tcPr>
          <w:p>
            <w:pPr>
              <w:ind w:left="40"/>
              <w:spacing w:after="0"/>
              <w:rPr>
                <w:sz w:val="20"/>
                <w:szCs w:val="20"/>
                <w:color w:val="auto"/>
              </w:rPr>
            </w:pPr>
            <w:r>
              <w:rPr>
                <w:rFonts w:ascii="Arial" w:cs="Arial" w:eastAsia="Arial" w:hAnsi="Arial"/>
                <w:sz w:val="11"/>
                <w:szCs w:val="11"/>
                <w:color w:val="auto"/>
              </w:rPr>
              <w:t>IN</w:t>
            </w:r>
          </w:p>
        </w:tc>
        <w:tc>
          <w:tcPr>
            <w:tcW w:w="440" w:type="dxa"/>
            <w:vAlign w:val="bottom"/>
          </w:tcPr>
          <w:p>
            <w:pPr>
              <w:ind w:left="20"/>
              <w:spacing w:after="0"/>
              <w:rPr>
                <w:sz w:val="20"/>
                <w:szCs w:val="20"/>
                <w:color w:val="auto"/>
              </w:rPr>
            </w:pPr>
            <w:r>
              <w:rPr>
                <w:rFonts w:ascii="Arial" w:cs="Arial" w:eastAsia="Arial" w:hAnsi="Arial"/>
                <w:sz w:val="11"/>
                <w:szCs w:val="11"/>
                <w:color w:val="auto"/>
              </w:rPr>
              <w:t>47715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(812) 474-2741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9351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2126 GUNBARREL</w:t>
            </w:r>
          </w:p>
        </w:tc>
        <w:tc>
          <w:tcPr>
            <w:tcW w:w="1000" w:type="dxa"/>
            <w:vAlign w:val="bottom"/>
          </w:tcPr>
          <w:p>
            <w:pPr>
              <w:ind w:left="20"/>
              <w:spacing w:after="0"/>
              <w:rPr>
                <w:sz w:val="20"/>
                <w:szCs w:val="20"/>
                <w:color w:val="auto"/>
              </w:rPr>
            </w:pPr>
            <w:r>
              <w:rPr>
                <w:rFonts w:ascii="Arial" w:cs="Arial" w:eastAsia="Arial" w:hAnsi="Arial"/>
                <w:sz w:val="11"/>
                <w:szCs w:val="11"/>
                <w:color w:val="auto"/>
              </w:rPr>
              <w:t>CHATTANOOGA</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TN 37421</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53"/>
        </w:trPr>
        <w:tc>
          <w:tcPr>
            <w:tcW w:w="1680" w:type="dxa"/>
            <w:vAlign w:val="bottom"/>
          </w:tcPr>
          <w:p>
            <w:pPr>
              <w:spacing w:after="0"/>
              <w:rPr>
                <w:sz w:val="20"/>
                <w:szCs w:val="20"/>
                <w:color w:val="auto"/>
              </w:rPr>
            </w:pPr>
            <w:r>
              <w:rPr>
                <w:rFonts w:ascii="Arial" w:cs="Arial" w:eastAsia="Arial" w:hAnsi="Arial"/>
                <w:sz w:val="11"/>
                <w:szCs w:val="11"/>
                <w:color w:val="auto"/>
              </w:rPr>
              <w:t>9356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8515 FONDREN</w:t>
            </w:r>
          </w:p>
        </w:tc>
        <w:tc>
          <w:tcPr>
            <w:tcW w:w="1000" w:type="dxa"/>
            <w:vAlign w:val="bottom"/>
          </w:tcPr>
          <w:p>
            <w:pPr>
              <w:ind w:left="20"/>
              <w:spacing w:after="0"/>
              <w:rPr>
                <w:sz w:val="20"/>
                <w:szCs w:val="20"/>
                <w:color w:val="auto"/>
              </w:rPr>
            </w:pPr>
            <w:r>
              <w:rPr>
                <w:rFonts w:ascii="Arial" w:cs="Arial" w:eastAsia="Arial" w:hAnsi="Arial"/>
                <w:sz w:val="11"/>
                <w:szCs w:val="11"/>
                <w:color w:val="auto"/>
              </w:rPr>
              <w:t>HOUSTON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TX 77074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(713) 751-6100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9360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4530 WEST SAGINAW</w:t>
            </w:r>
          </w:p>
        </w:tc>
        <w:tc>
          <w:tcPr>
            <w:tcW w:w="1000" w:type="dxa"/>
            <w:vAlign w:val="bottom"/>
          </w:tcPr>
          <w:p>
            <w:pPr>
              <w:ind w:left="20"/>
              <w:spacing w:after="0"/>
              <w:rPr>
                <w:sz w:val="20"/>
                <w:szCs w:val="20"/>
                <w:color w:val="auto"/>
              </w:rPr>
            </w:pPr>
            <w:r>
              <w:rPr>
                <w:rFonts w:ascii="Arial" w:cs="Arial" w:eastAsia="Arial" w:hAnsi="Arial"/>
                <w:sz w:val="11"/>
                <w:szCs w:val="11"/>
                <w:color w:val="auto"/>
              </w:rPr>
              <w:t>LANSING</w:t>
            </w:r>
          </w:p>
        </w:tc>
        <w:tc>
          <w:tcPr>
            <w:tcW w:w="200" w:type="dxa"/>
            <w:vAlign w:val="bottom"/>
          </w:tcPr>
          <w:p>
            <w:pPr>
              <w:ind w:left="40"/>
              <w:spacing w:after="0"/>
              <w:rPr>
                <w:sz w:val="20"/>
                <w:szCs w:val="20"/>
                <w:color w:val="auto"/>
              </w:rPr>
            </w:pPr>
            <w:r>
              <w:rPr>
                <w:rFonts w:ascii="Arial" w:cs="Arial" w:eastAsia="Arial" w:hAnsi="Arial"/>
                <w:sz w:val="11"/>
                <w:szCs w:val="11"/>
                <w:color w:val="auto"/>
              </w:rPr>
              <w:t>MI</w:t>
            </w:r>
          </w:p>
        </w:tc>
        <w:tc>
          <w:tcPr>
            <w:tcW w:w="440" w:type="dxa"/>
            <w:vAlign w:val="bottom"/>
          </w:tcPr>
          <w:p>
            <w:pPr>
              <w:ind w:left="20"/>
              <w:spacing w:after="0"/>
              <w:rPr>
                <w:sz w:val="20"/>
                <w:szCs w:val="20"/>
                <w:color w:val="auto"/>
              </w:rPr>
            </w:pPr>
            <w:r>
              <w:rPr>
                <w:rFonts w:ascii="Arial" w:cs="Arial" w:eastAsia="Arial" w:hAnsi="Arial"/>
                <w:sz w:val="11"/>
                <w:szCs w:val="11"/>
                <w:color w:val="auto"/>
              </w:rPr>
              <w:t>48917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(517) 323-7045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9361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1414 WEST OAK STREET</w:t>
            </w:r>
          </w:p>
        </w:tc>
        <w:tc>
          <w:tcPr>
            <w:tcW w:w="1000" w:type="dxa"/>
            <w:vAlign w:val="bottom"/>
          </w:tcPr>
          <w:p>
            <w:pPr>
              <w:ind w:left="20"/>
              <w:spacing w:after="0"/>
              <w:rPr>
                <w:sz w:val="20"/>
                <w:szCs w:val="20"/>
                <w:color w:val="auto"/>
              </w:rPr>
            </w:pPr>
            <w:r>
              <w:rPr>
                <w:rFonts w:ascii="Arial" w:cs="Arial" w:eastAsia="Arial" w:hAnsi="Arial"/>
                <w:sz w:val="11"/>
                <w:szCs w:val="11"/>
                <w:color w:val="auto"/>
              </w:rPr>
              <w:t>ZIONSVILLE</w:t>
            </w:r>
          </w:p>
        </w:tc>
        <w:tc>
          <w:tcPr>
            <w:tcW w:w="200" w:type="dxa"/>
            <w:vAlign w:val="bottom"/>
          </w:tcPr>
          <w:p>
            <w:pPr>
              <w:ind w:left="40"/>
              <w:spacing w:after="0"/>
              <w:rPr>
                <w:sz w:val="20"/>
                <w:szCs w:val="20"/>
                <w:color w:val="auto"/>
              </w:rPr>
            </w:pPr>
            <w:r>
              <w:rPr>
                <w:rFonts w:ascii="Arial" w:cs="Arial" w:eastAsia="Arial" w:hAnsi="Arial"/>
                <w:sz w:val="11"/>
                <w:szCs w:val="11"/>
                <w:color w:val="auto"/>
              </w:rPr>
              <w:t>IN</w:t>
            </w:r>
          </w:p>
        </w:tc>
        <w:tc>
          <w:tcPr>
            <w:tcW w:w="440" w:type="dxa"/>
            <w:vAlign w:val="bottom"/>
          </w:tcPr>
          <w:p>
            <w:pPr>
              <w:ind w:left="20"/>
              <w:spacing w:after="0"/>
              <w:rPr>
                <w:sz w:val="20"/>
                <w:szCs w:val="20"/>
                <w:color w:val="auto"/>
              </w:rPr>
            </w:pPr>
            <w:r>
              <w:rPr>
                <w:rFonts w:ascii="Arial" w:cs="Arial" w:eastAsia="Arial" w:hAnsi="Arial"/>
                <w:sz w:val="11"/>
                <w:szCs w:val="11"/>
                <w:color w:val="auto"/>
              </w:rPr>
              <w:t>46077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(317) 266-7316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9365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19732 ST HWY 249</w:t>
            </w:r>
          </w:p>
        </w:tc>
        <w:tc>
          <w:tcPr>
            <w:tcW w:w="1000" w:type="dxa"/>
            <w:vAlign w:val="bottom"/>
          </w:tcPr>
          <w:p>
            <w:pPr>
              <w:ind w:left="20"/>
              <w:spacing w:after="0"/>
              <w:rPr>
                <w:sz w:val="20"/>
                <w:szCs w:val="20"/>
                <w:color w:val="auto"/>
              </w:rPr>
            </w:pPr>
            <w:r>
              <w:rPr>
                <w:rFonts w:ascii="Arial" w:cs="Arial" w:eastAsia="Arial" w:hAnsi="Arial"/>
                <w:sz w:val="11"/>
                <w:szCs w:val="11"/>
                <w:color w:val="auto"/>
              </w:rPr>
              <w:t>HOUSTON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TX 77070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(281) 469-1687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9367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5310 Sunrise Highway</w:t>
            </w:r>
          </w:p>
        </w:tc>
        <w:tc>
          <w:tcPr>
            <w:tcW w:w="1000" w:type="dxa"/>
            <w:vAlign w:val="bottom"/>
          </w:tcPr>
          <w:p>
            <w:pPr>
              <w:ind w:left="20"/>
              <w:spacing w:after="0"/>
              <w:rPr>
                <w:sz w:val="20"/>
                <w:szCs w:val="20"/>
                <w:color w:val="auto"/>
              </w:rPr>
            </w:pPr>
            <w:r>
              <w:rPr>
                <w:rFonts w:ascii="Arial" w:cs="Arial" w:eastAsia="Arial" w:hAnsi="Arial"/>
                <w:sz w:val="11"/>
                <w:szCs w:val="11"/>
                <w:color w:val="auto"/>
              </w:rPr>
              <w:t>MASSAPEQUA</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NY 11762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(800) 841-4000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9371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1355 N. Delsea Drive</w:t>
            </w:r>
          </w:p>
        </w:tc>
        <w:tc>
          <w:tcPr>
            <w:tcW w:w="1000" w:type="dxa"/>
            <w:vAlign w:val="bottom"/>
          </w:tcPr>
          <w:p>
            <w:pPr>
              <w:ind w:left="20"/>
              <w:spacing w:after="0"/>
              <w:rPr>
                <w:sz w:val="20"/>
                <w:szCs w:val="20"/>
                <w:color w:val="auto"/>
              </w:rPr>
            </w:pPr>
            <w:r>
              <w:rPr>
                <w:rFonts w:ascii="Arial" w:cs="Arial" w:eastAsia="Arial" w:hAnsi="Arial"/>
                <w:sz w:val="11"/>
                <w:szCs w:val="11"/>
                <w:color w:val="auto"/>
              </w:rPr>
              <w:t>Deptford</w:t>
            </w:r>
          </w:p>
        </w:tc>
        <w:tc>
          <w:tcPr>
            <w:tcW w:w="200" w:type="dxa"/>
            <w:vAlign w:val="bottom"/>
          </w:tcPr>
          <w:p>
            <w:pPr>
              <w:ind w:left="40"/>
              <w:spacing w:after="0"/>
              <w:rPr>
                <w:sz w:val="20"/>
                <w:szCs w:val="20"/>
                <w:color w:val="auto"/>
              </w:rPr>
            </w:pPr>
            <w:r>
              <w:rPr>
                <w:rFonts w:ascii="Arial" w:cs="Arial" w:eastAsia="Arial" w:hAnsi="Arial"/>
                <w:sz w:val="11"/>
                <w:szCs w:val="11"/>
                <w:color w:val="auto"/>
              </w:rPr>
              <w:t>NJ</w:t>
            </w:r>
          </w:p>
        </w:tc>
        <w:tc>
          <w:tcPr>
            <w:tcW w:w="440" w:type="dxa"/>
            <w:vAlign w:val="bottom"/>
          </w:tcPr>
          <w:p>
            <w:pPr>
              <w:ind w:left="20"/>
              <w:spacing w:after="0"/>
              <w:rPr>
                <w:sz w:val="20"/>
                <w:szCs w:val="20"/>
                <w:color w:val="auto"/>
              </w:rPr>
            </w:pPr>
            <w:r>
              <w:rPr>
                <w:rFonts w:ascii="Arial" w:cs="Arial" w:eastAsia="Arial" w:hAnsi="Arial"/>
                <w:sz w:val="11"/>
                <w:szCs w:val="11"/>
                <w:color w:val="auto"/>
              </w:rPr>
              <w:t>08096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(800) 841-4000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9374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BAY PLAZA, 2130 BARTOW AVE</w:t>
            </w:r>
          </w:p>
        </w:tc>
        <w:tc>
          <w:tcPr>
            <w:tcW w:w="1000" w:type="dxa"/>
            <w:vAlign w:val="bottom"/>
          </w:tcPr>
          <w:p>
            <w:pPr>
              <w:ind w:left="20"/>
              <w:spacing w:after="0"/>
              <w:rPr>
                <w:sz w:val="20"/>
                <w:szCs w:val="20"/>
                <w:color w:val="auto"/>
              </w:rPr>
            </w:pPr>
            <w:r>
              <w:rPr>
                <w:rFonts w:ascii="Arial" w:cs="Arial" w:eastAsia="Arial" w:hAnsi="Arial"/>
                <w:sz w:val="11"/>
                <w:szCs w:val="11"/>
                <w:color w:val="auto"/>
              </w:rPr>
              <w:t>BRONX</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NY 10475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(718) 862-9480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9375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633 NORTHLAND BLVD</w:t>
            </w:r>
          </w:p>
        </w:tc>
        <w:tc>
          <w:tcPr>
            <w:tcW w:w="1000" w:type="dxa"/>
            <w:vAlign w:val="bottom"/>
          </w:tcPr>
          <w:p>
            <w:pPr>
              <w:ind w:left="20"/>
              <w:spacing w:after="0"/>
              <w:rPr>
                <w:sz w:val="20"/>
                <w:szCs w:val="20"/>
                <w:color w:val="auto"/>
              </w:rPr>
            </w:pPr>
            <w:r>
              <w:rPr>
                <w:rFonts w:ascii="Arial" w:cs="Arial" w:eastAsia="Arial" w:hAnsi="Arial"/>
                <w:sz w:val="11"/>
                <w:szCs w:val="11"/>
                <w:color w:val="auto"/>
              </w:rPr>
              <w:t>CINCINNATI</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OH 45240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(513) 595-6410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9377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101 MONUMENT CIRCLE</w:t>
            </w:r>
          </w:p>
        </w:tc>
        <w:tc>
          <w:tcPr>
            <w:tcW w:w="1000" w:type="dxa"/>
            <w:vAlign w:val="bottom"/>
          </w:tcPr>
          <w:p>
            <w:pPr>
              <w:ind w:left="20"/>
              <w:spacing w:after="0"/>
              <w:rPr>
                <w:sz w:val="20"/>
                <w:szCs w:val="20"/>
                <w:color w:val="auto"/>
              </w:rPr>
            </w:pPr>
            <w:r>
              <w:rPr>
                <w:rFonts w:ascii="Arial" w:cs="Arial" w:eastAsia="Arial" w:hAnsi="Arial"/>
                <w:sz w:val="11"/>
                <w:szCs w:val="11"/>
                <w:color w:val="auto"/>
              </w:rPr>
              <w:t>INDIANAPOLIS</w:t>
            </w:r>
          </w:p>
        </w:tc>
        <w:tc>
          <w:tcPr>
            <w:tcW w:w="200" w:type="dxa"/>
            <w:vAlign w:val="bottom"/>
          </w:tcPr>
          <w:p>
            <w:pPr>
              <w:ind w:left="40"/>
              <w:spacing w:after="0"/>
              <w:rPr>
                <w:sz w:val="20"/>
                <w:szCs w:val="20"/>
                <w:color w:val="auto"/>
              </w:rPr>
            </w:pPr>
            <w:r>
              <w:rPr>
                <w:rFonts w:ascii="Arial" w:cs="Arial" w:eastAsia="Arial" w:hAnsi="Arial"/>
                <w:sz w:val="11"/>
                <w:szCs w:val="11"/>
                <w:color w:val="auto"/>
              </w:rPr>
              <w:t>IN</w:t>
            </w:r>
          </w:p>
        </w:tc>
        <w:tc>
          <w:tcPr>
            <w:tcW w:w="440" w:type="dxa"/>
            <w:vAlign w:val="bottom"/>
          </w:tcPr>
          <w:p>
            <w:pPr>
              <w:ind w:left="20"/>
              <w:spacing w:after="0"/>
              <w:rPr>
                <w:sz w:val="20"/>
                <w:szCs w:val="20"/>
                <w:color w:val="auto"/>
              </w:rPr>
            </w:pPr>
            <w:r>
              <w:rPr>
                <w:rFonts w:ascii="Arial" w:cs="Arial" w:eastAsia="Arial" w:hAnsi="Arial"/>
                <w:sz w:val="11"/>
                <w:szCs w:val="11"/>
                <w:color w:val="auto"/>
              </w:rPr>
              <w:t>46204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(317) 321-7020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9379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188 Boston Turnpike Road</w:t>
            </w:r>
          </w:p>
        </w:tc>
        <w:tc>
          <w:tcPr>
            <w:tcW w:w="1000" w:type="dxa"/>
            <w:vAlign w:val="bottom"/>
          </w:tcPr>
          <w:p>
            <w:pPr>
              <w:ind w:left="20"/>
              <w:spacing w:after="0"/>
              <w:rPr>
                <w:sz w:val="20"/>
                <w:szCs w:val="20"/>
                <w:color w:val="auto"/>
              </w:rPr>
            </w:pPr>
            <w:r>
              <w:rPr>
                <w:rFonts w:ascii="Arial" w:cs="Arial" w:eastAsia="Arial" w:hAnsi="Arial"/>
                <w:sz w:val="11"/>
                <w:szCs w:val="11"/>
                <w:color w:val="auto"/>
              </w:rPr>
              <w:t>Shrewsbury</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MA 01545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(800) 841-4000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9380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3375 LEONARDTOWN ROAD</w:t>
            </w:r>
          </w:p>
        </w:tc>
        <w:tc>
          <w:tcPr>
            <w:tcW w:w="1000" w:type="dxa"/>
            <w:vAlign w:val="bottom"/>
          </w:tcPr>
          <w:p>
            <w:pPr>
              <w:ind w:left="20"/>
              <w:spacing w:after="0"/>
              <w:rPr>
                <w:sz w:val="20"/>
                <w:szCs w:val="20"/>
                <w:color w:val="auto"/>
              </w:rPr>
            </w:pPr>
            <w:r>
              <w:rPr>
                <w:rFonts w:ascii="Arial" w:cs="Arial" w:eastAsia="Arial" w:hAnsi="Arial"/>
                <w:sz w:val="11"/>
                <w:szCs w:val="11"/>
                <w:color w:val="auto"/>
              </w:rPr>
              <w:t>WALDORF</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MD 20602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(301) 645-8887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9381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533 LYNDON LANE</w:t>
            </w:r>
          </w:p>
        </w:tc>
        <w:tc>
          <w:tcPr>
            <w:tcW w:w="1000" w:type="dxa"/>
            <w:vAlign w:val="bottom"/>
          </w:tcPr>
          <w:p>
            <w:pPr>
              <w:ind w:left="20"/>
              <w:spacing w:after="0"/>
              <w:rPr>
                <w:sz w:val="20"/>
                <w:szCs w:val="20"/>
                <w:color w:val="auto"/>
              </w:rPr>
            </w:pPr>
            <w:r>
              <w:rPr>
                <w:rFonts w:ascii="Arial" w:cs="Arial" w:eastAsia="Arial" w:hAnsi="Arial"/>
                <w:sz w:val="11"/>
                <w:szCs w:val="11"/>
                <w:color w:val="auto"/>
              </w:rPr>
              <w:t>LOUISVILLE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KY 40222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(502) 566-2291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9383 BANK OF AMERICA</w:t>
            </w:r>
          </w:p>
        </w:tc>
        <w:tc>
          <w:tcPr>
            <w:tcW w:w="2040" w:type="dxa"/>
            <w:vAlign w:val="bottom"/>
          </w:tcPr>
          <w:p>
            <w:pPr>
              <w:ind w:left="80"/>
              <w:spacing w:after="0"/>
              <w:rPr>
                <w:sz w:val="20"/>
                <w:szCs w:val="20"/>
                <w:color w:val="auto"/>
              </w:rPr>
            </w:pPr>
            <w:r>
              <w:rPr>
                <w:rFonts w:ascii="Arial" w:cs="Arial" w:eastAsia="Arial" w:hAnsi="Arial"/>
                <w:sz w:val="11"/>
                <w:szCs w:val="11"/>
                <w:color w:val="auto"/>
              </w:rPr>
              <w:t>1000 Cottman Ave</w:t>
            </w:r>
          </w:p>
        </w:tc>
        <w:tc>
          <w:tcPr>
            <w:tcW w:w="1000" w:type="dxa"/>
            <w:vAlign w:val="bottom"/>
          </w:tcPr>
          <w:p>
            <w:pPr>
              <w:ind w:left="20"/>
              <w:spacing w:after="0"/>
              <w:rPr>
                <w:sz w:val="20"/>
                <w:szCs w:val="20"/>
                <w:color w:val="auto"/>
              </w:rPr>
            </w:pPr>
            <w:r>
              <w:rPr>
                <w:rFonts w:ascii="Arial" w:cs="Arial" w:eastAsia="Arial" w:hAnsi="Arial"/>
                <w:sz w:val="11"/>
                <w:szCs w:val="11"/>
                <w:color w:val="auto"/>
              </w:rPr>
              <w:t>Philadelphia</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19111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(800) 841-4000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9384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7990 WASHINGTON VILLAGE DRIVE</w:t>
            </w:r>
          </w:p>
        </w:tc>
        <w:tc>
          <w:tcPr>
            <w:tcW w:w="1000" w:type="dxa"/>
            <w:vAlign w:val="bottom"/>
          </w:tcPr>
          <w:p>
            <w:pPr>
              <w:ind w:left="20"/>
              <w:spacing w:after="0"/>
              <w:rPr>
                <w:sz w:val="20"/>
                <w:szCs w:val="20"/>
                <w:color w:val="auto"/>
              </w:rPr>
            </w:pPr>
            <w:r>
              <w:rPr>
                <w:rFonts w:ascii="Arial" w:cs="Arial" w:eastAsia="Arial" w:hAnsi="Arial"/>
                <w:sz w:val="11"/>
                <w:szCs w:val="11"/>
                <w:color w:val="auto"/>
              </w:rPr>
              <w:t>DAYTON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OH 45459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(937) 443-6290 ***</w:t>
            </w:r>
          </w:p>
        </w:tc>
      </w:tr>
      <w:tr>
        <w:trPr>
          <w:trHeight w:val="282"/>
        </w:trPr>
        <w:tc>
          <w:tcPr>
            <w:tcW w:w="1680" w:type="dxa"/>
            <w:vAlign w:val="bottom"/>
          </w:tcPr>
          <w:p>
            <w:pPr>
              <w:spacing w:after="0"/>
              <w:rPr>
                <w:sz w:val="20"/>
                <w:szCs w:val="20"/>
                <w:color w:val="auto"/>
              </w:rPr>
            </w:pPr>
            <w:r>
              <w:rPr>
                <w:rFonts w:ascii="Arial" w:cs="Arial" w:eastAsia="Arial" w:hAnsi="Arial"/>
                <w:sz w:val="11"/>
                <w:szCs w:val="11"/>
                <w:color w:val="auto"/>
              </w:rPr>
              <w:t>9387 CHASE (JPMORGAN)</w:t>
            </w:r>
          </w:p>
        </w:tc>
        <w:tc>
          <w:tcPr>
            <w:tcW w:w="2040" w:type="dxa"/>
            <w:vAlign w:val="bottom"/>
          </w:tcPr>
          <w:p>
            <w:pPr>
              <w:ind w:left="80"/>
              <w:spacing w:after="0"/>
              <w:rPr>
                <w:sz w:val="20"/>
                <w:szCs w:val="20"/>
                <w:color w:val="auto"/>
              </w:rPr>
            </w:pPr>
            <w:r>
              <w:rPr>
                <w:rFonts w:ascii="Arial" w:cs="Arial" w:eastAsia="Arial" w:hAnsi="Arial"/>
                <w:sz w:val="11"/>
                <w:szCs w:val="11"/>
                <w:color w:val="auto"/>
              </w:rPr>
              <w:t>30 NORTH MAIN STREET</w:t>
            </w:r>
          </w:p>
        </w:tc>
        <w:tc>
          <w:tcPr>
            <w:tcW w:w="1000" w:type="dxa"/>
            <w:vAlign w:val="bottom"/>
          </w:tcPr>
          <w:p>
            <w:pPr>
              <w:ind w:left="20"/>
              <w:spacing w:after="0"/>
              <w:rPr>
                <w:sz w:val="20"/>
                <w:szCs w:val="20"/>
                <w:color w:val="auto"/>
              </w:rPr>
            </w:pPr>
            <w:r>
              <w:rPr>
                <w:rFonts w:ascii="Arial" w:cs="Arial" w:eastAsia="Arial" w:hAnsi="Arial"/>
                <w:sz w:val="11"/>
                <w:szCs w:val="11"/>
                <w:color w:val="auto"/>
              </w:rPr>
              <w:t>POLAND</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OH 44514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(330) 757-0852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-10438765</wp:posOffset>
            </wp:positionV>
            <wp:extent cx="406019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60190" cy="10515600"/>
                    </a:xfrm>
                    <a:prstGeom prst="rect">
                      <a:avLst/>
                    </a:prstGeom>
                    <a:noFill/>
                  </pic:spPr>
                </pic:pic>
              </a:graphicData>
            </a:graphic>
          </wp:anchor>
        </w:drawing>
      </w:r>
    </w:p>
    <w:p>
      <w:pPr>
        <w:sectPr>
          <w:pgSz w:w="11900" w:h="16838" w:orient="portrait"/>
          <w:cols w:equalWidth="0" w:num="1">
            <w:col w:w="9019"/>
          </w:cols>
          <w:pgMar w:left="1440" w:top="137" w:right="1440" w:bottom="0" w:gutter="0" w:footer="0" w:header="0"/>
        </w:sectPr>
      </w:pPr>
    </w:p>
    <w:bookmarkStart w:id="208" w:name="page209"/>
    <w:bookmarkEnd w:id="208"/>
    <w:tbl>
      <w:tblPr>
        <w:tblLayout w:type="fixed"/>
        <w:tblInd w:w="2539" w:type="dxa"/>
        <w:tblCellMar>
          <w:top w:w="0" w:type="dxa"/>
          <w:left w:w="0" w:type="dxa"/>
          <w:bottom w:w="0" w:type="dxa"/>
          <w:right w:w="0" w:type="dxa"/>
        </w:tblCellMar>
      </w:tblPr>
      <w:tr>
        <w:trPr>
          <w:trHeight w:val="136"/>
        </w:trPr>
        <w:tc>
          <w:tcPr>
            <w:tcW w:w="1560" w:type="dxa"/>
            <w:vAlign w:val="bottom"/>
          </w:tcPr>
          <w:p>
            <w:pPr>
              <w:spacing w:after="0"/>
              <w:rPr>
                <w:sz w:val="20"/>
                <w:szCs w:val="20"/>
                <w:color w:val="auto"/>
              </w:rPr>
            </w:pPr>
            <w:r>
              <w:rPr>
                <w:rFonts w:ascii="Arial" w:cs="Arial" w:eastAsia="Arial" w:hAnsi="Arial"/>
                <w:sz w:val="11"/>
                <w:szCs w:val="11"/>
                <w:color w:val="auto"/>
              </w:rPr>
              <w:t>9388 CHASE (JPMORGAN)</w:t>
            </w:r>
          </w:p>
        </w:tc>
        <w:tc>
          <w:tcPr>
            <w:tcW w:w="2120" w:type="dxa"/>
            <w:vAlign w:val="bottom"/>
          </w:tcPr>
          <w:p>
            <w:pPr>
              <w:ind w:left="200"/>
              <w:spacing w:after="0"/>
              <w:rPr>
                <w:sz w:val="20"/>
                <w:szCs w:val="20"/>
                <w:color w:val="auto"/>
              </w:rPr>
            </w:pPr>
            <w:r>
              <w:rPr>
                <w:rFonts w:ascii="Arial" w:cs="Arial" w:eastAsia="Arial" w:hAnsi="Arial"/>
                <w:sz w:val="11"/>
                <w:szCs w:val="11"/>
                <w:color w:val="auto"/>
              </w:rPr>
              <w:t>2655 RICHMOND AVE</w:t>
            </w:r>
          </w:p>
        </w:tc>
        <w:tc>
          <w:tcPr>
            <w:tcW w:w="980" w:type="dxa"/>
            <w:vAlign w:val="bottom"/>
          </w:tcPr>
          <w:p>
            <w:pPr>
              <w:ind w:left="60"/>
              <w:spacing w:after="0"/>
              <w:rPr>
                <w:sz w:val="20"/>
                <w:szCs w:val="20"/>
                <w:color w:val="auto"/>
              </w:rPr>
            </w:pPr>
            <w:r>
              <w:rPr>
                <w:rFonts w:ascii="Arial" w:cs="Arial" w:eastAsia="Arial" w:hAnsi="Arial"/>
                <w:sz w:val="11"/>
                <w:szCs w:val="11"/>
                <w:color w:val="auto"/>
              </w:rPr>
              <w:t>STATEN ISLAND</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NY 10314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(718) 370-3623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9390 CHASE (JPMORGAN)</w:t>
            </w:r>
          </w:p>
        </w:tc>
        <w:tc>
          <w:tcPr>
            <w:tcW w:w="2120" w:type="dxa"/>
            <w:vAlign w:val="bottom"/>
          </w:tcPr>
          <w:p>
            <w:pPr>
              <w:ind w:left="200"/>
              <w:spacing w:after="0"/>
              <w:rPr>
                <w:sz w:val="20"/>
                <w:szCs w:val="20"/>
                <w:color w:val="auto"/>
              </w:rPr>
            </w:pPr>
            <w:r>
              <w:rPr>
                <w:rFonts w:ascii="Arial" w:cs="Arial" w:eastAsia="Arial" w:hAnsi="Arial"/>
                <w:sz w:val="11"/>
                <w:szCs w:val="11"/>
                <w:color w:val="auto"/>
              </w:rPr>
              <w:t>303 SOUTH MAIN</w:t>
            </w:r>
          </w:p>
        </w:tc>
        <w:tc>
          <w:tcPr>
            <w:tcW w:w="980" w:type="dxa"/>
            <w:vAlign w:val="bottom"/>
          </w:tcPr>
          <w:p>
            <w:pPr>
              <w:ind w:left="60"/>
              <w:spacing w:after="0"/>
              <w:rPr>
                <w:sz w:val="20"/>
                <w:szCs w:val="20"/>
                <w:color w:val="auto"/>
              </w:rPr>
            </w:pPr>
            <w:r>
              <w:rPr>
                <w:rFonts w:ascii="Arial" w:cs="Arial" w:eastAsia="Arial" w:hAnsi="Arial"/>
                <w:sz w:val="11"/>
                <w:szCs w:val="11"/>
                <w:color w:val="auto"/>
              </w:rPr>
              <w:t>DUNCANVILLE</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TX 75116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(972) 780-4207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9391 CITIZENS BANK</w:t>
            </w:r>
          </w:p>
        </w:tc>
        <w:tc>
          <w:tcPr>
            <w:tcW w:w="2120" w:type="dxa"/>
            <w:vAlign w:val="bottom"/>
          </w:tcPr>
          <w:p>
            <w:pPr>
              <w:ind w:left="200"/>
              <w:spacing w:after="0"/>
              <w:rPr>
                <w:sz w:val="20"/>
                <w:szCs w:val="20"/>
                <w:color w:val="auto"/>
              </w:rPr>
            </w:pPr>
            <w:r>
              <w:rPr>
                <w:rFonts w:ascii="Arial" w:cs="Arial" w:eastAsia="Arial" w:hAnsi="Arial"/>
                <w:sz w:val="11"/>
                <w:szCs w:val="11"/>
                <w:color w:val="auto"/>
              </w:rPr>
              <w:t>2084 NAMANS ROAD</w:t>
            </w:r>
          </w:p>
        </w:tc>
        <w:tc>
          <w:tcPr>
            <w:tcW w:w="980" w:type="dxa"/>
            <w:vAlign w:val="bottom"/>
          </w:tcPr>
          <w:p>
            <w:pPr>
              <w:ind w:left="60"/>
              <w:spacing w:after="0"/>
              <w:rPr>
                <w:sz w:val="20"/>
                <w:szCs w:val="20"/>
                <w:color w:val="auto"/>
              </w:rPr>
            </w:pPr>
            <w:r>
              <w:rPr>
                <w:rFonts w:ascii="Arial" w:cs="Arial" w:eastAsia="Arial" w:hAnsi="Arial"/>
                <w:sz w:val="11"/>
                <w:szCs w:val="11"/>
                <w:color w:val="auto"/>
              </w:rPr>
              <w:t>WILMINGTON</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DE 19808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(302) 421-2358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9393 CHASE (JPMORGAN)</w:t>
            </w:r>
          </w:p>
        </w:tc>
        <w:tc>
          <w:tcPr>
            <w:tcW w:w="2120" w:type="dxa"/>
            <w:vAlign w:val="bottom"/>
          </w:tcPr>
          <w:p>
            <w:pPr>
              <w:ind w:left="200"/>
              <w:spacing w:after="0"/>
              <w:rPr>
                <w:sz w:val="20"/>
                <w:szCs w:val="20"/>
                <w:color w:val="auto"/>
              </w:rPr>
            </w:pPr>
            <w:r>
              <w:rPr>
                <w:rFonts w:ascii="Arial" w:cs="Arial" w:eastAsia="Arial" w:hAnsi="Arial"/>
                <w:sz w:val="11"/>
                <w:szCs w:val="11"/>
                <w:color w:val="auto"/>
                <w:w w:val="92"/>
              </w:rPr>
              <w:t>600 SOUTH TYLER STREET, SUITE 100</w:t>
            </w:r>
          </w:p>
        </w:tc>
        <w:tc>
          <w:tcPr>
            <w:tcW w:w="980" w:type="dxa"/>
            <w:vAlign w:val="bottom"/>
          </w:tcPr>
          <w:p>
            <w:pPr>
              <w:ind w:left="60"/>
              <w:spacing w:after="0"/>
              <w:rPr>
                <w:sz w:val="20"/>
                <w:szCs w:val="20"/>
                <w:color w:val="auto"/>
              </w:rPr>
            </w:pPr>
            <w:r>
              <w:rPr>
                <w:rFonts w:ascii="Arial" w:cs="Arial" w:eastAsia="Arial" w:hAnsi="Arial"/>
                <w:sz w:val="11"/>
                <w:szCs w:val="11"/>
                <w:color w:val="auto"/>
              </w:rPr>
              <w:t>AMARILLO</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TX 79101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(806) 378-3100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9395 CHASE (JPMORGAN)</w:t>
            </w:r>
          </w:p>
        </w:tc>
        <w:tc>
          <w:tcPr>
            <w:tcW w:w="2120" w:type="dxa"/>
            <w:vAlign w:val="bottom"/>
          </w:tcPr>
          <w:p>
            <w:pPr>
              <w:ind w:left="200"/>
              <w:spacing w:after="0"/>
              <w:rPr>
                <w:sz w:val="20"/>
                <w:szCs w:val="20"/>
                <w:color w:val="auto"/>
              </w:rPr>
            </w:pPr>
            <w:r>
              <w:rPr>
                <w:rFonts w:ascii="Arial" w:cs="Arial" w:eastAsia="Arial" w:hAnsi="Arial"/>
                <w:sz w:val="11"/>
                <w:szCs w:val="11"/>
                <w:color w:val="auto"/>
              </w:rPr>
              <w:t>7979 PLAZA BLVD</w:t>
            </w:r>
          </w:p>
        </w:tc>
        <w:tc>
          <w:tcPr>
            <w:tcW w:w="980" w:type="dxa"/>
            <w:vAlign w:val="bottom"/>
          </w:tcPr>
          <w:p>
            <w:pPr>
              <w:ind w:left="60"/>
              <w:spacing w:after="0"/>
              <w:rPr>
                <w:sz w:val="20"/>
                <w:szCs w:val="20"/>
                <w:color w:val="auto"/>
              </w:rPr>
            </w:pPr>
            <w:r>
              <w:rPr>
                <w:rFonts w:ascii="Arial" w:cs="Arial" w:eastAsia="Arial" w:hAnsi="Arial"/>
                <w:sz w:val="11"/>
                <w:szCs w:val="11"/>
                <w:color w:val="auto"/>
              </w:rPr>
              <w:t>MENTOR</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OH 44060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(440) 352-5530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9396 BANK OF AMERICA</w:t>
            </w:r>
          </w:p>
        </w:tc>
        <w:tc>
          <w:tcPr>
            <w:tcW w:w="2120" w:type="dxa"/>
            <w:vAlign w:val="bottom"/>
          </w:tcPr>
          <w:p>
            <w:pPr>
              <w:ind w:left="200"/>
              <w:spacing w:after="0"/>
              <w:rPr>
                <w:sz w:val="20"/>
                <w:szCs w:val="20"/>
                <w:color w:val="auto"/>
              </w:rPr>
            </w:pPr>
            <w:r>
              <w:rPr>
                <w:rFonts w:ascii="Arial" w:cs="Arial" w:eastAsia="Arial" w:hAnsi="Arial"/>
                <w:sz w:val="11"/>
                <w:szCs w:val="11"/>
                <w:color w:val="auto"/>
              </w:rPr>
              <w:t>236 West DeKalb Pike</w:t>
            </w:r>
          </w:p>
        </w:tc>
        <w:tc>
          <w:tcPr>
            <w:tcW w:w="980" w:type="dxa"/>
            <w:vAlign w:val="bottom"/>
          </w:tcPr>
          <w:p>
            <w:pPr>
              <w:ind w:left="60"/>
              <w:spacing w:after="0"/>
              <w:rPr>
                <w:sz w:val="20"/>
                <w:szCs w:val="20"/>
                <w:color w:val="auto"/>
              </w:rPr>
            </w:pPr>
            <w:r>
              <w:rPr>
                <w:rFonts w:ascii="Arial" w:cs="Arial" w:eastAsia="Arial" w:hAnsi="Arial"/>
                <w:sz w:val="11"/>
                <w:szCs w:val="11"/>
                <w:color w:val="auto"/>
              </w:rPr>
              <w:t>King of Prussia</w:t>
            </w:r>
          </w:p>
        </w:tc>
        <w:tc>
          <w:tcPr>
            <w:tcW w:w="260" w:type="dxa"/>
            <w:vAlign w:val="bottom"/>
          </w:tcPr>
          <w:p>
            <w:pPr>
              <w:ind w:left="100"/>
              <w:spacing w:after="0"/>
              <w:rPr>
                <w:sz w:val="20"/>
                <w:szCs w:val="20"/>
                <w:color w:val="auto"/>
              </w:rPr>
            </w:pPr>
            <w:r>
              <w:rPr>
                <w:rFonts w:ascii="Arial" w:cs="Arial" w:eastAsia="Arial" w:hAnsi="Arial"/>
                <w:sz w:val="11"/>
                <w:szCs w:val="11"/>
                <w:color w:val="auto"/>
                <w:w w:val="95"/>
              </w:rPr>
              <w:t>PA</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19406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(800) 841-4000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9400 BANK OF AMERICA</w:t>
            </w:r>
          </w:p>
        </w:tc>
        <w:tc>
          <w:tcPr>
            <w:tcW w:w="2120" w:type="dxa"/>
            <w:vAlign w:val="bottom"/>
          </w:tcPr>
          <w:p>
            <w:pPr>
              <w:ind w:left="200"/>
              <w:spacing w:after="0"/>
              <w:rPr>
                <w:sz w:val="20"/>
                <w:szCs w:val="20"/>
                <w:color w:val="auto"/>
              </w:rPr>
            </w:pPr>
            <w:r>
              <w:rPr>
                <w:rFonts w:ascii="Arial" w:cs="Arial" w:eastAsia="Arial" w:hAnsi="Arial"/>
                <w:sz w:val="11"/>
                <w:szCs w:val="11"/>
                <w:color w:val="auto"/>
              </w:rPr>
              <w:t>700 Plaza Drive</w:t>
            </w:r>
          </w:p>
        </w:tc>
        <w:tc>
          <w:tcPr>
            <w:tcW w:w="980" w:type="dxa"/>
            <w:vAlign w:val="bottom"/>
          </w:tcPr>
          <w:p>
            <w:pPr>
              <w:ind w:left="60"/>
              <w:spacing w:after="0"/>
              <w:rPr>
                <w:sz w:val="20"/>
                <w:szCs w:val="20"/>
                <w:color w:val="auto"/>
              </w:rPr>
            </w:pPr>
            <w:r>
              <w:rPr>
                <w:rFonts w:ascii="Arial" w:cs="Arial" w:eastAsia="Arial" w:hAnsi="Arial"/>
                <w:sz w:val="11"/>
                <w:szCs w:val="11"/>
                <w:color w:val="auto"/>
              </w:rPr>
              <w:t>Secaucus</w:t>
            </w:r>
          </w:p>
        </w:tc>
        <w:tc>
          <w:tcPr>
            <w:tcW w:w="260" w:type="dxa"/>
            <w:vAlign w:val="bottom"/>
          </w:tcPr>
          <w:p>
            <w:pPr>
              <w:ind w:left="100"/>
              <w:spacing w:after="0"/>
              <w:rPr>
                <w:sz w:val="20"/>
                <w:szCs w:val="20"/>
                <w:color w:val="auto"/>
              </w:rPr>
            </w:pPr>
            <w:r>
              <w:rPr>
                <w:rFonts w:ascii="Arial" w:cs="Arial" w:eastAsia="Arial" w:hAnsi="Arial"/>
                <w:sz w:val="11"/>
                <w:szCs w:val="11"/>
                <w:color w:val="auto"/>
              </w:rPr>
              <w:t>NJ</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07094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(800) 841-4000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9401 FIRST NIAGARA BANK</w:t>
            </w:r>
          </w:p>
        </w:tc>
        <w:tc>
          <w:tcPr>
            <w:tcW w:w="212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1"/>
                <w:szCs w:val="11"/>
                <w:color w:val="auto"/>
              </w:rPr>
              <w:t>JOHNSON CITY</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NY 13790</w:t>
            </w: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800-975-4722</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53"/>
        </w:trPr>
        <w:tc>
          <w:tcPr>
            <w:tcW w:w="1560" w:type="dxa"/>
            <w:vAlign w:val="bottom"/>
          </w:tcPr>
          <w:p>
            <w:pPr>
              <w:spacing w:after="0"/>
              <w:rPr>
                <w:sz w:val="20"/>
                <w:szCs w:val="20"/>
                <w:color w:val="auto"/>
              </w:rPr>
            </w:pPr>
            <w:r>
              <w:rPr>
                <w:rFonts w:ascii="Arial" w:cs="Arial" w:eastAsia="Arial" w:hAnsi="Arial"/>
                <w:sz w:val="11"/>
                <w:szCs w:val="11"/>
                <w:color w:val="auto"/>
              </w:rPr>
              <w:t>9404 BANK OF AMERICA</w:t>
            </w:r>
          </w:p>
        </w:tc>
        <w:tc>
          <w:tcPr>
            <w:tcW w:w="2120" w:type="dxa"/>
            <w:vAlign w:val="bottom"/>
          </w:tcPr>
          <w:p>
            <w:pPr>
              <w:ind w:left="200"/>
              <w:spacing w:after="0"/>
              <w:rPr>
                <w:sz w:val="20"/>
                <w:szCs w:val="20"/>
                <w:color w:val="auto"/>
              </w:rPr>
            </w:pPr>
            <w:r>
              <w:rPr>
                <w:rFonts w:ascii="Arial" w:cs="Arial" w:eastAsia="Arial" w:hAnsi="Arial"/>
                <w:sz w:val="11"/>
                <w:szCs w:val="11"/>
                <w:color w:val="auto"/>
              </w:rPr>
              <w:t>5144 82ND STREET</w:t>
            </w:r>
          </w:p>
        </w:tc>
        <w:tc>
          <w:tcPr>
            <w:tcW w:w="980" w:type="dxa"/>
            <w:vAlign w:val="bottom"/>
          </w:tcPr>
          <w:p>
            <w:pPr>
              <w:ind w:left="60"/>
              <w:spacing w:after="0"/>
              <w:rPr>
                <w:sz w:val="20"/>
                <w:szCs w:val="20"/>
                <w:color w:val="auto"/>
              </w:rPr>
            </w:pPr>
            <w:r>
              <w:rPr>
                <w:rFonts w:ascii="Arial" w:cs="Arial" w:eastAsia="Arial" w:hAnsi="Arial"/>
                <w:sz w:val="11"/>
                <w:szCs w:val="11"/>
                <w:color w:val="auto"/>
              </w:rPr>
              <w:t>LUBBOCK</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TX 79424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(806) 798-4900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9405 BANK OF AMERICA</w:t>
            </w: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53"/>
        </w:trPr>
        <w:tc>
          <w:tcPr>
            <w:tcW w:w="1560" w:type="dxa"/>
            <w:vAlign w:val="bottom"/>
          </w:tcPr>
          <w:p>
            <w:pPr>
              <w:spacing w:after="0"/>
              <w:rPr>
                <w:sz w:val="20"/>
                <w:szCs w:val="20"/>
                <w:color w:val="auto"/>
              </w:rPr>
            </w:pPr>
            <w:r>
              <w:rPr>
                <w:rFonts w:ascii="Arial" w:cs="Arial" w:eastAsia="Arial" w:hAnsi="Arial"/>
                <w:sz w:val="11"/>
                <w:szCs w:val="11"/>
                <w:color w:val="auto"/>
              </w:rPr>
              <w:t>9406 CHASE (JPMORGAN)</w:t>
            </w:r>
          </w:p>
        </w:tc>
        <w:tc>
          <w:tcPr>
            <w:tcW w:w="2120" w:type="dxa"/>
            <w:vAlign w:val="bottom"/>
          </w:tcPr>
          <w:p>
            <w:pPr>
              <w:ind w:left="200"/>
              <w:spacing w:after="0"/>
              <w:rPr>
                <w:sz w:val="20"/>
                <w:szCs w:val="20"/>
                <w:color w:val="auto"/>
              </w:rPr>
            </w:pPr>
            <w:r>
              <w:rPr>
                <w:rFonts w:ascii="Arial" w:cs="Arial" w:eastAsia="Arial" w:hAnsi="Arial"/>
                <w:sz w:val="11"/>
                <w:szCs w:val="11"/>
                <w:color w:val="auto"/>
              </w:rPr>
              <w:t>124 SOUTHWEST ADAMS STREET</w:t>
            </w:r>
          </w:p>
        </w:tc>
        <w:tc>
          <w:tcPr>
            <w:tcW w:w="980" w:type="dxa"/>
            <w:vAlign w:val="bottom"/>
          </w:tcPr>
          <w:p>
            <w:pPr>
              <w:ind w:left="60"/>
              <w:spacing w:after="0"/>
              <w:rPr>
                <w:sz w:val="20"/>
                <w:szCs w:val="20"/>
                <w:color w:val="auto"/>
              </w:rPr>
            </w:pPr>
            <w:r>
              <w:rPr>
                <w:rFonts w:ascii="Arial" w:cs="Arial" w:eastAsia="Arial" w:hAnsi="Arial"/>
                <w:sz w:val="11"/>
                <w:szCs w:val="11"/>
                <w:color w:val="auto"/>
              </w:rPr>
              <w:t>PEORIA</w:t>
            </w:r>
          </w:p>
        </w:tc>
        <w:tc>
          <w:tcPr>
            <w:tcW w:w="260" w:type="dxa"/>
            <w:vAlign w:val="bottom"/>
          </w:tcPr>
          <w:p>
            <w:pPr>
              <w:ind w:left="100"/>
              <w:spacing w:after="0"/>
              <w:rPr>
                <w:sz w:val="20"/>
                <w:szCs w:val="20"/>
                <w:color w:val="auto"/>
              </w:rPr>
            </w:pPr>
            <w:r>
              <w:rPr>
                <w:rFonts w:ascii="Arial" w:cs="Arial" w:eastAsia="Arial" w:hAnsi="Arial"/>
                <w:sz w:val="11"/>
                <w:szCs w:val="11"/>
                <w:color w:val="auto"/>
              </w:rPr>
              <w:t>IL</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61604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(309) 672-6123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9407 BANK OF AMERICA</w:t>
            </w:r>
          </w:p>
        </w:tc>
        <w:tc>
          <w:tcPr>
            <w:tcW w:w="2120" w:type="dxa"/>
            <w:vAlign w:val="bottom"/>
          </w:tcPr>
          <w:p>
            <w:pPr>
              <w:ind w:left="200"/>
              <w:spacing w:after="0"/>
              <w:rPr>
                <w:sz w:val="20"/>
                <w:szCs w:val="20"/>
                <w:color w:val="auto"/>
              </w:rPr>
            </w:pPr>
            <w:r>
              <w:rPr>
                <w:rFonts w:ascii="Arial" w:cs="Arial" w:eastAsia="Arial" w:hAnsi="Arial"/>
                <w:sz w:val="11"/>
                <w:szCs w:val="11"/>
                <w:color w:val="auto"/>
              </w:rPr>
              <w:t>9505 PINEVILLE-MATTHEWS ROAD</w:t>
            </w:r>
          </w:p>
        </w:tc>
        <w:tc>
          <w:tcPr>
            <w:tcW w:w="980" w:type="dxa"/>
            <w:vAlign w:val="bottom"/>
          </w:tcPr>
          <w:p>
            <w:pPr>
              <w:ind w:left="60"/>
              <w:spacing w:after="0"/>
              <w:rPr>
                <w:sz w:val="20"/>
                <w:szCs w:val="20"/>
                <w:color w:val="auto"/>
              </w:rPr>
            </w:pPr>
            <w:r>
              <w:rPr>
                <w:rFonts w:ascii="Arial" w:cs="Arial" w:eastAsia="Arial" w:hAnsi="Arial"/>
                <w:sz w:val="11"/>
                <w:szCs w:val="11"/>
                <w:color w:val="auto"/>
              </w:rPr>
              <w:t>PINEVILLE</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NC 28134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(704) 386-3980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9409 US BANK</w:t>
            </w:r>
          </w:p>
        </w:tc>
        <w:tc>
          <w:tcPr>
            <w:tcW w:w="2120" w:type="dxa"/>
            <w:vAlign w:val="bottom"/>
          </w:tcPr>
          <w:p>
            <w:pPr>
              <w:ind w:left="200"/>
              <w:spacing w:after="0"/>
              <w:rPr>
                <w:sz w:val="20"/>
                <w:szCs w:val="20"/>
                <w:color w:val="auto"/>
              </w:rPr>
            </w:pPr>
            <w:r>
              <w:rPr>
                <w:rFonts w:ascii="Arial" w:cs="Arial" w:eastAsia="Arial" w:hAnsi="Arial"/>
                <w:sz w:val="11"/>
                <w:szCs w:val="11"/>
                <w:color w:val="auto"/>
              </w:rPr>
              <w:t>900 WEST COUNT ROAD 42</w:t>
            </w:r>
          </w:p>
        </w:tc>
        <w:tc>
          <w:tcPr>
            <w:tcW w:w="980" w:type="dxa"/>
            <w:vAlign w:val="bottom"/>
          </w:tcPr>
          <w:p>
            <w:pPr>
              <w:ind w:left="60"/>
              <w:spacing w:after="0"/>
              <w:rPr>
                <w:sz w:val="20"/>
                <w:szCs w:val="20"/>
                <w:color w:val="auto"/>
              </w:rPr>
            </w:pPr>
            <w:r>
              <w:rPr>
                <w:rFonts w:ascii="Arial" w:cs="Arial" w:eastAsia="Arial" w:hAnsi="Arial"/>
                <w:sz w:val="11"/>
                <w:szCs w:val="11"/>
                <w:color w:val="auto"/>
              </w:rPr>
              <w:t>BURNSVILLE</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MN 55337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(952) 435-3235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9412 BANK OF AMERICA</w:t>
            </w:r>
          </w:p>
        </w:tc>
        <w:tc>
          <w:tcPr>
            <w:tcW w:w="2120" w:type="dxa"/>
            <w:vAlign w:val="bottom"/>
          </w:tcPr>
          <w:p>
            <w:pPr>
              <w:ind w:left="200"/>
              <w:spacing w:after="0"/>
              <w:rPr>
                <w:sz w:val="20"/>
                <w:szCs w:val="20"/>
                <w:color w:val="auto"/>
              </w:rPr>
            </w:pPr>
            <w:r>
              <w:rPr>
                <w:rFonts w:ascii="Arial" w:cs="Arial" w:eastAsia="Arial" w:hAnsi="Arial"/>
                <w:sz w:val="11"/>
                <w:szCs w:val="11"/>
                <w:color w:val="auto"/>
              </w:rPr>
              <w:t>41 Beacon Street</w:t>
            </w:r>
          </w:p>
        </w:tc>
        <w:tc>
          <w:tcPr>
            <w:tcW w:w="980" w:type="dxa"/>
            <w:vAlign w:val="bottom"/>
          </w:tcPr>
          <w:p>
            <w:pPr>
              <w:ind w:left="60"/>
              <w:spacing w:after="0"/>
              <w:rPr>
                <w:sz w:val="20"/>
                <w:szCs w:val="20"/>
                <w:color w:val="auto"/>
              </w:rPr>
            </w:pPr>
            <w:r>
              <w:rPr>
                <w:rFonts w:ascii="Arial" w:cs="Arial" w:eastAsia="Arial" w:hAnsi="Arial"/>
                <w:sz w:val="11"/>
                <w:szCs w:val="11"/>
                <w:color w:val="auto"/>
              </w:rPr>
              <w:t>Framingham</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MA 01701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(800) 841-4000 ***</w:t>
            </w:r>
          </w:p>
        </w:tc>
      </w:tr>
      <w:tr>
        <w:trPr>
          <w:trHeight w:val="282"/>
        </w:trPr>
        <w:tc>
          <w:tcPr>
            <w:tcW w:w="1560" w:type="dxa"/>
            <w:vAlign w:val="bottom"/>
          </w:tcPr>
          <w:p>
            <w:pPr>
              <w:spacing w:after="0"/>
              <w:rPr>
                <w:sz w:val="20"/>
                <w:szCs w:val="20"/>
                <w:color w:val="auto"/>
              </w:rPr>
            </w:pPr>
            <w:r>
              <w:rPr>
                <w:rFonts w:ascii="Arial" w:cs="Arial" w:eastAsia="Arial" w:hAnsi="Arial"/>
                <w:sz w:val="11"/>
                <w:szCs w:val="11"/>
                <w:color w:val="auto"/>
              </w:rPr>
              <w:t>9413 CHASE (JPMORGAN)</w:t>
            </w:r>
          </w:p>
        </w:tc>
        <w:tc>
          <w:tcPr>
            <w:tcW w:w="2120" w:type="dxa"/>
            <w:vAlign w:val="bottom"/>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1"/>
                <w:szCs w:val="11"/>
                <w:color w:val="auto"/>
              </w:rPr>
              <w:t>SAN ANTONIO</w:t>
            </w:r>
          </w:p>
        </w:tc>
        <w:tc>
          <w:tcPr>
            <w:tcW w:w="700" w:type="dxa"/>
            <w:vAlign w:val="bottom"/>
            <w:gridSpan w:val="2"/>
          </w:tcPr>
          <w:p>
            <w:pPr>
              <w:ind w:left="100"/>
              <w:spacing w:after="0"/>
              <w:rPr>
                <w:sz w:val="20"/>
                <w:szCs w:val="20"/>
                <w:color w:val="auto"/>
              </w:rPr>
            </w:pPr>
            <w:r>
              <w:rPr>
                <w:rFonts w:ascii="Arial" w:cs="Arial" w:eastAsia="Arial" w:hAnsi="Arial"/>
                <w:sz w:val="11"/>
                <w:szCs w:val="11"/>
                <w:color w:val="auto"/>
              </w:rPr>
              <w:t>TX 78216</w:t>
            </w:r>
          </w:p>
        </w:tc>
        <w:tc>
          <w:tcPr>
            <w:tcW w:w="8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1753870</wp:posOffset>
            </wp:positionH>
            <wp:positionV relativeFrom="page">
              <wp:posOffset>88900</wp:posOffset>
            </wp:positionV>
            <wp:extent cx="4060190" cy="2843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60190" cy="2843530"/>
                    </a:xfrm>
                    <a:prstGeom prst="rect">
                      <a:avLst/>
                    </a:prstGeom>
                    <a:noFill/>
                  </pic:spPr>
                </pic:pic>
              </a:graphicData>
            </a:graphic>
          </wp:anchor>
        </w:drawing>
      </w:r>
    </w:p>
    <w:p>
      <w:pPr>
        <w:ind w:left="259" w:hanging="259"/>
        <w:spacing w:after="0"/>
        <w:tabs>
          <w:tab w:leader="none" w:pos="259" w:val="left"/>
        </w:tabs>
        <w:numPr>
          <w:ilvl w:val="0"/>
          <w:numId w:val="214"/>
        </w:numPr>
        <w:rPr>
          <w:rFonts w:ascii="Arial" w:cs="Arial" w:eastAsia="Arial" w:hAnsi="Arial"/>
          <w:sz w:val="14"/>
          <w:szCs w:val="14"/>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39"/>
          </w:cols>
          <w:pgMar w:left="221" w:top="157" w:right="1440" w:bottom="1440" w:gutter="0" w:footer="0" w:header="0"/>
        </w:sectPr>
      </w:pPr>
    </w:p>
    <w:bookmarkStart w:id="209" w:name="page210"/>
    <w:bookmarkEnd w:id="209"/>
    <w:tbl>
      <w:tblPr>
        <w:tblLayout w:type="fixed"/>
        <w:tblInd w:w="1320" w:type="dxa"/>
        <w:tblCellMar>
          <w:top w:w="0" w:type="dxa"/>
          <w:left w:w="0" w:type="dxa"/>
          <w:bottom w:w="0" w:type="dxa"/>
          <w:right w:w="0" w:type="dxa"/>
        </w:tblCellMar>
      </w:tblPr>
      <w:tr>
        <w:trPr>
          <w:trHeight w:val="126"/>
        </w:trPr>
        <w:tc>
          <w:tcPr>
            <w:tcW w:w="1640" w:type="dxa"/>
            <w:vAlign w:val="bottom"/>
          </w:tcPr>
          <w:p>
            <w:pPr>
              <w:spacing w:after="0"/>
              <w:rPr>
                <w:sz w:val="20"/>
                <w:szCs w:val="20"/>
                <w:color w:val="auto"/>
              </w:rPr>
            </w:pPr>
            <w:r>
              <w:rPr>
                <w:rFonts w:ascii="Arial" w:cs="Arial" w:eastAsia="Arial" w:hAnsi="Arial"/>
                <w:sz w:val="11"/>
                <w:szCs w:val="11"/>
                <w:color w:val="auto"/>
              </w:rPr>
              <w:t>9414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6605 UPTOWN BLVD NE</w:t>
            </w:r>
          </w:p>
        </w:tc>
        <w:tc>
          <w:tcPr>
            <w:tcW w:w="1060" w:type="dxa"/>
            <w:vAlign w:val="bottom"/>
          </w:tcPr>
          <w:p>
            <w:pPr>
              <w:ind w:left="60"/>
              <w:spacing w:after="0"/>
              <w:rPr>
                <w:sz w:val="20"/>
                <w:szCs w:val="20"/>
                <w:color w:val="auto"/>
              </w:rPr>
            </w:pPr>
            <w:r>
              <w:rPr>
                <w:rFonts w:ascii="Arial" w:cs="Arial" w:eastAsia="Arial" w:hAnsi="Arial"/>
                <w:sz w:val="11"/>
                <w:szCs w:val="11"/>
                <w:color w:val="auto"/>
              </w:rPr>
              <w:t>ALBUQUERQUE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NM 87110</w:t>
            </w:r>
          </w:p>
        </w:tc>
        <w:tc>
          <w:tcPr>
            <w:tcW w:w="660" w:type="dxa"/>
            <w:vAlign w:val="bottom"/>
          </w:tcPr>
          <w:p>
            <w:pPr>
              <w:ind w:left="100"/>
              <w:spacing w:after="0"/>
              <w:rPr>
                <w:sz w:val="20"/>
                <w:szCs w:val="20"/>
                <w:color w:val="auto"/>
              </w:rPr>
            </w:pPr>
            <w:r>
              <w:rPr>
                <w:rFonts w:ascii="Arial" w:cs="Arial" w:eastAsia="Arial" w:hAnsi="Arial"/>
                <w:sz w:val="11"/>
                <w:szCs w:val="11"/>
                <w:color w:val="auto"/>
              </w:rPr>
              <w:t>(505) 282-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3030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9415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241-42 S. Conduit Blvd</w:t>
            </w:r>
          </w:p>
        </w:tc>
        <w:tc>
          <w:tcPr>
            <w:tcW w:w="1060" w:type="dxa"/>
            <w:vAlign w:val="bottom"/>
          </w:tcPr>
          <w:p>
            <w:pPr>
              <w:ind w:left="60"/>
              <w:spacing w:after="0"/>
              <w:rPr>
                <w:sz w:val="20"/>
                <w:szCs w:val="20"/>
                <w:color w:val="auto"/>
              </w:rPr>
            </w:pPr>
            <w:r>
              <w:rPr>
                <w:rFonts w:ascii="Arial" w:cs="Arial" w:eastAsia="Arial" w:hAnsi="Arial"/>
                <w:sz w:val="11"/>
                <w:szCs w:val="11"/>
                <w:color w:val="auto"/>
              </w:rPr>
              <w:t>Rosedale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NY 11422</w:t>
            </w:r>
          </w:p>
        </w:tc>
        <w:tc>
          <w:tcPr>
            <w:tcW w:w="660" w:type="dxa"/>
            <w:vAlign w:val="bottom"/>
          </w:tcPr>
          <w:p>
            <w:pPr>
              <w:ind w:left="10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9417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3802 S. ALAMEDA</w:t>
            </w:r>
          </w:p>
        </w:tc>
        <w:tc>
          <w:tcPr>
            <w:tcW w:w="1060" w:type="dxa"/>
            <w:vAlign w:val="bottom"/>
          </w:tcPr>
          <w:p>
            <w:pPr>
              <w:ind w:left="60"/>
              <w:spacing w:after="0"/>
              <w:rPr>
                <w:sz w:val="20"/>
                <w:szCs w:val="20"/>
                <w:color w:val="auto"/>
              </w:rPr>
            </w:pPr>
            <w:r>
              <w:rPr>
                <w:rFonts w:ascii="Arial" w:cs="Arial" w:eastAsia="Arial" w:hAnsi="Arial"/>
                <w:sz w:val="11"/>
                <w:szCs w:val="11"/>
                <w:color w:val="auto"/>
              </w:rPr>
              <w:t>CORPUS CHIRSTI</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78404</w:t>
            </w:r>
          </w:p>
        </w:tc>
        <w:tc>
          <w:tcPr>
            <w:tcW w:w="660" w:type="dxa"/>
            <w:vAlign w:val="bottom"/>
          </w:tcPr>
          <w:p>
            <w:pPr>
              <w:ind w:left="100"/>
              <w:spacing w:after="0"/>
              <w:rPr>
                <w:sz w:val="20"/>
                <w:szCs w:val="20"/>
                <w:color w:val="auto"/>
              </w:rPr>
            </w:pPr>
            <w:r>
              <w:rPr>
                <w:rFonts w:ascii="Arial" w:cs="Arial" w:eastAsia="Arial" w:hAnsi="Arial"/>
                <w:sz w:val="11"/>
                <w:szCs w:val="11"/>
                <w:color w:val="auto"/>
              </w:rPr>
              <w:t>(361) 851-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6600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9419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7676 MCPHERSON ROAD</w:t>
            </w:r>
          </w:p>
        </w:tc>
        <w:tc>
          <w:tcPr>
            <w:tcW w:w="1060" w:type="dxa"/>
            <w:vAlign w:val="bottom"/>
          </w:tcPr>
          <w:p>
            <w:pPr>
              <w:ind w:left="60"/>
              <w:spacing w:after="0"/>
              <w:rPr>
                <w:sz w:val="20"/>
                <w:szCs w:val="20"/>
                <w:color w:val="auto"/>
              </w:rPr>
            </w:pPr>
            <w:r>
              <w:rPr>
                <w:rFonts w:ascii="Arial" w:cs="Arial" w:eastAsia="Arial" w:hAnsi="Arial"/>
                <w:sz w:val="11"/>
                <w:szCs w:val="11"/>
                <w:color w:val="auto"/>
              </w:rPr>
              <w:t>LAREDO</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78041</w:t>
            </w:r>
          </w:p>
        </w:tc>
        <w:tc>
          <w:tcPr>
            <w:tcW w:w="660" w:type="dxa"/>
            <w:vAlign w:val="bottom"/>
          </w:tcPr>
          <w:p>
            <w:pPr>
              <w:ind w:left="100"/>
              <w:spacing w:after="0"/>
              <w:rPr>
                <w:sz w:val="20"/>
                <w:szCs w:val="20"/>
                <w:color w:val="auto"/>
              </w:rPr>
            </w:pPr>
            <w:r>
              <w:rPr>
                <w:rFonts w:ascii="Arial" w:cs="Arial" w:eastAsia="Arial" w:hAnsi="Arial"/>
                <w:sz w:val="11"/>
                <w:szCs w:val="11"/>
                <w:color w:val="auto"/>
              </w:rPr>
              <w:t>(956) 728-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6830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9421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4600 SOUTH HULEN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FT WORTH</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76132</w:t>
            </w:r>
          </w:p>
        </w:tc>
        <w:tc>
          <w:tcPr>
            <w:tcW w:w="660" w:type="dxa"/>
            <w:vAlign w:val="bottom"/>
          </w:tcPr>
          <w:p>
            <w:pPr>
              <w:ind w:left="100"/>
              <w:spacing w:after="0"/>
              <w:rPr>
                <w:sz w:val="20"/>
                <w:szCs w:val="20"/>
                <w:color w:val="auto"/>
              </w:rPr>
            </w:pPr>
            <w:r>
              <w:rPr>
                <w:rFonts w:ascii="Arial" w:cs="Arial" w:eastAsia="Arial" w:hAnsi="Arial"/>
                <w:sz w:val="11"/>
                <w:szCs w:val="11"/>
                <w:color w:val="auto"/>
              </w:rPr>
              <w:t>(817) 884-</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9422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5400 LBJ FREEWAY, STE 150</w:t>
            </w:r>
          </w:p>
        </w:tc>
        <w:tc>
          <w:tcPr>
            <w:tcW w:w="1060" w:type="dxa"/>
            <w:vAlign w:val="bottom"/>
          </w:tcPr>
          <w:p>
            <w:pPr>
              <w:ind w:left="60"/>
              <w:spacing w:after="0"/>
              <w:rPr>
                <w:sz w:val="20"/>
                <w:szCs w:val="20"/>
                <w:color w:val="auto"/>
              </w:rPr>
            </w:pPr>
            <w:r>
              <w:rPr>
                <w:rFonts w:ascii="Arial" w:cs="Arial" w:eastAsia="Arial" w:hAnsi="Arial"/>
                <w:sz w:val="11"/>
                <w:szCs w:val="11"/>
                <w:color w:val="auto"/>
              </w:rPr>
              <w:t>DALLAS</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75240</w:t>
            </w:r>
          </w:p>
        </w:tc>
        <w:tc>
          <w:tcPr>
            <w:tcW w:w="660" w:type="dxa"/>
            <w:vAlign w:val="bottom"/>
          </w:tcPr>
          <w:p>
            <w:pPr>
              <w:ind w:left="100"/>
              <w:spacing w:after="0"/>
              <w:rPr>
                <w:sz w:val="20"/>
                <w:szCs w:val="20"/>
                <w:color w:val="auto"/>
              </w:rPr>
            </w:pPr>
            <w:r>
              <w:rPr>
                <w:rFonts w:ascii="Arial" w:cs="Arial" w:eastAsia="Arial" w:hAnsi="Arial"/>
                <w:sz w:val="11"/>
                <w:szCs w:val="11"/>
                <w:color w:val="auto"/>
              </w:rPr>
              <w:t>(972) 934-</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7501</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9424 WELLS FARGO</w:t>
            </w:r>
          </w:p>
        </w:tc>
        <w:tc>
          <w:tcPr>
            <w:tcW w:w="2100" w:type="dxa"/>
            <w:vAlign w:val="bottom"/>
          </w:tcPr>
          <w:p>
            <w:pPr>
              <w:ind w:left="100"/>
              <w:spacing w:after="0"/>
              <w:rPr>
                <w:sz w:val="20"/>
                <w:szCs w:val="20"/>
                <w:color w:val="auto"/>
              </w:rPr>
            </w:pPr>
            <w:r>
              <w:rPr>
                <w:rFonts w:ascii="Arial" w:cs="Arial" w:eastAsia="Arial" w:hAnsi="Arial"/>
                <w:sz w:val="11"/>
                <w:szCs w:val="11"/>
                <w:color w:val="auto"/>
              </w:rPr>
              <w:t>53 COLONIAL PARK MALL PA 6665</w:t>
            </w:r>
          </w:p>
        </w:tc>
        <w:tc>
          <w:tcPr>
            <w:tcW w:w="1060" w:type="dxa"/>
            <w:vAlign w:val="bottom"/>
          </w:tcPr>
          <w:p>
            <w:pPr>
              <w:ind w:left="60"/>
              <w:spacing w:after="0"/>
              <w:rPr>
                <w:sz w:val="20"/>
                <w:szCs w:val="20"/>
                <w:color w:val="auto"/>
              </w:rPr>
            </w:pPr>
            <w:r>
              <w:rPr>
                <w:rFonts w:ascii="Arial" w:cs="Arial" w:eastAsia="Arial" w:hAnsi="Arial"/>
                <w:sz w:val="11"/>
                <w:szCs w:val="11"/>
                <w:color w:val="auto"/>
              </w:rPr>
              <w:t>HARRISBURG</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40"/>
              <w:spacing w:after="0"/>
              <w:rPr>
                <w:sz w:val="20"/>
                <w:szCs w:val="20"/>
                <w:color w:val="auto"/>
              </w:rPr>
            </w:pPr>
            <w:r>
              <w:rPr>
                <w:rFonts w:ascii="Arial" w:cs="Arial" w:eastAsia="Arial" w:hAnsi="Arial"/>
                <w:sz w:val="11"/>
                <w:szCs w:val="11"/>
                <w:color w:val="auto"/>
              </w:rPr>
              <w:t>17109</w:t>
            </w:r>
          </w:p>
        </w:tc>
        <w:tc>
          <w:tcPr>
            <w:tcW w:w="660" w:type="dxa"/>
            <w:vAlign w:val="bottom"/>
          </w:tcPr>
          <w:p>
            <w:pPr>
              <w:ind w:left="100"/>
              <w:spacing w:after="0"/>
              <w:rPr>
                <w:sz w:val="20"/>
                <w:szCs w:val="20"/>
                <w:color w:val="auto"/>
              </w:rPr>
            </w:pPr>
            <w:r>
              <w:rPr>
                <w:rFonts w:ascii="Arial" w:cs="Arial" w:eastAsia="Arial" w:hAnsi="Arial"/>
                <w:sz w:val="11"/>
                <w:szCs w:val="11"/>
                <w:color w:val="auto"/>
              </w:rPr>
              <w:t>(717) 657-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4065</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9428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4401 WEST WISCONSIN AVE</w:t>
            </w:r>
          </w:p>
        </w:tc>
        <w:tc>
          <w:tcPr>
            <w:tcW w:w="1060" w:type="dxa"/>
            <w:vAlign w:val="bottom"/>
          </w:tcPr>
          <w:p>
            <w:pPr>
              <w:ind w:left="60"/>
              <w:spacing w:after="0"/>
              <w:rPr>
                <w:sz w:val="20"/>
                <w:szCs w:val="20"/>
                <w:color w:val="auto"/>
              </w:rPr>
            </w:pPr>
            <w:r>
              <w:rPr>
                <w:rFonts w:ascii="Arial" w:cs="Arial" w:eastAsia="Arial" w:hAnsi="Arial"/>
                <w:sz w:val="11"/>
                <w:szCs w:val="11"/>
                <w:color w:val="auto"/>
              </w:rPr>
              <w:t>APPLETON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WI 54915</w:t>
            </w:r>
          </w:p>
        </w:tc>
        <w:tc>
          <w:tcPr>
            <w:tcW w:w="660" w:type="dxa"/>
            <w:vAlign w:val="bottom"/>
          </w:tcPr>
          <w:p>
            <w:pPr>
              <w:ind w:left="100"/>
              <w:spacing w:after="0"/>
              <w:rPr>
                <w:sz w:val="20"/>
                <w:szCs w:val="20"/>
                <w:color w:val="auto"/>
              </w:rPr>
            </w:pPr>
            <w:r>
              <w:rPr>
                <w:rFonts w:ascii="Arial" w:cs="Arial" w:eastAsia="Arial" w:hAnsi="Arial"/>
                <w:sz w:val="11"/>
                <w:szCs w:val="11"/>
                <w:color w:val="auto"/>
              </w:rPr>
              <w:t>(920) 738-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9000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9429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1212 HAWKINS BLVD</w:t>
            </w:r>
          </w:p>
        </w:tc>
        <w:tc>
          <w:tcPr>
            <w:tcW w:w="1060" w:type="dxa"/>
            <w:vAlign w:val="bottom"/>
          </w:tcPr>
          <w:p>
            <w:pPr>
              <w:ind w:left="60"/>
              <w:spacing w:after="0"/>
              <w:rPr>
                <w:sz w:val="20"/>
                <w:szCs w:val="20"/>
                <w:color w:val="auto"/>
              </w:rPr>
            </w:pPr>
            <w:r>
              <w:rPr>
                <w:rFonts w:ascii="Arial" w:cs="Arial" w:eastAsia="Arial" w:hAnsi="Arial"/>
                <w:sz w:val="11"/>
                <w:szCs w:val="11"/>
                <w:color w:val="auto"/>
              </w:rPr>
              <w:t>EL PASO</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79925</w:t>
            </w:r>
          </w:p>
        </w:tc>
        <w:tc>
          <w:tcPr>
            <w:tcW w:w="660" w:type="dxa"/>
            <w:vAlign w:val="bottom"/>
          </w:tcPr>
          <w:p>
            <w:pPr>
              <w:ind w:left="100"/>
              <w:spacing w:after="0"/>
              <w:rPr>
                <w:sz w:val="20"/>
                <w:szCs w:val="20"/>
                <w:color w:val="auto"/>
              </w:rPr>
            </w:pPr>
            <w:r>
              <w:rPr>
                <w:rFonts w:ascii="Arial" w:cs="Arial" w:eastAsia="Arial" w:hAnsi="Arial"/>
                <w:sz w:val="11"/>
                <w:szCs w:val="11"/>
                <w:color w:val="auto"/>
              </w:rPr>
              <w:t>(915) 590-</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4921</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9432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29 BLANDING BLVD</w:t>
            </w:r>
          </w:p>
        </w:tc>
        <w:tc>
          <w:tcPr>
            <w:tcW w:w="1060" w:type="dxa"/>
            <w:vAlign w:val="bottom"/>
          </w:tcPr>
          <w:p>
            <w:pPr>
              <w:ind w:left="60"/>
              <w:spacing w:after="0"/>
              <w:rPr>
                <w:sz w:val="20"/>
                <w:szCs w:val="20"/>
                <w:color w:val="auto"/>
              </w:rPr>
            </w:pPr>
            <w:r>
              <w:rPr>
                <w:rFonts w:ascii="Arial" w:cs="Arial" w:eastAsia="Arial" w:hAnsi="Arial"/>
                <w:sz w:val="11"/>
                <w:szCs w:val="11"/>
                <w:color w:val="auto"/>
              </w:rPr>
              <w:t>ORANGE PARK</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32073</w:t>
            </w:r>
          </w:p>
        </w:tc>
        <w:tc>
          <w:tcPr>
            <w:tcW w:w="660" w:type="dxa"/>
            <w:vAlign w:val="bottom"/>
          </w:tcPr>
          <w:p>
            <w:pPr>
              <w:ind w:left="100"/>
              <w:spacing w:after="0"/>
              <w:rPr>
                <w:sz w:val="20"/>
                <w:szCs w:val="20"/>
                <w:color w:val="auto"/>
              </w:rPr>
            </w:pPr>
            <w:r>
              <w:rPr>
                <w:rFonts w:ascii="Arial" w:cs="Arial" w:eastAsia="Arial" w:hAnsi="Arial"/>
                <w:sz w:val="11"/>
                <w:szCs w:val="11"/>
                <w:color w:val="auto"/>
              </w:rPr>
              <w:t>(904) 269-</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1770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9433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9550 REGENCY SQUARE BLVD</w:t>
            </w:r>
          </w:p>
        </w:tc>
        <w:tc>
          <w:tcPr>
            <w:tcW w:w="1060" w:type="dxa"/>
            <w:vAlign w:val="bottom"/>
          </w:tcPr>
          <w:p>
            <w:pPr>
              <w:ind w:left="60"/>
              <w:spacing w:after="0"/>
              <w:rPr>
                <w:sz w:val="20"/>
                <w:szCs w:val="20"/>
                <w:color w:val="auto"/>
              </w:rPr>
            </w:pPr>
            <w:r>
              <w:rPr>
                <w:rFonts w:ascii="Arial" w:cs="Arial" w:eastAsia="Arial" w:hAnsi="Arial"/>
                <w:sz w:val="11"/>
                <w:szCs w:val="11"/>
                <w:color w:val="auto"/>
              </w:rPr>
              <w:t>JACKSONVILLE</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32225</w:t>
            </w:r>
          </w:p>
        </w:tc>
        <w:tc>
          <w:tcPr>
            <w:tcW w:w="660" w:type="dxa"/>
            <w:vAlign w:val="bottom"/>
          </w:tcPr>
          <w:p>
            <w:pPr>
              <w:ind w:left="100"/>
              <w:spacing w:after="0"/>
              <w:rPr>
                <w:sz w:val="20"/>
                <w:szCs w:val="20"/>
                <w:color w:val="auto"/>
              </w:rPr>
            </w:pPr>
            <w:r>
              <w:rPr>
                <w:rFonts w:ascii="Arial" w:cs="Arial" w:eastAsia="Arial" w:hAnsi="Arial"/>
                <w:sz w:val="11"/>
                <w:szCs w:val="11"/>
                <w:color w:val="auto"/>
              </w:rPr>
              <w:t>(904) 724-</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4445</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9434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1199 NE 163rd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NORTH MIAMI</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33162</w:t>
            </w:r>
          </w:p>
        </w:tc>
        <w:tc>
          <w:tcPr>
            <w:tcW w:w="660" w:type="dxa"/>
            <w:vAlign w:val="bottom"/>
          </w:tcPr>
          <w:p>
            <w:pPr>
              <w:ind w:left="100"/>
              <w:spacing w:after="0"/>
              <w:rPr>
                <w:sz w:val="20"/>
                <w:szCs w:val="20"/>
                <w:color w:val="auto"/>
              </w:rPr>
            </w:pPr>
            <w:r>
              <w:rPr>
                <w:rFonts w:ascii="Arial" w:cs="Arial" w:eastAsia="Arial" w:hAnsi="Arial"/>
                <w:sz w:val="11"/>
                <w:szCs w:val="11"/>
                <w:color w:val="auto"/>
              </w:rPr>
              <w:t>(305) 947-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0691</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9442 PEOPLES UNITED BANK</w:t>
            </w:r>
          </w:p>
        </w:tc>
        <w:tc>
          <w:tcPr>
            <w:tcW w:w="2100" w:type="dxa"/>
            <w:vAlign w:val="bottom"/>
          </w:tcPr>
          <w:p>
            <w:pPr>
              <w:ind w:left="100"/>
              <w:spacing w:after="0"/>
              <w:rPr>
                <w:sz w:val="20"/>
                <w:szCs w:val="20"/>
                <w:color w:val="auto"/>
              </w:rPr>
            </w:pPr>
            <w:r>
              <w:rPr>
                <w:rFonts w:ascii="Arial" w:cs="Arial" w:eastAsia="Arial" w:hAnsi="Arial"/>
                <w:sz w:val="11"/>
                <w:szCs w:val="11"/>
                <w:color w:val="auto"/>
              </w:rPr>
              <w:t>99 DORSET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S BURLINGTON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VT 05403</w:t>
            </w:r>
          </w:p>
        </w:tc>
        <w:tc>
          <w:tcPr>
            <w:tcW w:w="660" w:type="dxa"/>
            <w:vAlign w:val="bottom"/>
          </w:tcPr>
          <w:p>
            <w:pPr>
              <w:ind w:left="100"/>
              <w:spacing w:after="0"/>
              <w:rPr>
                <w:sz w:val="20"/>
                <w:szCs w:val="20"/>
                <w:color w:val="auto"/>
              </w:rPr>
            </w:pPr>
            <w:r>
              <w:rPr>
                <w:rFonts w:ascii="Arial" w:cs="Arial" w:eastAsia="Arial" w:hAnsi="Arial"/>
                <w:sz w:val="11"/>
                <w:szCs w:val="11"/>
                <w:color w:val="auto"/>
              </w:rPr>
              <w:t>(802) 658-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1444</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9444 PNC BANK</w:t>
            </w:r>
          </w:p>
        </w:tc>
        <w:tc>
          <w:tcPr>
            <w:tcW w:w="2100" w:type="dxa"/>
            <w:vAlign w:val="bottom"/>
          </w:tcPr>
          <w:p>
            <w:pPr>
              <w:ind w:left="100"/>
              <w:spacing w:after="0"/>
              <w:rPr>
                <w:sz w:val="20"/>
                <w:szCs w:val="20"/>
                <w:color w:val="auto"/>
              </w:rPr>
            </w:pPr>
            <w:r>
              <w:rPr>
                <w:rFonts w:ascii="Arial" w:cs="Arial" w:eastAsia="Arial" w:hAnsi="Arial"/>
                <w:sz w:val="11"/>
                <w:szCs w:val="11"/>
                <w:color w:val="auto"/>
              </w:rPr>
              <w:t>507 LINDEN ST</w:t>
            </w:r>
          </w:p>
        </w:tc>
        <w:tc>
          <w:tcPr>
            <w:tcW w:w="1060" w:type="dxa"/>
            <w:vAlign w:val="bottom"/>
          </w:tcPr>
          <w:p>
            <w:pPr>
              <w:ind w:left="60"/>
              <w:spacing w:after="0"/>
              <w:rPr>
                <w:sz w:val="20"/>
                <w:szCs w:val="20"/>
                <w:color w:val="auto"/>
              </w:rPr>
            </w:pPr>
            <w:r>
              <w:rPr>
                <w:rFonts w:ascii="Arial" w:cs="Arial" w:eastAsia="Arial" w:hAnsi="Arial"/>
                <w:sz w:val="11"/>
                <w:szCs w:val="11"/>
                <w:color w:val="auto"/>
              </w:rPr>
              <w:t>Scranton</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40"/>
              <w:spacing w:after="0"/>
              <w:rPr>
                <w:sz w:val="20"/>
                <w:szCs w:val="20"/>
                <w:color w:val="auto"/>
              </w:rPr>
            </w:pPr>
            <w:r>
              <w:rPr>
                <w:rFonts w:ascii="Arial" w:cs="Arial" w:eastAsia="Arial" w:hAnsi="Arial"/>
                <w:sz w:val="11"/>
                <w:szCs w:val="11"/>
                <w:color w:val="auto"/>
              </w:rPr>
              <w:t>18503</w:t>
            </w:r>
          </w:p>
        </w:tc>
        <w:tc>
          <w:tcPr>
            <w:tcW w:w="660" w:type="dxa"/>
            <w:vAlign w:val="bottom"/>
          </w:tcPr>
          <w:p>
            <w:pPr>
              <w:ind w:left="100"/>
              <w:spacing w:after="0"/>
              <w:rPr>
                <w:sz w:val="20"/>
                <w:szCs w:val="20"/>
                <w:color w:val="auto"/>
              </w:rPr>
            </w:pPr>
            <w:r>
              <w:rPr>
                <w:rFonts w:ascii="Arial" w:cs="Arial" w:eastAsia="Arial" w:hAnsi="Arial"/>
                <w:sz w:val="11"/>
                <w:szCs w:val="11"/>
                <w:color w:val="auto"/>
              </w:rPr>
              <w:t>(800) 432-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1000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9445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265 Montauk Highway</w:t>
            </w:r>
          </w:p>
        </w:tc>
        <w:tc>
          <w:tcPr>
            <w:tcW w:w="1060" w:type="dxa"/>
            <w:vAlign w:val="bottom"/>
          </w:tcPr>
          <w:p>
            <w:pPr>
              <w:ind w:left="60"/>
              <w:spacing w:after="0"/>
              <w:rPr>
                <w:sz w:val="20"/>
                <w:szCs w:val="20"/>
                <w:color w:val="auto"/>
              </w:rPr>
            </w:pPr>
            <w:r>
              <w:rPr>
                <w:rFonts w:ascii="Arial" w:cs="Arial" w:eastAsia="Arial" w:hAnsi="Arial"/>
                <w:sz w:val="11"/>
                <w:szCs w:val="11"/>
                <w:color w:val="auto"/>
              </w:rPr>
              <w:t>Islip</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NY 11751</w:t>
            </w:r>
          </w:p>
        </w:tc>
        <w:tc>
          <w:tcPr>
            <w:tcW w:w="660" w:type="dxa"/>
            <w:vAlign w:val="bottom"/>
          </w:tcPr>
          <w:p>
            <w:pPr>
              <w:ind w:left="10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9447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7811 Maple Avenue</w:t>
            </w:r>
          </w:p>
        </w:tc>
        <w:tc>
          <w:tcPr>
            <w:tcW w:w="1060" w:type="dxa"/>
            <w:vAlign w:val="bottom"/>
          </w:tcPr>
          <w:p>
            <w:pPr>
              <w:ind w:left="60"/>
              <w:spacing w:after="0"/>
              <w:rPr>
                <w:sz w:val="20"/>
                <w:szCs w:val="20"/>
                <w:color w:val="auto"/>
              </w:rPr>
            </w:pPr>
            <w:r>
              <w:rPr>
                <w:rFonts w:ascii="Arial" w:cs="Arial" w:eastAsia="Arial" w:hAnsi="Arial"/>
                <w:sz w:val="11"/>
                <w:szCs w:val="11"/>
                <w:color w:val="auto"/>
              </w:rPr>
              <w:t>Pennsauken</w:t>
            </w:r>
          </w:p>
        </w:tc>
        <w:tc>
          <w:tcPr>
            <w:tcW w:w="220" w:type="dxa"/>
            <w:vAlign w:val="bottom"/>
          </w:tcPr>
          <w:p>
            <w:pPr>
              <w:ind w:left="60"/>
              <w:spacing w:after="0"/>
              <w:rPr>
                <w:sz w:val="20"/>
                <w:szCs w:val="20"/>
                <w:color w:val="auto"/>
              </w:rPr>
            </w:pPr>
            <w:r>
              <w:rPr>
                <w:rFonts w:ascii="Arial" w:cs="Arial" w:eastAsia="Arial" w:hAnsi="Arial"/>
                <w:sz w:val="11"/>
                <w:szCs w:val="11"/>
                <w:color w:val="auto"/>
              </w:rPr>
              <w:t>NJ</w:t>
            </w:r>
          </w:p>
        </w:tc>
        <w:tc>
          <w:tcPr>
            <w:tcW w:w="440" w:type="dxa"/>
            <w:vAlign w:val="bottom"/>
          </w:tcPr>
          <w:p>
            <w:pPr>
              <w:ind w:left="40"/>
              <w:spacing w:after="0"/>
              <w:rPr>
                <w:sz w:val="20"/>
                <w:szCs w:val="20"/>
                <w:color w:val="auto"/>
              </w:rPr>
            </w:pPr>
            <w:r>
              <w:rPr>
                <w:rFonts w:ascii="Arial" w:cs="Arial" w:eastAsia="Arial" w:hAnsi="Arial"/>
                <w:sz w:val="11"/>
                <w:szCs w:val="11"/>
                <w:color w:val="auto"/>
              </w:rPr>
              <w:t>08109</w:t>
            </w:r>
          </w:p>
        </w:tc>
        <w:tc>
          <w:tcPr>
            <w:tcW w:w="660" w:type="dxa"/>
            <w:vAlign w:val="bottom"/>
          </w:tcPr>
          <w:p>
            <w:pPr>
              <w:ind w:left="10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9451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323 SOUTH BARRINGTON ROAD</w:t>
            </w:r>
          </w:p>
        </w:tc>
        <w:tc>
          <w:tcPr>
            <w:tcW w:w="1060" w:type="dxa"/>
            <w:vAlign w:val="bottom"/>
          </w:tcPr>
          <w:p>
            <w:pPr>
              <w:ind w:left="60"/>
              <w:spacing w:after="0"/>
              <w:rPr>
                <w:sz w:val="20"/>
                <w:szCs w:val="20"/>
                <w:color w:val="auto"/>
              </w:rPr>
            </w:pPr>
            <w:r>
              <w:rPr>
                <w:rFonts w:ascii="Arial" w:cs="Arial" w:eastAsia="Arial" w:hAnsi="Arial"/>
                <w:sz w:val="11"/>
                <w:szCs w:val="11"/>
                <w:color w:val="auto"/>
              </w:rPr>
              <w:t>SCHAUMBURG</w:t>
            </w:r>
          </w:p>
        </w:tc>
        <w:tc>
          <w:tcPr>
            <w:tcW w:w="220" w:type="dxa"/>
            <w:vAlign w:val="bottom"/>
          </w:tcPr>
          <w:p>
            <w:pPr>
              <w:ind w:left="60"/>
              <w:spacing w:after="0"/>
              <w:rPr>
                <w:sz w:val="20"/>
                <w:szCs w:val="20"/>
                <w:color w:val="auto"/>
              </w:rPr>
            </w:pPr>
            <w:r>
              <w:rPr>
                <w:rFonts w:ascii="Arial" w:cs="Arial" w:eastAsia="Arial" w:hAnsi="Arial"/>
                <w:sz w:val="11"/>
                <w:szCs w:val="11"/>
                <w:color w:val="auto"/>
              </w:rPr>
              <w:t>IL</w:t>
            </w:r>
          </w:p>
        </w:tc>
        <w:tc>
          <w:tcPr>
            <w:tcW w:w="440" w:type="dxa"/>
            <w:vAlign w:val="bottom"/>
          </w:tcPr>
          <w:p>
            <w:pPr>
              <w:ind w:left="40"/>
              <w:spacing w:after="0"/>
              <w:rPr>
                <w:sz w:val="20"/>
                <w:szCs w:val="20"/>
                <w:color w:val="auto"/>
              </w:rPr>
            </w:pPr>
            <w:r>
              <w:rPr>
                <w:rFonts w:ascii="Arial" w:cs="Arial" w:eastAsia="Arial" w:hAnsi="Arial"/>
                <w:sz w:val="11"/>
                <w:szCs w:val="11"/>
                <w:color w:val="auto"/>
              </w:rPr>
              <w:t>60193</w:t>
            </w:r>
          </w:p>
        </w:tc>
        <w:tc>
          <w:tcPr>
            <w:tcW w:w="660" w:type="dxa"/>
            <w:vAlign w:val="bottom"/>
          </w:tcPr>
          <w:p>
            <w:pPr>
              <w:ind w:left="100"/>
              <w:spacing w:after="0"/>
              <w:rPr>
                <w:sz w:val="20"/>
                <w:szCs w:val="20"/>
                <w:color w:val="auto"/>
              </w:rPr>
            </w:pPr>
            <w:r>
              <w:rPr>
                <w:rFonts w:ascii="Arial" w:cs="Arial" w:eastAsia="Arial" w:hAnsi="Arial"/>
                <w:sz w:val="11"/>
                <w:szCs w:val="11"/>
                <w:color w:val="auto"/>
              </w:rPr>
              <w:t>(847) 895-</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3803</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9454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1459 Macarthur Rd</w:t>
            </w:r>
          </w:p>
        </w:tc>
        <w:tc>
          <w:tcPr>
            <w:tcW w:w="1060" w:type="dxa"/>
            <w:vAlign w:val="bottom"/>
          </w:tcPr>
          <w:p>
            <w:pPr>
              <w:ind w:left="60"/>
              <w:spacing w:after="0"/>
              <w:rPr>
                <w:sz w:val="20"/>
                <w:szCs w:val="20"/>
                <w:color w:val="auto"/>
              </w:rPr>
            </w:pPr>
            <w:r>
              <w:rPr>
                <w:rFonts w:ascii="Arial" w:cs="Arial" w:eastAsia="Arial" w:hAnsi="Arial"/>
                <w:sz w:val="11"/>
                <w:szCs w:val="11"/>
                <w:color w:val="auto"/>
              </w:rPr>
              <w:t>Whitehall</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40"/>
              <w:spacing w:after="0"/>
              <w:rPr>
                <w:sz w:val="20"/>
                <w:szCs w:val="20"/>
                <w:color w:val="auto"/>
              </w:rPr>
            </w:pPr>
            <w:r>
              <w:rPr>
                <w:rFonts w:ascii="Arial" w:cs="Arial" w:eastAsia="Arial" w:hAnsi="Arial"/>
                <w:sz w:val="11"/>
                <w:szCs w:val="11"/>
                <w:color w:val="auto"/>
              </w:rPr>
              <w:t>18052</w:t>
            </w:r>
          </w:p>
        </w:tc>
        <w:tc>
          <w:tcPr>
            <w:tcW w:w="660" w:type="dxa"/>
            <w:vAlign w:val="bottom"/>
          </w:tcPr>
          <w:p>
            <w:pPr>
              <w:ind w:left="10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9456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600 Dick Rd</w:t>
            </w:r>
          </w:p>
        </w:tc>
        <w:tc>
          <w:tcPr>
            <w:tcW w:w="1060" w:type="dxa"/>
            <w:vAlign w:val="bottom"/>
          </w:tcPr>
          <w:p>
            <w:pPr>
              <w:ind w:left="60"/>
              <w:spacing w:after="0"/>
              <w:rPr>
                <w:sz w:val="20"/>
                <w:szCs w:val="20"/>
                <w:color w:val="auto"/>
              </w:rPr>
            </w:pPr>
            <w:r>
              <w:rPr>
                <w:rFonts w:ascii="Arial" w:cs="Arial" w:eastAsia="Arial" w:hAnsi="Arial"/>
                <w:sz w:val="11"/>
                <w:szCs w:val="11"/>
                <w:color w:val="auto"/>
              </w:rPr>
              <w:t>Depew</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NY 14043</w:t>
            </w:r>
          </w:p>
        </w:tc>
        <w:tc>
          <w:tcPr>
            <w:tcW w:w="660" w:type="dxa"/>
            <w:vAlign w:val="bottom"/>
          </w:tcPr>
          <w:p>
            <w:pPr>
              <w:ind w:left="10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9458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15 Commerce Blvd</w:t>
            </w:r>
          </w:p>
        </w:tc>
        <w:tc>
          <w:tcPr>
            <w:tcW w:w="1060" w:type="dxa"/>
            <w:vAlign w:val="bottom"/>
          </w:tcPr>
          <w:p>
            <w:pPr>
              <w:ind w:left="60"/>
              <w:spacing w:after="0"/>
              <w:rPr>
                <w:sz w:val="20"/>
                <w:szCs w:val="20"/>
                <w:color w:val="auto"/>
              </w:rPr>
            </w:pPr>
            <w:r>
              <w:rPr>
                <w:rFonts w:ascii="Arial" w:cs="Arial" w:eastAsia="Arial" w:hAnsi="Arial"/>
                <w:sz w:val="11"/>
                <w:szCs w:val="11"/>
                <w:color w:val="auto"/>
              </w:rPr>
              <w:t>Succasunna</w:t>
            </w:r>
          </w:p>
        </w:tc>
        <w:tc>
          <w:tcPr>
            <w:tcW w:w="220" w:type="dxa"/>
            <w:vAlign w:val="bottom"/>
          </w:tcPr>
          <w:p>
            <w:pPr>
              <w:ind w:left="60"/>
              <w:spacing w:after="0"/>
              <w:rPr>
                <w:sz w:val="20"/>
                <w:szCs w:val="20"/>
                <w:color w:val="auto"/>
              </w:rPr>
            </w:pPr>
            <w:r>
              <w:rPr>
                <w:rFonts w:ascii="Arial" w:cs="Arial" w:eastAsia="Arial" w:hAnsi="Arial"/>
                <w:sz w:val="11"/>
                <w:szCs w:val="11"/>
                <w:color w:val="auto"/>
              </w:rPr>
              <w:t>NJ</w:t>
            </w:r>
          </w:p>
        </w:tc>
        <w:tc>
          <w:tcPr>
            <w:tcW w:w="440" w:type="dxa"/>
            <w:vAlign w:val="bottom"/>
          </w:tcPr>
          <w:p>
            <w:pPr>
              <w:ind w:left="40"/>
              <w:spacing w:after="0"/>
              <w:rPr>
                <w:sz w:val="20"/>
                <w:szCs w:val="20"/>
                <w:color w:val="auto"/>
              </w:rPr>
            </w:pPr>
            <w:r>
              <w:rPr>
                <w:rFonts w:ascii="Arial" w:cs="Arial" w:eastAsia="Arial" w:hAnsi="Arial"/>
                <w:sz w:val="11"/>
                <w:szCs w:val="11"/>
                <w:color w:val="auto"/>
              </w:rPr>
              <w:t>07876</w:t>
            </w:r>
          </w:p>
        </w:tc>
        <w:tc>
          <w:tcPr>
            <w:tcW w:w="660" w:type="dxa"/>
            <w:vAlign w:val="bottom"/>
          </w:tcPr>
          <w:p>
            <w:pPr>
              <w:ind w:left="10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9460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11681 WEST BROAD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RICHMOND</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VA 23233</w:t>
            </w:r>
          </w:p>
        </w:tc>
        <w:tc>
          <w:tcPr>
            <w:tcW w:w="660" w:type="dxa"/>
            <w:vAlign w:val="bottom"/>
          </w:tcPr>
          <w:p>
            <w:pPr>
              <w:ind w:left="100"/>
              <w:spacing w:after="0"/>
              <w:rPr>
                <w:sz w:val="20"/>
                <w:szCs w:val="20"/>
                <w:color w:val="auto"/>
              </w:rPr>
            </w:pPr>
            <w:r>
              <w:rPr>
                <w:rFonts w:ascii="Arial" w:cs="Arial" w:eastAsia="Arial" w:hAnsi="Arial"/>
                <w:sz w:val="11"/>
                <w:szCs w:val="11"/>
                <w:color w:val="auto"/>
              </w:rPr>
              <w:t>(804) 755-</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4500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9461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25 Main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South River</w:t>
            </w:r>
          </w:p>
        </w:tc>
        <w:tc>
          <w:tcPr>
            <w:tcW w:w="220" w:type="dxa"/>
            <w:vAlign w:val="bottom"/>
          </w:tcPr>
          <w:p>
            <w:pPr>
              <w:ind w:left="60"/>
              <w:spacing w:after="0"/>
              <w:rPr>
                <w:sz w:val="20"/>
                <w:szCs w:val="20"/>
                <w:color w:val="auto"/>
              </w:rPr>
            </w:pPr>
            <w:r>
              <w:rPr>
                <w:rFonts w:ascii="Arial" w:cs="Arial" w:eastAsia="Arial" w:hAnsi="Arial"/>
                <w:sz w:val="11"/>
                <w:szCs w:val="11"/>
                <w:color w:val="auto"/>
              </w:rPr>
              <w:t>NJ</w:t>
            </w:r>
          </w:p>
        </w:tc>
        <w:tc>
          <w:tcPr>
            <w:tcW w:w="440" w:type="dxa"/>
            <w:vAlign w:val="bottom"/>
          </w:tcPr>
          <w:p>
            <w:pPr>
              <w:ind w:left="40"/>
              <w:spacing w:after="0"/>
              <w:rPr>
                <w:sz w:val="20"/>
                <w:szCs w:val="20"/>
                <w:color w:val="auto"/>
              </w:rPr>
            </w:pPr>
            <w:r>
              <w:rPr>
                <w:rFonts w:ascii="Arial" w:cs="Arial" w:eastAsia="Arial" w:hAnsi="Arial"/>
                <w:sz w:val="11"/>
                <w:szCs w:val="11"/>
                <w:color w:val="auto"/>
              </w:rPr>
              <w:t>08882</w:t>
            </w:r>
          </w:p>
        </w:tc>
        <w:tc>
          <w:tcPr>
            <w:tcW w:w="660" w:type="dxa"/>
            <w:vAlign w:val="bottom"/>
          </w:tcPr>
          <w:p>
            <w:pPr>
              <w:ind w:left="10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9466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2207 SAGAMORE PARKWAY SOUTH</w:t>
            </w:r>
          </w:p>
        </w:tc>
        <w:tc>
          <w:tcPr>
            <w:tcW w:w="1060" w:type="dxa"/>
            <w:vAlign w:val="bottom"/>
          </w:tcPr>
          <w:p>
            <w:pPr>
              <w:ind w:left="60"/>
              <w:spacing w:after="0"/>
              <w:rPr>
                <w:sz w:val="20"/>
                <w:szCs w:val="20"/>
                <w:color w:val="auto"/>
              </w:rPr>
            </w:pPr>
            <w:r>
              <w:rPr>
                <w:rFonts w:ascii="Arial" w:cs="Arial" w:eastAsia="Arial" w:hAnsi="Arial"/>
                <w:sz w:val="11"/>
                <w:szCs w:val="11"/>
                <w:color w:val="auto"/>
              </w:rPr>
              <w:t>LAFAYETTE</w:t>
            </w:r>
          </w:p>
        </w:tc>
        <w:tc>
          <w:tcPr>
            <w:tcW w:w="220" w:type="dxa"/>
            <w:vAlign w:val="bottom"/>
          </w:tcPr>
          <w:p>
            <w:pPr>
              <w:ind w:left="60"/>
              <w:spacing w:after="0"/>
              <w:rPr>
                <w:sz w:val="20"/>
                <w:szCs w:val="20"/>
                <w:color w:val="auto"/>
              </w:rPr>
            </w:pPr>
            <w:r>
              <w:rPr>
                <w:rFonts w:ascii="Arial" w:cs="Arial" w:eastAsia="Arial" w:hAnsi="Arial"/>
                <w:sz w:val="11"/>
                <w:szCs w:val="11"/>
                <w:color w:val="auto"/>
              </w:rPr>
              <w:t>IN</w:t>
            </w:r>
          </w:p>
        </w:tc>
        <w:tc>
          <w:tcPr>
            <w:tcW w:w="440" w:type="dxa"/>
            <w:vAlign w:val="bottom"/>
          </w:tcPr>
          <w:p>
            <w:pPr>
              <w:ind w:left="40"/>
              <w:spacing w:after="0"/>
              <w:rPr>
                <w:sz w:val="20"/>
                <w:szCs w:val="20"/>
                <w:color w:val="auto"/>
              </w:rPr>
            </w:pPr>
            <w:r>
              <w:rPr>
                <w:rFonts w:ascii="Arial" w:cs="Arial" w:eastAsia="Arial" w:hAnsi="Arial"/>
                <w:sz w:val="11"/>
                <w:szCs w:val="11"/>
                <w:color w:val="auto"/>
              </w:rPr>
              <w:t>47905</w:t>
            </w:r>
          </w:p>
        </w:tc>
        <w:tc>
          <w:tcPr>
            <w:tcW w:w="660" w:type="dxa"/>
            <w:vAlign w:val="bottom"/>
          </w:tcPr>
          <w:p>
            <w:pPr>
              <w:ind w:left="100"/>
              <w:spacing w:after="0"/>
              <w:rPr>
                <w:sz w:val="20"/>
                <w:szCs w:val="20"/>
                <w:color w:val="auto"/>
              </w:rPr>
            </w:pPr>
            <w:r>
              <w:rPr>
                <w:rFonts w:ascii="Arial" w:cs="Arial" w:eastAsia="Arial" w:hAnsi="Arial"/>
                <w:sz w:val="11"/>
                <w:szCs w:val="11"/>
                <w:color w:val="auto"/>
              </w:rPr>
              <w:t>(765) 423-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0140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9469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3209 COURTYARD DRIVE</w:t>
            </w:r>
          </w:p>
        </w:tc>
        <w:tc>
          <w:tcPr>
            <w:tcW w:w="1060" w:type="dxa"/>
            <w:vAlign w:val="bottom"/>
          </w:tcPr>
          <w:p>
            <w:pPr>
              <w:ind w:left="60"/>
              <w:spacing w:after="0"/>
              <w:rPr>
                <w:sz w:val="20"/>
                <w:szCs w:val="20"/>
                <w:color w:val="auto"/>
              </w:rPr>
            </w:pPr>
            <w:r>
              <w:rPr>
                <w:rFonts w:ascii="Arial" w:cs="Arial" w:eastAsia="Arial" w:hAnsi="Arial"/>
                <w:sz w:val="11"/>
                <w:szCs w:val="11"/>
                <w:color w:val="auto"/>
              </w:rPr>
              <w:t>MIDLAND</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79705</w:t>
            </w:r>
          </w:p>
        </w:tc>
        <w:tc>
          <w:tcPr>
            <w:tcW w:w="660" w:type="dxa"/>
            <w:vAlign w:val="bottom"/>
          </w:tcPr>
          <w:p>
            <w:pPr>
              <w:ind w:left="100"/>
              <w:spacing w:after="0"/>
              <w:rPr>
                <w:sz w:val="20"/>
                <w:szCs w:val="20"/>
                <w:color w:val="auto"/>
              </w:rPr>
            </w:pPr>
            <w:r>
              <w:rPr>
                <w:rFonts w:ascii="Arial" w:cs="Arial" w:eastAsia="Arial" w:hAnsi="Arial"/>
                <w:sz w:val="11"/>
                <w:szCs w:val="11"/>
                <w:color w:val="auto"/>
              </w:rPr>
              <w:t>(432) 688-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6353</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9471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5233 JOHNSTON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LAFAYETTE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LA 70503</w:t>
            </w:r>
          </w:p>
        </w:tc>
        <w:tc>
          <w:tcPr>
            <w:tcW w:w="660" w:type="dxa"/>
            <w:vAlign w:val="bottom"/>
          </w:tcPr>
          <w:p>
            <w:pPr>
              <w:ind w:left="100"/>
              <w:spacing w:after="0"/>
              <w:rPr>
                <w:sz w:val="20"/>
                <w:szCs w:val="20"/>
                <w:color w:val="auto"/>
              </w:rPr>
            </w:pPr>
            <w:r>
              <w:rPr>
                <w:rFonts w:ascii="Arial" w:cs="Arial" w:eastAsia="Arial" w:hAnsi="Arial"/>
                <w:sz w:val="11"/>
                <w:szCs w:val="11"/>
                <w:color w:val="auto"/>
              </w:rPr>
              <w:t>(337) 236-</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7182</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9473 US BANK</w:t>
            </w:r>
          </w:p>
        </w:tc>
        <w:tc>
          <w:tcPr>
            <w:tcW w:w="2100" w:type="dxa"/>
            <w:vAlign w:val="bottom"/>
          </w:tcPr>
          <w:p>
            <w:pPr>
              <w:ind w:left="100"/>
              <w:spacing w:after="0"/>
              <w:rPr>
                <w:sz w:val="20"/>
                <w:szCs w:val="20"/>
                <w:color w:val="auto"/>
              </w:rPr>
            </w:pPr>
            <w:r>
              <w:rPr>
                <w:rFonts w:ascii="Arial" w:cs="Arial" w:eastAsia="Arial" w:hAnsi="Arial"/>
                <w:sz w:val="11"/>
                <w:szCs w:val="11"/>
                <w:color w:val="auto"/>
              </w:rPr>
              <w:t>1415 N Academy Blvd</w:t>
            </w:r>
          </w:p>
        </w:tc>
        <w:tc>
          <w:tcPr>
            <w:tcW w:w="1060" w:type="dxa"/>
            <w:vAlign w:val="bottom"/>
          </w:tcPr>
          <w:p>
            <w:pPr>
              <w:ind w:left="60"/>
              <w:spacing w:after="0"/>
              <w:rPr>
                <w:sz w:val="20"/>
                <w:szCs w:val="20"/>
                <w:color w:val="auto"/>
              </w:rPr>
            </w:pPr>
            <w:r>
              <w:rPr>
                <w:rFonts w:ascii="Arial" w:cs="Arial" w:eastAsia="Arial" w:hAnsi="Arial"/>
                <w:sz w:val="11"/>
                <w:szCs w:val="11"/>
                <w:color w:val="auto"/>
              </w:rPr>
              <w:t>COLORADO</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CO 80909</w:t>
            </w:r>
          </w:p>
        </w:tc>
        <w:tc>
          <w:tcPr>
            <w:tcW w:w="660" w:type="dxa"/>
            <w:vAlign w:val="bottom"/>
          </w:tcPr>
          <w:p>
            <w:pPr>
              <w:ind w:left="100"/>
              <w:spacing w:after="0"/>
              <w:rPr>
                <w:sz w:val="20"/>
                <w:szCs w:val="20"/>
                <w:color w:val="auto"/>
              </w:rPr>
            </w:pPr>
            <w:r>
              <w:rPr>
                <w:rFonts w:ascii="Arial" w:cs="Arial" w:eastAsia="Arial" w:hAnsi="Arial"/>
                <w:sz w:val="11"/>
                <w:szCs w:val="11"/>
                <w:color w:val="auto"/>
              </w:rPr>
              <w:t>(719) 597-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auto"/>
              </w:rPr>
              <w:t>SPRINGS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9038</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9478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8578 GOODWOOD BLVD</w:t>
            </w:r>
          </w:p>
        </w:tc>
        <w:tc>
          <w:tcPr>
            <w:tcW w:w="1060" w:type="dxa"/>
            <w:vAlign w:val="bottom"/>
          </w:tcPr>
          <w:p>
            <w:pPr>
              <w:ind w:left="60"/>
              <w:spacing w:after="0"/>
              <w:rPr>
                <w:sz w:val="20"/>
                <w:szCs w:val="20"/>
                <w:color w:val="auto"/>
              </w:rPr>
            </w:pPr>
            <w:r>
              <w:rPr>
                <w:rFonts w:ascii="Arial" w:cs="Arial" w:eastAsia="Arial" w:hAnsi="Arial"/>
                <w:sz w:val="11"/>
                <w:szCs w:val="11"/>
                <w:color w:val="auto"/>
              </w:rPr>
              <w:t>BATON ROUGE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LA 70806</w:t>
            </w:r>
          </w:p>
        </w:tc>
        <w:tc>
          <w:tcPr>
            <w:tcW w:w="660" w:type="dxa"/>
            <w:vAlign w:val="bottom"/>
          </w:tcPr>
          <w:p>
            <w:pPr>
              <w:ind w:left="100"/>
              <w:spacing w:after="0"/>
              <w:rPr>
                <w:sz w:val="20"/>
                <w:szCs w:val="20"/>
                <w:color w:val="auto"/>
              </w:rPr>
            </w:pPr>
            <w:r>
              <w:rPr>
                <w:rFonts w:ascii="Arial" w:cs="Arial" w:eastAsia="Arial" w:hAnsi="Arial"/>
                <w:sz w:val="11"/>
                <w:szCs w:val="11"/>
                <w:color w:val="auto"/>
              </w:rPr>
              <w:t>(225) 332-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4523</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9482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2105 WEST BRANDON BLVD</w:t>
            </w:r>
          </w:p>
        </w:tc>
        <w:tc>
          <w:tcPr>
            <w:tcW w:w="1060" w:type="dxa"/>
            <w:vAlign w:val="bottom"/>
          </w:tcPr>
          <w:p>
            <w:pPr>
              <w:ind w:left="60"/>
              <w:spacing w:after="0"/>
              <w:rPr>
                <w:sz w:val="20"/>
                <w:szCs w:val="20"/>
                <w:color w:val="auto"/>
              </w:rPr>
            </w:pPr>
            <w:r>
              <w:rPr>
                <w:rFonts w:ascii="Arial" w:cs="Arial" w:eastAsia="Arial" w:hAnsi="Arial"/>
                <w:sz w:val="11"/>
                <w:szCs w:val="11"/>
                <w:color w:val="auto"/>
              </w:rPr>
              <w:t>BRANDON</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33511</w:t>
            </w:r>
          </w:p>
        </w:tc>
        <w:tc>
          <w:tcPr>
            <w:tcW w:w="660" w:type="dxa"/>
            <w:vAlign w:val="bottom"/>
          </w:tcPr>
          <w:p>
            <w:pPr>
              <w:ind w:left="100"/>
              <w:spacing w:after="0"/>
              <w:rPr>
                <w:sz w:val="20"/>
                <w:szCs w:val="20"/>
                <w:color w:val="auto"/>
              </w:rPr>
            </w:pPr>
            <w:r>
              <w:rPr>
                <w:rFonts w:ascii="Arial" w:cs="Arial" w:eastAsia="Arial" w:hAnsi="Arial"/>
                <w:sz w:val="11"/>
                <w:szCs w:val="11"/>
                <w:color w:val="auto"/>
              </w:rPr>
              <w:t>(813) 653-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2235</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9484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303 SOUTH MATTIS AVENUE</w:t>
            </w:r>
          </w:p>
        </w:tc>
        <w:tc>
          <w:tcPr>
            <w:tcW w:w="1060" w:type="dxa"/>
            <w:vAlign w:val="bottom"/>
          </w:tcPr>
          <w:p>
            <w:pPr>
              <w:ind w:left="60"/>
              <w:spacing w:after="0"/>
              <w:rPr>
                <w:sz w:val="20"/>
                <w:szCs w:val="20"/>
                <w:color w:val="auto"/>
              </w:rPr>
            </w:pPr>
            <w:r>
              <w:rPr>
                <w:rFonts w:ascii="Arial" w:cs="Arial" w:eastAsia="Arial" w:hAnsi="Arial"/>
                <w:sz w:val="11"/>
                <w:szCs w:val="11"/>
                <w:color w:val="auto"/>
              </w:rPr>
              <w:t>CHAMPAIGN</w:t>
            </w:r>
          </w:p>
        </w:tc>
        <w:tc>
          <w:tcPr>
            <w:tcW w:w="220" w:type="dxa"/>
            <w:vAlign w:val="bottom"/>
          </w:tcPr>
          <w:p>
            <w:pPr>
              <w:ind w:left="60"/>
              <w:spacing w:after="0"/>
              <w:rPr>
                <w:sz w:val="20"/>
                <w:szCs w:val="20"/>
                <w:color w:val="auto"/>
              </w:rPr>
            </w:pPr>
            <w:r>
              <w:rPr>
                <w:rFonts w:ascii="Arial" w:cs="Arial" w:eastAsia="Arial" w:hAnsi="Arial"/>
                <w:sz w:val="11"/>
                <w:szCs w:val="11"/>
                <w:color w:val="auto"/>
              </w:rPr>
              <w:t>IL</w:t>
            </w:r>
          </w:p>
        </w:tc>
        <w:tc>
          <w:tcPr>
            <w:tcW w:w="440" w:type="dxa"/>
            <w:vAlign w:val="bottom"/>
          </w:tcPr>
          <w:p>
            <w:pPr>
              <w:ind w:left="40"/>
              <w:spacing w:after="0"/>
              <w:rPr>
                <w:sz w:val="20"/>
                <w:szCs w:val="20"/>
                <w:color w:val="auto"/>
              </w:rPr>
            </w:pPr>
            <w:r>
              <w:rPr>
                <w:rFonts w:ascii="Arial" w:cs="Arial" w:eastAsia="Arial" w:hAnsi="Arial"/>
                <w:sz w:val="11"/>
                <w:szCs w:val="11"/>
                <w:color w:val="auto"/>
              </w:rPr>
              <w:t>61821</w:t>
            </w:r>
          </w:p>
        </w:tc>
        <w:tc>
          <w:tcPr>
            <w:tcW w:w="660" w:type="dxa"/>
            <w:vAlign w:val="bottom"/>
          </w:tcPr>
          <w:p>
            <w:pPr>
              <w:ind w:left="100"/>
              <w:spacing w:after="0"/>
              <w:rPr>
                <w:sz w:val="20"/>
                <w:szCs w:val="20"/>
                <w:color w:val="auto"/>
              </w:rPr>
            </w:pPr>
            <w:r>
              <w:rPr>
                <w:rFonts w:ascii="Arial" w:cs="Arial" w:eastAsia="Arial" w:hAnsi="Arial"/>
                <w:sz w:val="11"/>
                <w:szCs w:val="11"/>
                <w:color w:val="auto"/>
              </w:rPr>
              <w:t>(217) 351-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1600</w:t>
            </w:r>
          </w:p>
        </w:tc>
        <w:tc>
          <w:tcPr>
            <w:tcW w:w="260" w:type="dxa"/>
            <w:vAlign w:val="bottom"/>
          </w:tcPr>
          <w:p>
            <w:pPr>
              <w:spacing w:after="0"/>
              <w:rPr>
                <w:sz w:val="11"/>
                <w:szCs w:val="11"/>
                <w:color w:val="auto"/>
              </w:rPr>
            </w:pPr>
          </w:p>
        </w:tc>
      </w:tr>
      <w:tr>
        <w:trPr>
          <w:trHeight w:val="171"/>
        </w:trPr>
        <w:tc>
          <w:tcPr>
            <w:tcW w:w="1640" w:type="dxa"/>
            <w:vAlign w:val="bottom"/>
          </w:tcPr>
          <w:p>
            <w:pPr>
              <w:spacing w:after="0"/>
              <w:rPr>
                <w:sz w:val="20"/>
                <w:szCs w:val="20"/>
                <w:color w:val="auto"/>
              </w:rPr>
            </w:pPr>
            <w:r>
              <w:rPr>
                <w:rFonts w:ascii="Arial" w:cs="Arial" w:eastAsia="Arial" w:hAnsi="Arial"/>
                <w:sz w:val="11"/>
                <w:szCs w:val="11"/>
                <w:color w:val="auto"/>
              </w:rPr>
              <w:t>9486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9701 RESEACH BOULEVARD</w:t>
            </w:r>
          </w:p>
        </w:tc>
        <w:tc>
          <w:tcPr>
            <w:tcW w:w="1060" w:type="dxa"/>
            <w:vAlign w:val="bottom"/>
          </w:tcPr>
          <w:p>
            <w:pPr>
              <w:ind w:left="60"/>
              <w:spacing w:after="0"/>
              <w:rPr>
                <w:sz w:val="20"/>
                <w:szCs w:val="20"/>
                <w:color w:val="auto"/>
              </w:rPr>
            </w:pPr>
            <w:r>
              <w:rPr>
                <w:rFonts w:ascii="Arial" w:cs="Arial" w:eastAsia="Arial" w:hAnsi="Arial"/>
                <w:sz w:val="11"/>
                <w:szCs w:val="11"/>
                <w:color w:val="auto"/>
              </w:rPr>
              <w:t>AUSTIN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78759</w:t>
            </w:r>
          </w:p>
        </w:tc>
        <w:tc>
          <w:tcPr>
            <w:tcW w:w="6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28"/>
        </w:trPr>
        <w:tc>
          <w:tcPr>
            <w:tcW w:w="1640" w:type="dxa"/>
            <w:vAlign w:val="bottom"/>
          </w:tcPr>
          <w:p>
            <w:pPr>
              <w:spacing w:after="0"/>
              <w:rPr>
                <w:sz w:val="20"/>
                <w:szCs w:val="20"/>
                <w:color w:val="auto"/>
              </w:rPr>
            </w:pPr>
            <w:r>
              <w:rPr>
                <w:rFonts w:ascii="Arial" w:cs="Arial" w:eastAsia="Arial" w:hAnsi="Arial"/>
                <w:sz w:val="11"/>
                <w:szCs w:val="11"/>
                <w:color w:val="auto"/>
              </w:rPr>
              <w:t>9489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55 SOUTH MAIN STREET, STE 175</w:t>
            </w:r>
          </w:p>
        </w:tc>
        <w:tc>
          <w:tcPr>
            <w:tcW w:w="1060" w:type="dxa"/>
            <w:vAlign w:val="bottom"/>
          </w:tcPr>
          <w:p>
            <w:pPr>
              <w:ind w:left="60"/>
              <w:spacing w:after="0"/>
              <w:rPr>
                <w:sz w:val="20"/>
                <w:szCs w:val="20"/>
                <w:color w:val="auto"/>
              </w:rPr>
            </w:pPr>
            <w:r>
              <w:rPr>
                <w:rFonts w:ascii="Arial" w:cs="Arial" w:eastAsia="Arial" w:hAnsi="Arial"/>
                <w:sz w:val="11"/>
                <w:szCs w:val="11"/>
                <w:color w:val="auto"/>
              </w:rPr>
              <w:t>NAPERVILLE</w:t>
            </w:r>
          </w:p>
        </w:tc>
        <w:tc>
          <w:tcPr>
            <w:tcW w:w="220" w:type="dxa"/>
            <w:vAlign w:val="bottom"/>
          </w:tcPr>
          <w:p>
            <w:pPr>
              <w:ind w:left="60"/>
              <w:spacing w:after="0"/>
              <w:rPr>
                <w:sz w:val="20"/>
                <w:szCs w:val="20"/>
                <w:color w:val="auto"/>
              </w:rPr>
            </w:pPr>
            <w:r>
              <w:rPr>
                <w:rFonts w:ascii="Arial" w:cs="Arial" w:eastAsia="Arial" w:hAnsi="Arial"/>
                <w:sz w:val="11"/>
                <w:szCs w:val="11"/>
                <w:color w:val="auto"/>
              </w:rPr>
              <w:t>IL</w:t>
            </w:r>
          </w:p>
        </w:tc>
        <w:tc>
          <w:tcPr>
            <w:tcW w:w="440" w:type="dxa"/>
            <w:vAlign w:val="bottom"/>
          </w:tcPr>
          <w:p>
            <w:pPr>
              <w:ind w:left="40"/>
              <w:spacing w:after="0"/>
              <w:rPr>
                <w:sz w:val="20"/>
                <w:szCs w:val="20"/>
                <w:color w:val="auto"/>
              </w:rPr>
            </w:pPr>
            <w:r>
              <w:rPr>
                <w:rFonts w:ascii="Arial" w:cs="Arial" w:eastAsia="Arial" w:hAnsi="Arial"/>
                <w:sz w:val="11"/>
                <w:szCs w:val="11"/>
                <w:color w:val="auto"/>
              </w:rPr>
              <w:t>60540</w:t>
            </w:r>
          </w:p>
        </w:tc>
        <w:tc>
          <w:tcPr>
            <w:tcW w:w="660" w:type="dxa"/>
            <w:vAlign w:val="bottom"/>
          </w:tcPr>
          <w:p>
            <w:pPr>
              <w:ind w:left="100"/>
              <w:spacing w:after="0"/>
              <w:rPr>
                <w:sz w:val="20"/>
                <w:szCs w:val="20"/>
                <w:color w:val="auto"/>
              </w:rPr>
            </w:pPr>
            <w:r>
              <w:rPr>
                <w:rFonts w:ascii="Arial" w:cs="Arial" w:eastAsia="Arial" w:hAnsi="Arial"/>
                <w:sz w:val="11"/>
                <w:szCs w:val="11"/>
                <w:color w:val="auto"/>
              </w:rPr>
              <w:t>(630) 305-</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6115</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9490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6304 NORTH POINT PARKWAY</w:t>
            </w:r>
          </w:p>
        </w:tc>
        <w:tc>
          <w:tcPr>
            <w:tcW w:w="1060" w:type="dxa"/>
            <w:vAlign w:val="bottom"/>
          </w:tcPr>
          <w:p>
            <w:pPr>
              <w:ind w:left="60"/>
              <w:spacing w:after="0"/>
              <w:rPr>
                <w:sz w:val="20"/>
                <w:szCs w:val="20"/>
                <w:color w:val="auto"/>
              </w:rPr>
            </w:pPr>
            <w:r>
              <w:rPr>
                <w:rFonts w:ascii="Arial" w:cs="Arial" w:eastAsia="Arial" w:hAnsi="Arial"/>
                <w:sz w:val="11"/>
                <w:szCs w:val="11"/>
                <w:color w:val="auto"/>
              </w:rPr>
              <w:t>ALPHARETTA</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GA 30022</w:t>
            </w:r>
          </w:p>
        </w:tc>
        <w:tc>
          <w:tcPr>
            <w:tcW w:w="660" w:type="dxa"/>
            <w:vAlign w:val="bottom"/>
          </w:tcPr>
          <w:p>
            <w:pPr>
              <w:ind w:left="100"/>
              <w:spacing w:after="0"/>
              <w:rPr>
                <w:sz w:val="20"/>
                <w:szCs w:val="20"/>
                <w:color w:val="auto"/>
              </w:rPr>
            </w:pPr>
            <w:r>
              <w:rPr>
                <w:rFonts w:ascii="Arial" w:cs="Arial" w:eastAsia="Arial" w:hAnsi="Arial"/>
                <w:sz w:val="11"/>
                <w:szCs w:val="11"/>
                <w:color w:val="auto"/>
              </w:rPr>
              <w:t>(710) 442-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2476</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9491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9101 S DIXIE HWY</w:t>
            </w:r>
          </w:p>
        </w:tc>
        <w:tc>
          <w:tcPr>
            <w:tcW w:w="1060" w:type="dxa"/>
            <w:vAlign w:val="bottom"/>
          </w:tcPr>
          <w:p>
            <w:pPr>
              <w:ind w:left="60"/>
              <w:spacing w:after="0"/>
              <w:rPr>
                <w:sz w:val="20"/>
                <w:szCs w:val="20"/>
                <w:color w:val="auto"/>
              </w:rPr>
            </w:pPr>
            <w:r>
              <w:rPr>
                <w:rFonts w:ascii="Arial" w:cs="Arial" w:eastAsia="Arial" w:hAnsi="Arial"/>
                <w:sz w:val="11"/>
                <w:szCs w:val="11"/>
                <w:color w:val="auto"/>
              </w:rPr>
              <w:t>MIAMI</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33156</w:t>
            </w:r>
          </w:p>
        </w:tc>
        <w:tc>
          <w:tcPr>
            <w:tcW w:w="660" w:type="dxa"/>
            <w:vAlign w:val="bottom"/>
          </w:tcPr>
          <w:p>
            <w:pPr>
              <w:ind w:left="100"/>
              <w:spacing w:after="0"/>
              <w:rPr>
                <w:sz w:val="20"/>
                <w:szCs w:val="20"/>
                <w:color w:val="auto"/>
              </w:rPr>
            </w:pPr>
            <w:r>
              <w:rPr>
                <w:rFonts w:ascii="Arial" w:cs="Arial" w:eastAsia="Arial" w:hAnsi="Arial"/>
                <w:sz w:val="11"/>
                <w:szCs w:val="11"/>
                <w:color w:val="auto"/>
              </w:rPr>
              <w:t>(305) 663-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5107</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9494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460 E ALTAMONTE DRIVE</w:t>
            </w:r>
          </w:p>
        </w:tc>
        <w:tc>
          <w:tcPr>
            <w:tcW w:w="1060" w:type="dxa"/>
            <w:vAlign w:val="bottom"/>
          </w:tcPr>
          <w:p>
            <w:pPr>
              <w:ind w:left="60"/>
              <w:spacing w:after="0"/>
              <w:rPr>
                <w:sz w:val="20"/>
                <w:szCs w:val="20"/>
                <w:color w:val="auto"/>
              </w:rPr>
            </w:pPr>
            <w:r>
              <w:rPr>
                <w:rFonts w:ascii="Arial" w:cs="Arial" w:eastAsia="Arial" w:hAnsi="Arial"/>
                <w:sz w:val="11"/>
                <w:szCs w:val="11"/>
                <w:color w:val="auto"/>
              </w:rPr>
              <w:t>ALTAMONTE</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32701</w:t>
            </w:r>
          </w:p>
        </w:tc>
        <w:tc>
          <w:tcPr>
            <w:tcW w:w="660" w:type="dxa"/>
            <w:vAlign w:val="bottom"/>
          </w:tcPr>
          <w:p>
            <w:pPr>
              <w:ind w:left="100"/>
              <w:spacing w:after="0"/>
              <w:rPr>
                <w:sz w:val="20"/>
                <w:szCs w:val="20"/>
                <w:color w:val="auto"/>
              </w:rPr>
            </w:pPr>
            <w:r>
              <w:rPr>
                <w:rFonts w:ascii="Arial" w:cs="Arial" w:eastAsia="Arial" w:hAnsi="Arial"/>
                <w:sz w:val="11"/>
                <w:szCs w:val="11"/>
                <w:color w:val="auto"/>
              </w:rPr>
              <w:t>(321) 207-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auto"/>
              </w:rPr>
              <w:t>SPRINGS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2400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9500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1201 WEST MAIN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LEWISVILLE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75067</w:t>
            </w:r>
          </w:p>
        </w:tc>
        <w:tc>
          <w:tcPr>
            <w:tcW w:w="660" w:type="dxa"/>
            <w:vAlign w:val="bottom"/>
          </w:tcPr>
          <w:p>
            <w:pPr>
              <w:ind w:left="100"/>
              <w:spacing w:after="0"/>
              <w:rPr>
                <w:sz w:val="20"/>
                <w:szCs w:val="20"/>
                <w:color w:val="auto"/>
              </w:rPr>
            </w:pPr>
            <w:r>
              <w:rPr>
                <w:rFonts w:ascii="Arial" w:cs="Arial" w:eastAsia="Arial" w:hAnsi="Arial"/>
                <w:sz w:val="11"/>
                <w:szCs w:val="11"/>
                <w:color w:val="auto"/>
              </w:rPr>
              <w:t>(214) 290-</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2000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9501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2940 S. GLENSTONE</w:t>
            </w:r>
          </w:p>
        </w:tc>
        <w:tc>
          <w:tcPr>
            <w:tcW w:w="1060" w:type="dxa"/>
            <w:vAlign w:val="bottom"/>
          </w:tcPr>
          <w:p>
            <w:pPr>
              <w:ind w:left="60"/>
              <w:spacing w:after="0"/>
              <w:rPr>
                <w:sz w:val="20"/>
                <w:szCs w:val="20"/>
                <w:color w:val="auto"/>
              </w:rPr>
            </w:pPr>
            <w:r>
              <w:rPr>
                <w:rFonts w:ascii="Arial" w:cs="Arial" w:eastAsia="Arial" w:hAnsi="Arial"/>
                <w:sz w:val="11"/>
                <w:szCs w:val="11"/>
                <w:color w:val="auto"/>
              </w:rPr>
              <w:t>SPRINGFIELD</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MO 65804</w:t>
            </w:r>
          </w:p>
        </w:tc>
        <w:tc>
          <w:tcPr>
            <w:tcW w:w="660" w:type="dxa"/>
            <w:vAlign w:val="bottom"/>
          </w:tcPr>
          <w:p>
            <w:pPr>
              <w:ind w:left="100"/>
              <w:spacing w:after="0"/>
              <w:rPr>
                <w:sz w:val="20"/>
                <w:szCs w:val="20"/>
                <w:color w:val="auto"/>
              </w:rPr>
            </w:pPr>
            <w:r>
              <w:rPr>
                <w:rFonts w:ascii="Arial" w:cs="Arial" w:eastAsia="Arial" w:hAnsi="Arial"/>
                <w:sz w:val="11"/>
                <w:szCs w:val="11"/>
                <w:color w:val="auto"/>
              </w:rPr>
              <w:t>(417) 227-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6251</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9502 PNC BANK</w:t>
            </w:r>
          </w:p>
        </w:tc>
        <w:tc>
          <w:tcPr>
            <w:tcW w:w="3160" w:type="dxa"/>
            <w:vAlign w:val="bottom"/>
            <w:gridSpan w:val="2"/>
          </w:tcPr>
          <w:p>
            <w:pPr>
              <w:ind w:left="100"/>
              <w:spacing w:after="0"/>
              <w:rPr>
                <w:sz w:val="20"/>
                <w:szCs w:val="20"/>
                <w:color w:val="auto"/>
              </w:rPr>
            </w:pPr>
            <w:r>
              <w:rPr>
                <w:rFonts w:ascii="Arial" w:cs="Arial" w:eastAsia="Arial" w:hAnsi="Arial"/>
                <w:sz w:val="11"/>
                <w:szCs w:val="11"/>
                <w:color w:val="auto"/>
              </w:rPr>
              <w:t>12010 CHURCH STREET LOCATOR R-H23- BIRCH RUN</w:t>
            </w:r>
          </w:p>
        </w:tc>
        <w:tc>
          <w:tcPr>
            <w:tcW w:w="220" w:type="dxa"/>
            <w:vAlign w:val="bottom"/>
          </w:tcPr>
          <w:p>
            <w:pPr>
              <w:ind w:left="60"/>
              <w:spacing w:after="0"/>
              <w:rPr>
                <w:sz w:val="20"/>
                <w:szCs w:val="20"/>
                <w:color w:val="auto"/>
              </w:rPr>
            </w:pPr>
            <w:r>
              <w:rPr>
                <w:rFonts w:ascii="Arial" w:cs="Arial" w:eastAsia="Arial" w:hAnsi="Arial"/>
                <w:sz w:val="11"/>
                <w:szCs w:val="11"/>
                <w:color w:val="auto"/>
              </w:rPr>
              <w:t>MI</w:t>
            </w:r>
          </w:p>
        </w:tc>
        <w:tc>
          <w:tcPr>
            <w:tcW w:w="440" w:type="dxa"/>
            <w:vAlign w:val="bottom"/>
          </w:tcPr>
          <w:p>
            <w:pPr>
              <w:ind w:left="40"/>
              <w:spacing w:after="0"/>
              <w:rPr>
                <w:sz w:val="20"/>
                <w:szCs w:val="20"/>
                <w:color w:val="auto"/>
              </w:rPr>
            </w:pPr>
            <w:r>
              <w:rPr>
                <w:rFonts w:ascii="Arial" w:cs="Arial" w:eastAsia="Arial" w:hAnsi="Arial"/>
                <w:sz w:val="11"/>
                <w:szCs w:val="11"/>
                <w:color w:val="auto"/>
              </w:rPr>
              <w:t>48415</w:t>
            </w:r>
          </w:p>
        </w:tc>
        <w:tc>
          <w:tcPr>
            <w:tcW w:w="660" w:type="dxa"/>
            <w:vAlign w:val="bottom"/>
          </w:tcPr>
          <w:p>
            <w:pPr>
              <w:ind w:left="100"/>
              <w:spacing w:after="0"/>
              <w:rPr>
                <w:sz w:val="20"/>
                <w:szCs w:val="20"/>
                <w:color w:val="auto"/>
              </w:rPr>
            </w:pPr>
            <w:r>
              <w:rPr>
                <w:rFonts w:ascii="Arial" w:cs="Arial" w:eastAsia="Arial" w:hAnsi="Arial"/>
                <w:sz w:val="11"/>
                <w:szCs w:val="11"/>
                <w:color w:val="auto"/>
              </w:rPr>
              <w:t>(989) 797-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ind w:left="100"/>
              <w:spacing w:after="0"/>
              <w:rPr>
                <w:sz w:val="20"/>
                <w:szCs w:val="20"/>
                <w:color w:val="auto"/>
              </w:rPr>
            </w:pPr>
            <w:r>
              <w:rPr>
                <w:rFonts w:ascii="Arial" w:cs="Arial" w:eastAsia="Arial" w:hAnsi="Arial"/>
                <w:sz w:val="11"/>
                <w:szCs w:val="11"/>
                <w:color w:val="auto"/>
              </w:rPr>
              <w:t>XX</w:t>
            </w: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9277</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9503 VALLEY NATIONAL BANK</w:t>
            </w:r>
          </w:p>
        </w:tc>
        <w:tc>
          <w:tcPr>
            <w:tcW w:w="2100" w:type="dxa"/>
            <w:vAlign w:val="bottom"/>
          </w:tcPr>
          <w:p>
            <w:pPr>
              <w:ind w:left="100"/>
              <w:spacing w:after="0"/>
              <w:rPr>
                <w:sz w:val="20"/>
                <w:szCs w:val="20"/>
                <w:color w:val="auto"/>
              </w:rPr>
            </w:pPr>
            <w:r>
              <w:rPr>
                <w:rFonts w:ascii="Arial" w:cs="Arial" w:eastAsia="Arial" w:hAnsi="Arial"/>
                <w:sz w:val="11"/>
                <w:szCs w:val="11"/>
                <w:color w:val="auto"/>
              </w:rPr>
              <w:t>22 Bloomfield Avenue</w:t>
            </w:r>
          </w:p>
        </w:tc>
        <w:tc>
          <w:tcPr>
            <w:tcW w:w="1060" w:type="dxa"/>
            <w:vAlign w:val="bottom"/>
          </w:tcPr>
          <w:p>
            <w:pPr>
              <w:ind w:left="60"/>
              <w:spacing w:after="0"/>
              <w:rPr>
                <w:sz w:val="20"/>
                <w:szCs w:val="20"/>
                <w:color w:val="auto"/>
              </w:rPr>
            </w:pPr>
            <w:r>
              <w:rPr>
                <w:rFonts w:ascii="Arial" w:cs="Arial" w:eastAsia="Arial" w:hAnsi="Arial"/>
                <w:sz w:val="11"/>
                <w:szCs w:val="11"/>
                <w:color w:val="auto"/>
              </w:rPr>
              <w:t>BELLEVILLE</w:t>
            </w:r>
          </w:p>
        </w:tc>
        <w:tc>
          <w:tcPr>
            <w:tcW w:w="220" w:type="dxa"/>
            <w:vAlign w:val="bottom"/>
          </w:tcPr>
          <w:p>
            <w:pPr>
              <w:ind w:left="60"/>
              <w:spacing w:after="0"/>
              <w:rPr>
                <w:sz w:val="20"/>
                <w:szCs w:val="20"/>
                <w:color w:val="auto"/>
              </w:rPr>
            </w:pPr>
            <w:r>
              <w:rPr>
                <w:rFonts w:ascii="Arial" w:cs="Arial" w:eastAsia="Arial" w:hAnsi="Arial"/>
                <w:sz w:val="11"/>
                <w:szCs w:val="11"/>
                <w:color w:val="auto"/>
              </w:rPr>
              <w:t>NJ</w:t>
            </w:r>
          </w:p>
        </w:tc>
        <w:tc>
          <w:tcPr>
            <w:tcW w:w="440" w:type="dxa"/>
            <w:vAlign w:val="bottom"/>
          </w:tcPr>
          <w:p>
            <w:pPr>
              <w:ind w:left="40"/>
              <w:spacing w:after="0"/>
              <w:rPr>
                <w:sz w:val="20"/>
                <w:szCs w:val="20"/>
                <w:color w:val="auto"/>
              </w:rPr>
            </w:pPr>
            <w:r>
              <w:rPr>
                <w:rFonts w:ascii="Arial" w:cs="Arial" w:eastAsia="Arial" w:hAnsi="Arial"/>
                <w:sz w:val="11"/>
                <w:szCs w:val="11"/>
                <w:color w:val="auto"/>
              </w:rPr>
              <w:t>07109</w:t>
            </w:r>
          </w:p>
        </w:tc>
        <w:tc>
          <w:tcPr>
            <w:tcW w:w="660" w:type="dxa"/>
            <w:vAlign w:val="bottom"/>
          </w:tcPr>
          <w:p>
            <w:pPr>
              <w:ind w:left="100"/>
              <w:spacing w:after="0"/>
              <w:rPr>
                <w:sz w:val="20"/>
                <w:szCs w:val="20"/>
                <w:color w:val="auto"/>
              </w:rPr>
            </w:pPr>
            <w:r>
              <w:rPr>
                <w:rFonts w:ascii="Arial" w:cs="Arial" w:eastAsia="Arial" w:hAnsi="Arial"/>
                <w:sz w:val="11"/>
                <w:szCs w:val="11"/>
                <w:color w:val="auto"/>
              </w:rPr>
              <w:t>(973) 759-</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1015</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9504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w w:val="96"/>
              </w:rPr>
              <w:t>4097 NICHOLS PARK DRIVE, SUITE 100</w:t>
            </w:r>
          </w:p>
        </w:tc>
        <w:tc>
          <w:tcPr>
            <w:tcW w:w="1060" w:type="dxa"/>
            <w:vAlign w:val="bottom"/>
          </w:tcPr>
          <w:p>
            <w:pPr>
              <w:ind w:left="60"/>
              <w:spacing w:after="0"/>
              <w:rPr>
                <w:sz w:val="20"/>
                <w:szCs w:val="20"/>
                <w:color w:val="auto"/>
              </w:rPr>
            </w:pPr>
            <w:r>
              <w:rPr>
                <w:rFonts w:ascii="Arial" w:cs="Arial" w:eastAsia="Arial" w:hAnsi="Arial"/>
                <w:sz w:val="11"/>
                <w:szCs w:val="11"/>
                <w:color w:val="auto"/>
              </w:rPr>
              <w:t>LEXINGTON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KY 40503</w:t>
            </w:r>
          </w:p>
        </w:tc>
        <w:tc>
          <w:tcPr>
            <w:tcW w:w="660" w:type="dxa"/>
            <w:vAlign w:val="bottom"/>
          </w:tcPr>
          <w:p>
            <w:pPr>
              <w:ind w:left="100"/>
              <w:spacing w:after="0"/>
              <w:rPr>
                <w:sz w:val="20"/>
                <w:szCs w:val="20"/>
                <w:color w:val="auto"/>
              </w:rPr>
            </w:pPr>
            <w:r>
              <w:rPr>
                <w:rFonts w:ascii="Arial" w:cs="Arial" w:eastAsia="Arial" w:hAnsi="Arial"/>
                <w:sz w:val="11"/>
                <w:szCs w:val="11"/>
                <w:color w:val="auto"/>
              </w:rPr>
              <w:t>(859) 273-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1016</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9505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6033 GLENNWOOD AVENUE</w:t>
            </w:r>
          </w:p>
        </w:tc>
        <w:tc>
          <w:tcPr>
            <w:tcW w:w="1060" w:type="dxa"/>
            <w:vAlign w:val="bottom"/>
          </w:tcPr>
          <w:p>
            <w:pPr>
              <w:ind w:left="60"/>
              <w:spacing w:after="0"/>
              <w:rPr>
                <w:sz w:val="20"/>
                <w:szCs w:val="20"/>
                <w:color w:val="auto"/>
              </w:rPr>
            </w:pPr>
            <w:r>
              <w:rPr>
                <w:rFonts w:ascii="Arial" w:cs="Arial" w:eastAsia="Arial" w:hAnsi="Arial"/>
                <w:sz w:val="11"/>
                <w:szCs w:val="11"/>
                <w:color w:val="auto"/>
              </w:rPr>
              <w:t>RALEIGH</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NC 27612</w:t>
            </w:r>
          </w:p>
        </w:tc>
        <w:tc>
          <w:tcPr>
            <w:tcW w:w="660" w:type="dxa"/>
            <w:vAlign w:val="bottom"/>
          </w:tcPr>
          <w:p>
            <w:pPr>
              <w:ind w:left="100"/>
              <w:spacing w:after="0"/>
              <w:rPr>
                <w:sz w:val="20"/>
                <w:szCs w:val="20"/>
                <w:color w:val="auto"/>
              </w:rPr>
            </w:pPr>
            <w:r>
              <w:rPr>
                <w:rFonts w:ascii="Arial" w:cs="Arial" w:eastAsia="Arial" w:hAnsi="Arial"/>
                <w:sz w:val="11"/>
                <w:szCs w:val="11"/>
                <w:color w:val="auto"/>
              </w:rPr>
              <w:t>(919) 716-</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2237</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9506 FIRST COMMONWEALTH</w:t>
            </w:r>
          </w:p>
        </w:tc>
        <w:tc>
          <w:tcPr>
            <w:tcW w:w="2100" w:type="dxa"/>
            <w:vAlign w:val="bottom"/>
          </w:tcPr>
          <w:p>
            <w:pPr>
              <w:ind w:left="100"/>
              <w:spacing w:after="0"/>
              <w:rPr>
                <w:sz w:val="20"/>
                <w:szCs w:val="20"/>
                <w:color w:val="auto"/>
              </w:rPr>
            </w:pPr>
            <w:r>
              <w:rPr>
                <w:rFonts w:ascii="Arial" w:cs="Arial" w:eastAsia="Arial" w:hAnsi="Arial"/>
                <w:sz w:val="11"/>
                <w:szCs w:val="11"/>
                <w:color w:val="auto"/>
              </w:rPr>
              <w:t>P.O. BOX 503</w:t>
            </w:r>
          </w:p>
        </w:tc>
        <w:tc>
          <w:tcPr>
            <w:tcW w:w="1060" w:type="dxa"/>
            <w:vAlign w:val="bottom"/>
          </w:tcPr>
          <w:p>
            <w:pPr>
              <w:ind w:left="60"/>
              <w:spacing w:after="0"/>
              <w:rPr>
                <w:sz w:val="20"/>
                <w:szCs w:val="20"/>
                <w:color w:val="auto"/>
              </w:rPr>
            </w:pPr>
            <w:r>
              <w:rPr>
                <w:rFonts w:ascii="Arial" w:cs="Arial" w:eastAsia="Arial" w:hAnsi="Arial"/>
                <w:sz w:val="11"/>
                <w:szCs w:val="11"/>
                <w:color w:val="auto"/>
              </w:rPr>
              <w:t>HOLLIDAYBURG</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40"/>
              <w:spacing w:after="0"/>
              <w:rPr>
                <w:sz w:val="20"/>
                <w:szCs w:val="20"/>
                <w:color w:val="auto"/>
              </w:rPr>
            </w:pPr>
            <w:r>
              <w:rPr>
                <w:rFonts w:ascii="Arial" w:cs="Arial" w:eastAsia="Arial" w:hAnsi="Arial"/>
                <w:sz w:val="11"/>
                <w:szCs w:val="11"/>
                <w:color w:val="auto"/>
              </w:rPr>
              <w:t>16648</w:t>
            </w:r>
          </w:p>
        </w:tc>
        <w:tc>
          <w:tcPr>
            <w:tcW w:w="660" w:type="dxa"/>
            <w:vAlign w:val="bottom"/>
          </w:tcPr>
          <w:p>
            <w:pPr>
              <w:ind w:left="100"/>
              <w:spacing w:after="0"/>
              <w:rPr>
                <w:sz w:val="20"/>
                <w:szCs w:val="20"/>
                <w:color w:val="auto"/>
              </w:rPr>
            </w:pPr>
            <w:r>
              <w:rPr>
                <w:rFonts w:ascii="Arial" w:cs="Arial" w:eastAsia="Arial" w:hAnsi="Arial"/>
                <w:sz w:val="11"/>
                <w:szCs w:val="11"/>
                <w:color w:val="auto"/>
              </w:rPr>
              <w:t>(814) 944-</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ind w:left="240"/>
              <w:spacing w:after="0"/>
              <w:rPr>
                <w:sz w:val="20"/>
                <w:szCs w:val="20"/>
                <w:color w:val="auto"/>
              </w:rPr>
            </w:pPr>
            <w:r>
              <w:rPr>
                <w:rFonts w:ascii="Arial" w:cs="Arial" w:eastAsia="Arial" w:hAnsi="Arial"/>
                <w:sz w:val="11"/>
                <w:szCs w:val="11"/>
                <w:color w:val="auto"/>
              </w:rPr>
              <w:t>BANK</w:t>
            </w: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4644</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9507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3508 W GENESEE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SYRACUSE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NY 13219</w:t>
            </w:r>
          </w:p>
        </w:tc>
        <w:tc>
          <w:tcPr>
            <w:tcW w:w="660" w:type="dxa"/>
            <w:vAlign w:val="bottom"/>
          </w:tcPr>
          <w:p>
            <w:pPr>
              <w:ind w:left="100"/>
              <w:spacing w:after="0"/>
              <w:rPr>
                <w:sz w:val="20"/>
                <w:szCs w:val="20"/>
                <w:color w:val="auto"/>
              </w:rPr>
            </w:pPr>
            <w:r>
              <w:rPr>
                <w:rFonts w:ascii="Arial" w:cs="Arial" w:eastAsia="Arial" w:hAnsi="Arial"/>
                <w:sz w:val="11"/>
                <w:szCs w:val="11"/>
                <w:color w:val="auto"/>
              </w:rPr>
              <w:t>(315) 488-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9255</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9509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2120 WEST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ANNAPOLIS</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MD 21401-</w:t>
            </w:r>
          </w:p>
        </w:tc>
        <w:tc>
          <w:tcPr>
            <w:tcW w:w="660" w:type="dxa"/>
            <w:vAlign w:val="bottom"/>
          </w:tcPr>
          <w:p>
            <w:pPr>
              <w:ind w:left="100"/>
              <w:spacing w:after="0"/>
              <w:rPr>
                <w:sz w:val="20"/>
                <w:szCs w:val="20"/>
                <w:color w:val="auto"/>
              </w:rPr>
            </w:pPr>
            <w:r>
              <w:rPr>
                <w:rFonts w:ascii="Arial" w:cs="Arial" w:eastAsia="Arial" w:hAnsi="Arial"/>
                <w:sz w:val="11"/>
                <w:szCs w:val="11"/>
                <w:color w:val="auto"/>
              </w:rPr>
              <w:t>(410) 224-</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color w:val="auto"/>
              </w:rPr>
              <w:t>3058</w:t>
            </w:r>
          </w:p>
        </w:tc>
        <w:tc>
          <w:tcPr>
            <w:tcW w:w="660" w:type="dxa"/>
            <w:vAlign w:val="bottom"/>
          </w:tcPr>
          <w:p>
            <w:pPr>
              <w:ind w:left="100"/>
              <w:spacing w:after="0"/>
              <w:rPr>
                <w:sz w:val="20"/>
                <w:szCs w:val="20"/>
                <w:color w:val="auto"/>
              </w:rPr>
            </w:pPr>
            <w:r>
              <w:rPr>
                <w:rFonts w:ascii="Arial" w:cs="Arial" w:eastAsia="Arial" w:hAnsi="Arial"/>
                <w:sz w:val="11"/>
                <w:szCs w:val="11"/>
                <w:color w:val="auto"/>
              </w:rPr>
              <w:t>3625</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9510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3542 SATELLITE BLVD.</w:t>
            </w:r>
          </w:p>
        </w:tc>
        <w:tc>
          <w:tcPr>
            <w:tcW w:w="1060" w:type="dxa"/>
            <w:vAlign w:val="bottom"/>
          </w:tcPr>
          <w:p>
            <w:pPr>
              <w:ind w:left="60"/>
              <w:spacing w:after="0"/>
              <w:rPr>
                <w:sz w:val="20"/>
                <w:szCs w:val="20"/>
                <w:color w:val="auto"/>
              </w:rPr>
            </w:pPr>
            <w:r>
              <w:rPr>
                <w:rFonts w:ascii="Arial" w:cs="Arial" w:eastAsia="Arial" w:hAnsi="Arial"/>
                <w:sz w:val="11"/>
                <w:szCs w:val="11"/>
                <w:color w:val="auto"/>
              </w:rPr>
              <w:t>DULUTH</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GA 30136</w:t>
            </w:r>
          </w:p>
        </w:tc>
        <w:tc>
          <w:tcPr>
            <w:tcW w:w="660" w:type="dxa"/>
            <w:vAlign w:val="bottom"/>
          </w:tcPr>
          <w:p>
            <w:pPr>
              <w:ind w:left="100"/>
              <w:spacing w:after="0"/>
              <w:rPr>
                <w:sz w:val="20"/>
                <w:szCs w:val="20"/>
                <w:color w:val="auto"/>
              </w:rPr>
            </w:pPr>
            <w:r>
              <w:rPr>
                <w:rFonts w:ascii="Arial" w:cs="Arial" w:eastAsia="Arial" w:hAnsi="Arial"/>
                <w:sz w:val="11"/>
                <w:szCs w:val="11"/>
                <w:color w:val="auto"/>
              </w:rPr>
              <w:t>(770) 497-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3100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9513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825 DULVANEY VALLEY BLVD</w:t>
            </w:r>
          </w:p>
        </w:tc>
        <w:tc>
          <w:tcPr>
            <w:tcW w:w="1060" w:type="dxa"/>
            <w:vAlign w:val="bottom"/>
          </w:tcPr>
          <w:p>
            <w:pPr>
              <w:ind w:left="60"/>
              <w:spacing w:after="0"/>
              <w:rPr>
                <w:sz w:val="20"/>
                <w:szCs w:val="20"/>
                <w:color w:val="auto"/>
              </w:rPr>
            </w:pPr>
            <w:r>
              <w:rPr>
                <w:rFonts w:ascii="Arial" w:cs="Arial" w:eastAsia="Arial" w:hAnsi="Arial"/>
                <w:sz w:val="11"/>
                <w:szCs w:val="11"/>
                <w:color w:val="auto"/>
              </w:rPr>
              <w:t>TOWSON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MD 21286</w:t>
            </w:r>
          </w:p>
        </w:tc>
        <w:tc>
          <w:tcPr>
            <w:tcW w:w="660" w:type="dxa"/>
            <w:vAlign w:val="bottom"/>
          </w:tcPr>
          <w:p>
            <w:pPr>
              <w:ind w:left="100"/>
              <w:spacing w:after="0"/>
              <w:rPr>
                <w:sz w:val="20"/>
                <w:szCs w:val="20"/>
                <w:color w:val="auto"/>
              </w:rPr>
            </w:pPr>
            <w:r>
              <w:rPr>
                <w:rFonts w:ascii="Arial" w:cs="Arial" w:eastAsia="Arial" w:hAnsi="Arial"/>
                <w:sz w:val="11"/>
                <w:szCs w:val="11"/>
                <w:color w:val="auto"/>
              </w:rPr>
              <w:t>(410) 277-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7471</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9516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1511 MATTHEW DRIVE</w:t>
            </w:r>
          </w:p>
        </w:tc>
        <w:tc>
          <w:tcPr>
            <w:tcW w:w="1060" w:type="dxa"/>
            <w:vAlign w:val="bottom"/>
          </w:tcPr>
          <w:p>
            <w:pPr>
              <w:ind w:left="60"/>
              <w:spacing w:after="0"/>
              <w:rPr>
                <w:sz w:val="20"/>
                <w:szCs w:val="20"/>
                <w:color w:val="auto"/>
              </w:rPr>
            </w:pPr>
            <w:r>
              <w:rPr>
                <w:rFonts w:ascii="Arial" w:cs="Arial" w:eastAsia="Arial" w:hAnsi="Arial"/>
                <w:sz w:val="11"/>
                <w:szCs w:val="11"/>
                <w:color w:val="auto"/>
              </w:rPr>
              <w:t>FORT MYERS</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33907</w:t>
            </w:r>
          </w:p>
        </w:tc>
        <w:tc>
          <w:tcPr>
            <w:tcW w:w="660" w:type="dxa"/>
            <w:vAlign w:val="bottom"/>
          </w:tcPr>
          <w:p>
            <w:pPr>
              <w:ind w:left="100"/>
              <w:spacing w:after="0"/>
              <w:rPr>
                <w:sz w:val="20"/>
                <w:szCs w:val="20"/>
                <w:color w:val="auto"/>
              </w:rPr>
            </w:pPr>
            <w:r>
              <w:rPr>
                <w:rFonts w:ascii="Arial" w:cs="Arial" w:eastAsia="Arial" w:hAnsi="Arial"/>
                <w:sz w:val="11"/>
                <w:szCs w:val="11"/>
                <w:color w:val="auto"/>
              </w:rPr>
              <w:t>(239) 939-</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1011</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9518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8921 Queens Boulevard</w:t>
            </w:r>
          </w:p>
        </w:tc>
        <w:tc>
          <w:tcPr>
            <w:tcW w:w="1060" w:type="dxa"/>
            <w:vAlign w:val="bottom"/>
          </w:tcPr>
          <w:p>
            <w:pPr>
              <w:ind w:left="60"/>
              <w:spacing w:after="0"/>
              <w:rPr>
                <w:sz w:val="20"/>
                <w:szCs w:val="20"/>
                <w:color w:val="auto"/>
              </w:rPr>
            </w:pPr>
            <w:r>
              <w:rPr>
                <w:rFonts w:ascii="Arial" w:cs="Arial" w:eastAsia="Arial" w:hAnsi="Arial"/>
                <w:sz w:val="11"/>
                <w:szCs w:val="11"/>
                <w:color w:val="auto"/>
              </w:rPr>
              <w:t>Elmhurst</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NY 11373</w:t>
            </w:r>
          </w:p>
        </w:tc>
        <w:tc>
          <w:tcPr>
            <w:tcW w:w="660" w:type="dxa"/>
            <w:vAlign w:val="bottom"/>
          </w:tcPr>
          <w:p>
            <w:pPr>
              <w:ind w:left="100"/>
              <w:spacing w:after="0"/>
              <w:rPr>
                <w:sz w:val="20"/>
                <w:szCs w:val="20"/>
                <w:color w:val="auto"/>
              </w:rPr>
            </w:pPr>
            <w:r>
              <w:rPr>
                <w:rFonts w:ascii="Arial" w:cs="Arial" w:eastAsia="Arial" w:hAnsi="Arial"/>
                <w:sz w:val="11"/>
                <w:szCs w:val="11"/>
                <w:color w:val="auto"/>
              </w:rPr>
              <w:t>(718) 803-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5340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9521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3507 WHEELER RD</w:t>
            </w:r>
          </w:p>
        </w:tc>
        <w:tc>
          <w:tcPr>
            <w:tcW w:w="1060" w:type="dxa"/>
            <w:vAlign w:val="bottom"/>
          </w:tcPr>
          <w:p>
            <w:pPr>
              <w:ind w:left="60"/>
              <w:spacing w:after="0"/>
              <w:rPr>
                <w:sz w:val="20"/>
                <w:szCs w:val="20"/>
                <w:color w:val="auto"/>
              </w:rPr>
            </w:pPr>
            <w:r>
              <w:rPr>
                <w:rFonts w:ascii="Arial" w:cs="Arial" w:eastAsia="Arial" w:hAnsi="Arial"/>
                <w:sz w:val="11"/>
                <w:szCs w:val="11"/>
                <w:color w:val="auto"/>
              </w:rPr>
              <w:t>AUGUSTA</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GA 30909</w:t>
            </w:r>
          </w:p>
        </w:tc>
        <w:tc>
          <w:tcPr>
            <w:tcW w:w="660" w:type="dxa"/>
            <w:vAlign w:val="bottom"/>
          </w:tcPr>
          <w:p>
            <w:pPr>
              <w:ind w:left="100"/>
              <w:spacing w:after="0"/>
              <w:rPr>
                <w:sz w:val="20"/>
                <w:szCs w:val="20"/>
                <w:color w:val="auto"/>
              </w:rPr>
            </w:pPr>
            <w:r>
              <w:rPr>
                <w:rFonts w:ascii="Arial" w:cs="Arial" w:eastAsia="Arial" w:hAnsi="Arial"/>
                <w:sz w:val="11"/>
                <w:szCs w:val="11"/>
                <w:color w:val="auto"/>
              </w:rPr>
              <w:t>(706) 737-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4923</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9523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1827 N MILITARY TRAIL</w:t>
            </w:r>
          </w:p>
        </w:tc>
        <w:tc>
          <w:tcPr>
            <w:tcW w:w="1280" w:type="dxa"/>
            <w:vAlign w:val="bottom"/>
            <w:gridSpan w:val="2"/>
          </w:tcPr>
          <w:p>
            <w:pPr>
              <w:ind w:left="60"/>
              <w:spacing w:after="0"/>
              <w:rPr>
                <w:sz w:val="20"/>
                <w:szCs w:val="20"/>
                <w:color w:val="auto"/>
              </w:rPr>
            </w:pPr>
            <w:r>
              <w:rPr>
                <w:rFonts w:ascii="Arial" w:cs="Arial" w:eastAsia="Arial" w:hAnsi="Arial"/>
                <w:sz w:val="11"/>
                <w:szCs w:val="11"/>
                <w:color w:val="auto"/>
                <w:w w:val="98"/>
              </w:rPr>
              <w:t>WEST PALM BEACH FL</w:t>
            </w:r>
          </w:p>
        </w:tc>
        <w:tc>
          <w:tcPr>
            <w:tcW w:w="440" w:type="dxa"/>
            <w:vAlign w:val="bottom"/>
          </w:tcPr>
          <w:p>
            <w:pPr>
              <w:ind w:left="40"/>
              <w:spacing w:after="0"/>
              <w:rPr>
                <w:sz w:val="20"/>
                <w:szCs w:val="20"/>
                <w:color w:val="auto"/>
              </w:rPr>
            </w:pPr>
            <w:r>
              <w:rPr>
                <w:rFonts w:ascii="Arial" w:cs="Arial" w:eastAsia="Arial" w:hAnsi="Arial"/>
                <w:sz w:val="11"/>
                <w:szCs w:val="11"/>
                <w:color w:val="auto"/>
              </w:rPr>
              <w:t>33409-</w:t>
            </w:r>
          </w:p>
        </w:tc>
        <w:tc>
          <w:tcPr>
            <w:tcW w:w="660" w:type="dxa"/>
            <w:vAlign w:val="bottom"/>
          </w:tcPr>
          <w:p>
            <w:pPr>
              <w:ind w:left="100"/>
              <w:spacing w:after="0"/>
              <w:rPr>
                <w:sz w:val="20"/>
                <w:szCs w:val="20"/>
                <w:color w:val="auto"/>
              </w:rPr>
            </w:pPr>
            <w:r>
              <w:rPr>
                <w:rFonts w:ascii="Arial" w:cs="Arial" w:eastAsia="Arial" w:hAnsi="Arial"/>
                <w:sz w:val="11"/>
                <w:szCs w:val="11"/>
                <w:color w:val="auto"/>
              </w:rPr>
              <w:t>(561) 697-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color w:val="auto"/>
              </w:rPr>
              <w:t>4715</w:t>
            </w:r>
          </w:p>
        </w:tc>
        <w:tc>
          <w:tcPr>
            <w:tcW w:w="660" w:type="dxa"/>
            <w:vAlign w:val="bottom"/>
          </w:tcPr>
          <w:p>
            <w:pPr>
              <w:ind w:left="100"/>
              <w:spacing w:after="0"/>
              <w:rPr>
                <w:sz w:val="20"/>
                <w:szCs w:val="20"/>
                <w:color w:val="auto"/>
              </w:rPr>
            </w:pPr>
            <w:r>
              <w:rPr>
                <w:rFonts w:ascii="Arial" w:cs="Arial" w:eastAsia="Arial" w:hAnsi="Arial"/>
                <w:sz w:val="11"/>
                <w:szCs w:val="11"/>
                <w:color w:val="auto"/>
              </w:rPr>
              <w:t>3603</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9524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3120 SW 34 th AVE</w:t>
            </w:r>
          </w:p>
        </w:tc>
        <w:tc>
          <w:tcPr>
            <w:tcW w:w="1060" w:type="dxa"/>
            <w:vAlign w:val="bottom"/>
          </w:tcPr>
          <w:p>
            <w:pPr>
              <w:ind w:left="60"/>
              <w:spacing w:after="0"/>
              <w:rPr>
                <w:sz w:val="20"/>
                <w:szCs w:val="20"/>
                <w:color w:val="auto"/>
              </w:rPr>
            </w:pPr>
            <w:r>
              <w:rPr>
                <w:rFonts w:ascii="Arial" w:cs="Arial" w:eastAsia="Arial" w:hAnsi="Arial"/>
                <w:sz w:val="11"/>
                <w:szCs w:val="11"/>
                <w:color w:val="auto"/>
              </w:rPr>
              <w:t>OCALA</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34474-</w:t>
            </w:r>
          </w:p>
        </w:tc>
        <w:tc>
          <w:tcPr>
            <w:tcW w:w="660" w:type="dxa"/>
            <w:vAlign w:val="bottom"/>
          </w:tcPr>
          <w:p>
            <w:pPr>
              <w:ind w:left="100"/>
              <w:spacing w:after="0"/>
              <w:rPr>
                <w:sz w:val="20"/>
                <w:szCs w:val="20"/>
                <w:color w:val="auto"/>
              </w:rPr>
            </w:pPr>
            <w:r>
              <w:rPr>
                <w:rFonts w:ascii="Arial" w:cs="Arial" w:eastAsia="Arial" w:hAnsi="Arial"/>
                <w:sz w:val="11"/>
                <w:szCs w:val="11"/>
                <w:color w:val="auto"/>
              </w:rPr>
              <w:t>(352) 861-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color w:val="auto"/>
              </w:rPr>
              <w:t>4433</w:t>
            </w:r>
          </w:p>
        </w:tc>
        <w:tc>
          <w:tcPr>
            <w:tcW w:w="660" w:type="dxa"/>
            <w:vAlign w:val="bottom"/>
          </w:tcPr>
          <w:p>
            <w:pPr>
              <w:ind w:left="100"/>
              <w:spacing w:after="0"/>
              <w:rPr>
                <w:sz w:val="20"/>
                <w:szCs w:val="20"/>
                <w:color w:val="auto"/>
              </w:rPr>
            </w:pPr>
            <w:r>
              <w:rPr>
                <w:rFonts w:ascii="Arial" w:cs="Arial" w:eastAsia="Arial" w:hAnsi="Arial"/>
                <w:sz w:val="11"/>
                <w:szCs w:val="11"/>
                <w:color w:val="auto"/>
              </w:rPr>
              <w:t>1015</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9526 COMPASS BANK</w:t>
            </w:r>
          </w:p>
        </w:tc>
        <w:tc>
          <w:tcPr>
            <w:tcW w:w="2100" w:type="dxa"/>
            <w:vAlign w:val="bottom"/>
          </w:tcPr>
          <w:p>
            <w:pPr>
              <w:ind w:left="100"/>
              <w:spacing w:after="0"/>
              <w:rPr>
                <w:sz w:val="20"/>
                <w:szCs w:val="20"/>
                <w:color w:val="auto"/>
              </w:rPr>
            </w:pPr>
            <w:r>
              <w:rPr>
                <w:rFonts w:ascii="Arial" w:cs="Arial" w:eastAsia="Arial" w:hAnsi="Arial"/>
                <w:sz w:val="11"/>
                <w:szCs w:val="11"/>
                <w:color w:val="auto"/>
              </w:rPr>
              <w:t>1789 MONTGOMERY HIGHWAY</w:t>
            </w:r>
          </w:p>
        </w:tc>
        <w:tc>
          <w:tcPr>
            <w:tcW w:w="1060" w:type="dxa"/>
            <w:vAlign w:val="bottom"/>
          </w:tcPr>
          <w:p>
            <w:pPr>
              <w:ind w:left="60"/>
              <w:spacing w:after="0"/>
              <w:rPr>
                <w:sz w:val="20"/>
                <w:szCs w:val="20"/>
                <w:color w:val="auto"/>
              </w:rPr>
            </w:pPr>
            <w:r>
              <w:rPr>
                <w:rFonts w:ascii="Arial" w:cs="Arial" w:eastAsia="Arial" w:hAnsi="Arial"/>
                <w:sz w:val="11"/>
                <w:szCs w:val="11"/>
                <w:color w:val="auto"/>
              </w:rPr>
              <w:t>BIRMINGHAM</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AL 35244</w:t>
            </w:r>
          </w:p>
        </w:tc>
        <w:tc>
          <w:tcPr>
            <w:tcW w:w="660" w:type="dxa"/>
            <w:vAlign w:val="bottom"/>
          </w:tcPr>
          <w:p>
            <w:pPr>
              <w:ind w:left="100"/>
              <w:spacing w:after="0"/>
              <w:rPr>
                <w:sz w:val="20"/>
                <w:szCs w:val="20"/>
                <w:color w:val="auto"/>
              </w:rPr>
            </w:pPr>
            <w:r>
              <w:rPr>
                <w:rFonts w:ascii="Arial" w:cs="Arial" w:eastAsia="Arial" w:hAnsi="Arial"/>
                <w:sz w:val="11"/>
                <w:szCs w:val="11"/>
                <w:color w:val="auto"/>
              </w:rPr>
              <w:t>(205) 297-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3510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9527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22 EAST MIFFLIN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MADISON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WI 53703</w:t>
            </w:r>
          </w:p>
        </w:tc>
        <w:tc>
          <w:tcPr>
            <w:tcW w:w="660" w:type="dxa"/>
            <w:vAlign w:val="bottom"/>
          </w:tcPr>
          <w:p>
            <w:pPr>
              <w:ind w:left="100"/>
              <w:spacing w:after="0"/>
              <w:rPr>
                <w:sz w:val="20"/>
                <w:szCs w:val="20"/>
                <w:color w:val="auto"/>
              </w:rPr>
            </w:pPr>
            <w:r>
              <w:rPr>
                <w:rFonts w:ascii="Arial" w:cs="Arial" w:eastAsia="Arial" w:hAnsi="Arial"/>
                <w:sz w:val="11"/>
                <w:szCs w:val="11"/>
                <w:color w:val="auto"/>
              </w:rPr>
              <w:t>(608) 282-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6020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9529 US BANK</w:t>
            </w:r>
          </w:p>
        </w:tc>
        <w:tc>
          <w:tcPr>
            <w:tcW w:w="210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auto"/>
              </w:rPr>
              <w:t>BRANSON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MO 65616</w:t>
            </w:r>
          </w:p>
        </w:tc>
        <w:tc>
          <w:tcPr>
            <w:tcW w:w="660" w:type="dxa"/>
            <w:vAlign w:val="bottom"/>
          </w:tcPr>
          <w:p>
            <w:pPr>
              <w:ind w:left="100"/>
              <w:spacing w:after="0"/>
              <w:rPr>
                <w:sz w:val="20"/>
                <w:szCs w:val="20"/>
                <w:color w:val="auto"/>
              </w:rPr>
            </w:pPr>
            <w:r>
              <w:rPr>
                <w:rFonts w:ascii="Arial" w:cs="Arial" w:eastAsia="Arial" w:hAnsi="Arial"/>
                <w:sz w:val="11"/>
                <w:szCs w:val="11"/>
                <w:color w:val="auto"/>
              </w:rPr>
              <w:t>(417) 336-</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6363</w:t>
            </w:r>
          </w:p>
        </w:tc>
        <w:tc>
          <w:tcPr>
            <w:tcW w:w="260" w:type="dxa"/>
            <w:vAlign w:val="bottom"/>
          </w:tcPr>
          <w:p>
            <w:pPr>
              <w:spacing w:after="0"/>
              <w:rPr>
                <w:sz w:val="11"/>
                <w:szCs w:val="11"/>
                <w:color w:val="auto"/>
              </w:rPr>
            </w:pPr>
          </w:p>
        </w:tc>
      </w:tr>
      <w:tr>
        <w:trPr>
          <w:trHeight w:val="217"/>
        </w:trPr>
        <w:tc>
          <w:tcPr>
            <w:tcW w:w="1640" w:type="dxa"/>
            <w:vAlign w:val="bottom"/>
          </w:tcPr>
          <w:p>
            <w:pPr>
              <w:spacing w:after="0"/>
              <w:rPr>
                <w:sz w:val="20"/>
                <w:szCs w:val="20"/>
                <w:color w:val="auto"/>
              </w:rPr>
            </w:pPr>
            <w:r>
              <w:rPr>
                <w:rFonts w:ascii="Arial" w:cs="Arial" w:eastAsia="Arial" w:hAnsi="Arial"/>
                <w:sz w:val="11"/>
                <w:szCs w:val="11"/>
                <w:color w:val="auto"/>
              </w:rPr>
              <w:t>9530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498 SOUTH PLEASANTBURG DRIVE</w:t>
            </w:r>
          </w:p>
        </w:tc>
        <w:tc>
          <w:tcPr>
            <w:tcW w:w="1060" w:type="dxa"/>
            <w:vAlign w:val="bottom"/>
          </w:tcPr>
          <w:p>
            <w:pPr>
              <w:ind w:left="60"/>
              <w:spacing w:after="0"/>
              <w:rPr>
                <w:sz w:val="20"/>
                <w:szCs w:val="20"/>
                <w:color w:val="auto"/>
              </w:rPr>
            </w:pPr>
            <w:r>
              <w:rPr>
                <w:rFonts w:ascii="Arial" w:cs="Arial" w:eastAsia="Arial" w:hAnsi="Arial"/>
                <w:sz w:val="11"/>
                <w:szCs w:val="11"/>
                <w:color w:val="auto"/>
              </w:rPr>
              <w:t>GREENVILLE</w:t>
            </w:r>
          </w:p>
        </w:tc>
        <w:tc>
          <w:tcPr>
            <w:tcW w:w="220" w:type="dxa"/>
            <w:vAlign w:val="bottom"/>
          </w:tcPr>
          <w:p>
            <w:pPr>
              <w:ind w:left="60"/>
              <w:spacing w:after="0"/>
              <w:rPr>
                <w:sz w:val="20"/>
                <w:szCs w:val="20"/>
                <w:color w:val="auto"/>
              </w:rPr>
            </w:pPr>
            <w:r>
              <w:rPr>
                <w:rFonts w:ascii="Arial" w:cs="Arial" w:eastAsia="Arial" w:hAnsi="Arial"/>
                <w:sz w:val="11"/>
                <w:szCs w:val="11"/>
                <w:color w:val="auto"/>
                <w:w w:val="91"/>
              </w:rPr>
              <w:t>SC</w:t>
            </w:r>
          </w:p>
        </w:tc>
        <w:tc>
          <w:tcPr>
            <w:tcW w:w="440" w:type="dxa"/>
            <w:vAlign w:val="bottom"/>
          </w:tcPr>
          <w:p>
            <w:pPr>
              <w:ind w:left="40"/>
              <w:spacing w:after="0"/>
              <w:rPr>
                <w:sz w:val="20"/>
                <w:szCs w:val="20"/>
                <w:color w:val="auto"/>
              </w:rPr>
            </w:pPr>
            <w:r>
              <w:rPr>
                <w:rFonts w:ascii="Arial" w:cs="Arial" w:eastAsia="Arial" w:hAnsi="Arial"/>
                <w:sz w:val="11"/>
                <w:szCs w:val="11"/>
                <w:color w:val="auto"/>
              </w:rPr>
              <w:t>29607</w:t>
            </w:r>
          </w:p>
        </w:tc>
        <w:tc>
          <w:tcPr>
            <w:tcW w:w="660" w:type="dxa"/>
            <w:vAlign w:val="bottom"/>
          </w:tcPr>
          <w:p>
            <w:pPr>
              <w:ind w:left="100"/>
              <w:spacing w:after="0"/>
              <w:rPr>
                <w:sz w:val="20"/>
                <w:szCs w:val="20"/>
                <w:color w:val="auto"/>
              </w:rPr>
            </w:pPr>
            <w:r>
              <w:rPr>
                <w:rFonts w:ascii="Arial" w:cs="Arial" w:eastAsia="Arial" w:hAnsi="Arial"/>
                <w:sz w:val="11"/>
                <w:szCs w:val="11"/>
                <w:color w:val="auto"/>
              </w:rPr>
              <w:t>(864) 271-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5740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9534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10 WEST HIGH STREET</w:t>
            </w:r>
          </w:p>
        </w:tc>
        <w:tc>
          <w:tcPr>
            <w:tcW w:w="1060" w:type="dxa"/>
            <w:vAlign w:val="bottom"/>
          </w:tcPr>
          <w:p>
            <w:pPr>
              <w:ind w:left="60"/>
              <w:spacing w:after="0"/>
              <w:rPr>
                <w:sz w:val="20"/>
                <w:szCs w:val="20"/>
                <w:color w:val="auto"/>
              </w:rPr>
            </w:pPr>
            <w:r>
              <w:rPr>
                <w:rFonts w:ascii="Arial" w:cs="Arial" w:eastAsia="Arial" w:hAnsi="Arial"/>
                <w:sz w:val="11"/>
                <w:szCs w:val="11"/>
                <w:color w:val="auto"/>
              </w:rPr>
              <w:t>BRIDGEWATER</w:t>
            </w:r>
          </w:p>
        </w:tc>
        <w:tc>
          <w:tcPr>
            <w:tcW w:w="220" w:type="dxa"/>
            <w:vAlign w:val="bottom"/>
          </w:tcPr>
          <w:p>
            <w:pPr>
              <w:ind w:left="60"/>
              <w:spacing w:after="0"/>
              <w:rPr>
                <w:sz w:val="20"/>
                <w:szCs w:val="20"/>
                <w:color w:val="auto"/>
              </w:rPr>
            </w:pPr>
            <w:r>
              <w:rPr>
                <w:rFonts w:ascii="Arial" w:cs="Arial" w:eastAsia="Arial" w:hAnsi="Arial"/>
                <w:sz w:val="11"/>
                <w:szCs w:val="11"/>
                <w:color w:val="auto"/>
              </w:rPr>
              <w:t>NJ</w:t>
            </w:r>
          </w:p>
        </w:tc>
        <w:tc>
          <w:tcPr>
            <w:tcW w:w="440" w:type="dxa"/>
            <w:vAlign w:val="bottom"/>
          </w:tcPr>
          <w:p>
            <w:pPr>
              <w:ind w:left="40"/>
              <w:spacing w:after="0"/>
              <w:rPr>
                <w:sz w:val="20"/>
                <w:szCs w:val="20"/>
                <w:color w:val="auto"/>
              </w:rPr>
            </w:pPr>
            <w:r>
              <w:rPr>
                <w:rFonts w:ascii="Arial" w:cs="Arial" w:eastAsia="Arial" w:hAnsi="Arial"/>
                <w:sz w:val="11"/>
                <w:szCs w:val="11"/>
                <w:color w:val="auto"/>
              </w:rPr>
              <w:t>08807</w:t>
            </w:r>
          </w:p>
        </w:tc>
        <w:tc>
          <w:tcPr>
            <w:tcW w:w="660" w:type="dxa"/>
            <w:vAlign w:val="bottom"/>
          </w:tcPr>
          <w:p>
            <w:pPr>
              <w:ind w:left="100"/>
              <w:spacing w:after="0"/>
              <w:rPr>
                <w:sz w:val="20"/>
                <w:szCs w:val="20"/>
                <w:color w:val="auto"/>
              </w:rPr>
            </w:pPr>
            <w:r>
              <w:rPr>
                <w:rFonts w:ascii="Arial" w:cs="Arial" w:eastAsia="Arial" w:hAnsi="Arial"/>
                <w:sz w:val="11"/>
                <w:szCs w:val="11"/>
                <w:color w:val="auto"/>
              </w:rPr>
              <w:t>(908) 722-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0601</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9541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10050 PINES BLVD</w:t>
            </w:r>
          </w:p>
        </w:tc>
        <w:tc>
          <w:tcPr>
            <w:tcW w:w="1060" w:type="dxa"/>
            <w:vAlign w:val="bottom"/>
          </w:tcPr>
          <w:p>
            <w:pPr>
              <w:ind w:left="60"/>
              <w:spacing w:after="0"/>
              <w:rPr>
                <w:sz w:val="20"/>
                <w:szCs w:val="20"/>
                <w:color w:val="auto"/>
              </w:rPr>
            </w:pPr>
            <w:r>
              <w:rPr>
                <w:rFonts w:ascii="Arial" w:cs="Arial" w:eastAsia="Arial" w:hAnsi="Arial"/>
                <w:sz w:val="11"/>
                <w:szCs w:val="11"/>
                <w:color w:val="auto"/>
                <w:w w:val="99"/>
              </w:rPr>
              <w:t>PEMBROKE PINES</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33024</w:t>
            </w:r>
          </w:p>
        </w:tc>
        <w:tc>
          <w:tcPr>
            <w:tcW w:w="660" w:type="dxa"/>
            <w:vAlign w:val="bottom"/>
          </w:tcPr>
          <w:p>
            <w:pPr>
              <w:ind w:left="100"/>
              <w:spacing w:after="0"/>
              <w:rPr>
                <w:sz w:val="20"/>
                <w:szCs w:val="20"/>
                <w:color w:val="auto"/>
              </w:rPr>
            </w:pPr>
            <w:r>
              <w:rPr>
                <w:rFonts w:ascii="Arial" w:cs="Arial" w:eastAsia="Arial" w:hAnsi="Arial"/>
                <w:sz w:val="11"/>
                <w:szCs w:val="11"/>
                <w:color w:val="auto"/>
              </w:rPr>
              <w:t>(954) 435-</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4114</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9545 CHASE (JPMORGAN)</w:t>
            </w:r>
          </w:p>
        </w:tc>
        <w:tc>
          <w:tcPr>
            <w:tcW w:w="2100" w:type="dxa"/>
            <w:vAlign w:val="bottom"/>
          </w:tcPr>
          <w:p>
            <w:pPr>
              <w:ind w:left="100"/>
              <w:spacing w:after="0"/>
              <w:rPr>
                <w:sz w:val="20"/>
                <w:szCs w:val="20"/>
                <w:color w:val="auto"/>
              </w:rPr>
            </w:pPr>
            <w:r>
              <w:rPr>
                <w:rFonts w:ascii="Arial" w:cs="Arial" w:eastAsia="Arial" w:hAnsi="Arial"/>
                <w:sz w:val="11"/>
                <w:szCs w:val="11"/>
                <w:color w:val="auto"/>
              </w:rPr>
              <w:t>100 INDEPENDENCE PLACE</w:t>
            </w:r>
          </w:p>
        </w:tc>
        <w:tc>
          <w:tcPr>
            <w:tcW w:w="1060" w:type="dxa"/>
            <w:vAlign w:val="bottom"/>
          </w:tcPr>
          <w:p>
            <w:pPr>
              <w:ind w:left="60"/>
              <w:spacing w:after="0"/>
              <w:rPr>
                <w:sz w:val="20"/>
                <w:szCs w:val="20"/>
                <w:color w:val="auto"/>
              </w:rPr>
            </w:pPr>
            <w:r>
              <w:rPr>
                <w:rFonts w:ascii="Arial" w:cs="Arial" w:eastAsia="Arial" w:hAnsi="Arial"/>
                <w:sz w:val="11"/>
                <w:szCs w:val="11"/>
                <w:color w:val="auto"/>
              </w:rPr>
              <w:t>TYLER</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75703</w:t>
            </w:r>
          </w:p>
        </w:tc>
        <w:tc>
          <w:tcPr>
            <w:tcW w:w="660" w:type="dxa"/>
            <w:vAlign w:val="bottom"/>
          </w:tcPr>
          <w:p>
            <w:pPr>
              <w:ind w:left="100"/>
              <w:spacing w:after="0"/>
              <w:rPr>
                <w:sz w:val="20"/>
                <w:szCs w:val="20"/>
                <w:color w:val="auto"/>
              </w:rPr>
            </w:pPr>
            <w:r>
              <w:rPr>
                <w:rFonts w:ascii="Arial" w:cs="Arial" w:eastAsia="Arial" w:hAnsi="Arial"/>
                <w:sz w:val="11"/>
                <w:szCs w:val="11"/>
                <w:color w:val="auto"/>
              </w:rPr>
              <w:t>(903) 561-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5000</w:t>
            </w:r>
          </w:p>
        </w:tc>
        <w:tc>
          <w:tcPr>
            <w:tcW w:w="260" w:type="dxa"/>
            <w:vAlign w:val="bottom"/>
          </w:tcPr>
          <w:p>
            <w:pPr>
              <w:spacing w:after="0"/>
              <w:rPr>
                <w:sz w:val="11"/>
                <w:szCs w:val="11"/>
                <w:color w:val="auto"/>
              </w:rPr>
            </w:pPr>
          </w:p>
        </w:tc>
      </w:tr>
      <w:tr>
        <w:trPr>
          <w:trHeight w:val="147"/>
        </w:trPr>
        <w:tc>
          <w:tcPr>
            <w:tcW w:w="1640" w:type="dxa"/>
            <w:vAlign w:val="bottom"/>
          </w:tcPr>
          <w:p>
            <w:pPr>
              <w:spacing w:after="0"/>
              <w:rPr>
                <w:sz w:val="20"/>
                <w:szCs w:val="20"/>
                <w:color w:val="auto"/>
              </w:rPr>
            </w:pPr>
            <w:r>
              <w:rPr>
                <w:rFonts w:ascii="Arial" w:cs="Arial" w:eastAsia="Arial" w:hAnsi="Arial"/>
                <w:sz w:val="11"/>
                <w:szCs w:val="11"/>
                <w:color w:val="auto"/>
              </w:rPr>
              <w:t>9551 BANK OF AMERICA</w:t>
            </w:r>
          </w:p>
        </w:tc>
        <w:tc>
          <w:tcPr>
            <w:tcW w:w="2100" w:type="dxa"/>
            <w:vAlign w:val="bottom"/>
          </w:tcPr>
          <w:p>
            <w:pPr>
              <w:ind w:left="100"/>
              <w:spacing w:after="0"/>
              <w:rPr>
                <w:sz w:val="20"/>
                <w:szCs w:val="20"/>
                <w:color w:val="auto"/>
              </w:rPr>
            </w:pPr>
            <w:r>
              <w:rPr>
                <w:rFonts w:ascii="Arial" w:cs="Arial" w:eastAsia="Arial" w:hAnsi="Arial"/>
                <w:sz w:val="11"/>
                <w:szCs w:val="11"/>
                <w:color w:val="auto"/>
              </w:rPr>
              <w:t>3661 W OAKLAND PARK BLVD</w:t>
            </w:r>
          </w:p>
        </w:tc>
        <w:tc>
          <w:tcPr>
            <w:tcW w:w="1060" w:type="dxa"/>
            <w:vAlign w:val="bottom"/>
          </w:tcPr>
          <w:p>
            <w:pPr>
              <w:ind w:left="60"/>
              <w:spacing w:after="0"/>
              <w:rPr>
                <w:sz w:val="20"/>
                <w:szCs w:val="20"/>
                <w:color w:val="auto"/>
              </w:rPr>
            </w:pPr>
            <w:r>
              <w:rPr>
                <w:rFonts w:ascii="Arial" w:cs="Arial" w:eastAsia="Arial" w:hAnsi="Arial"/>
                <w:sz w:val="11"/>
                <w:szCs w:val="11"/>
                <w:color w:val="auto"/>
              </w:rPr>
              <w:t>LAUDERDALE</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40"/>
              <w:spacing w:after="0"/>
              <w:rPr>
                <w:sz w:val="20"/>
                <w:szCs w:val="20"/>
                <w:color w:val="auto"/>
              </w:rPr>
            </w:pPr>
            <w:r>
              <w:rPr>
                <w:rFonts w:ascii="Arial" w:cs="Arial" w:eastAsia="Arial" w:hAnsi="Arial"/>
                <w:sz w:val="11"/>
                <w:szCs w:val="11"/>
                <w:color w:val="auto"/>
              </w:rPr>
              <w:t>33311-</w:t>
            </w:r>
          </w:p>
        </w:tc>
        <w:tc>
          <w:tcPr>
            <w:tcW w:w="660" w:type="dxa"/>
            <w:vAlign w:val="bottom"/>
          </w:tcPr>
          <w:p>
            <w:pPr>
              <w:ind w:left="100"/>
              <w:spacing w:after="0"/>
              <w:rPr>
                <w:sz w:val="20"/>
                <w:szCs w:val="20"/>
                <w:color w:val="auto"/>
              </w:rPr>
            </w:pPr>
            <w:r>
              <w:rPr>
                <w:rFonts w:ascii="Arial" w:cs="Arial" w:eastAsia="Arial" w:hAnsi="Arial"/>
                <w:sz w:val="11"/>
                <w:szCs w:val="11"/>
                <w:color w:val="auto"/>
              </w:rPr>
              <w:t>(954) 714-</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color w:val="auto"/>
              </w:rPr>
              <w:t>LAKES</w:t>
            </w:r>
          </w:p>
        </w:tc>
        <w:tc>
          <w:tcPr>
            <w:tcW w:w="220" w:type="dxa"/>
            <w:vAlign w:val="bottom"/>
          </w:tcPr>
          <w:p>
            <w:pPr>
              <w:spacing w:after="0"/>
              <w:rPr>
                <w:sz w:val="11"/>
                <w:szCs w:val="11"/>
                <w:color w:val="auto"/>
              </w:rPr>
            </w:pPr>
          </w:p>
        </w:tc>
        <w:tc>
          <w:tcPr>
            <w:tcW w:w="440" w:type="dxa"/>
            <w:vAlign w:val="bottom"/>
          </w:tcPr>
          <w:p>
            <w:pPr>
              <w:ind w:left="40"/>
              <w:spacing w:after="0"/>
              <w:rPr>
                <w:sz w:val="20"/>
                <w:szCs w:val="20"/>
                <w:color w:val="auto"/>
              </w:rPr>
            </w:pPr>
            <w:r>
              <w:rPr>
                <w:rFonts w:ascii="Arial" w:cs="Arial" w:eastAsia="Arial" w:hAnsi="Arial"/>
                <w:sz w:val="11"/>
                <w:szCs w:val="11"/>
                <w:color w:val="auto"/>
              </w:rPr>
              <w:t>1145</w:t>
            </w:r>
          </w:p>
        </w:tc>
        <w:tc>
          <w:tcPr>
            <w:tcW w:w="660" w:type="dxa"/>
            <w:vAlign w:val="bottom"/>
          </w:tcPr>
          <w:p>
            <w:pPr>
              <w:ind w:left="100"/>
              <w:spacing w:after="0"/>
              <w:rPr>
                <w:sz w:val="20"/>
                <w:szCs w:val="20"/>
                <w:color w:val="auto"/>
              </w:rPr>
            </w:pPr>
            <w:r>
              <w:rPr>
                <w:rFonts w:ascii="Arial" w:cs="Arial" w:eastAsia="Arial" w:hAnsi="Arial"/>
                <w:sz w:val="11"/>
                <w:szCs w:val="11"/>
                <w:color w:val="auto"/>
              </w:rPr>
              <w:t>9079</w:t>
            </w: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-10464800</wp:posOffset>
            </wp:positionV>
            <wp:extent cx="406019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60190" cy="10515600"/>
                    </a:xfrm>
                    <a:prstGeom prst="rect">
                      <a:avLst/>
                    </a:prstGeom>
                    <a:noFill/>
                  </pic:spPr>
                </pic:pic>
              </a:graphicData>
            </a:graphic>
          </wp:anchor>
        </w:drawing>
      </w:r>
    </w:p>
    <w:p>
      <w:pPr>
        <w:sectPr>
          <w:pgSz w:w="11900" w:h="16838" w:orient="portrait"/>
          <w:cols w:equalWidth="0" w:num="1">
            <w:col w:w="9019"/>
          </w:cols>
          <w:pgMar w:left="1440" w:top="121" w:right="1440" w:bottom="0" w:gutter="0" w:footer="0" w:header="0"/>
        </w:sectPr>
      </w:pPr>
    </w:p>
    <w:bookmarkStart w:id="210" w:name="page211"/>
    <w:bookmarkEnd w:id="210"/>
    <w:tbl>
      <w:tblPr>
        <w:tblLayout w:type="fixed"/>
        <w:tblInd w:w="2539" w:type="dxa"/>
        <w:tblCellMar>
          <w:top w:w="0" w:type="dxa"/>
          <w:left w:w="0" w:type="dxa"/>
          <w:bottom w:w="0" w:type="dxa"/>
          <w:right w:w="0" w:type="dxa"/>
        </w:tblCellMar>
      </w:tblPr>
      <w:tr>
        <w:trPr>
          <w:trHeight w:val="126"/>
        </w:trPr>
        <w:tc>
          <w:tcPr>
            <w:tcW w:w="1580" w:type="dxa"/>
            <w:vAlign w:val="bottom"/>
          </w:tcPr>
          <w:p>
            <w:pPr>
              <w:spacing w:after="0"/>
              <w:rPr>
                <w:sz w:val="20"/>
                <w:szCs w:val="20"/>
                <w:color w:val="auto"/>
              </w:rPr>
            </w:pPr>
            <w:r>
              <w:rPr>
                <w:rFonts w:ascii="Arial" w:cs="Arial" w:eastAsia="Arial" w:hAnsi="Arial"/>
                <w:sz w:val="11"/>
                <w:szCs w:val="11"/>
                <w:color w:val="auto"/>
              </w:rPr>
              <w:t>9553 CHASE (JPMORGAN)</w:t>
            </w:r>
          </w:p>
        </w:tc>
        <w:tc>
          <w:tcPr>
            <w:tcW w:w="2200" w:type="dxa"/>
            <w:vAlign w:val="bottom"/>
          </w:tcPr>
          <w:p>
            <w:pPr>
              <w:ind w:left="160"/>
              <w:spacing w:after="0"/>
              <w:rPr>
                <w:sz w:val="20"/>
                <w:szCs w:val="20"/>
                <w:color w:val="auto"/>
              </w:rPr>
            </w:pPr>
            <w:r>
              <w:rPr>
                <w:rFonts w:ascii="Arial" w:cs="Arial" w:eastAsia="Arial" w:hAnsi="Arial"/>
                <w:sz w:val="11"/>
                <w:szCs w:val="11"/>
                <w:color w:val="auto"/>
              </w:rPr>
              <w:t>3001 INTERSTATE 45 N</w:t>
            </w:r>
          </w:p>
        </w:tc>
        <w:tc>
          <w:tcPr>
            <w:tcW w:w="1020" w:type="dxa"/>
            <w:vAlign w:val="bottom"/>
          </w:tcPr>
          <w:p>
            <w:pPr>
              <w:ind w:left="20"/>
              <w:spacing w:after="0"/>
              <w:rPr>
                <w:sz w:val="20"/>
                <w:szCs w:val="20"/>
                <w:color w:val="auto"/>
              </w:rPr>
            </w:pPr>
            <w:r>
              <w:rPr>
                <w:rFonts w:ascii="Arial" w:cs="Arial" w:eastAsia="Arial" w:hAnsi="Arial"/>
                <w:sz w:val="11"/>
                <w:szCs w:val="11"/>
                <w:color w:val="auto"/>
              </w:rPr>
              <w:t>CONROE</w:t>
            </w:r>
          </w:p>
        </w:tc>
        <w:tc>
          <w:tcPr>
            <w:tcW w:w="640" w:type="dxa"/>
            <w:vAlign w:val="bottom"/>
          </w:tcPr>
          <w:p>
            <w:pPr>
              <w:ind w:left="60"/>
              <w:spacing w:after="0"/>
              <w:rPr>
                <w:sz w:val="20"/>
                <w:szCs w:val="20"/>
                <w:color w:val="auto"/>
              </w:rPr>
            </w:pPr>
            <w:r>
              <w:rPr>
                <w:rFonts w:ascii="Arial" w:cs="Arial" w:eastAsia="Arial" w:hAnsi="Arial"/>
                <w:sz w:val="11"/>
                <w:szCs w:val="11"/>
                <w:color w:val="auto"/>
              </w:rPr>
              <w:t>TX 77304</w:t>
            </w:r>
          </w:p>
        </w:tc>
        <w:tc>
          <w:tcPr>
            <w:tcW w:w="680" w:type="dxa"/>
            <w:vAlign w:val="bottom"/>
          </w:tcPr>
          <w:p>
            <w:pPr>
              <w:ind w:left="120"/>
              <w:spacing w:after="0"/>
              <w:rPr>
                <w:sz w:val="20"/>
                <w:szCs w:val="20"/>
                <w:color w:val="auto"/>
              </w:rPr>
            </w:pPr>
            <w:r>
              <w:rPr>
                <w:rFonts w:ascii="Arial" w:cs="Arial" w:eastAsia="Arial" w:hAnsi="Arial"/>
                <w:sz w:val="11"/>
                <w:szCs w:val="11"/>
                <w:color w:val="auto"/>
              </w:rPr>
              <w:t>(936) 756-</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4855</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9554 BANK OF AMERICA</w:t>
            </w:r>
          </w:p>
        </w:tc>
        <w:tc>
          <w:tcPr>
            <w:tcW w:w="2200" w:type="dxa"/>
            <w:vAlign w:val="bottom"/>
          </w:tcPr>
          <w:p>
            <w:pPr>
              <w:ind w:left="160"/>
              <w:spacing w:after="0"/>
              <w:rPr>
                <w:sz w:val="20"/>
                <w:szCs w:val="20"/>
                <w:color w:val="auto"/>
              </w:rPr>
            </w:pPr>
            <w:r>
              <w:rPr>
                <w:rFonts w:ascii="Arial" w:cs="Arial" w:eastAsia="Arial" w:hAnsi="Arial"/>
                <w:sz w:val="11"/>
                <w:szCs w:val="11"/>
                <w:color w:val="auto"/>
              </w:rPr>
              <w:t>1070 WEST PATRICK ST.</w:t>
            </w:r>
          </w:p>
        </w:tc>
        <w:tc>
          <w:tcPr>
            <w:tcW w:w="1020" w:type="dxa"/>
            <w:vAlign w:val="bottom"/>
          </w:tcPr>
          <w:p>
            <w:pPr>
              <w:ind w:left="20"/>
              <w:spacing w:after="0"/>
              <w:rPr>
                <w:sz w:val="20"/>
                <w:szCs w:val="20"/>
                <w:color w:val="auto"/>
              </w:rPr>
            </w:pPr>
            <w:r>
              <w:rPr>
                <w:rFonts w:ascii="Arial" w:cs="Arial" w:eastAsia="Arial" w:hAnsi="Arial"/>
                <w:sz w:val="11"/>
                <w:szCs w:val="11"/>
                <w:color w:val="auto"/>
              </w:rPr>
              <w:t>FREDERICK</w:t>
            </w:r>
          </w:p>
        </w:tc>
        <w:tc>
          <w:tcPr>
            <w:tcW w:w="640" w:type="dxa"/>
            <w:vAlign w:val="bottom"/>
          </w:tcPr>
          <w:p>
            <w:pPr>
              <w:ind w:left="60"/>
              <w:spacing w:after="0"/>
              <w:rPr>
                <w:sz w:val="20"/>
                <w:szCs w:val="20"/>
                <w:color w:val="auto"/>
              </w:rPr>
            </w:pPr>
            <w:r>
              <w:rPr>
                <w:rFonts w:ascii="Arial" w:cs="Arial" w:eastAsia="Arial" w:hAnsi="Arial"/>
                <w:sz w:val="11"/>
                <w:szCs w:val="11"/>
                <w:color w:val="auto"/>
              </w:rPr>
              <w:t>MD 21703</w:t>
            </w:r>
          </w:p>
        </w:tc>
        <w:tc>
          <w:tcPr>
            <w:tcW w:w="680" w:type="dxa"/>
            <w:vAlign w:val="bottom"/>
          </w:tcPr>
          <w:p>
            <w:pPr>
              <w:ind w:left="120"/>
              <w:spacing w:after="0"/>
              <w:rPr>
                <w:sz w:val="20"/>
                <w:szCs w:val="20"/>
                <w:color w:val="auto"/>
              </w:rPr>
            </w:pPr>
            <w:r>
              <w:rPr>
                <w:rFonts w:ascii="Arial" w:cs="Arial" w:eastAsia="Arial" w:hAnsi="Arial"/>
                <w:sz w:val="11"/>
                <w:szCs w:val="11"/>
                <w:color w:val="auto"/>
              </w:rPr>
              <w:t>(301) 698-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6080</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9558 BRANCH BK/TR (BB&amp;T)</w:t>
            </w:r>
          </w:p>
        </w:tc>
        <w:tc>
          <w:tcPr>
            <w:tcW w:w="2200" w:type="dxa"/>
            <w:vAlign w:val="bottom"/>
          </w:tcPr>
          <w:p>
            <w:pPr>
              <w:ind w:left="160"/>
              <w:spacing w:after="0"/>
              <w:rPr>
                <w:sz w:val="20"/>
                <w:szCs w:val="20"/>
                <w:color w:val="auto"/>
              </w:rPr>
            </w:pPr>
            <w:r>
              <w:rPr>
                <w:rFonts w:ascii="Arial" w:cs="Arial" w:eastAsia="Arial" w:hAnsi="Arial"/>
                <w:sz w:val="11"/>
                <w:szCs w:val="11"/>
                <w:color w:val="auto"/>
              </w:rPr>
              <w:t>120 EAST HIGHWAY 53 SE</w:t>
            </w:r>
          </w:p>
        </w:tc>
        <w:tc>
          <w:tcPr>
            <w:tcW w:w="1020" w:type="dxa"/>
            <w:vAlign w:val="bottom"/>
          </w:tcPr>
          <w:p>
            <w:pPr>
              <w:ind w:left="20"/>
              <w:spacing w:after="0"/>
              <w:rPr>
                <w:sz w:val="20"/>
                <w:szCs w:val="20"/>
                <w:color w:val="auto"/>
              </w:rPr>
            </w:pPr>
            <w:r>
              <w:rPr>
                <w:rFonts w:ascii="Arial" w:cs="Arial" w:eastAsia="Arial" w:hAnsi="Arial"/>
                <w:sz w:val="11"/>
                <w:szCs w:val="11"/>
                <w:color w:val="auto"/>
              </w:rPr>
              <w:t>CALHOUN</w:t>
            </w:r>
          </w:p>
        </w:tc>
        <w:tc>
          <w:tcPr>
            <w:tcW w:w="640" w:type="dxa"/>
            <w:vAlign w:val="bottom"/>
          </w:tcPr>
          <w:p>
            <w:pPr>
              <w:ind w:left="60"/>
              <w:spacing w:after="0"/>
              <w:rPr>
                <w:sz w:val="20"/>
                <w:szCs w:val="20"/>
                <w:color w:val="auto"/>
              </w:rPr>
            </w:pPr>
            <w:r>
              <w:rPr>
                <w:rFonts w:ascii="Arial" w:cs="Arial" w:eastAsia="Arial" w:hAnsi="Arial"/>
                <w:sz w:val="11"/>
                <w:szCs w:val="11"/>
                <w:color w:val="auto"/>
              </w:rPr>
              <w:t>GA 30701</w:t>
            </w:r>
          </w:p>
        </w:tc>
        <w:tc>
          <w:tcPr>
            <w:tcW w:w="680" w:type="dxa"/>
            <w:vAlign w:val="bottom"/>
          </w:tcPr>
          <w:p>
            <w:pPr>
              <w:ind w:left="120"/>
              <w:spacing w:after="0"/>
              <w:rPr>
                <w:sz w:val="20"/>
                <w:szCs w:val="20"/>
                <w:color w:val="auto"/>
              </w:rPr>
            </w:pPr>
            <w:r>
              <w:rPr>
                <w:rFonts w:ascii="Arial" w:cs="Arial" w:eastAsia="Arial" w:hAnsi="Arial"/>
                <w:sz w:val="11"/>
                <w:szCs w:val="11"/>
                <w:color w:val="auto"/>
              </w:rPr>
              <w:t>(706) 602-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4003</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9566 COMPASS BANK</w:t>
            </w:r>
          </w:p>
        </w:tc>
        <w:tc>
          <w:tcPr>
            <w:tcW w:w="2200" w:type="dxa"/>
            <w:vAlign w:val="bottom"/>
          </w:tcPr>
          <w:p>
            <w:pPr>
              <w:ind w:left="160"/>
              <w:spacing w:after="0"/>
              <w:rPr>
                <w:sz w:val="20"/>
                <w:szCs w:val="20"/>
                <w:color w:val="auto"/>
              </w:rPr>
            </w:pPr>
            <w:r>
              <w:rPr>
                <w:rFonts w:ascii="Arial" w:cs="Arial" w:eastAsia="Arial" w:hAnsi="Arial"/>
                <w:sz w:val="11"/>
                <w:szCs w:val="11"/>
                <w:color w:val="auto"/>
              </w:rPr>
              <w:t>5275 MCWHINNEY</w:t>
            </w:r>
          </w:p>
        </w:tc>
        <w:tc>
          <w:tcPr>
            <w:tcW w:w="1020" w:type="dxa"/>
            <w:vAlign w:val="bottom"/>
          </w:tcPr>
          <w:p>
            <w:pPr>
              <w:ind w:left="20"/>
              <w:spacing w:after="0"/>
              <w:rPr>
                <w:sz w:val="20"/>
                <w:szCs w:val="20"/>
                <w:color w:val="auto"/>
              </w:rPr>
            </w:pPr>
            <w:r>
              <w:rPr>
                <w:rFonts w:ascii="Arial" w:cs="Arial" w:eastAsia="Arial" w:hAnsi="Arial"/>
                <w:sz w:val="11"/>
                <w:szCs w:val="11"/>
                <w:color w:val="auto"/>
              </w:rPr>
              <w:t>LOVELAND</w:t>
            </w:r>
          </w:p>
        </w:tc>
        <w:tc>
          <w:tcPr>
            <w:tcW w:w="640" w:type="dxa"/>
            <w:vAlign w:val="bottom"/>
          </w:tcPr>
          <w:p>
            <w:pPr>
              <w:ind w:left="60"/>
              <w:spacing w:after="0"/>
              <w:rPr>
                <w:sz w:val="20"/>
                <w:szCs w:val="20"/>
                <w:color w:val="auto"/>
              </w:rPr>
            </w:pPr>
            <w:r>
              <w:rPr>
                <w:rFonts w:ascii="Arial" w:cs="Arial" w:eastAsia="Arial" w:hAnsi="Arial"/>
                <w:sz w:val="11"/>
                <w:szCs w:val="11"/>
                <w:color w:val="auto"/>
              </w:rPr>
              <w:t>CO 80538</w:t>
            </w:r>
          </w:p>
        </w:tc>
        <w:tc>
          <w:tcPr>
            <w:tcW w:w="680" w:type="dxa"/>
            <w:vAlign w:val="bottom"/>
          </w:tcPr>
          <w:p>
            <w:pPr>
              <w:ind w:left="120"/>
              <w:spacing w:after="0"/>
              <w:rPr>
                <w:sz w:val="20"/>
                <w:szCs w:val="20"/>
                <w:color w:val="auto"/>
              </w:rPr>
            </w:pPr>
            <w:r>
              <w:rPr>
                <w:rFonts w:ascii="Arial" w:cs="Arial" w:eastAsia="Arial" w:hAnsi="Arial"/>
                <w:sz w:val="11"/>
                <w:szCs w:val="11"/>
                <w:color w:val="auto"/>
              </w:rPr>
              <w:t>(970) 622-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8080</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9567 BANK OF AMERICA</w:t>
            </w:r>
          </w:p>
        </w:tc>
        <w:tc>
          <w:tcPr>
            <w:tcW w:w="2200" w:type="dxa"/>
            <w:vAlign w:val="bottom"/>
          </w:tcPr>
          <w:p>
            <w:pPr>
              <w:ind w:left="160"/>
              <w:spacing w:after="0"/>
              <w:rPr>
                <w:sz w:val="20"/>
                <w:szCs w:val="20"/>
                <w:color w:val="auto"/>
              </w:rPr>
            </w:pPr>
            <w:r>
              <w:rPr>
                <w:rFonts w:ascii="Arial" w:cs="Arial" w:eastAsia="Arial" w:hAnsi="Arial"/>
                <w:sz w:val="11"/>
                <w:szCs w:val="11"/>
                <w:color w:val="auto"/>
                <w:w w:val="94"/>
              </w:rPr>
              <w:t>1025 INTERNATIONAL SPEEDWAY BLVD</w:t>
            </w:r>
          </w:p>
        </w:tc>
        <w:tc>
          <w:tcPr>
            <w:tcW w:w="1020" w:type="dxa"/>
            <w:vAlign w:val="bottom"/>
          </w:tcPr>
          <w:p>
            <w:pPr>
              <w:ind w:left="20"/>
              <w:spacing w:after="0"/>
              <w:rPr>
                <w:sz w:val="20"/>
                <w:szCs w:val="20"/>
                <w:color w:val="auto"/>
              </w:rPr>
            </w:pPr>
            <w:r>
              <w:rPr>
                <w:rFonts w:ascii="Arial" w:cs="Arial" w:eastAsia="Arial" w:hAnsi="Arial"/>
                <w:sz w:val="11"/>
                <w:szCs w:val="11"/>
                <w:color w:val="auto"/>
              </w:rPr>
              <w:t>DAYTONA BEACH</w:t>
            </w:r>
          </w:p>
        </w:tc>
        <w:tc>
          <w:tcPr>
            <w:tcW w:w="640" w:type="dxa"/>
            <w:vAlign w:val="bottom"/>
          </w:tcPr>
          <w:p>
            <w:pPr>
              <w:ind w:left="60"/>
              <w:spacing w:after="0"/>
              <w:rPr>
                <w:sz w:val="20"/>
                <w:szCs w:val="20"/>
                <w:color w:val="auto"/>
              </w:rPr>
            </w:pPr>
            <w:r>
              <w:rPr>
                <w:rFonts w:ascii="Arial" w:cs="Arial" w:eastAsia="Arial" w:hAnsi="Arial"/>
                <w:sz w:val="11"/>
                <w:szCs w:val="11"/>
                <w:color w:val="auto"/>
              </w:rPr>
              <w:t>FL 32114</w:t>
            </w:r>
          </w:p>
        </w:tc>
        <w:tc>
          <w:tcPr>
            <w:tcW w:w="680" w:type="dxa"/>
            <w:vAlign w:val="bottom"/>
          </w:tcPr>
          <w:p>
            <w:pPr>
              <w:ind w:left="120"/>
              <w:spacing w:after="0"/>
              <w:rPr>
                <w:sz w:val="20"/>
                <w:szCs w:val="20"/>
                <w:color w:val="auto"/>
              </w:rPr>
            </w:pPr>
            <w:r>
              <w:rPr>
                <w:rFonts w:ascii="Arial" w:cs="Arial" w:eastAsia="Arial" w:hAnsi="Arial"/>
                <w:sz w:val="11"/>
                <w:szCs w:val="11"/>
                <w:color w:val="auto"/>
              </w:rPr>
              <w:t>(386) 947-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3798</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9568 BANK OF AMERICA</w:t>
            </w:r>
          </w:p>
        </w:tc>
        <w:tc>
          <w:tcPr>
            <w:tcW w:w="2200" w:type="dxa"/>
            <w:vAlign w:val="bottom"/>
          </w:tcPr>
          <w:p>
            <w:pPr>
              <w:ind w:left="160"/>
              <w:spacing w:after="0"/>
              <w:rPr>
                <w:sz w:val="20"/>
                <w:szCs w:val="20"/>
                <w:color w:val="auto"/>
              </w:rPr>
            </w:pPr>
            <w:r>
              <w:rPr>
                <w:rFonts w:ascii="Arial" w:cs="Arial" w:eastAsia="Arial" w:hAnsi="Arial"/>
                <w:sz w:val="11"/>
                <w:szCs w:val="11"/>
                <w:color w:val="auto"/>
              </w:rPr>
              <w:t>162 COLLEGE STREET</w:t>
            </w:r>
          </w:p>
        </w:tc>
        <w:tc>
          <w:tcPr>
            <w:tcW w:w="1020" w:type="dxa"/>
            <w:vAlign w:val="bottom"/>
          </w:tcPr>
          <w:p>
            <w:pPr>
              <w:ind w:left="20"/>
              <w:spacing w:after="0"/>
              <w:rPr>
                <w:sz w:val="20"/>
                <w:szCs w:val="20"/>
                <w:color w:val="auto"/>
              </w:rPr>
            </w:pPr>
            <w:r>
              <w:rPr>
                <w:rFonts w:ascii="Arial" w:cs="Arial" w:eastAsia="Arial" w:hAnsi="Arial"/>
                <w:sz w:val="11"/>
                <w:szCs w:val="11"/>
                <w:color w:val="auto"/>
              </w:rPr>
              <w:t>ASHEVILLE</w:t>
            </w:r>
          </w:p>
        </w:tc>
        <w:tc>
          <w:tcPr>
            <w:tcW w:w="640" w:type="dxa"/>
            <w:vAlign w:val="bottom"/>
          </w:tcPr>
          <w:p>
            <w:pPr>
              <w:ind w:left="60"/>
              <w:spacing w:after="0"/>
              <w:rPr>
                <w:sz w:val="20"/>
                <w:szCs w:val="20"/>
                <w:color w:val="auto"/>
              </w:rPr>
            </w:pPr>
            <w:r>
              <w:rPr>
                <w:rFonts w:ascii="Arial" w:cs="Arial" w:eastAsia="Arial" w:hAnsi="Arial"/>
                <w:sz w:val="11"/>
                <w:szCs w:val="11"/>
                <w:color w:val="auto"/>
              </w:rPr>
              <w:t>NC 28801</w:t>
            </w:r>
          </w:p>
        </w:tc>
        <w:tc>
          <w:tcPr>
            <w:tcW w:w="680" w:type="dxa"/>
            <w:vAlign w:val="bottom"/>
          </w:tcPr>
          <w:p>
            <w:pPr>
              <w:ind w:left="120"/>
              <w:spacing w:after="0"/>
              <w:rPr>
                <w:sz w:val="20"/>
                <w:szCs w:val="20"/>
                <w:color w:val="auto"/>
              </w:rPr>
            </w:pPr>
            <w:r>
              <w:rPr>
                <w:rFonts w:ascii="Arial" w:cs="Arial" w:eastAsia="Arial" w:hAnsi="Arial"/>
                <w:sz w:val="11"/>
                <w:szCs w:val="11"/>
                <w:color w:val="auto"/>
              </w:rPr>
              <w:t>(828) 251-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8269</w:t>
            </w:r>
          </w:p>
        </w:tc>
        <w:tc>
          <w:tcPr>
            <w:tcW w:w="26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9571 Secutity National Bank</w:t>
            </w:r>
          </w:p>
        </w:tc>
        <w:tc>
          <w:tcPr>
            <w:tcW w:w="2200" w:type="dxa"/>
            <w:vAlign w:val="bottom"/>
          </w:tcPr>
          <w:p>
            <w:pPr>
              <w:ind w:left="160"/>
              <w:spacing w:after="0"/>
              <w:rPr>
                <w:sz w:val="20"/>
                <w:szCs w:val="20"/>
                <w:color w:val="auto"/>
              </w:rPr>
            </w:pPr>
            <w:r>
              <w:rPr>
                <w:rFonts w:ascii="Arial" w:cs="Arial" w:eastAsia="Arial" w:hAnsi="Arial"/>
                <w:sz w:val="11"/>
                <w:szCs w:val="11"/>
                <w:color w:val="auto"/>
              </w:rPr>
              <w:t>2 SOUTH MAIN STREET</w:t>
            </w:r>
          </w:p>
        </w:tc>
        <w:tc>
          <w:tcPr>
            <w:tcW w:w="1020" w:type="dxa"/>
            <w:vAlign w:val="bottom"/>
          </w:tcPr>
          <w:p>
            <w:pPr>
              <w:ind w:left="20"/>
              <w:spacing w:after="0"/>
              <w:rPr>
                <w:sz w:val="20"/>
                <w:szCs w:val="20"/>
                <w:color w:val="auto"/>
              </w:rPr>
            </w:pPr>
            <w:r>
              <w:rPr>
                <w:rFonts w:ascii="Arial" w:cs="Arial" w:eastAsia="Arial" w:hAnsi="Arial"/>
                <w:sz w:val="11"/>
                <w:szCs w:val="11"/>
                <w:color w:val="auto"/>
              </w:rPr>
              <w:t>JEFFERSONVILLE</w:t>
            </w:r>
          </w:p>
        </w:tc>
        <w:tc>
          <w:tcPr>
            <w:tcW w:w="640" w:type="dxa"/>
            <w:vAlign w:val="bottom"/>
          </w:tcPr>
          <w:p>
            <w:pPr>
              <w:ind w:left="60"/>
              <w:spacing w:after="0"/>
              <w:rPr>
                <w:sz w:val="20"/>
                <w:szCs w:val="20"/>
                <w:color w:val="auto"/>
              </w:rPr>
            </w:pPr>
            <w:r>
              <w:rPr>
                <w:rFonts w:ascii="Arial" w:cs="Arial" w:eastAsia="Arial" w:hAnsi="Arial"/>
                <w:sz w:val="11"/>
                <w:szCs w:val="11"/>
                <w:color w:val="auto"/>
              </w:rPr>
              <w:t>OH 43218</w:t>
            </w:r>
          </w:p>
        </w:tc>
        <w:tc>
          <w:tcPr>
            <w:tcW w:w="940" w:type="dxa"/>
            <w:vAlign w:val="bottom"/>
            <w:gridSpan w:val="2"/>
          </w:tcPr>
          <w:p>
            <w:pPr>
              <w:ind w:left="120"/>
              <w:spacing w:after="0"/>
              <w:rPr>
                <w:sz w:val="20"/>
                <w:szCs w:val="20"/>
                <w:color w:val="auto"/>
              </w:rPr>
            </w:pPr>
            <w:r>
              <w:rPr>
                <w:rFonts w:ascii="Arial" w:cs="Arial" w:eastAsia="Arial" w:hAnsi="Arial"/>
                <w:sz w:val="11"/>
                <w:szCs w:val="11"/>
                <w:color w:val="auto"/>
                <w:w w:val="94"/>
              </w:rPr>
              <w:t>740-426-6384 ***</w:t>
            </w:r>
          </w:p>
        </w:tc>
      </w:tr>
      <w:tr>
        <w:trPr>
          <w:trHeight w:val="258"/>
        </w:trPr>
        <w:tc>
          <w:tcPr>
            <w:tcW w:w="1580" w:type="dxa"/>
            <w:vAlign w:val="bottom"/>
          </w:tcPr>
          <w:p>
            <w:pPr>
              <w:spacing w:after="0"/>
              <w:rPr>
                <w:sz w:val="20"/>
                <w:szCs w:val="20"/>
                <w:color w:val="auto"/>
              </w:rPr>
            </w:pPr>
            <w:r>
              <w:rPr>
                <w:rFonts w:ascii="Arial" w:cs="Arial" w:eastAsia="Arial" w:hAnsi="Arial"/>
                <w:sz w:val="11"/>
                <w:szCs w:val="11"/>
                <w:color w:val="auto"/>
              </w:rPr>
              <w:t>9573 BANK OF AMERICA</w:t>
            </w:r>
          </w:p>
        </w:tc>
        <w:tc>
          <w:tcPr>
            <w:tcW w:w="2200" w:type="dxa"/>
            <w:vAlign w:val="bottom"/>
          </w:tcPr>
          <w:p>
            <w:pPr>
              <w:ind w:left="160"/>
              <w:spacing w:after="0"/>
              <w:rPr>
                <w:sz w:val="20"/>
                <w:szCs w:val="20"/>
                <w:color w:val="auto"/>
              </w:rPr>
            </w:pPr>
            <w:r>
              <w:rPr>
                <w:rFonts w:ascii="Arial" w:cs="Arial" w:eastAsia="Arial" w:hAnsi="Arial"/>
                <w:sz w:val="11"/>
                <w:szCs w:val="11"/>
                <w:color w:val="auto"/>
              </w:rPr>
              <w:t>354 1/2 West Middle Turnpike</w:t>
            </w:r>
          </w:p>
        </w:tc>
        <w:tc>
          <w:tcPr>
            <w:tcW w:w="1020" w:type="dxa"/>
            <w:vAlign w:val="bottom"/>
          </w:tcPr>
          <w:p>
            <w:pPr>
              <w:ind w:left="20"/>
              <w:spacing w:after="0"/>
              <w:rPr>
                <w:sz w:val="20"/>
                <w:szCs w:val="20"/>
                <w:color w:val="auto"/>
              </w:rPr>
            </w:pPr>
            <w:r>
              <w:rPr>
                <w:rFonts w:ascii="Arial" w:cs="Arial" w:eastAsia="Arial" w:hAnsi="Arial"/>
                <w:sz w:val="11"/>
                <w:szCs w:val="11"/>
                <w:color w:val="auto"/>
              </w:rPr>
              <w:t>Manchester</w:t>
            </w:r>
          </w:p>
        </w:tc>
        <w:tc>
          <w:tcPr>
            <w:tcW w:w="640" w:type="dxa"/>
            <w:vAlign w:val="bottom"/>
          </w:tcPr>
          <w:p>
            <w:pPr>
              <w:ind w:left="60"/>
              <w:spacing w:after="0"/>
              <w:rPr>
                <w:sz w:val="20"/>
                <w:szCs w:val="20"/>
                <w:color w:val="auto"/>
              </w:rPr>
            </w:pPr>
            <w:r>
              <w:rPr>
                <w:rFonts w:ascii="Arial" w:cs="Arial" w:eastAsia="Arial" w:hAnsi="Arial"/>
                <w:sz w:val="11"/>
                <w:szCs w:val="11"/>
                <w:color w:val="auto"/>
              </w:rPr>
              <w:t>CT 06040</w:t>
            </w:r>
          </w:p>
        </w:tc>
        <w:tc>
          <w:tcPr>
            <w:tcW w:w="680" w:type="dxa"/>
            <w:vAlign w:val="bottom"/>
          </w:tcPr>
          <w:p>
            <w:pPr>
              <w:ind w:left="12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9576 MAIN SOURCE BANK</w:t>
            </w:r>
          </w:p>
        </w:tc>
        <w:tc>
          <w:tcPr>
            <w:tcW w:w="2200" w:type="dxa"/>
            <w:vAlign w:val="bottom"/>
          </w:tcPr>
          <w:p>
            <w:pPr>
              <w:ind w:left="160"/>
              <w:spacing w:after="0"/>
              <w:rPr>
                <w:sz w:val="20"/>
                <w:szCs w:val="20"/>
                <w:color w:val="auto"/>
              </w:rPr>
            </w:pPr>
            <w:r>
              <w:rPr>
                <w:rFonts w:ascii="Arial" w:cs="Arial" w:eastAsia="Arial" w:hAnsi="Arial"/>
                <w:sz w:val="11"/>
                <w:szCs w:val="11"/>
                <w:color w:val="auto"/>
                <w:w w:val="98"/>
              </w:rPr>
              <w:t>3880 W PRESIDENTIAL WAY PO Box 38</w:t>
            </w:r>
          </w:p>
        </w:tc>
        <w:tc>
          <w:tcPr>
            <w:tcW w:w="1020" w:type="dxa"/>
            <w:vAlign w:val="bottom"/>
          </w:tcPr>
          <w:p>
            <w:pPr>
              <w:ind w:left="20"/>
              <w:spacing w:after="0"/>
              <w:rPr>
                <w:sz w:val="20"/>
                <w:szCs w:val="20"/>
                <w:color w:val="auto"/>
              </w:rPr>
            </w:pPr>
            <w:r>
              <w:rPr>
                <w:rFonts w:ascii="Arial" w:cs="Arial" w:eastAsia="Arial" w:hAnsi="Arial"/>
                <w:sz w:val="11"/>
                <w:szCs w:val="11"/>
                <w:color w:val="auto"/>
              </w:rPr>
              <w:t>EDINBURGH</w:t>
            </w:r>
          </w:p>
        </w:tc>
        <w:tc>
          <w:tcPr>
            <w:tcW w:w="640" w:type="dxa"/>
            <w:vAlign w:val="bottom"/>
          </w:tcPr>
          <w:p>
            <w:pPr>
              <w:ind w:left="60"/>
              <w:spacing w:after="0"/>
              <w:rPr>
                <w:sz w:val="20"/>
                <w:szCs w:val="20"/>
                <w:color w:val="auto"/>
              </w:rPr>
            </w:pPr>
            <w:r>
              <w:rPr>
                <w:rFonts w:ascii="Arial" w:cs="Arial" w:eastAsia="Arial" w:hAnsi="Arial"/>
                <w:sz w:val="11"/>
                <w:szCs w:val="11"/>
                <w:color w:val="auto"/>
              </w:rPr>
              <w:t>IN  46124</w:t>
            </w:r>
          </w:p>
        </w:tc>
        <w:tc>
          <w:tcPr>
            <w:tcW w:w="680" w:type="dxa"/>
            <w:vAlign w:val="bottom"/>
          </w:tcPr>
          <w:p>
            <w:pPr>
              <w:ind w:left="120"/>
              <w:spacing w:after="0"/>
              <w:rPr>
                <w:sz w:val="20"/>
                <w:szCs w:val="20"/>
                <w:color w:val="auto"/>
              </w:rPr>
            </w:pPr>
            <w:r>
              <w:rPr>
                <w:rFonts w:ascii="Arial" w:cs="Arial" w:eastAsia="Arial" w:hAnsi="Arial"/>
                <w:sz w:val="11"/>
                <w:szCs w:val="11"/>
                <w:color w:val="auto"/>
              </w:rPr>
              <w:t>(812) 526-</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0551</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9581 WELLS FARGO</w:t>
            </w:r>
          </w:p>
        </w:tc>
        <w:tc>
          <w:tcPr>
            <w:tcW w:w="2200" w:type="dxa"/>
            <w:vAlign w:val="bottom"/>
          </w:tcPr>
          <w:p>
            <w:pPr>
              <w:ind w:left="160"/>
              <w:spacing w:after="0"/>
              <w:rPr>
                <w:sz w:val="20"/>
                <w:szCs w:val="20"/>
                <w:color w:val="auto"/>
              </w:rPr>
            </w:pPr>
            <w:r>
              <w:rPr>
                <w:rFonts w:ascii="Arial" w:cs="Arial" w:eastAsia="Arial" w:hAnsi="Arial"/>
                <w:sz w:val="11"/>
                <w:szCs w:val="11"/>
                <w:color w:val="auto"/>
              </w:rPr>
              <w:t>4012 UNIVERSITY DRIVE</w:t>
            </w:r>
          </w:p>
        </w:tc>
        <w:tc>
          <w:tcPr>
            <w:tcW w:w="1020" w:type="dxa"/>
            <w:vAlign w:val="bottom"/>
          </w:tcPr>
          <w:p>
            <w:pPr>
              <w:ind w:left="20"/>
              <w:spacing w:after="0"/>
              <w:rPr>
                <w:sz w:val="20"/>
                <w:szCs w:val="20"/>
                <w:color w:val="auto"/>
              </w:rPr>
            </w:pPr>
            <w:r>
              <w:rPr>
                <w:rFonts w:ascii="Arial" w:cs="Arial" w:eastAsia="Arial" w:hAnsi="Arial"/>
                <w:sz w:val="11"/>
                <w:szCs w:val="11"/>
                <w:color w:val="auto"/>
              </w:rPr>
              <w:t>HUNTSVILLE</w:t>
            </w:r>
          </w:p>
        </w:tc>
        <w:tc>
          <w:tcPr>
            <w:tcW w:w="640" w:type="dxa"/>
            <w:vAlign w:val="bottom"/>
          </w:tcPr>
          <w:p>
            <w:pPr>
              <w:ind w:left="60"/>
              <w:spacing w:after="0"/>
              <w:rPr>
                <w:sz w:val="20"/>
                <w:szCs w:val="20"/>
                <w:color w:val="auto"/>
              </w:rPr>
            </w:pPr>
            <w:r>
              <w:rPr>
                <w:rFonts w:ascii="Arial" w:cs="Arial" w:eastAsia="Arial" w:hAnsi="Arial"/>
                <w:sz w:val="11"/>
                <w:szCs w:val="11"/>
                <w:color w:val="auto"/>
              </w:rPr>
              <w:t>AL 35816</w:t>
            </w:r>
          </w:p>
        </w:tc>
        <w:tc>
          <w:tcPr>
            <w:tcW w:w="680" w:type="dxa"/>
            <w:vAlign w:val="bottom"/>
          </w:tcPr>
          <w:p>
            <w:pPr>
              <w:ind w:left="120"/>
              <w:spacing w:after="0"/>
              <w:rPr>
                <w:sz w:val="20"/>
                <w:szCs w:val="20"/>
                <w:color w:val="auto"/>
              </w:rPr>
            </w:pPr>
            <w:r>
              <w:rPr>
                <w:rFonts w:ascii="Arial" w:cs="Arial" w:eastAsia="Arial" w:hAnsi="Arial"/>
                <w:sz w:val="11"/>
                <w:szCs w:val="11"/>
                <w:color w:val="auto"/>
              </w:rPr>
              <w:t>(256) 551-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5180</w:t>
            </w:r>
          </w:p>
        </w:tc>
        <w:tc>
          <w:tcPr>
            <w:tcW w:w="26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9582 BANK OF AMERICA</w:t>
            </w:r>
          </w:p>
        </w:tc>
        <w:tc>
          <w:tcPr>
            <w:tcW w:w="2200" w:type="dxa"/>
            <w:vAlign w:val="bottom"/>
          </w:tcPr>
          <w:p>
            <w:pPr>
              <w:ind w:left="160"/>
              <w:spacing w:after="0"/>
              <w:rPr>
                <w:sz w:val="20"/>
                <w:szCs w:val="20"/>
                <w:color w:val="auto"/>
              </w:rPr>
            </w:pPr>
            <w:r>
              <w:rPr>
                <w:rFonts w:ascii="Arial" w:cs="Arial" w:eastAsia="Arial" w:hAnsi="Arial"/>
                <w:sz w:val="11"/>
                <w:szCs w:val="11"/>
                <w:color w:val="auto"/>
              </w:rPr>
              <w:t>1934 OLD GALLOWS ROAD</w:t>
            </w:r>
          </w:p>
        </w:tc>
        <w:tc>
          <w:tcPr>
            <w:tcW w:w="1020" w:type="dxa"/>
            <w:vAlign w:val="bottom"/>
          </w:tcPr>
          <w:p>
            <w:pPr>
              <w:ind w:left="20"/>
              <w:spacing w:after="0"/>
              <w:rPr>
                <w:sz w:val="20"/>
                <w:szCs w:val="20"/>
                <w:color w:val="auto"/>
              </w:rPr>
            </w:pPr>
            <w:r>
              <w:rPr>
                <w:rFonts w:ascii="Arial" w:cs="Arial" w:eastAsia="Arial" w:hAnsi="Arial"/>
                <w:sz w:val="11"/>
                <w:szCs w:val="11"/>
                <w:color w:val="auto"/>
              </w:rPr>
              <w:t>VIENNA</w:t>
            </w:r>
          </w:p>
        </w:tc>
        <w:tc>
          <w:tcPr>
            <w:tcW w:w="640" w:type="dxa"/>
            <w:vAlign w:val="bottom"/>
          </w:tcPr>
          <w:p>
            <w:pPr>
              <w:ind w:left="60"/>
              <w:spacing w:after="0"/>
              <w:rPr>
                <w:sz w:val="20"/>
                <w:szCs w:val="20"/>
                <w:color w:val="auto"/>
              </w:rPr>
            </w:pPr>
            <w:r>
              <w:rPr>
                <w:rFonts w:ascii="Arial" w:cs="Arial" w:eastAsia="Arial" w:hAnsi="Arial"/>
                <w:sz w:val="11"/>
                <w:szCs w:val="11"/>
                <w:color w:val="auto"/>
              </w:rPr>
              <w:t>VA 22182</w:t>
            </w:r>
          </w:p>
        </w:tc>
        <w:tc>
          <w:tcPr>
            <w:tcW w:w="6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28"/>
        </w:trPr>
        <w:tc>
          <w:tcPr>
            <w:tcW w:w="1580" w:type="dxa"/>
            <w:vAlign w:val="bottom"/>
          </w:tcPr>
          <w:p>
            <w:pPr>
              <w:spacing w:after="0"/>
              <w:rPr>
                <w:sz w:val="20"/>
                <w:szCs w:val="20"/>
                <w:color w:val="auto"/>
              </w:rPr>
            </w:pPr>
            <w:r>
              <w:rPr>
                <w:rFonts w:ascii="Arial" w:cs="Arial" w:eastAsia="Arial" w:hAnsi="Arial"/>
                <w:sz w:val="11"/>
                <w:szCs w:val="11"/>
                <w:color w:val="auto"/>
              </w:rPr>
              <w:t>9585 CHASE (JPMORGAN)</w:t>
            </w:r>
          </w:p>
        </w:tc>
        <w:tc>
          <w:tcPr>
            <w:tcW w:w="2200" w:type="dxa"/>
            <w:vAlign w:val="bottom"/>
          </w:tcPr>
          <w:p>
            <w:pPr>
              <w:ind w:left="160"/>
              <w:spacing w:after="0"/>
              <w:rPr>
                <w:sz w:val="20"/>
                <w:szCs w:val="20"/>
                <w:color w:val="auto"/>
              </w:rPr>
            </w:pPr>
            <w:r>
              <w:rPr>
                <w:rFonts w:ascii="Arial" w:cs="Arial" w:eastAsia="Arial" w:hAnsi="Arial"/>
                <w:sz w:val="11"/>
                <w:szCs w:val="11"/>
                <w:color w:val="auto"/>
              </w:rPr>
              <w:t>2410 W. GRAND RIVER</w:t>
            </w:r>
          </w:p>
        </w:tc>
        <w:tc>
          <w:tcPr>
            <w:tcW w:w="1020" w:type="dxa"/>
            <w:vAlign w:val="bottom"/>
          </w:tcPr>
          <w:p>
            <w:pPr>
              <w:ind w:left="20"/>
              <w:spacing w:after="0"/>
              <w:rPr>
                <w:sz w:val="20"/>
                <w:szCs w:val="20"/>
                <w:color w:val="auto"/>
              </w:rPr>
            </w:pPr>
            <w:r>
              <w:rPr>
                <w:rFonts w:ascii="Arial" w:cs="Arial" w:eastAsia="Arial" w:hAnsi="Arial"/>
                <w:sz w:val="11"/>
                <w:szCs w:val="11"/>
                <w:color w:val="auto"/>
              </w:rPr>
              <w:t>HOWELL</w:t>
            </w:r>
          </w:p>
        </w:tc>
        <w:tc>
          <w:tcPr>
            <w:tcW w:w="640" w:type="dxa"/>
            <w:vAlign w:val="bottom"/>
          </w:tcPr>
          <w:p>
            <w:pPr>
              <w:ind w:left="60"/>
              <w:spacing w:after="0"/>
              <w:rPr>
                <w:sz w:val="20"/>
                <w:szCs w:val="20"/>
                <w:color w:val="auto"/>
              </w:rPr>
            </w:pPr>
            <w:r>
              <w:rPr>
                <w:rFonts w:ascii="Arial" w:cs="Arial" w:eastAsia="Arial" w:hAnsi="Arial"/>
                <w:sz w:val="11"/>
                <w:szCs w:val="11"/>
                <w:color w:val="auto"/>
              </w:rPr>
              <w:t>MI 48843</w:t>
            </w:r>
          </w:p>
        </w:tc>
        <w:tc>
          <w:tcPr>
            <w:tcW w:w="680" w:type="dxa"/>
            <w:vAlign w:val="bottom"/>
          </w:tcPr>
          <w:p>
            <w:pPr>
              <w:ind w:left="120"/>
              <w:spacing w:after="0"/>
              <w:rPr>
                <w:sz w:val="20"/>
                <w:szCs w:val="20"/>
                <w:color w:val="auto"/>
              </w:rPr>
            </w:pPr>
            <w:r>
              <w:rPr>
                <w:rFonts w:ascii="Arial" w:cs="Arial" w:eastAsia="Arial" w:hAnsi="Arial"/>
                <w:sz w:val="11"/>
                <w:szCs w:val="11"/>
                <w:color w:val="auto"/>
              </w:rPr>
              <w:t>(517) 548-</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3827</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9587 CHASE (JPMORGAN)</w:t>
            </w:r>
          </w:p>
        </w:tc>
        <w:tc>
          <w:tcPr>
            <w:tcW w:w="2200" w:type="dxa"/>
            <w:vAlign w:val="bottom"/>
          </w:tcPr>
          <w:p>
            <w:pPr>
              <w:ind w:left="160"/>
              <w:spacing w:after="0"/>
              <w:rPr>
                <w:sz w:val="20"/>
                <w:szCs w:val="20"/>
                <w:color w:val="auto"/>
              </w:rPr>
            </w:pPr>
            <w:r>
              <w:rPr>
                <w:rFonts w:ascii="Arial" w:cs="Arial" w:eastAsia="Arial" w:hAnsi="Arial"/>
                <w:sz w:val="11"/>
                <w:szCs w:val="11"/>
                <w:color w:val="auto"/>
              </w:rPr>
              <w:t>105 FILLMORE STREET</w:t>
            </w:r>
          </w:p>
        </w:tc>
        <w:tc>
          <w:tcPr>
            <w:tcW w:w="1020" w:type="dxa"/>
            <w:vAlign w:val="bottom"/>
          </w:tcPr>
          <w:p>
            <w:pPr>
              <w:ind w:left="20"/>
              <w:spacing w:after="0"/>
              <w:rPr>
                <w:sz w:val="20"/>
                <w:szCs w:val="20"/>
                <w:color w:val="auto"/>
              </w:rPr>
            </w:pPr>
            <w:r>
              <w:rPr>
                <w:rFonts w:ascii="Arial" w:cs="Arial" w:eastAsia="Arial" w:hAnsi="Arial"/>
                <w:sz w:val="11"/>
                <w:szCs w:val="11"/>
                <w:color w:val="auto"/>
              </w:rPr>
              <w:t>DENVER</w:t>
            </w:r>
          </w:p>
        </w:tc>
        <w:tc>
          <w:tcPr>
            <w:tcW w:w="640" w:type="dxa"/>
            <w:vAlign w:val="bottom"/>
          </w:tcPr>
          <w:p>
            <w:pPr>
              <w:ind w:left="60"/>
              <w:spacing w:after="0"/>
              <w:rPr>
                <w:sz w:val="20"/>
                <w:szCs w:val="20"/>
                <w:color w:val="auto"/>
              </w:rPr>
            </w:pPr>
            <w:r>
              <w:rPr>
                <w:rFonts w:ascii="Arial" w:cs="Arial" w:eastAsia="Arial" w:hAnsi="Arial"/>
                <w:sz w:val="11"/>
                <w:szCs w:val="11"/>
                <w:color w:val="auto"/>
              </w:rPr>
              <w:t>CO 80206</w:t>
            </w:r>
          </w:p>
        </w:tc>
        <w:tc>
          <w:tcPr>
            <w:tcW w:w="680" w:type="dxa"/>
            <w:vAlign w:val="bottom"/>
          </w:tcPr>
          <w:p>
            <w:pPr>
              <w:ind w:left="120"/>
              <w:spacing w:after="0"/>
              <w:rPr>
                <w:sz w:val="20"/>
                <w:szCs w:val="20"/>
                <w:color w:val="auto"/>
              </w:rPr>
            </w:pPr>
            <w:r>
              <w:rPr>
                <w:rFonts w:ascii="Arial" w:cs="Arial" w:eastAsia="Arial" w:hAnsi="Arial"/>
                <w:sz w:val="11"/>
                <w:szCs w:val="11"/>
                <w:color w:val="auto"/>
              </w:rPr>
              <w:t>(303) 322-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4799</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9588 FIVE STAR BANK</w:t>
            </w:r>
          </w:p>
        </w:tc>
        <w:tc>
          <w:tcPr>
            <w:tcW w:w="2200" w:type="dxa"/>
            <w:vAlign w:val="bottom"/>
          </w:tcPr>
          <w:p>
            <w:pPr>
              <w:ind w:left="160"/>
              <w:spacing w:after="0"/>
              <w:rPr>
                <w:sz w:val="20"/>
                <w:szCs w:val="20"/>
                <w:color w:val="auto"/>
              </w:rPr>
            </w:pPr>
            <w:r>
              <w:rPr>
                <w:rFonts w:ascii="Arial" w:cs="Arial" w:eastAsia="Arial" w:hAnsi="Arial"/>
                <w:sz w:val="11"/>
                <w:szCs w:val="11"/>
                <w:color w:val="auto"/>
              </w:rPr>
              <w:t>1940 US ROUTE 20</w:t>
            </w:r>
          </w:p>
        </w:tc>
        <w:tc>
          <w:tcPr>
            <w:tcW w:w="1020" w:type="dxa"/>
            <w:vAlign w:val="bottom"/>
          </w:tcPr>
          <w:p>
            <w:pPr>
              <w:ind w:left="20"/>
              <w:spacing w:after="0"/>
              <w:rPr>
                <w:sz w:val="20"/>
                <w:szCs w:val="20"/>
                <w:color w:val="auto"/>
              </w:rPr>
            </w:pPr>
            <w:r>
              <w:rPr>
                <w:rFonts w:ascii="Arial" w:cs="Arial" w:eastAsia="Arial" w:hAnsi="Arial"/>
                <w:sz w:val="11"/>
                <w:szCs w:val="11"/>
                <w:color w:val="auto"/>
              </w:rPr>
              <w:t>WATERLOO</w:t>
            </w:r>
          </w:p>
        </w:tc>
        <w:tc>
          <w:tcPr>
            <w:tcW w:w="640" w:type="dxa"/>
            <w:vAlign w:val="bottom"/>
          </w:tcPr>
          <w:p>
            <w:pPr>
              <w:ind w:left="60"/>
              <w:spacing w:after="0"/>
              <w:rPr>
                <w:sz w:val="20"/>
                <w:szCs w:val="20"/>
                <w:color w:val="auto"/>
              </w:rPr>
            </w:pPr>
            <w:r>
              <w:rPr>
                <w:rFonts w:ascii="Arial" w:cs="Arial" w:eastAsia="Arial" w:hAnsi="Arial"/>
                <w:sz w:val="11"/>
                <w:szCs w:val="11"/>
                <w:color w:val="auto"/>
              </w:rPr>
              <w:t>NY 13165</w:t>
            </w:r>
          </w:p>
        </w:tc>
        <w:tc>
          <w:tcPr>
            <w:tcW w:w="680" w:type="dxa"/>
            <w:vAlign w:val="bottom"/>
          </w:tcPr>
          <w:p>
            <w:pPr>
              <w:ind w:left="120"/>
              <w:spacing w:after="0"/>
              <w:rPr>
                <w:sz w:val="20"/>
                <w:szCs w:val="20"/>
                <w:color w:val="auto"/>
              </w:rPr>
            </w:pPr>
            <w:r>
              <w:rPr>
                <w:rFonts w:ascii="Arial" w:cs="Arial" w:eastAsia="Arial" w:hAnsi="Arial"/>
                <w:sz w:val="11"/>
                <w:szCs w:val="11"/>
                <w:color w:val="auto"/>
              </w:rPr>
              <w:t>(315) 539-</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1000</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9589 BANK OF AMERICA</w:t>
            </w:r>
          </w:p>
        </w:tc>
        <w:tc>
          <w:tcPr>
            <w:tcW w:w="2200" w:type="dxa"/>
            <w:vAlign w:val="bottom"/>
          </w:tcPr>
          <w:p>
            <w:pPr>
              <w:ind w:left="160"/>
              <w:spacing w:after="0"/>
              <w:rPr>
                <w:sz w:val="20"/>
                <w:szCs w:val="20"/>
                <w:color w:val="auto"/>
              </w:rPr>
            </w:pPr>
            <w:r>
              <w:rPr>
                <w:rFonts w:ascii="Arial" w:cs="Arial" w:eastAsia="Arial" w:hAnsi="Arial"/>
                <w:sz w:val="11"/>
                <w:szCs w:val="11"/>
                <w:color w:val="auto"/>
              </w:rPr>
              <w:t>5002 WILLIAMSON ROAD NW</w:t>
            </w:r>
          </w:p>
        </w:tc>
        <w:tc>
          <w:tcPr>
            <w:tcW w:w="1020" w:type="dxa"/>
            <w:vAlign w:val="bottom"/>
          </w:tcPr>
          <w:p>
            <w:pPr>
              <w:ind w:left="20"/>
              <w:spacing w:after="0"/>
              <w:rPr>
                <w:sz w:val="20"/>
                <w:szCs w:val="20"/>
                <w:color w:val="auto"/>
              </w:rPr>
            </w:pPr>
            <w:r>
              <w:rPr>
                <w:rFonts w:ascii="Arial" w:cs="Arial" w:eastAsia="Arial" w:hAnsi="Arial"/>
                <w:sz w:val="11"/>
                <w:szCs w:val="11"/>
                <w:color w:val="auto"/>
              </w:rPr>
              <w:t>ROANOKE</w:t>
            </w:r>
          </w:p>
        </w:tc>
        <w:tc>
          <w:tcPr>
            <w:tcW w:w="640" w:type="dxa"/>
            <w:vAlign w:val="bottom"/>
          </w:tcPr>
          <w:p>
            <w:pPr>
              <w:ind w:left="60"/>
              <w:spacing w:after="0"/>
              <w:rPr>
                <w:sz w:val="20"/>
                <w:szCs w:val="20"/>
                <w:color w:val="auto"/>
              </w:rPr>
            </w:pPr>
            <w:r>
              <w:rPr>
                <w:rFonts w:ascii="Arial" w:cs="Arial" w:eastAsia="Arial" w:hAnsi="Arial"/>
                <w:sz w:val="11"/>
                <w:szCs w:val="11"/>
                <w:color w:val="auto"/>
              </w:rPr>
              <w:t>VA 24012</w:t>
            </w:r>
          </w:p>
        </w:tc>
        <w:tc>
          <w:tcPr>
            <w:tcW w:w="680" w:type="dxa"/>
            <w:vAlign w:val="bottom"/>
          </w:tcPr>
          <w:p>
            <w:pPr>
              <w:ind w:left="120"/>
              <w:spacing w:after="0"/>
              <w:rPr>
                <w:sz w:val="20"/>
                <w:szCs w:val="20"/>
                <w:color w:val="auto"/>
              </w:rPr>
            </w:pPr>
            <w:r>
              <w:rPr>
                <w:rFonts w:ascii="Arial" w:cs="Arial" w:eastAsia="Arial" w:hAnsi="Arial"/>
                <w:sz w:val="11"/>
                <w:szCs w:val="11"/>
                <w:color w:val="auto"/>
              </w:rPr>
              <w:t>(540) 561-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0943</w:t>
            </w:r>
          </w:p>
        </w:tc>
        <w:tc>
          <w:tcPr>
            <w:tcW w:w="26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9591 BANK OF AMERICA</w:t>
            </w:r>
          </w:p>
        </w:tc>
        <w:tc>
          <w:tcPr>
            <w:tcW w:w="2200" w:type="dxa"/>
            <w:vAlign w:val="bottom"/>
          </w:tcPr>
          <w:p>
            <w:pPr>
              <w:ind w:left="160"/>
              <w:spacing w:after="0"/>
              <w:rPr>
                <w:sz w:val="20"/>
                <w:szCs w:val="20"/>
                <w:color w:val="auto"/>
              </w:rPr>
            </w:pPr>
            <w:r>
              <w:rPr>
                <w:rFonts w:ascii="Arial" w:cs="Arial" w:eastAsia="Arial" w:hAnsi="Arial"/>
                <w:sz w:val="11"/>
                <w:szCs w:val="11"/>
                <w:color w:val="auto"/>
              </w:rPr>
              <w:t>101 E. Moreland Rd</w:t>
            </w:r>
          </w:p>
        </w:tc>
        <w:tc>
          <w:tcPr>
            <w:tcW w:w="1020" w:type="dxa"/>
            <w:vAlign w:val="bottom"/>
          </w:tcPr>
          <w:p>
            <w:pPr>
              <w:ind w:left="20"/>
              <w:spacing w:after="0"/>
              <w:rPr>
                <w:sz w:val="20"/>
                <w:szCs w:val="20"/>
                <w:color w:val="auto"/>
              </w:rPr>
            </w:pPr>
            <w:r>
              <w:rPr>
                <w:rFonts w:ascii="Arial" w:cs="Arial" w:eastAsia="Arial" w:hAnsi="Arial"/>
                <w:sz w:val="11"/>
                <w:szCs w:val="11"/>
                <w:color w:val="auto"/>
              </w:rPr>
              <w:t>Willow Grove</w:t>
            </w:r>
          </w:p>
        </w:tc>
        <w:tc>
          <w:tcPr>
            <w:tcW w:w="640" w:type="dxa"/>
            <w:vAlign w:val="bottom"/>
          </w:tcPr>
          <w:p>
            <w:pPr>
              <w:ind w:left="60"/>
              <w:spacing w:after="0"/>
              <w:rPr>
                <w:sz w:val="20"/>
                <w:szCs w:val="20"/>
                <w:color w:val="auto"/>
              </w:rPr>
            </w:pPr>
            <w:r>
              <w:rPr>
                <w:rFonts w:ascii="Arial" w:cs="Arial" w:eastAsia="Arial" w:hAnsi="Arial"/>
                <w:sz w:val="11"/>
                <w:szCs w:val="11"/>
                <w:color w:val="auto"/>
              </w:rPr>
              <w:t>PA 19090</w:t>
            </w:r>
          </w:p>
        </w:tc>
        <w:tc>
          <w:tcPr>
            <w:tcW w:w="680" w:type="dxa"/>
            <w:vAlign w:val="bottom"/>
          </w:tcPr>
          <w:p>
            <w:pPr>
              <w:ind w:left="120"/>
              <w:spacing w:after="0"/>
              <w:rPr>
                <w:sz w:val="20"/>
                <w:szCs w:val="20"/>
                <w:color w:val="auto"/>
              </w:rPr>
            </w:pPr>
            <w:r>
              <w:rPr>
                <w:rFonts w:ascii="Arial" w:cs="Arial" w:eastAsia="Arial" w:hAnsi="Arial"/>
                <w:sz w:val="11"/>
                <w:szCs w:val="11"/>
                <w:color w:val="auto"/>
              </w:rPr>
              <w:t>(800) 841-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20"/>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-2882265</wp:posOffset>
            </wp:positionV>
            <wp:extent cx="4060190" cy="2914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60190" cy="2914015"/>
                    </a:xfrm>
                    <a:prstGeom prst="rect">
                      <a:avLst/>
                    </a:prstGeom>
                    <a:noFill/>
                  </pic:spPr>
                </pic:pic>
              </a:graphicData>
            </a:graphic>
          </wp:anchor>
        </w:drawing>
      </w:r>
    </w:p>
    <w:p>
      <w:pPr>
        <w:spacing w:after="0" w:line="187" w:lineRule="exact"/>
        <w:rPr>
          <w:sz w:val="20"/>
          <w:szCs w:val="20"/>
          <w:color w:val="auto"/>
        </w:rPr>
      </w:pPr>
    </w:p>
    <w:p>
      <w:pPr>
        <w:ind w:left="259" w:hanging="259"/>
        <w:spacing w:after="0"/>
        <w:tabs>
          <w:tab w:leader="none" w:pos="259" w:val="left"/>
        </w:tabs>
        <w:numPr>
          <w:ilvl w:val="0"/>
          <w:numId w:val="215"/>
        </w:numPr>
        <w:rPr>
          <w:rFonts w:ascii="Arial" w:cs="Arial" w:eastAsia="Arial" w:hAnsi="Arial"/>
          <w:sz w:val="14"/>
          <w:szCs w:val="14"/>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39"/>
          </w:cols>
          <w:pgMar w:left="221" w:top="111" w:right="1440" w:bottom="1440" w:gutter="0" w:footer="0" w:header="0"/>
        </w:sectPr>
      </w:pPr>
    </w:p>
    <w:bookmarkStart w:id="211" w:name="page212"/>
    <w:bookmarkEnd w:id="211"/>
    <w:tbl>
      <w:tblPr>
        <w:tblLayout w:type="fixed"/>
        <w:tblInd w:w="1320" w:type="dxa"/>
        <w:tblCellMar>
          <w:top w:w="0" w:type="dxa"/>
          <w:left w:w="0" w:type="dxa"/>
          <w:bottom w:w="0" w:type="dxa"/>
          <w:right w:w="0" w:type="dxa"/>
        </w:tblCellMar>
      </w:tblPr>
      <w:tr>
        <w:trPr>
          <w:trHeight w:val="136"/>
        </w:trPr>
        <w:tc>
          <w:tcPr>
            <w:tcW w:w="1580" w:type="dxa"/>
            <w:vAlign w:val="bottom"/>
          </w:tcPr>
          <w:p>
            <w:pPr>
              <w:spacing w:after="0"/>
              <w:rPr>
                <w:sz w:val="20"/>
                <w:szCs w:val="20"/>
                <w:color w:val="auto"/>
              </w:rPr>
            </w:pPr>
            <w:r>
              <w:rPr>
                <w:rFonts w:ascii="Arial" w:cs="Arial" w:eastAsia="Arial" w:hAnsi="Arial"/>
                <w:sz w:val="11"/>
                <w:szCs w:val="11"/>
                <w:color w:val="auto"/>
              </w:rPr>
              <w:t>9592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924 BROADWAY AVENUE</w:t>
            </w:r>
          </w:p>
        </w:tc>
        <w:tc>
          <w:tcPr>
            <w:tcW w:w="1040" w:type="dxa"/>
            <w:vAlign w:val="bottom"/>
          </w:tcPr>
          <w:p>
            <w:pPr>
              <w:ind w:left="20"/>
              <w:spacing w:after="0"/>
              <w:rPr>
                <w:sz w:val="20"/>
                <w:szCs w:val="20"/>
                <w:color w:val="auto"/>
              </w:rPr>
            </w:pPr>
            <w:r>
              <w:rPr>
                <w:rFonts w:ascii="Arial" w:cs="Arial" w:eastAsia="Arial" w:hAnsi="Arial"/>
                <w:sz w:val="11"/>
                <w:szCs w:val="11"/>
                <w:color w:val="auto"/>
              </w:rPr>
              <w:t>BOWLING GREEN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KY 42101</w:t>
            </w:r>
          </w:p>
        </w:tc>
        <w:tc>
          <w:tcPr>
            <w:tcW w:w="340" w:type="dxa"/>
            <w:vAlign w:val="bottom"/>
          </w:tcPr>
          <w:p>
            <w:pPr>
              <w:jc w:val="right"/>
              <w:spacing w:after="0"/>
              <w:rPr>
                <w:sz w:val="20"/>
                <w:szCs w:val="20"/>
                <w:color w:val="auto"/>
              </w:rPr>
            </w:pPr>
            <w:r>
              <w:rPr>
                <w:rFonts w:ascii="Arial" w:cs="Arial" w:eastAsia="Arial" w:hAnsi="Arial"/>
                <w:sz w:val="11"/>
                <w:szCs w:val="11"/>
                <w:color w:val="auto"/>
              </w:rPr>
              <w:t>(270)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781-9476 ***</w:t>
            </w:r>
          </w:p>
        </w:tc>
      </w:tr>
      <w:tr>
        <w:trPr>
          <w:trHeight w:val="258"/>
        </w:trPr>
        <w:tc>
          <w:tcPr>
            <w:tcW w:w="1580" w:type="dxa"/>
            <w:vAlign w:val="bottom"/>
          </w:tcPr>
          <w:p>
            <w:pPr>
              <w:spacing w:after="0"/>
              <w:rPr>
                <w:sz w:val="20"/>
                <w:szCs w:val="20"/>
                <w:color w:val="auto"/>
              </w:rPr>
            </w:pPr>
            <w:r>
              <w:rPr>
                <w:rFonts w:ascii="Arial" w:cs="Arial" w:eastAsia="Arial" w:hAnsi="Arial"/>
                <w:sz w:val="11"/>
                <w:szCs w:val="11"/>
                <w:color w:val="auto"/>
              </w:rPr>
              <w:t>9595 TRUSTMARK BANK</w:t>
            </w:r>
          </w:p>
        </w:tc>
        <w:tc>
          <w:tcPr>
            <w:tcW w:w="2120" w:type="dxa"/>
            <w:vAlign w:val="bottom"/>
          </w:tcPr>
          <w:p>
            <w:pPr>
              <w:ind w:left="120"/>
              <w:spacing w:after="0"/>
              <w:rPr>
                <w:sz w:val="20"/>
                <w:szCs w:val="20"/>
                <w:color w:val="auto"/>
              </w:rPr>
            </w:pPr>
            <w:r>
              <w:rPr>
                <w:rFonts w:ascii="Arial" w:cs="Arial" w:eastAsia="Arial" w:hAnsi="Arial"/>
                <w:sz w:val="11"/>
                <w:szCs w:val="11"/>
                <w:color w:val="auto"/>
                <w:w w:val="92"/>
              </w:rPr>
              <w:t>248 EAST CAPITOL STREET PO BOX 291</w:t>
            </w:r>
          </w:p>
        </w:tc>
        <w:tc>
          <w:tcPr>
            <w:tcW w:w="1040" w:type="dxa"/>
            <w:vAlign w:val="bottom"/>
          </w:tcPr>
          <w:p>
            <w:pPr>
              <w:ind w:left="20"/>
              <w:spacing w:after="0"/>
              <w:rPr>
                <w:sz w:val="20"/>
                <w:szCs w:val="20"/>
                <w:color w:val="auto"/>
              </w:rPr>
            </w:pPr>
            <w:r>
              <w:rPr>
                <w:rFonts w:ascii="Arial" w:cs="Arial" w:eastAsia="Arial" w:hAnsi="Arial"/>
                <w:sz w:val="11"/>
                <w:szCs w:val="11"/>
                <w:color w:val="auto"/>
              </w:rPr>
              <w:t>JACKSON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MS 39205-</w:t>
            </w:r>
          </w:p>
        </w:tc>
        <w:tc>
          <w:tcPr>
            <w:tcW w:w="340" w:type="dxa"/>
            <w:vAlign w:val="bottom"/>
          </w:tcPr>
          <w:p>
            <w:pPr>
              <w:jc w:val="right"/>
              <w:spacing w:after="0"/>
              <w:rPr>
                <w:sz w:val="20"/>
                <w:szCs w:val="20"/>
                <w:color w:val="auto"/>
              </w:rPr>
            </w:pPr>
            <w:r>
              <w:rPr>
                <w:rFonts w:ascii="Arial" w:cs="Arial" w:eastAsia="Arial" w:hAnsi="Arial"/>
                <w:sz w:val="11"/>
                <w:szCs w:val="11"/>
                <w:color w:val="auto"/>
              </w:rPr>
              <w:t>(601)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961-6071 ***</w:t>
            </w:r>
          </w:p>
        </w:tc>
      </w:tr>
      <w:tr>
        <w:trPr>
          <w:trHeight w:val="136"/>
        </w:trPr>
        <w:tc>
          <w:tcPr>
            <w:tcW w:w="1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0291</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9598 WELLS FARGO</w:t>
            </w:r>
          </w:p>
        </w:tc>
        <w:tc>
          <w:tcPr>
            <w:tcW w:w="2120" w:type="dxa"/>
            <w:vAlign w:val="bottom"/>
          </w:tcPr>
          <w:p>
            <w:pPr>
              <w:ind w:left="120"/>
              <w:spacing w:after="0"/>
              <w:rPr>
                <w:sz w:val="20"/>
                <w:szCs w:val="20"/>
                <w:color w:val="auto"/>
              </w:rPr>
            </w:pPr>
            <w:r>
              <w:rPr>
                <w:rFonts w:ascii="Arial" w:cs="Arial" w:eastAsia="Arial" w:hAnsi="Arial"/>
                <w:sz w:val="11"/>
                <w:szCs w:val="11"/>
                <w:color w:val="auto"/>
              </w:rPr>
              <w:t>8055 20TH STREET FL6584</w:t>
            </w:r>
          </w:p>
        </w:tc>
        <w:tc>
          <w:tcPr>
            <w:tcW w:w="1040" w:type="dxa"/>
            <w:vAlign w:val="bottom"/>
          </w:tcPr>
          <w:p>
            <w:pPr>
              <w:ind w:left="20"/>
              <w:spacing w:after="0"/>
              <w:rPr>
                <w:sz w:val="20"/>
                <w:szCs w:val="20"/>
                <w:color w:val="auto"/>
              </w:rPr>
            </w:pPr>
            <w:r>
              <w:rPr>
                <w:rFonts w:ascii="Arial" w:cs="Arial" w:eastAsia="Arial" w:hAnsi="Arial"/>
                <w:sz w:val="11"/>
                <w:szCs w:val="11"/>
                <w:color w:val="auto"/>
              </w:rPr>
              <w:t>VERO BEACH</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20"/>
              <w:spacing w:after="0"/>
              <w:rPr>
                <w:sz w:val="20"/>
                <w:szCs w:val="20"/>
                <w:color w:val="auto"/>
              </w:rPr>
            </w:pPr>
            <w:r>
              <w:rPr>
                <w:rFonts w:ascii="Arial" w:cs="Arial" w:eastAsia="Arial" w:hAnsi="Arial"/>
                <w:sz w:val="11"/>
                <w:szCs w:val="11"/>
                <w:color w:val="auto"/>
              </w:rPr>
              <w:t>32966</w:t>
            </w:r>
          </w:p>
        </w:tc>
        <w:tc>
          <w:tcPr>
            <w:tcW w:w="340" w:type="dxa"/>
            <w:vAlign w:val="bottom"/>
          </w:tcPr>
          <w:p>
            <w:pPr>
              <w:jc w:val="right"/>
              <w:spacing w:after="0"/>
              <w:rPr>
                <w:sz w:val="20"/>
                <w:szCs w:val="20"/>
                <w:color w:val="auto"/>
              </w:rPr>
            </w:pPr>
            <w:r>
              <w:rPr>
                <w:rFonts w:ascii="Arial" w:cs="Arial" w:eastAsia="Arial" w:hAnsi="Arial"/>
                <w:sz w:val="11"/>
                <w:szCs w:val="11"/>
                <w:color w:val="auto"/>
              </w:rPr>
              <w:t>(561)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778-6081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9604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6040 159TH STREET</w:t>
            </w:r>
          </w:p>
        </w:tc>
        <w:tc>
          <w:tcPr>
            <w:tcW w:w="1040" w:type="dxa"/>
            <w:vAlign w:val="bottom"/>
          </w:tcPr>
          <w:p>
            <w:pPr>
              <w:ind w:left="20"/>
              <w:spacing w:after="0"/>
              <w:rPr>
                <w:sz w:val="20"/>
                <w:szCs w:val="20"/>
                <w:color w:val="auto"/>
              </w:rPr>
            </w:pPr>
            <w:r>
              <w:rPr>
                <w:rFonts w:ascii="Arial" w:cs="Arial" w:eastAsia="Arial" w:hAnsi="Arial"/>
                <w:sz w:val="11"/>
                <w:szCs w:val="11"/>
                <w:color w:val="auto"/>
              </w:rPr>
              <w:t>OAK FOREST</w:t>
            </w:r>
          </w:p>
        </w:tc>
        <w:tc>
          <w:tcPr>
            <w:tcW w:w="220" w:type="dxa"/>
            <w:vAlign w:val="bottom"/>
          </w:tcPr>
          <w:p>
            <w:pPr>
              <w:ind w:left="60"/>
              <w:spacing w:after="0"/>
              <w:rPr>
                <w:sz w:val="20"/>
                <w:szCs w:val="20"/>
                <w:color w:val="auto"/>
              </w:rPr>
            </w:pPr>
            <w:r>
              <w:rPr>
                <w:rFonts w:ascii="Arial" w:cs="Arial" w:eastAsia="Arial" w:hAnsi="Arial"/>
                <w:sz w:val="11"/>
                <w:szCs w:val="11"/>
                <w:color w:val="auto"/>
              </w:rPr>
              <w:t>IL</w:t>
            </w:r>
          </w:p>
        </w:tc>
        <w:tc>
          <w:tcPr>
            <w:tcW w:w="440" w:type="dxa"/>
            <w:vAlign w:val="bottom"/>
          </w:tcPr>
          <w:p>
            <w:pPr>
              <w:ind w:left="20"/>
              <w:spacing w:after="0"/>
              <w:rPr>
                <w:sz w:val="20"/>
                <w:szCs w:val="20"/>
                <w:color w:val="auto"/>
              </w:rPr>
            </w:pPr>
            <w:r>
              <w:rPr>
                <w:rFonts w:ascii="Arial" w:cs="Arial" w:eastAsia="Arial" w:hAnsi="Arial"/>
                <w:sz w:val="11"/>
                <w:szCs w:val="11"/>
                <w:color w:val="auto"/>
              </w:rPr>
              <w:t>60452</w:t>
            </w:r>
          </w:p>
        </w:tc>
        <w:tc>
          <w:tcPr>
            <w:tcW w:w="340" w:type="dxa"/>
            <w:vAlign w:val="bottom"/>
          </w:tcPr>
          <w:p>
            <w:pPr>
              <w:jc w:val="right"/>
              <w:spacing w:after="0"/>
              <w:rPr>
                <w:sz w:val="20"/>
                <w:szCs w:val="20"/>
                <w:color w:val="auto"/>
              </w:rPr>
            </w:pPr>
            <w:r>
              <w:rPr>
                <w:rFonts w:ascii="Arial" w:cs="Arial" w:eastAsia="Arial" w:hAnsi="Arial"/>
                <w:sz w:val="11"/>
                <w:szCs w:val="11"/>
                <w:color w:val="auto"/>
              </w:rPr>
              <w:t>(708)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535-5440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9605 TD BANK</w:t>
            </w:r>
          </w:p>
        </w:tc>
        <w:tc>
          <w:tcPr>
            <w:tcW w:w="2120" w:type="dxa"/>
            <w:vAlign w:val="bottom"/>
          </w:tcPr>
          <w:p>
            <w:pPr>
              <w:ind w:left="120"/>
              <w:spacing w:after="0"/>
              <w:rPr>
                <w:sz w:val="20"/>
                <w:szCs w:val="20"/>
                <w:color w:val="auto"/>
              </w:rPr>
            </w:pPr>
            <w:r>
              <w:rPr>
                <w:rFonts w:ascii="Arial" w:cs="Arial" w:eastAsia="Arial" w:hAnsi="Arial"/>
                <w:sz w:val="11"/>
                <w:szCs w:val="11"/>
                <w:color w:val="auto"/>
              </w:rPr>
              <w:t>10 SHERWOOD DRIVE</w:t>
            </w:r>
          </w:p>
        </w:tc>
        <w:tc>
          <w:tcPr>
            <w:tcW w:w="1040" w:type="dxa"/>
            <w:vAlign w:val="bottom"/>
          </w:tcPr>
          <w:p>
            <w:pPr>
              <w:ind w:left="20"/>
              <w:spacing w:after="0"/>
              <w:rPr>
                <w:sz w:val="20"/>
                <w:szCs w:val="20"/>
                <w:color w:val="auto"/>
              </w:rPr>
            </w:pPr>
            <w:r>
              <w:rPr>
                <w:rFonts w:ascii="Arial" w:cs="Arial" w:eastAsia="Arial" w:hAnsi="Arial"/>
                <w:sz w:val="11"/>
                <w:szCs w:val="11"/>
                <w:color w:val="auto"/>
              </w:rPr>
              <w:t>TILTON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NH 03276</w:t>
            </w:r>
          </w:p>
        </w:tc>
        <w:tc>
          <w:tcPr>
            <w:tcW w:w="340" w:type="dxa"/>
            <w:vAlign w:val="bottom"/>
          </w:tcPr>
          <w:p>
            <w:pPr>
              <w:jc w:val="right"/>
              <w:spacing w:after="0"/>
              <w:rPr>
                <w:sz w:val="20"/>
                <w:szCs w:val="20"/>
                <w:color w:val="auto"/>
              </w:rPr>
            </w:pPr>
            <w:r>
              <w:rPr>
                <w:rFonts w:ascii="Arial" w:cs="Arial" w:eastAsia="Arial" w:hAnsi="Arial"/>
                <w:sz w:val="11"/>
                <w:szCs w:val="11"/>
                <w:color w:val="auto"/>
              </w:rPr>
              <w:t>(603)</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286-2401 ***</w:t>
            </w:r>
          </w:p>
        </w:tc>
      </w:tr>
      <w:tr>
        <w:trPr>
          <w:trHeight w:val="258"/>
        </w:trPr>
        <w:tc>
          <w:tcPr>
            <w:tcW w:w="1580" w:type="dxa"/>
            <w:vAlign w:val="bottom"/>
          </w:tcPr>
          <w:p>
            <w:pPr>
              <w:spacing w:after="0"/>
              <w:rPr>
                <w:sz w:val="20"/>
                <w:szCs w:val="20"/>
                <w:color w:val="auto"/>
              </w:rPr>
            </w:pPr>
            <w:r>
              <w:rPr>
                <w:rFonts w:ascii="Arial" w:cs="Arial" w:eastAsia="Arial" w:hAnsi="Arial"/>
                <w:sz w:val="11"/>
                <w:szCs w:val="11"/>
                <w:color w:val="auto"/>
              </w:rPr>
              <w:t>9610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EAST STATE</w:t>
            </w:r>
          </w:p>
        </w:tc>
        <w:tc>
          <w:tcPr>
            <w:tcW w:w="1040" w:type="dxa"/>
            <w:vAlign w:val="bottom"/>
          </w:tcPr>
          <w:p>
            <w:pPr>
              <w:ind w:left="20"/>
              <w:spacing w:after="0"/>
              <w:rPr>
                <w:sz w:val="20"/>
                <w:szCs w:val="20"/>
                <w:color w:val="auto"/>
              </w:rPr>
            </w:pPr>
            <w:r>
              <w:rPr>
                <w:rFonts w:ascii="Arial" w:cs="Arial" w:eastAsia="Arial" w:hAnsi="Arial"/>
                <w:sz w:val="11"/>
                <w:szCs w:val="11"/>
                <w:color w:val="auto"/>
              </w:rPr>
              <w:t>ROCKFORD</w:t>
            </w:r>
          </w:p>
        </w:tc>
        <w:tc>
          <w:tcPr>
            <w:tcW w:w="220" w:type="dxa"/>
            <w:vAlign w:val="bottom"/>
          </w:tcPr>
          <w:p>
            <w:pPr>
              <w:ind w:left="60"/>
              <w:spacing w:after="0"/>
              <w:rPr>
                <w:sz w:val="20"/>
                <w:szCs w:val="20"/>
                <w:color w:val="auto"/>
              </w:rPr>
            </w:pPr>
            <w:r>
              <w:rPr>
                <w:rFonts w:ascii="Arial" w:cs="Arial" w:eastAsia="Arial" w:hAnsi="Arial"/>
                <w:sz w:val="11"/>
                <w:szCs w:val="11"/>
                <w:color w:val="auto"/>
              </w:rPr>
              <w:t>IL</w:t>
            </w:r>
          </w:p>
        </w:tc>
        <w:tc>
          <w:tcPr>
            <w:tcW w:w="440" w:type="dxa"/>
            <w:vAlign w:val="bottom"/>
          </w:tcPr>
          <w:p>
            <w:pPr>
              <w:ind w:left="20"/>
              <w:spacing w:after="0"/>
              <w:rPr>
                <w:sz w:val="20"/>
                <w:szCs w:val="20"/>
                <w:color w:val="auto"/>
              </w:rPr>
            </w:pPr>
            <w:r>
              <w:rPr>
                <w:rFonts w:ascii="Arial" w:cs="Arial" w:eastAsia="Arial" w:hAnsi="Arial"/>
                <w:sz w:val="11"/>
                <w:szCs w:val="11"/>
                <w:color w:val="auto"/>
              </w:rPr>
              <w:t>61125-</w:t>
            </w:r>
          </w:p>
        </w:tc>
        <w:tc>
          <w:tcPr>
            <w:tcW w:w="340" w:type="dxa"/>
            <w:vAlign w:val="bottom"/>
          </w:tcPr>
          <w:p>
            <w:pPr>
              <w:jc w:val="right"/>
              <w:spacing w:after="0"/>
              <w:rPr>
                <w:sz w:val="20"/>
                <w:szCs w:val="20"/>
                <w:color w:val="auto"/>
              </w:rPr>
            </w:pPr>
            <w:r>
              <w:rPr>
                <w:rFonts w:ascii="Arial" w:cs="Arial" w:eastAsia="Arial" w:hAnsi="Arial"/>
                <w:sz w:val="11"/>
                <w:szCs w:val="11"/>
                <w:color w:val="auto"/>
              </w:rPr>
              <w:t>(815)</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398-6500 ***</w:t>
            </w:r>
          </w:p>
        </w:tc>
      </w:tr>
      <w:tr>
        <w:trPr>
          <w:trHeight w:val="136"/>
        </w:trPr>
        <w:tc>
          <w:tcPr>
            <w:tcW w:w="1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1086</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9612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1200 MCKINNEY, STE 433</w:t>
            </w:r>
          </w:p>
        </w:tc>
        <w:tc>
          <w:tcPr>
            <w:tcW w:w="1040" w:type="dxa"/>
            <w:vAlign w:val="bottom"/>
          </w:tcPr>
          <w:p>
            <w:pPr>
              <w:ind w:left="20"/>
              <w:spacing w:after="0"/>
              <w:rPr>
                <w:sz w:val="20"/>
                <w:szCs w:val="20"/>
                <w:color w:val="auto"/>
              </w:rPr>
            </w:pPr>
            <w:r>
              <w:rPr>
                <w:rFonts w:ascii="Arial" w:cs="Arial" w:eastAsia="Arial" w:hAnsi="Arial"/>
                <w:sz w:val="11"/>
                <w:szCs w:val="11"/>
                <w:color w:val="auto"/>
              </w:rPr>
              <w:t>HOUSTON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77010</w:t>
            </w:r>
          </w:p>
        </w:tc>
        <w:tc>
          <w:tcPr>
            <w:tcW w:w="340" w:type="dxa"/>
            <w:vAlign w:val="bottom"/>
          </w:tcPr>
          <w:p>
            <w:pPr>
              <w:jc w:val="right"/>
              <w:spacing w:after="0"/>
              <w:rPr>
                <w:sz w:val="20"/>
                <w:szCs w:val="20"/>
                <w:color w:val="auto"/>
              </w:rPr>
            </w:pPr>
            <w:r>
              <w:rPr>
                <w:rFonts w:ascii="Arial" w:cs="Arial" w:eastAsia="Arial" w:hAnsi="Arial"/>
                <w:sz w:val="11"/>
                <w:szCs w:val="11"/>
                <w:color w:val="auto"/>
              </w:rPr>
              <w:t>(713)</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751-6100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9613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9379 NORTH SHERIDAN BLVD</w:t>
            </w:r>
          </w:p>
        </w:tc>
        <w:tc>
          <w:tcPr>
            <w:tcW w:w="1040" w:type="dxa"/>
            <w:vAlign w:val="bottom"/>
          </w:tcPr>
          <w:p>
            <w:pPr>
              <w:ind w:left="20"/>
              <w:spacing w:after="0"/>
              <w:rPr>
                <w:sz w:val="20"/>
                <w:szCs w:val="20"/>
                <w:color w:val="auto"/>
              </w:rPr>
            </w:pPr>
            <w:r>
              <w:rPr>
                <w:rFonts w:ascii="Arial" w:cs="Arial" w:eastAsia="Arial" w:hAnsi="Arial"/>
                <w:sz w:val="11"/>
                <w:szCs w:val="11"/>
                <w:color w:val="auto"/>
              </w:rPr>
              <w:t>WESTMINSTER</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CO 80030</w:t>
            </w:r>
          </w:p>
        </w:tc>
        <w:tc>
          <w:tcPr>
            <w:tcW w:w="340" w:type="dxa"/>
            <w:vAlign w:val="bottom"/>
          </w:tcPr>
          <w:p>
            <w:pPr>
              <w:jc w:val="right"/>
              <w:spacing w:after="0"/>
              <w:rPr>
                <w:sz w:val="20"/>
                <w:szCs w:val="20"/>
                <w:color w:val="auto"/>
              </w:rPr>
            </w:pPr>
            <w:r>
              <w:rPr>
                <w:rFonts w:ascii="Arial" w:cs="Arial" w:eastAsia="Arial" w:hAnsi="Arial"/>
                <w:sz w:val="11"/>
                <w:szCs w:val="11"/>
                <w:color w:val="auto"/>
              </w:rPr>
              <w:t>(303)</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244-5060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9615 FROST NATIONAL BANK</w:t>
            </w:r>
          </w:p>
        </w:tc>
        <w:tc>
          <w:tcPr>
            <w:tcW w:w="2120" w:type="dxa"/>
            <w:vAlign w:val="bottom"/>
          </w:tcPr>
          <w:p>
            <w:pPr>
              <w:ind w:left="120"/>
              <w:spacing w:after="0"/>
              <w:rPr>
                <w:sz w:val="20"/>
                <w:szCs w:val="20"/>
                <w:color w:val="auto"/>
              </w:rPr>
            </w:pPr>
            <w:r>
              <w:rPr>
                <w:rFonts w:ascii="Arial" w:cs="Arial" w:eastAsia="Arial" w:hAnsi="Arial"/>
                <w:sz w:val="11"/>
                <w:szCs w:val="11"/>
                <w:color w:val="auto"/>
              </w:rPr>
              <w:t>221 WONDER WORLD DRIVE</w:t>
            </w:r>
          </w:p>
        </w:tc>
        <w:tc>
          <w:tcPr>
            <w:tcW w:w="1040" w:type="dxa"/>
            <w:vAlign w:val="bottom"/>
          </w:tcPr>
          <w:p>
            <w:pPr>
              <w:ind w:left="20"/>
              <w:spacing w:after="0"/>
              <w:rPr>
                <w:sz w:val="20"/>
                <w:szCs w:val="20"/>
                <w:color w:val="auto"/>
              </w:rPr>
            </w:pPr>
            <w:r>
              <w:rPr>
                <w:rFonts w:ascii="Arial" w:cs="Arial" w:eastAsia="Arial" w:hAnsi="Arial"/>
                <w:sz w:val="11"/>
                <w:szCs w:val="11"/>
                <w:color w:val="auto"/>
              </w:rPr>
              <w:t>SAN MARCOS</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78666</w:t>
            </w:r>
          </w:p>
        </w:tc>
        <w:tc>
          <w:tcPr>
            <w:tcW w:w="340" w:type="dxa"/>
            <w:vAlign w:val="bottom"/>
          </w:tcPr>
          <w:p>
            <w:pPr>
              <w:jc w:val="right"/>
              <w:spacing w:after="0"/>
              <w:rPr>
                <w:sz w:val="20"/>
                <w:szCs w:val="20"/>
                <w:color w:val="auto"/>
              </w:rPr>
            </w:pPr>
            <w:r>
              <w:rPr>
                <w:rFonts w:ascii="Arial" w:cs="Arial" w:eastAsia="Arial" w:hAnsi="Arial"/>
                <w:sz w:val="11"/>
                <w:szCs w:val="11"/>
                <w:color w:val="auto"/>
              </w:rPr>
              <w:t>(512)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393-5647 ***</w:t>
            </w:r>
          </w:p>
        </w:tc>
      </w:tr>
      <w:tr>
        <w:trPr>
          <w:trHeight w:val="258"/>
        </w:trPr>
        <w:tc>
          <w:tcPr>
            <w:tcW w:w="1580" w:type="dxa"/>
            <w:vAlign w:val="bottom"/>
          </w:tcPr>
          <w:p>
            <w:pPr>
              <w:spacing w:after="0"/>
              <w:rPr>
                <w:sz w:val="20"/>
                <w:szCs w:val="20"/>
                <w:color w:val="auto"/>
              </w:rPr>
            </w:pPr>
            <w:r>
              <w:rPr>
                <w:rFonts w:ascii="Arial" w:cs="Arial" w:eastAsia="Arial" w:hAnsi="Arial"/>
                <w:sz w:val="11"/>
                <w:szCs w:val="11"/>
                <w:color w:val="auto"/>
              </w:rPr>
              <w:t>9616 COMMUNITY BANK &amp;</w:t>
            </w:r>
          </w:p>
        </w:tc>
        <w:tc>
          <w:tcPr>
            <w:tcW w:w="2120" w:type="dxa"/>
            <w:vAlign w:val="bottom"/>
          </w:tcPr>
          <w:p>
            <w:pPr>
              <w:ind w:left="120"/>
              <w:spacing w:after="0"/>
              <w:rPr>
                <w:sz w:val="20"/>
                <w:szCs w:val="20"/>
                <w:color w:val="auto"/>
              </w:rPr>
            </w:pPr>
            <w:r>
              <w:rPr>
                <w:rFonts w:ascii="Arial" w:cs="Arial" w:eastAsia="Arial" w:hAnsi="Arial"/>
                <w:sz w:val="11"/>
                <w:szCs w:val="11"/>
                <w:color w:val="auto"/>
              </w:rPr>
              <w:t>800 STEVEN B TANGER BLVD</w:t>
            </w:r>
          </w:p>
        </w:tc>
        <w:tc>
          <w:tcPr>
            <w:tcW w:w="1040" w:type="dxa"/>
            <w:vAlign w:val="bottom"/>
          </w:tcPr>
          <w:p>
            <w:pPr>
              <w:ind w:left="20"/>
              <w:spacing w:after="0"/>
              <w:rPr>
                <w:sz w:val="20"/>
                <w:szCs w:val="20"/>
                <w:color w:val="auto"/>
              </w:rPr>
            </w:pPr>
            <w:r>
              <w:rPr>
                <w:rFonts w:ascii="Arial" w:cs="Arial" w:eastAsia="Arial" w:hAnsi="Arial"/>
                <w:sz w:val="11"/>
                <w:szCs w:val="11"/>
                <w:color w:val="auto"/>
              </w:rPr>
              <w:t>COMMERCE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GA 30529</w:t>
            </w:r>
          </w:p>
        </w:tc>
        <w:tc>
          <w:tcPr>
            <w:tcW w:w="340" w:type="dxa"/>
            <w:vAlign w:val="bottom"/>
          </w:tcPr>
          <w:p>
            <w:pPr>
              <w:jc w:val="right"/>
              <w:spacing w:after="0"/>
              <w:rPr>
                <w:sz w:val="20"/>
                <w:szCs w:val="20"/>
                <w:color w:val="auto"/>
              </w:rPr>
            </w:pPr>
            <w:r>
              <w:rPr>
                <w:rFonts w:ascii="Arial" w:cs="Arial" w:eastAsia="Arial" w:hAnsi="Arial"/>
                <w:sz w:val="11"/>
                <w:szCs w:val="11"/>
                <w:color w:val="auto"/>
              </w:rPr>
              <w:t>(706)</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336-3202 ***</w:t>
            </w:r>
          </w:p>
        </w:tc>
      </w:tr>
      <w:tr>
        <w:trPr>
          <w:trHeight w:val="136"/>
        </w:trPr>
        <w:tc>
          <w:tcPr>
            <w:tcW w:w="1580" w:type="dxa"/>
            <w:vAlign w:val="bottom"/>
          </w:tcPr>
          <w:p>
            <w:pPr>
              <w:ind w:left="240"/>
              <w:spacing w:after="0"/>
              <w:rPr>
                <w:sz w:val="20"/>
                <w:szCs w:val="20"/>
                <w:color w:val="auto"/>
              </w:rPr>
            </w:pPr>
            <w:r>
              <w:rPr>
                <w:rFonts w:ascii="Arial" w:cs="Arial" w:eastAsia="Arial" w:hAnsi="Arial"/>
                <w:sz w:val="11"/>
                <w:szCs w:val="11"/>
                <w:color w:val="auto"/>
              </w:rPr>
              <w:t>TRUST</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7"/>
        </w:trPr>
        <w:tc>
          <w:tcPr>
            <w:tcW w:w="1580" w:type="dxa"/>
            <w:vAlign w:val="bottom"/>
          </w:tcPr>
          <w:p>
            <w:pPr>
              <w:spacing w:after="0"/>
              <w:rPr>
                <w:sz w:val="20"/>
                <w:szCs w:val="20"/>
                <w:color w:val="auto"/>
              </w:rPr>
            </w:pPr>
            <w:r>
              <w:rPr>
                <w:rFonts w:ascii="Arial" w:cs="Arial" w:eastAsia="Arial" w:hAnsi="Arial"/>
                <w:sz w:val="11"/>
                <w:szCs w:val="11"/>
                <w:color w:val="auto"/>
              </w:rPr>
              <w:t>9617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1200 MT. ZION ROAD</w:t>
            </w:r>
          </w:p>
        </w:tc>
        <w:tc>
          <w:tcPr>
            <w:tcW w:w="1040" w:type="dxa"/>
            <w:vAlign w:val="bottom"/>
          </w:tcPr>
          <w:p>
            <w:pPr>
              <w:ind w:left="20"/>
              <w:spacing w:after="0"/>
              <w:rPr>
                <w:sz w:val="20"/>
                <w:szCs w:val="20"/>
                <w:color w:val="auto"/>
              </w:rPr>
            </w:pPr>
            <w:r>
              <w:rPr>
                <w:rFonts w:ascii="Arial" w:cs="Arial" w:eastAsia="Arial" w:hAnsi="Arial"/>
                <w:sz w:val="11"/>
                <w:szCs w:val="11"/>
                <w:color w:val="auto"/>
              </w:rPr>
              <w:t>MORROW</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GA 30260-</w:t>
            </w:r>
          </w:p>
        </w:tc>
        <w:tc>
          <w:tcPr>
            <w:tcW w:w="340" w:type="dxa"/>
            <w:vAlign w:val="bottom"/>
          </w:tcPr>
          <w:p>
            <w:pPr>
              <w:jc w:val="right"/>
              <w:spacing w:after="0"/>
              <w:rPr>
                <w:sz w:val="20"/>
                <w:szCs w:val="20"/>
                <w:color w:val="auto"/>
              </w:rPr>
            </w:pPr>
            <w:r>
              <w:rPr>
                <w:rFonts w:ascii="Arial" w:cs="Arial" w:eastAsia="Arial" w:hAnsi="Arial"/>
                <w:sz w:val="11"/>
                <w:szCs w:val="11"/>
                <w:color w:val="auto"/>
              </w:rPr>
              <w:t>(770)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968-2000 ***</w:t>
            </w:r>
          </w:p>
        </w:tc>
      </w:tr>
      <w:tr>
        <w:trPr>
          <w:trHeight w:val="136"/>
        </w:trPr>
        <w:tc>
          <w:tcPr>
            <w:tcW w:w="1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2314</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9618 PNC BANK</w:t>
            </w:r>
          </w:p>
        </w:tc>
        <w:tc>
          <w:tcPr>
            <w:tcW w:w="21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1"/>
                <w:szCs w:val="11"/>
                <w:color w:val="auto"/>
              </w:rPr>
              <w:t>Mays Landing</w:t>
            </w:r>
          </w:p>
        </w:tc>
        <w:tc>
          <w:tcPr>
            <w:tcW w:w="220" w:type="dxa"/>
            <w:vAlign w:val="bottom"/>
          </w:tcPr>
          <w:p>
            <w:pPr>
              <w:ind w:left="60"/>
              <w:spacing w:after="0"/>
              <w:rPr>
                <w:sz w:val="20"/>
                <w:szCs w:val="20"/>
                <w:color w:val="auto"/>
              </w:rPr>
            </w:pPr>
            <w:r>
              <w:rPr>
                <w:rFonts w:ascii="Arial" w:cs="Arial" w:eastAsia="Arial" w:hAnsi="Arial"/>
                <w:sz w:val="11"/>
                <w:szCs w:val="11"/>
                <w:color w:val="auto"/>
              </w:rPr>
              <w:t>NJ</w:t>
            </w:r>
          </w:p>
        </w:tc>
        <w:tc>
          <w:tcPr>
            <w:tcW w:w="440" w:type="dxa"/>
            <w:vAlign w:val="bottom"/>
          </w:tcPr>
          <w:p>
            <w:pPr>
              <w:ind w:left="20"/>
              <w:spacing w:after="0"/>
              <w:rPr>
                <w:sz w:val="20"/>
                <w:szCs w:val="20"/>
                <w:color w:val="auto"/>
              </w:rPr>
            </w:pPr>
            <w:r>
              <w:rPr>
                <w:rFonts w:ascii="Arial" w:cs="Arial" w:eastAsia="Arial" w:hAnsi="Arial"/>
                <w:sz w:val="11"/>
                <w:szCs w:val="11"/>
                <w:color w:val="auto"/>
              </w:rPr>
              <w:t>08330</w:t>
            </w:r>
          </w:p>
        </w:tc>
        <w:tc>
          <w:tcPr>
            <w:tcW w:w="340" w:type="dxa"/>
            <w:vAlign w:val="bottom"/>
          </w:tcPr>
          <w:p>
            <w:pPr>
              <w:jc w:val="right"/>
              <w:spacing w:after="0"/>
              <w:rPr>
                <w:sz w:val="20"/>
                <w:szCs w:val="20"/>
                <w:color w:val="auto"/>
              </w:rPr>
            </w:pPr>
            <w:r>
              <w:rPr>
                <w:rFonts w:ascii="Arial" w:cs="Arial" w:eastAsia="Arial" w:hAnsi="Arial"/>
                <w:sz w:val="11"/>
                <w:szCs w:val="11"/>
                <w:color w:val="auto"/>
              </w:rPr>
              <w:t>(800)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841-4000 ***</w:t>
            </w:r>
          </w:p>
        </w:tc>
      </w:tr>
      <w:tr>
        <w:trPr>
          <w:trHeight w:val="353"/>
        </w:trPr>
        <w:tc>
          <w:tcPr>
            <w:tcW w:w="1580" w:type="dxa"/>
            <w:vAlign w:val="bottom"/>
          </w:tcPr>
          <w:p>
            <w:pPr>
              <w:spacing w:after="0"/>
              <w:rPr>
                <w:sz w:val="20"/>
                <w:szCs w:val="20"/>
                <w:color w:val="auto"/>
              </w:rPr>
            </w:pPr>
            <w:r>
              <w:rPr>
                <w:rFonts w:ascii="Arial" w:cs="Arial" w:eastAsia="Arial" w:hAnsi="Arial"/>
                <w:sz w:val="11"/>
                <w:szCs w:val="11"/>
                <w:color w:val="auto"/>
              </w:rPr>
              <w:t>9623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5325 SW 21st STREET</w:t>
            </w:r>
          </w:p>
        </w:tc>
        <w:tc>
          <w:tcPr>
            <w:tcW w:w="1040" w:type="dxa"/>
            <w:vAlign w:val="bottom"/>
          </w:tcPr>
          <w:p>
            <w:pPr>
              <w:ind w:left="20"/>
              <w:spacing w:after="0"/>
              <w:rPr>
                <w:sz w:val="20"/>
                <w:szCs w:val="20"/>
                <w:color w:val="auto"/>
              </w:rPr>
            </w:pPr>
            <w:r>
              <w:rPr>
                <w:rFonts w:ascii="Arial" w:cs="Arial" w:eastAsia="Arial" w:hAnsi="Arial"/>
                <w:sz w:val="11"/>
                <w:szCs w:val="11"/>
                <w:color w:val="auto"/>
              </w:rPr>
              <w:t>TOPEKA</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KS 66604</w:t>
            </w:r>
          </w:p>
        </w:tc>
        <w:tc>
          <w:tcPr>
            <w:tcW w:w="340" w:type="dxa"/>
            <w:vAlign w:val="bottom"/>
          </w:tcPr>
          <w:p>
            <w:pPr>
              <w:jc w:val="right"/>
              <w:spacing w:after="0"/>
              <w:rPr>
                <w:sz w:val="20"/>
                <w:szCs w:val="20"/>
                <w:color w:val="auto"/>
              </w:rPr>
            </w:pPr>
            <w:r>
              <w:rPr>
                <w:rFonts w:ascii="Arial" w:cs="Arial" w:eastAsia="Arial" w:hAnsi="Arial"/>
                <w:sz w:val="11"/>
                <w:szCs w:val="11"/>
                <w:color w:val="auto"/>
              </w:rPr>
              <w:t>(785)</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295-3546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9624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1481 CARL D SILVER PARKWAY</w:t>
            </w:r>
          </w:p>
        </w:tc>
        <w:tc>
          <w:tcPr>
            <w:tcW w:w="1040" w:type="dxa"/>
            <w:vAlign w:val="bottom"/>
          </w:tcPr>
          <w:p>
            <w:pPr>
              <w:ind w:left="20"/>
              <w:spacing w:after="0"/>
              <w:rPr>
                <w:sz w:val="20"/>
                <w:szCs w:val="20"/>
                <w:color w:val="auto"/>
              </w:rPr>
            </w:pPr>
            <w:r>
              <w:rPr>
                <w:rFonts w:ascii="Arial" w:cs="Arial" w:eastAsia="Arial" w:hAnsi="Arial"/>
                <w:sz w:val="11"/>
                <w:szCs w:val="11"/>
                <w:color w:val="auto"/>
                <w:w w:val="97"/>
              </w:rPr>
              <w:t>FREDERICKSBURG</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VA 22401</w:t>
            </w:r>
          </w:p>
        </w:tc>
        <w:tc>
          <w:tcPr>
            <w:tcW w:w="340" w:type="dxa"/>
            <w:vAlign w:val="bottom"/>
          </w:tcPr>
          <w:p>
            <w:pPr>
              <w:jc w:val="right"/>
              <w:spacing w:after="0"/>
              <w:rPr>
                <w:sz w:val="20"/>
                <w:szCs w:val="20"/>
                <w:color w:val="auto"/>
              </w:rPr>
            </w:pPr>
            <w:r>
              <w:rPr>
                <w:rFonts w:ascii="Arial" w:cs="Arial" w:eastAsia="Arial" w:hAnsi="Arial"/>
                <w:sz w:val="11"/>
                <w:szCs w:val="11"/>
                <w:color w:val="auto"/>
              </w:rPr>
              <w:t>(540)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548-2827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9625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1441 WEST BAY AREA BLVD</w:t>
            </w:r>
          </w:p>
        </w:tc>
        <w:tc>
          <w:tcPr>
            <w:tcW w:w="1040" w:type="dxa"/>
            <w:vAlign w:val="bottom"/>
          </w:tcPr>
          <w:p>
            <w:pPr>
              <w:ind w:left="20"/>
              <w:spacing w:after="0"/>
              <w:rPr>
                <w:sz w:val="20"/>
                <w:szCs w:val="20"/>
                <w:color w:val="auto"/>
              </w:rPr>
            </w:pPr>
            <w:r>
              <w:rPr>
                <w:rFonts w:ascii="Arial" w:cs="Arial" w:eastAsia="Arial" w:hAnsi="Arial"/>
                <w:sz w:val="11"/>
                <w:szCs w:val="11"/>
                <w:color w:val="auto"/>
              </w:rPr>
              <w:t>WEBSTER</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77546</w:t>
            </w:r>
          </w:p>
        </w:tc>
        <w:tc>
          <w:tcPr>
            <w:tcW w:w="340" w:type="dxa"/>
            <w:vAlign w:val="bottom"/>
          </w:tcPr>
          <w:p>
            <w:pPr>
              <w:jc w:val="right"/>
              <w:spacing w:after="0"/>
              <w:rPr>
                <w:sz w:val="20"/>
                <w:szCs w:val="20"/>
                <w:color w:val="auto"/>
              </w:rPr>
            </w:pPr>
            <w:r>
              <w:rPr>
                <w:rFonts w:ascii="Arial" w:cs="Arial" w:eastAsia="Arial" w:hAnsi="Arial"/>
                <w:sz w:val="11"/>
                <w:szCs w:val="11"/>
                <w:color w:val="auto"/>
              </w:rPr>
              <w:t>(281)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557-7941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9627 PREMIER BANK</w:t>
            </w:r>
          </w:p>
        </w:tc>
        <w:tc>
          <w:tcPr>
            <w:tcW w:w="2120" w:type="dxa"/>
            <w:vAlign w:val="bottom"/>
          </w:tcPr>
          <w:p>
            <w:pPr>
              <w:ind w:left="120"/>
              <w:spacing w:after="0"/>
              <w:rPr>
                <w:sz w:val="20"/>
                <w:szCs w:val="20"/>
                <w:color w:val="auto"/>
              </w:rPr>
            </w:pPr>
            <w:r>
              <w:rPr>
                <w:rFonts w:ascii="Arial" w:cs="Arial" w:eastAsia="Arial" w:hAnsi="Arial"/>
                <w:sz w:val="11"/>
                <w:szCs w:val="11"/>
                <w:color w:val="auto"/>
              </w:rPr>
              <w:t>100 GRELL LANE</w:t>
            </w:r>
          </w:p>
        </w:tc>
        <w:tc>
          <w:tcPr>
            <w:tcW w:w="1040" w:type="dxa"/>
            <w:vAlign w:val="bottom"/>
          </w:tcPr>
          <w:p>
            <w:pPr>
              <w:ind w:left="20"/>
              <w:spacing w:after="0"/>
              <w:rPr>
                <w:sz w:val="20"/>
                <w:szCs w:val="20"/>
                <w:color w:val="auto"/>
              </w:rPr>
            </w:pPr>
            <w:r>
              <w:rPr>
                <w:rFonts w:ascii="Arial" w:cs="Arial" w:eastAsia="Arial" w:hAnsi="Arial"/>
                <w:sz w:val="11"/>
                <w:szCs w:val="11"/>
                <w:color w:val="auto"/>
              </w:rPr>
              <w:t>JOHNSON CREEK</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WI 53038</w:t>
            </w:r>
          </w:p>
        </w:tc>
        <w:tc>
          <w:tcPr>
            <w:tcW w:w="340" w:type="dxa"/>
            <w:vAlign w:val="bottom"/>
          </w:tcPr>
          <w:p>
            <w:pPr>
              <w:jc w:val="right"/>
              <w:spacing w:after="0"/>
              <w:rPr>
                <w:sz w:val="20"/>
                <w:szCs w:val="20"/>
                <w:color w:val="auto"/>
              </w:rPr>
            </w:pPr>
            <w:r>
              <w:rPr>
                <w:rFonts w:ascii="Arial" w:cs="Arial" w:eastAsia="Arial" w:hAnsi="Arial"/>
                <w:sz w:val="11"/>
                <w:szCs w:val="11"/>
                <w:color w:val="auto"/>
              </w:rPr>
              <w:t>(920)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699-6900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9629 PREMIER BANK</w:t>
            </w:r>
          </w:p>
        </w:tc>
        <w:tc>
          <w:tcPr>
            <w:tcW w:w="2120" w:type="dxa"/>
            <w:vAlign w:val="bottom"/>
          </w:tcPr>
          <w:p>
            <w:pPr>
              <w:ind w:left="120"/>
              <w:spacing w:after="0"/>
              <w:rPr>
                <w:sz w:val="20"/>
                <w:szCs w:val="20"/>
                <w:color w:val="auto"/>
              </w:rPr>
            </w:pPr>
            <w:r>
              <w:rPr>
                <w:rFonts w:ascii="Arial" w:cs="Arial" w:eastAsia="Arial" w:hAnsi="Arial"/>
                <w:sz w:val="11"/>
                <w:szCs w:val="11"/>
                <w:color w:val="auto"/>
              </w:rPr>
              <w:t>11055 61ST STREET NORTH EAST</w:t>
            </w:r>
          </w:p>
        </w:tc>
        <w:tc>
          <w:tcPr>
            <w:tcW w:w="1040" w:type="dxa"/>
            <w:vAlign w:val="bottom"/>
          </w:tcPr>
          <w:p>
            <w:pPr>
              <w:ind w:left="20"/>
              <w:spacing w:after="0"/>
              <w:rPr>
                <w:sz w:val="20"/>
                <w:szCs w:val="20"/>
                <w:color w:val="auto"/>
              </w:rPr>
            </w:pPr>
            <w:r>
              <w:rPr>
                <w:rFonts w:ascii="Arial" w:cs="Arial" w:eastAsia="Arial" w:hAnsi="Arial"/>
                <w:sz w:val="11"/>
                <w:szCs w:val="11"/>
                <w:color w:val="auto"/>
              </w:rPr>
              <w:t>ALBERTVILLE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MN 55301</w:t>
            </w:r>
          </w:p>
        </w:tc>
        <w:tc>
          <w:tcPr>
            <w:tcW w:w="340" w:type="dxa"/>
            <w:vAlign w:val="bottom"/>
          </w:tcPr>
          <w:p>
            <w:pPr>
              <w:jc w:val="right"/>
              <w:spacing w:after="0"/>
              <w:rPr>
                <w:sz w:val="20"/>
                <w:szCs w:val="20"/>
                <w:color w:val="auto"/>
              </w:rPr>
            </w:pPr>
            <w:r>
              <w:rPr>
                <w:rFonts w:ascii="Arial" w:cs="Arial" w:eastAsia="Arial" w:hAnsi="Arial"/>
                <w:sz w:val="11"/>
                <w:szCs w:val="11"/>
                <w:color w:val="auto"/>
              </w:rPr>
              <w:t>(763)</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497-8224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9630 WELLS FARGO</w:t>
            </w:r>
          </w:p>
        </w:tc>
        <w:tc>
          <w:tcPr>
            <w:tcW w:w="2120" w:type="dxa"/>
            <w:vAlign w:val="bottom"/>
          </w:tcPr>
          <w:p>
            <w:pPr>
              <w:ind w:left="120"/>
              <w:spacing w:after="0"/>
              <w:rPr>
                <w:sz w:val="20"/>
                <w:szCs w:val="20"/>
                <w:color w:val="auto"/>
              </w:rPr>
            </w:pPr>
            <w:r>
              <w:rPr>
                <w:rFonts w:ascii="Arial" w:cs="Arial" w:eastAsia="Arial" w:hAnsi="Arial"/>
                <w:sz w:val="11"/>
                <w:szCs w:val="11"/>
                <w:color w:val="auto"/>
              </w:rPr>
              <w:t>700 SOUTH MACKENZIE STREET</w:t>
            </w:r>
          </w:p>
        </w:tc>
        <w:tc>
          <w:tcPr>
            <w:tcW w:w="1040" w:type="dxa"/>
            <w:vAlign w:val="bottom"/>
          </w:tcPr>
          <w:p>
            <w:pPr>
              <w:ind w:left="20"/>
              <w:spacing w:after="0"/>
              <w:rPr>
                <w:sz w:val="20"/>
                <w:szCs w:val="20"/>
                <w:color w:val="auto"/>
              </w:rPr>
            </w:pPr>
            <w:r>
              <w:rPr>
                <w:rFonts w:ascii="Arial" w:cs="Arial" w:eastAsia="Arial" w:hAnsi="Arial"/>
                <w:sz w:val="11"/>
                <w:szCs w:val="11"/>
                <w:color w:val="auto"/>
              </w:rPr>
              <w:t>FOLEY</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AL 36535</w:t>
            </w:r>
          </w:p>
        </w:tc>
        <w:tc>
          <w:tcPr>
            <w:tcW w:w="340" w:type="dxa"/>
            <w:vAlign w:val="bottom"/>
          </w:tcPr>
          <w:p>
            <w:pPr>
              <w:jc w:val="right"/>
              <w:spacing w:after="0"/>
              <w:rPr>
                <w:sz w:val="20"/>
                <w:szCs w:val="20"/>
                <w:color w:val="auto"/>
              </w:rPr>
            </w:pPr>
            <w:r>
              <w:rPr>
                <w:rFonts w:ascii="Arial" w:cs="Arial" w:eastAsia="Arial" w:hAnsi="Arial"/>
                <w:sz w:val="11"/>
                <w:szCs w:val="11"/>
                <w:color w:val="auto"/>
              </w:rPr>
              <w:t>(251)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972-8823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9631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150 PARKER ST</w:t>
            </w:r>
          </w:p>
        </w:tc>
        <w:tc>
          <w:tcPr>
            <w:tcW w:w="1040" w:type="dxa"/>
            <w:vAlign w:val="bottom"/>
          </w:tcPr>
          <w:p>
            <w:pPr>
              <w:ind w:left="20"/>
              <w:spacing w:after="0"/>
              <w:rPr>
                <w:sz w:val="20"/>
                <w:szCs w:val="20"/>
                <w:color w:val="auto"/>
              </w:rPr>
            </w:pPr>
            <w:r>
              <w:rPr>
                <w:rFonts w:ascii="Arial" w:cs="Arial" w:eastAsia="Arial" w:hAnsi="Arial"/>
                <w:sz w:val="11"/>
                <w:szCs w:val="11"/>
                <w:color w:val="auto"/>
              </w:rPr>
              <w:t>VACAVILLE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95688</w:t>
            </w:r>
          </w:p>
        </w:tc>
        <w:tc>
          <w:tcPr>
            <w:tcW w:w="340" w:type="dxa"/>
            <w:vAlign w:val="bottom"/>
          </w:tcPr>
          <w:p>
            <w:pPr>
              <w:jc w:val="right"/>
              <w:spacing w:after="0"/>
              <w:rPr>
                <w:sz w:val="20"/>
                <w:szCs w:val="20"/>
                <w:color w:val="auto"/>
              </w:rPr>
            </w:pPr>
            <w:r>
              <w:rPr>
                <w:rFonts w:ascii="Arial" w:cs="Arial" w:eastAsia="Arial" w:hAnsi="Arial"/>
                <w:sz w:val="11"/>
                <w:szCs w:val="11"/>
                <w:color w:val="auto"/>
              </w:rPr>
              <w:t>(707)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449-4433 ***</w:t>
            </w:r>
          </w:p>
        </w:tc>
      </w:tr>
      <w:tr>
        <w:trPr>
          <w:trHeight w:val="258"/>
        </w:trPr>
        <w:tc>
          <w:tcPr>
            <w:tcW w:w="1580" w:type="dxa"/>
            <w:vAlign w:val="bottom"/>
          </w:tcPr>
          <w:p>
            <w:pPr>
              <w:spacing w:after="0"/>
              <w:rPr>
                <w:sz w:val="20"/>
                <w:szCs w:val="20"/>
                <w:color w:val="auto"/>
              </w:rPr>
            </w:pPr>
            <w:r>
              <w:rPr>
                <w:rFonts w:ascii="Arial" w:cs="Arial" w:eastAsia="Arial" w:hAnsi="Arial"/>
                <w:sz w:val="11"/>
                <w:szCs w:val="11"/>
                <w:color w:val="auto"/>
              </w:rPr>
              <w:t>9632 HARBOR COMMUNITY</w:t>
            </w:r>
          </w:p>
        </w:tc>
        <w:tc>
          <w:tcPr>
            <w:tcW w:w="2120" w:type="dxa"/>
            <w:vAlign w:val="bottom"/>
          </w:tcPr>
          <w:p>
            <w:pPr>
              <w:ind w:left="120"/>
              <w:spacing w:after="0"/>
              <w:rPr>
                <w:sz w:val="20"/>
                <w:szCs w:val="20"/>
                <w:color w:val="auto"/>
              </w:rPr>
            </w:pPr>
            <w:r>
              <w:rPr>
                <w:rFonts w:ascii="Arial" w:cs="Arial" w:eastAsia="Arial" w:hAnsi="Arial"/>
                <w:sz w:val="11"/>
                <w:szCs w:val="11"/>
                <w:color w:val="auto"/>
              </w:rPr>
              <w:t>900 STATE ROAD 16</w:t>
            </w:r>
          </w:p>
        </w:tc>
        <w:tc>
          <w:tcPr>
            <w:tcW w:w="1040" w:type="dxa"/>
            <w:vAlign w:val="bottom"/>
          </w:tcPr>
          <w:p>
            <w:pPr>
              <w:ind w:left="20"/>
              <w:spacing w:after="0"/>
              <w:rPr>
                <w:sz w:val="20"/>
                <w:szCs w:val="20"/>
                <w:color w:val="auto"/>
              </w:rPr>
            </w:pPr>
            <w:r>
              <w:rPr>
                <w:rFonts w:ascii="Arial" w:cs="Arial" w:eastAsia="Arial" w:hAnsi="Arial"/>
                <w:sz w:val="11"/>
                <w:szCs w:val="11"/>
                <w:color w:val="auto"/>
              </w:rPr>
              <w:t>ST. AUGUSTINE</w:t>
            </w:r>
          </w:p>
        </w:tc>
        <w:tc>
          <w:tcPr>
            <w:tcW w:w="220" w:type="dxa"/>
            <w:vAlign w:val="bottom"/>
          </w:tcPr>
          <w:p>
            <w:pPr>
              <w:ind w:left="60"/>
              <w:spacing w:after="0"/>
              <w:rPr>
                <w:sz w:val="20"/>
                <w:szCs w:val="20"/>
                <w:color w:val="auto"/>
              </w:rPr>
            </w:pPr>
            <w:r>
              <w:rPr>
                <w:rFonts w:ascii="Arial" w:cs="Arial" w:eastAsia="Arial" w:hAnsi="Arial"/>
                <w:sz w:val="11"/>
                <w:szCs w:val="11"/>
                <w:color w:val="auto"/>
              </w:rPr>
              <w:t>FL</w:t>
            </w:r>
          </w:p>
        </w:tc>
        <w:tc>
          <w:tcPr>
            <w:tcW w:w="440" w:type="dxa"/>
            <w:vAlign w:val="bottom"/>
          </w:tcPr>
          <w:p>
            <w:pPr>
              <w:ind w:left="20"/>
              <w:spacing w:after="0"/>
              <w:rPr>
                <w:sz w:val="20"/>
                <w:szCs w:val="20"/>
                <w:color w:val="auto"/>
              </w:rPr>
            </w:pPr>
            <w:r>
              <w:rPr>
                <w:rFonts w:ascii="Arial" w:cs="Arial" w:eastAsia="Arial" w:hAnsi="Arial"/>
                <w:sz w:val="11"/>
                <w:szCs w:val="11"/>
                <w:color w:val="auto"/>
              </w:rPr>
              <w:t>32084</w:t>
            </w:r>
          </w:p>
        </w:tc>
        <w:tc>
          <w:tcPr>
            <w:tcW w:w="340" w:type="dxa"/>
            <w:vAlign w:val="bottom"/>
          </w:tcPr>
          <w:p>
            <w:pPr>
              <w:jc w:val="right"/>
              <w:spacing w:after="0"/>
              <w:rPr>
                <w:sz w:val="20"/>
                <w:szCs w:val="20"/>
                <w:color w:val="auto"/>
              </w:rPr>
            </w:pPr>
            <w:r>
              <w:rPr>
                <w:rFonts w:ascii="Arial" w:cs="Arial" w:eastAsia="Arial" w:hAnsi="Arial"/>
                <w:sz w:val="11"/>
                <w:szCs w:val="11"/>
                <w:color w:val="auto"/>
              </w:rPr>
              <w:t>(904)</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209-0078 ***</w:t>
            </w:r>
          </w:p>
        </w:tc>
      </w:tr>
      <w:tr>
        <w:trPr>
          <w:trHeight w:val="136"/>
        </w:trPr>
        <w:tc>
          <w:tcPr>
            <w:tcW w:w="1580" w:type="dxa"/>
            <w:vAlign w:val="bottom"/>
          </w:tcPr>
          <w:p>
            <w:pPr>
              <w:ind w:left="240"/>
              <w:spacing w:after="0"/>
              <w:rPr>
                <w:sz w:val="20"/>
                <w:szCs w:val="20"/>
                <w:color w:val="auto"/>
              </w:rPr>
            </w:pPr>
            <w:r>
              <w:rPr>
                <w:rFonts w:ascii="Arial" w:cs="Arial" w:eastAsia="Arial" w:hAnsi="Arial"/>
                <w:sz w:val="11"/>
                <w:szCs w:val="11"/>
                <w:color w:val="auto"/>
              </w:rPr>
              <w:t>BANK</w:t>
            </w: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9633 US BANK</w:t>
            </w:r>
          </w:p>
        </w:tc>
        <w:tc>
          <w:tcPr>
            <w:tcW w:w="2120" w:type="dxa"/>
            <w:vAlign w:val="bottom"/>
          </w:tcPr>
          <w:p>
            <w:pPr>
              <w:ind w:left="120"/>
              <w:spacing w:after="0"/>
              <w:rPr>
                <w:sz w:val="20"/>
                <w:szCs w:val="20"/>
                <w:color w:val="auto"/>
              </w:rPr>
            </w:pPr>
            <w:r>
              <w:rPr>
                <w:rFonts w:ascii="Arial" w:cs="Arial" w:eastAsia="Arial" w:hAnsi="Arial"/>
                <w:sz w:val="11"/>
                <w:szCs w:val="11"/>
                <w:color w:val="auto"/>
              </w:rPr>
              <w:t>408 Court Street</w:t>
            </w:r>
          </w:p>
        </w:tc>
        <w:tc>
          <w:tcPr>
            <w:tcW w:w="1040" w:type="dxa"/>
            <w:vAlign w:val="bottom"/>
          </w:tcPr>
          <w:p>
            <w:pPr>
              <w:ind w:left="20"/>
              <w:spacing w:after="0"/>
              <w:rPr>
                <w:sz w:val="20"/>
                <w:szCs w:val="20"/>
                <w:color w:val="auto"/>
              </w:rPr>
            </w:pPr>
            <w:r>
              <w:rPr>
                <w:rFonts w:ascii="Arial" w:cs="Arial" w:eastAsia="Arial" w:hAnsi="Arial"/>
                <w:sz w:val="11"/>
                <w:szCs w:val="11"/>
                <w:color w:val="auto"/>
              </w:rPr>
              <w:t>WILLIAMSBURG</w:t>
            </w:r>
          </w:p>
        </w:tc>
        <w:tc>
          <w:tcPr>
            <w:tcW w:w="220" w:type="dxa"/>
            <w:vAlign w:val="bottom"/>
          </w:tcPr>
          <w:p>
            <w:pPr>
              <w:ind w:left="60"/>
              <w:spacing w:after="0"/>
              <w:rPr>
                <w:sz w:val="20"/>
                <w:szCs w:val="20"/>
                <w:color w:val="auto"/>
              </w:rPr>
            </w:pPr>
            <w:r>
              <w:rPr>
                <w:rFonts w:ascii="Arial" w:cs="Arial" w:eastAsia="Arial" w:hAnsi="Arial"/>
                <w:sz w:val="11"/>
                <w:szCs w:val="11"/>
                <w:color w:val="auto"/>
              </w:rPr>
              <w:t>IA</w:t>
            </w:r>
          </w:p>
        </w:tc>
        <w:tc>
          <w:tcPr>
            <w:tcW w:w="440" w:type="dxa"/>
            <w:vAlign w:val="bottom"/>
          </w:tcPr>
          <w:p>
            <w:pPr>
              <w:ind w:left="20"/>
              <w:spacing w:after="0"/>
              <w:rPr>
                <w:sz w:val="20"/>
                <w:szCs w:val="20"/>
                <w:color w:val="auto"/>
              </w:rPr>
            </w:pPr>
            <w:r>
              <w:rPr>
                <w:rFonts w:ascii="Arial" w:cs="Arial" w:eastAsia="Arial" w:hAnsi="Arial"/>
                <w:sz w:val="11"/>
                <w:szCs w:val="11"/>
                <w:color w:val="auto"/>
              </w:rPr>
              <w:t>52361</w:t>
            </w:r>
          </w:p>
        </w:tc>
        <w:tc>
          <w:tcPr>
            <w:tcW w:w="340" w:type="dxa"/>
            <w:vAlign w:val="bottom"/>
          </w:tcPr>
          <w:p>
            <w:pPr>
              <w:jc w:val="right"/>
              <w:spacing w:after="0"/>
              <w:rPr>
                <w:sz w:val="20"/>
                <w:szCs w:val="20"/>
                <w:color w:val="auto"/>
              </w:rPr>
            </w:pPr>
            <w:r>
              <w:rPr>
                <w:rFonts w:ascii="Arial" w:cs="Arial" w:eastAsia="Arial" w:hAnsi="Arial"/>
                <w:sz w:val="11"/>
                <w:szCs w:val="11"/>
                <w:color w:val="auto"/>
              </w:rPr>
              <w:t>(319)</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668-9100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9635 PNC BANK</w:t>
            </w:r>
          </w:p>
        </w:tc>
        <w:tc>
          <w:tcPr>
            <w:tcW w:w="2120" w:type="dxa"/>
            <w:vAlign w:val="bottom"/>
          </w:tcPr>
          <w:p>
            <w:pPr>
              <w:ind w:left="120"/>
              <w:spacing w:after="0"/>
              <w:rPr>
                <w:sz w:val="20"/>
                <w:szCs w:val="20"/>
                <w:color w:val="auto"/>
              </w:rPr>
            </w:pPr>
            <w:r>
              <w:rPr>
                <w:rFonts w:ascii="Arial" w:cs="Arial" w:eastAsia="Arial" w:hAnsi="Arial"/>
                <w:sz w:val="11"/>
                <w:szCs w:val="11"/>
                <w:color w:val="auto"/>
              </w:rPr>
              <w:t>1275 YORK ROAD</w:t>
            </w:r>
          </w:p>
        </w:tc>
        <w:tc>
          <w:tcPr>
            <w:tcW w:w="1040" w:type="dxa"/>
            <w:vAlign w:val="bottom"/>
          </w:tcPr>
          <w:p>
            <w:pPr>
              <w:ind w:left="20"/>
              <w:spacing w:after="0"/>
              <w:rPr>
                <w:sz w:val="20"/>
                <w:szCs w:val="20"/>
                <w:color w:val="auto"/>
              </w:rPr>
            </w:pPr>
            <w:r>
              <w:rPr>
                <w:rFonts w:ascii="Arial" w:cs="Arial" w:eastAsia="Arial" w:hAnsi="Arial"/>
                <w:sz w:val="11"/>
                <w:szCs w:val="11"/>
                <w:color w:val="auto"/>
              </w:rPr>
              <w:t>GETTYSBURG</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17325</w:t>
            </w:r>
          </w:p>
        </w:tc>
        <w:tc>
          <w:tcPr>
            <w:tcW w:w="340" w:type="dxa"/>
            <w:vAlign w:val="bottom"/>
          </w:tcPr>
          <w:p>
            <w:pPr>
              <w:jc w:val="right"/>
              <w:spacing w:after="0"/>
              <w:rPr>
                <w:sz w:val="20"/>
                <w:szCs w:val="20"/>
                <w:color w:val="auto"/>
              </w:rPr>
            </w:pPr>
            <w:r>
              <w:rPr>
                <w:rFonts w:ascii="Arial" w:cs="Arial" w:eastAsia="Arial" w:hAnsi="Arial"/>
                <w:sz w:val="11"/>
                <w:szCs w:val="11"/>
                <w:color w:val="auto"/>
              </w:rPr>
              <w:t>(717)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337-9333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9636 CITIZENS BANK OF PA</w:t>
            </w:r>
          </w:p>
        </w:tc>
        <w:tc>
          <w:tcPr>
            <w:tcW w:w="2120" w:type="dxa"/>
            <w:vAlign w:val="bottom"/>
          </w:tcPr>
          <w:p>
            <w:pPr>
              <w:ind w:left="120"/>
              <w:spacing w:after="0"/>
              <w:rPr>
                <w:sz w:val="20"/>
                <w:szCs w:val="20"/>
                <w:color w:val="auto"/>
              </w:rPr>
            </w:pPr>
            <w:r>
              <w:rPr>
                <w:rFonts w:ascii="Arial" w:cs="Arial" w:eastAsia="Arial" w:hAnsi="Arial"/>
                <w:sz w:val="11"/>
                <w:szCs w:val="11"/>
                <w:color w:val="auto"/>
              </w:rPr>
              <w:t>ROUTE 611 AND 715</w:t>
            </w:r>
          </w:p>
        </w:tc>
        <w:tc>
          <w:tcPr>
            <w:tcW w:w="1040" w:type="dxa"/>
            <w:vAlign w:val="bottom"/>
          </w:tcPr>
          <w:p>
            <w:pPr>
              <w:ind w:left="20"/>
              <w:spacing w:after="0"/>
              <w:rPr>
                <w:sz w:val="20"/>
                <w:szCs w:val="20"/>
                <w:color w:val="auto"/>
              </w:rPr>
            </w:pPr>
            <w:r>
              <w:rPr>
                <w:rFonts w:ascii="Arial" w:cs="Arial" w:eastAsia="Arial" w:hAnsi="Arial"/>
                <w:sz w:val="11"/>
                <w:szCs w:val="11"/>
                <w:color w:val="auto"/>
              </w:rPr>
              <w:t>TANNERSVILLE</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18372</w:t>
            </w:r>
          </w:p>
        </w:tc>
        <w:tc>
          <w:tcPr>
            <w:tcW w:w="340" w:type="dxa"/>
            <w:vAlign w:val="bottom"/>
          </w:tcPr>
          <w:p>
            <w:pPr>
              <w:jc w:val="right"/>
              <w:spacing w:after="0"/>
              <w:rPr>
                <w:sz w:val="20"/>
                <w:szCs w:val="20"/>
                <w:color w:val="auto"/>
              </w:rPr>
            </w:pPr>
            <w:r>
              <w:rPr>
                <w:rFonts w:ascii="Arial" w:cs="Arial" w:eastAsia="Arial" w:hAnsi="Arial"/>
                <w:sz w:val="11"/>
                <w:szCs w:val="11"/>
                <w:color w:val="auto"/>
              </w:rPr>
              <w:t>(570)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629-1631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9640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403 E. BIDWELL STREET</w:t>
            </w:r>
          </w:p>
        </w:tc>
        <w:tc>
          <w:tcPr>
            <w:tcW w:w="1040" w:type="dxa"/>
            <w:vAlign w:val="bottom"/>
          </w:tcPr>
          <w:p>
            <w:pPr>
              <w:ind w:left="20"/>
              <w:spacing w:after="0"/>
              <w:rPr>
                <w:sz w:val="20"/>
                <w:szCs w:val="20"/>
                <w:color w:val="auto"/>
              </w:rPr>
            </w:pPr>
            <w:r>
              <w:rPr>
                <w:rFonts w:ascii="Arial" w:cs="Arial" w:eastAsia="Arial" w:hAnsi="Arial"/>
                <w:sz w:val="11"/>
                <w:szCs w:val="11"/>
                <w:color w:val="auto"/>
              </w:rPr>
              <w:t>FOLSOM</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95630</w:t>
            </w:r>
          </w:p>
        </w:tc>
        <w:tc>
          <w:tcPr>
            <w:tcW w:w="340" w:type="dxa"/>
            <w:vAlign w:val="bottom"/>
          </w:tcPr>
          <w:p>
            <w:pPr>
              <w:jc w:val="right"/>
              <w:spacing w:after="0"/>
              <w:rPr>
                <w:sz w:val="20"/>
                <w:szCs w:val="20"/>
                <w:color w:val="auto"/>
              </w:rPr>
            </w:pPr>
            <w:r>
              <w:rPr>
                <w:rFonts w:ascii="Arial" w:cs="Arial" w:eastAsia="Arial" w:hAnsi="Arial"/>
                <w:sz w:val="11"/>
                <w:szCs w:val="11"/>
                <w:color w:val="auto"/>
              </w:rPr>
              <w:t>(916)</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861-9900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9642 M &amp; T BANK</w:t>
            </w:r>
          </w:p>
        </w:tc>
        <w:tc>
          <w:tcPr>
            <w:tcW w:w="2120" w:type="dxa"/>
            <w:vAlign w:val="bottom"/>
          </w:tcPr>
          <w:p>
            <w:pPr>
              <w:ind w:left="120"/>
              <w:spacing w:after="0"/>
              <w:rPr>
                <w:sz w:val="20"/>
                <w:szCs w:val="20"/>
                <w:color w:val="auto"/>
              </w:rPr>
            </w:pPr>
            <w:r>
              <w:rPr>
                <w:rFonts w:ascii="Arial" w:cs="Arial" w:eastAsia="Arial" w:hAnsi="Arial"/>
                <w:sz w:val="11"/>
                <w:szCs w:val="11"/>
                <w:color w:val="auto"/>
              </w:rPr>
              <w:t>10721 FAIRWAY LANE</w:t>
            </w:r>
          </w:p>
        </w:tc>
        <w:tc>
          <w:tcPr>
            <w:tcW w:w="1040" w:type="dxa"/>
            <w:vAlign w:val="bottom"/>
          </w:tcPr>
          <w:p>
            <w:pPr>
              <w:ind w:left="20"/>
              <w:spacing w:after="0"/>
              <w:rPr>
                <w:sz w:val="20"/>
                <w:szCs w:val="20"/>
                <w:color w:val="auto"/>
              </w:rPr>
            </w:pPr>
            <w:r>
              <w:rPr>
                <w:rFonts w:ascii="Arial" w:cs="Arial" w:eastAsia="Arial" w:hAnsi="Arial"/>
                <w:sz w:val="11"/>
                <w:szCs w:val="11"/>
                <w:color w:val="auto"/>
              </w:rPr>
              <w:t>HAGERSTOWN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MD 21740</w:t>
            </w:r>
          </w:p>
        </w:tc>
        <w:tc>
          <w:tcPr>
            <w:tcW w:w="340" w:type="dxa"/>
            <w:vAlign w:val="bottom"/>
          </w:tcPr>
          <w:p>
            <w:pPr>
              <w:jc w:val="right"/>
              <w:spacing w:after="0"/>
              <w:rPr>
                <w:sz w:val="20"/>
                <w:szCs w:val="20"/>
                <w:color w:val="auto"/>
              </w:rPr>
            </w:pPr>
            <w:r>
              <w:rPr>
                <w:rFonts w:ascii="Arial" w:cs="Arial" w:eastAsia="Arial" w:hAnsi="Arial"/>
                <w:sz w:val="11"/>
                <w:szCs w:val="11"/>
                <w:color w:val="auto"/>
              </w:rPr>
              <w:t>(301)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790-2326 ***</w:t>
            </w:r>
          </w:p>
        </w:tc>
      </w:tr>
      <w:tr>
        <w:trPr>
          <w:trHeight w:val="258"/>
        </w:trPr>
        <w:tc>
          <w:tcPr>
            <w:tcW w:w="1580" w:type="dxa"/>
            <w:vAlign w:val="bottom"/>
          </w:tcPr>
          <w:p>
            <w:pPr>
              <w:spacing w:after="0"/>
              <w:rPr>
                <w:sz w:val="20"/>
                <w:szCs w:val="20"/>
                <w:color w:val="auto"/>
              </w:rPr>
            </w:pPr>
            <w:r>
              <w:rPr>
                <w:rFonts w:ascii="Arial" w:cs="Arial" w:eastAsia="Arial" w:hAnsi="Arial"/>
                <w:sz w:val="11"/>
                <w:szCs w:val="11"/>
                <w:color w:val="auto"/>
              </w:rPr>
              <w:t>9643 PNC BANK</w:t>
            </w:r>
          </w:p>
        </w:tc>
        <w:tc>
          <w:tcPr>
            <w:tcW w:w="2120" w:type="dxa"/>
            <w:vAlign w:val="bottom"/>
          </w:tcPr>
          <w:p>
            <w:pPr>
              <w:ind w:left="120"/>
              <w:spacing w:after="0"/>
              <w:rPr>
                <w:sz w:val="20"/>
                <w:szCs w:val="20"/>
                <w:color w:val="auto"/>
              </w:rPr>
            </w:pPr>
            <w:r>
              <w:rPr>
                <w:rFonts w:ascii="Arial" w:cs="Arial" w:eastAsia="Arial" w:hAnsi="Arial"/>
                <w:sz w:val="11"/>
                <w:szCs w:val="11"/>
                <w:color w:val="auto"/>
                <w:w w:val="94"/>
              </w:rPr>
              <w:t>201 SOUTH BROAD ST LOCATOR 46-11-</w:t>
            </w:r>
          </w:p>
        </w:tc>
        <w:tc>
          <w:tcPr>
            <w:tcW w:w="1040" w:type="dxa"/>
            <w:vAlign w:val="bottom"/>
          </w:tcPr>
          <w:p>
            <w:pPr>
              <w:ind w:left="20"/>
              <w:spacing w:after="0"/>
              <w:rPr>
                <w:sz w:val="20"/>
                <w:szCs w:val="20"/>
                <w:color w:val="auto"/>
              </w:rPr>
            </w:pPr>
            <w:r>
              <w:rPr>
                <w:rFonts w:ascii="Arial" w:cs="Arial" w:eastAsia="Arial" w:hAnsi="Arial"/>
                <w:sz w:val="11"/>
                <w:szCs w:val="11"/>
                <w:color w:val="auto"/>
              </w:rPr>
              <w:t>GROVE CITY</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16127</w:t>
            </w:r>
          </w:p>
        </w:tc>
        <w:tc>
          <w:tcPr>
            <w:tcW w:w="340" w:type="dxa"/>
            <w:vAlign w:val="bottom"/>
          </w:tcPr>
          <w:p>
            <w:pPr>
              <w:jc w:val="right"/>
              <w:spacing w:after="0"/>
              <w:rPr>
                <w:sz w:val="20"/>
                <w:szCs w:val="20"/>
                <w:color w:val="auto"/>
              </w:rPr>
            </w:pPr>
            <w:r>
              <w:rPr>
                <w:rFonts w:ascii="Arial" w:cs="Arial" w:eastAsia="Arial" w:hAnsi="Arial"/>
                <w:sz w:val="11"/>
                <w:szCs w:val="11"/>
                <w:color w:val="auto"/>
              </w:rPr>
              <w:t>(724)</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458-9250 ***</w:t>
            </w:r>
          </w:p>
        </w:tc>
      </w:tr>
      <w:tr>
        <w:trPr>
          <w:trHeight w:val="136"/>
        </w:trPr>
        <w:tc>
          <w:tcPr>
            <w:tcW w:w="1580" w:type="dxa"/>
            <w:vAlign w:val="bottom"/>
          </w:tcPr>
          <w:p>
            <w:pPr>
              <w:spacing w:after="0"/>
              <w:rPr>
                <w:sz w:val="11"/>
                <w:szCs w:val="11"/>
                <w:color w:val="auto"/>
              </w:rPr>
            </w:pPr>
          </w:p>
        </w:tc>
        <w:tc>
          <w:tcPr>
            <w:tcW w:w="2120" w:type="dxa"/>
            <w:vAlign w:val="bottom"/>
          </w:tcPr>
          <w:p>
            <w:pPr>
              <w:ind w:left="120"/>
              <w:spacing w:after="0"/>
              <w:rPr>
                <w:sz w:val="20"/>
                <w:szCs w:val="20"/>
                <w:color w:val="auto"/>
              </w:rPr>
            </w:pPr>
            <w:r>
              <w:rPr>
                <w:rFonts w:ascii="Arial" w:cs="Arial" w:eastAsia="Arial" w:hAnsi="Arial"/>
                <w:sz w:val="11"/>
                <w:szCs w:val="11"/>
                <w:color w:val="auto"/>
              </w:rPr>
              <w:t>071</w:t>
            </w: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9644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88 WEST MAIN STREET, ROUTE 1</w:t>
            </w:r>
          </w:p>
        </w:tc>
        <w:tc>
          <w:tcPr>
            <w:tcW w:w="1040" w:type="dxa"/>
            <w:vAlign w:val="bottom"/>
          </w:tcPr>
          <w:p>
            <w:pPr>
              <w:ind w:left="20"/>
              <w:spacing w:after="0"/>
              <w:rPr>
                <w:sz w:val="20"/>
                <w:szCs w:val="20"/>
                <w:color w:val="auto"/>
              </w:rPr>
            </w:pPr>
            <w:r>
              <w:rPr>
                <w:rFonts w:ascii="Arial" w:cs="Arial" w:eastAsia="Arial" w:hAnsi="Arial"/>
                <w:sz w:val="11"/>
                <w:szCs w:val="11"/>
                <w:color w:val="auto"/>
              </w:rPr>
              <w:t>CLINTON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CT 06413</w:t>
            </w:r>
          </w:p>
        </w:tc>
        <w:tc>
          <w:tcPr>
            <w:tcW w:w="340" w:type="dxa"/>
            <w:vAlign w:val="bottom"/>
          </w:tcPr>
          <w:p>
            <w:pPr>
              <w:jc w:val="right"/>
              <w:spacing w:after="0"/>
              <w:rPr>
                <w:sz w:val="20"/>
                <w:szCs w:val="20"/>
                <w:color w:val="auto"/>
              </w:rPr>
            </w:pPr>
            <w:r>
              <w:rPr>
                <w:rFonts w:ascii="Arial" w:cs="Arial" w:eastAsia="Arial" w:hAnsi="Arial"/>
                <w:sz w:val="11"/>
                <w:szCs w:val="11"/>
                <w:color w:val="auto"/>
              </w:rPr>
              <w:t>(860)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669-4604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9665 First Bank of The Lake</w:t>
            </w:r>
          </w:p>
        </w:tc>
        <w:tc>
          <w:tcPr>
            <w:tcW w:w="2120" w:type="dxa"/>
            <w:vAlign w:val="bottom"/>
          </w:tcPr>
          <w:p>
            <w:pPr>
              <w:ind w:left="120"/>
              <w:spacing w:after="0"/>
              <w:rPr>
                <w:sz w:val="20"/>
                <w:szCs w:val="20"/>
                <w:color w:val="auto"/>
              </w:rPr>
            </w:pPr>
            <w:r>
              <w:rPr>
                <w:rFonts w:ascii="Arial" w:cs="Arial" w:eastAsia="Arial" w:hAnsi="Arial"/>
                <w:sz w:val="11"/>
                <w:szCs w:val="11"/>
                <w:color w:val="auto"/>
              </w:rPr>
              <w:t>4558 HIGHWAY 54, Suite 100</w:t>
            </w:r>
          </w:p>
        </w:tc>
        <w:tc>
          <w:tcPr>
            <w:tcW w:w="1040" w:type="dxa"/>
            <w:vAlign w:val="bottom"/>
          </w:tcPr>
          <w:p>
            <w:pPr>
              <w:ind w:left="20"/>
              <w:spacing w:after="0"/>
              <w:rPr>
                <w:sz w:val="20"/>
                <w:szCs w:val="20"/>
                <w:color w:val="auto"/>
              </w:rPr>
            </w:pPr>
            <w:r>
              <w:rPr>
                <w:rFonts w:ascii="Arial" w:cs="Arial" w:eastAsia="Arial" w:hAnsi="Arial"/>
                <w:sz w:val="11"/>
                <w:szCs w:val="11"/>
                <w:color w:val="auto"/>
              </w:rPr>
              <w:t>OSAGE BEACH</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MO 65065</w:t>
            </w:r>
          </w:p>
        </w:tc>
        <w:tc>
          <w:tcPr>
            <w:tcW w:w="340" w:type="dxa"/>
            <w:vAlign w:val="bottom"/>
          </w:tcPr>
          <w:p>
            <w:pPr>
              <w:jc w:val="right"/>
              <w:spacing w:after="0"/>
              <w:rPr>
                <w:sz w:val="20"/>
                <w:szCs w:val="20"/>
                <w:color w:val="auto"/>
              </w:rPr>
            </w:pPr>
            <w:r>
              <w:rPr>
                <w:rFonts w:ascii="Arial" w:cs="Arial" w:eastAsia="Arial" w:hAnsi="Arial"/>
                <w:sz w:val="11"/>
                <w:szCs w:val="11"/>
                <w:color w:val="auto"/>
              </w:rPr>
              <w:t>(573)</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348-2265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9668 M &amp; T BANK</w:t>
            </w:r>
          </w:p>
        </w:tc>
        <w:tc>
          <w:tcPr>
            <w:tcW w:w="2120" w:type="dxa"/>
            <w:vAlign w:val="bottom"/>
          </w:tcPr>
          <w:p>
            <w:pPr>
              <w:ind w:left="120"/>
              <w:spacing w:after="0"/>
              <w:rPr>
                <w:sz w:val="20"/>
                <w:szCs w:val="20"/>
                <w:color w:val="auto"/>
              </w:rPr>
            </w:pPr>
            <w:r>
              <w:rPr>
                <w:rFonts w:ascii="Arial" w:cs="Arial" w:eastAsia="Arial" w:hAnsi="Arial"/>
                <w:sz w:val="11"/>
                <w:szCs w:val="11"/>
                <w:color w:val="auto"/>
              </w:rPr>
              <w:t>4369 HIGHWAY ONE</w:t>
            </w:r>
          </w:p>
        </w:tc>
        <w:tc>
          <w:tcPr>
            <w:tcW w:w="1040" w:type="dxa"/>
            <w:vAlign w:val="bottom"/>
          </w:tcPr>
          <w:p>
            <w:pPr>
              <w:ind w:left="20"/>
              <w:spacing w:after="0"/>
              <w:rPr>
                <w:sz w:val="20"/>
                <w:szCs w:val="20"/>
                <w:color w:val="auto"/>
              </w:rPr>
            </w:pPr>
            <w:r>
              <w:rPr>
                <w:rFonts w:ascii="Arial" w:cs="Arial" w:eastAsia="Arial" w:hAnsi="Arial"/>
                <w:sz w:val="11"/>
                <w:szCs w:val="11"/>
                <w:color w:val="auto"/>
              </w:rPr>
              <w:t>REHOBOTH</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DE 19971</w:t>
            </w:r>
          </w:p>
        </w:tc>
        <w:tc>
          <w:tcPr>
            <w:tcW w:w="340" w:type="dxa"/>
            <w:vAlign w:val="bottom"/>
          </w:tcPr>
          <w:p>
            <w:pPr>
              <w:jc w:val="right"/>
              <w:spacing w:after="0"/>
              <w:rPr>
                <w:sz w:val="20"/>
                <w:szCs w:val="20"/>
                <w:color w:val="auto"/>
              </w:rPr>
            </w:pPr>
            <w:r>
              <w:rPr>
                <w:rFonts w:ascii="Arial" w:cs="Arial" w:eastAsia="Arial" w:hAnsi="Arial"/>
                <w:sz w:val="11"/>
                <w:szCs w:val="11"/>
                <w:color w:val="auto"/>
              </w:rPr>
              <w:t>(302)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856-4491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9670 REGIONS BANK</w:t>
            </w:r>
          </w:p>
        </w:tc>
        <w:tc>
          <w:tcPr>
            <w:tcW w:w="2120" w:type="dxa"/>
            <w:vAlign w:val="bottom"/>
          </w:tcPr>
          <w:p>
            <w:pPr>
              <w:ind w:left="120"/>
              <w:spacing w:after="0"/>
              <w:rPr>
                <w:sz w:val="20"/>
                <w:szCs w:val="20"/>
                <w:color w:val="auto"/>
              </w:rPr>
            </w:pPr>
            <w:r>
              <w:rPr>
                <w:rFonts w:ascii="Arial" w:cs="Arial" w:eastAsia="Arial" w:hAnsi="Arial"/>
                <w:sz w:val="11"/>
                <w:szCs w:val="11"/>
                <w:color w:val="auto"/>
              </w:rPr>
              <w:t>9420 HIGHWAY 49 North</w:t>
            </w:r>
          </w:p>
        </w:tc>
        <w:tc>
          <w:tcPr>
            <w:tcW w:w="1040" w:type="dxa"/>
            <w:vAlign w:val="bottom"/>
          </w:tcPr>
          <w:p>
            <w:pPr>
              <w:ind w:left="20"/>
              <w:spacing w:after="0"/>
              <w:rPr>
                <w:sz w:val="20"/>
                <w:szCs w:val="20"/>
                <w:color w:val="auto"/>
              </w:rPr>
            </w:pPr>
            <w:r>
              <w:rPr>
                <w:rFonts w:ascii="Arial" w:cs="Arial" w:eastAsia="Arial" w:hAnsi="Arial"/>
                <w:sz w:val="11"/>
                <w:szCs w:val="11"/>
                <w:color w:val="auto"/>
              </w:rPr>
              <w:t>GULFPORT</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MS 39503</w:t>
            </w:r>
          </w:p>
        </w:tc>
        <w:tc>
          <w:tcPr>
            <w:tcW w:w="340" w:type="dxa"/>
            <w:vAlign w:val="bottom"/>
          </w:tcPr>
          <w:p>
            <w:pPr>
              <w:jc w:val="right"/>
              <w:spacing w:after="0"/>
              <w:rPr>
                <w:sz w:val="20"/>
                <w:szCs w:val="20"/>
                <w:color w:val="auto"/>
              </w:rPr>
            </w:pPr>
            <w:r>
              <w:rPr>
                <w:rFonts w:ascii="Arial" w:cs="Arial" w:eastAsia="Arial" w:hAnsi="Arial"/>
                <w:sz w:val="11"/>
                <w:szCs w:val="11"/>
                <w:color w:val="auto"/>
              </w:rPr>
              <w:t>(228)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896-9519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9677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2039 AIRLINE DRIVE</w:t>
            </w:r>
          </w:p>
        </w:tc>
        <w:tc>
          <w:tcPr>
            <w:tcW w:w="1040" w:type="dxa"/>
            <w:vAlign w:val="bottom"/>
          </w:tcPr>
          <w:p>
            <w:pPr>
              <w:ind w:left="20"/>
              <w:spacing w:after="0"/>
              <w:rPr>
                <w:sz w:val="20"/>
                <w:szCs w:val="20"/>
                <w:color w:val="auto"/>
              </w:rPr>
            </w:pPr>
            <w:r>
              <w:rPr>
                <w:rFonts w:ascii="Arial" w:cs="Arial" w:eastAsia="Arial" w:hAnsi="Arial"/>
                <w:sz w:val="11"/>
                <w:szCs w:val="11"/>
                <w:color w:val="auto"/>
              </w:rPr>
              <w:t>BOSSIER CITY</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LA 71111</w:t>
            </w:r>
          </w:p>
        </w:tc>
        <w:tc>
          <w:tcPr>
            <w:tcW w:w="340" w:type="dxa"/>
            <w:vAlign w:val="bottom"/>
          </w:tcPr>
          <w:p>
            <w:pPr>
              <w:jc w:val="right"/>
              <w:spacing w:after="0"/>
              <w:rPr>
                <w:sz w:val="20"/>
                <w:szCs w:val="20"/>
                <w:color w:val="auto"/>
              </w:rPr>
            </w:pPr>
            <w:r>
              <w:rPr>
                <w:rFonts w:ascii="Arial" w:cs="Arial" w:eastAsia="Arial" w:hAnsi="Arial"/>
                <w:sz w:val="11"/>
                <w:szCs w:val="11"/>
                <w:color w:val="auto"/>
              </w:rPr>
              <w:t>(318)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226-2723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9680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303 E. TULARE AVENUE</w:t>
            </w:r>
          </w:p>
        </w:tc>
        <w:tc>
          <w:tcPr>
            <w:tcW w:w="1040" w:type="dxa"/>
            <w:vAlign w:val="bottom"/>
          </w:tcPr>
          <w:p>
            <w:pPr>
              <w:ind w:left="20"/>
              <w:spacing w:after="0"/>
              <w:rPr>
                <w:sz w:val="20"/>
                <w:szCs w:val="20"/>
                <w:color w:val="auto"/>
              </w:rPr>
            </w:pPr>
            <w:r>
              <w:rPr>
                <w:rFonts w:ascii="Arial" w:cs="Arial" w:eastAsia="Arial" w:hAnsi="Arial"/>
                <w:sz w:val="11"/>
                <w:szCs w:val="11"/>
                <w:color w:val="auto"/>
              </w:rPr>
              <w:t>TULARE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93274</w:t>
            </w:r>
          </w:p>
        </w:tc>
        <w:tc>
          <w:tcPr>
            <w:tcW w:w="340" w:type="dxa"/>
            <w:vAlign w:val="bottom"/>
          </w:tcPr>
          <w:p>
            <w:pPr>
              <w:jc w:val="right"/>
              <w:spacing w:after="0"/>
              <w:rPr>
                <w:sz w:val="20"/>
                <w:szCs w:val="20"/>
                <w:color w:val="auto"/>
              </w:rPr>
            </w:pPr>
            <w:r>
              <w:rPr>
                <w:rFonts w:ascii="Arial" w:cs="Arial" w:eastAsia="Arial" w:hAnsi="Arial"/>
                <w:sz w:val="11"/>
                <w:szCs w:val="11"/>
                <w:color w:val="auto"/>
              </w:rPr>
              <w:t>(559)</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686-4900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9683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525 MARKETPLACE BOULEVARD</w:t>
            </w:r>
          </w:p>
        </w:tc>
        <w:tc>
          <w:tcPr>
            <w:tcW w:w="1040" w:type="dxa"/>
            <w:vAlign w:val="bottom"/>
          </w:tcPr>
          <w:p>
            <w:pPr>
              <w:ind w:left="20"/>
              <w:spacing w:after="0"/>
              <w:rPr>
                <w:sz w:val="20"/>
                <w:szCs w:val="20"/>
                <w:color w:val="auto"/>
              </w:rPr>
            </w:pPr>
            <w:r>
              <w:rPr>
                <w:rFonts w:ascii="Arial" w:cs="Arial" w:eastAsia="Arial" w:hAnsi="Arial"/>
                <w:sz w:val="11"/>
                <w:szCs w:val="11"/>
                <w:color w:val="auto"/>
              </w:rPr>
              <w:t>HAMILTON</w:t>
            </w:r>
          </w:p>
        </w:tc>
        <w:tc>
          <w:tcPr>
            <w:tcW w:w="220" w:type="dxa"/>
            <w:vAlign w:val="bottom"/>
          </w:tcPr>
          <w:p>
            <w:pPr>
              <w:ind w:left="60"/>
              <w:spacing w:after="0"/>
              <w:rPr>
                <w:sz w:val="20"/>
                <w:szCs w:val="20"/>
                <w:color w:val="auto"/>
              </w:rPr>
            </w:pPr>
            <w:r>
              <w:rPr>
                <w:rFonts w:ascii="Arial" w:cs="Arial" w:eastAsia="Arial" w:hAnsi="Arial"/>
                <w:sz w:val="11"/>
                <w:szCs w:val="11"/>
                <w:color w:val="auto"/>
              </w:rPr>
              <w:t>NJ</w:t>
            </w:r>
          </w:p>
        </w:tc>
        <w:tc>
          <w:tcPr>
            <w:tcW w:w="440" w:type="dxa"/>
            <w:vAlign w:val="bottom"/>
          </w:tcPr>
          <w:p>
            <w:pPr>
              <w:ind w:left="20"/>
              <w:spacing w:after="0"/>
              <w:rPr>
                <w:sz w:val="20"/>
                <w:szCs w:val="20"/>
                <w:color w:val="auto"/>
              </w:rPr>
            </w:pPr>
            <w:r>
              <w:rPr>
                <w:rFonts w:ascii="Arial" w:cs="Arial" w:eastAsia="Arial" w:hAnsi="Arial"/>
                <w:sz w:val="11"/>
                <w:szCs w:val="11"/>
                <w:color w:val="auto"/>
              </w:rPr>
              <w:t>8691</w:t>
            </w:r>
          </w:p>
        </w:tc>
        <w:tc>
          <w:tcPr>
            <w:tcW w:w="340" w:type="dxa"/>
            <w:vAlign w:val="bottom"/>
          </w:tcPr>
          <w:p>
            <w:pPr>
              <w:jc w:val="right"/>
              <w:spacing w:after="0"/>
              <w:rPr>
                <w:sz w:val="20"/>
                <w:szCs w:val="20"/>
                <w:color w:val="auto"/>
              </w:rPr>
            </w:pPr>
            <w:r>
              <w:rPr>
                <w:rFonts w:ascii="Arial" w:cs="Arial" w:eastAsia="Arial" w:hAnsi="Arial"/>
                <w:sz w:val="11"/>
                <w:szCs w:val="11"/>
                <w:color w:val="auto"/>
              </w:rPr>
              <w:t>(609)</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585-3584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9685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941 SOUTH ATLANTIC BLVD</w:t>
            </w:r>
          </w:p>
        </w:tc>
        <w:tc>
          <w:tcPr>
            <w:tcW w:w="1040" w:type="dxa"/>
            <w:vAlign w:val="bottom"/>
          </w:tcPr>
          <w:p>
            <w:pPr>
              <w:ind w:left="20"/>
              <w:spacing w:after="0"/>
              <w:rPr>
                <w:sz w:val="20"/>
                <w:szCs w:val="20"/>
                <w:color w:val="auto"/>
              </w:rPr>
            </w:pPr>
            <w:r>
              <w:rPr>
                <w:rFonts w:ascii="Arial" w:cs="Arial" w:eastAsia="Arial" w:hAnsi="Arial"/>
                <w:sz w:val="11"/>
                <w:szCs w:val="11"/>
                <w:color w:val="auto"/>
              </w:rPr>
              <w:t>LOS ANGELES</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90022</w:t>
            </w:r>
          </w:p>
        </w:tc>
        <w:tc>
          <w:tcPr>
            <w:tcW w:w="340" w:type="dxa"/>
            <w:vAlign w:val="bottom"/>
          </w:tcPr>
          <w:p>
            <w:pPr>
              <w:jc w:val="right"/>
              <w:spacing w:after="0"/>
              <w:rPr>
                <w:sz w:val="20"/>
                <w:szCs w:val="20"/>
                <w:color w:val="auto"/>
              </w:rPr>
            </w:pPr>
            <w:r>
              <w:rPr>
                <w:rFonts w:ascii="Arial" w:cs="Arial" w:eastAsia="Arial" w:hAnsi="Arial"/>
                <w:sz w:val="11"/>
                <w:szCs w:val="11"/>
                <w:color w:val="auto"/>
              </w:rPr>
              <w:t>(323)</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415-8618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9686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4365 FRANKLIN STREET</w:t>
            </w:r>
          </w:p>
        </w:tc>
        <w:tc>
          <w:tcPr>
            <w:tcW w:w="1040" w:type="dxa"/>
            <w:vAlign w:val="bottom"/>
          </w:tcPr>
          <w:p>
            <w:pPr>
              <w:ind w:left="20"/>
              <w:spacing w:after="0"/>
              <w:rPr>
                <w:sz w:val="20"/>
                <w:szCs w:val="20"/>
                <w:color w:val="auto"/>
              </w:rPr>
            </w:pPr>
            <w:r>
              <w:rPr>
                <w:rFonts w:ascii="Arial" w:cs="Arial" w:eastAsia="Arial" w:hAnsi="Arial"/>
                <w:sz w:val="11"/>
                <w:szCs w:val="11"/>
                <w:color w:val="auto"/>
              </w:rPr>
              <w:t>MICHIGAN CITY</w:t>
            </w:r>
          </w:p>
        </w:tc>
        <w:tc>
          <w:tcPr>
            <w:tcW w:w="220" w:type="dxa"/>
            <w:vAlign w:val="bottom"/>
          </w:tcPr>
          <w:p>
            <w:pPr>
              <w:ind w:left="60"/>
              <w:spacing w:after="0"/>
              <w:rPr>
                <w:sz w:val="20"/>
                <w:szCs w:val="20"/>
                <w:color w:val="auto"/>
              </w:rPr>
            </w:pPr>
            <w:r>
              <w:rPr>
                <w:rFonts w:ascii="Arial" w:cs="Arial" w:eastAsia="Arial" w:hAnsi="Arial"/>
                <w:sz w:val="11"/>
                <w:szCs w:val="11"/>
                <w:color w:val="auto"/>
              </w:rPr>
              <w:t>IN</w:t>
            </w:r>
          </w:p>
        </w:tc>
        <w:tc>
          <w:tcPr>
            <w:tcW w:w="440" w:type="dxa"/>
            <w:vAlign w:val="bottom"/>
          </w:tcPr>
          <w:p>
            <w:pPr>
              <w:ind w:left="20"/>
              <w:spacing w:after="0"/>
              <w:rPr>
                <w:sz w:val="20"/>
                <w:szCs w:val="20"/>
                <w:color w:val="auto"/>
              </w:rPr>
            </w:pPr>
            <w:r>
              <w:rPr>
                <w:rFonts w:ascii="Arial" w:cs="Arial" w:eastAsia="Arial" w:hAnsi="Arial"/>
                <w:sz w:val="11"/>
                <w:szCs w:val="11"/>
                <w:color w:val="auto"/>
              </w:rPr>
              <w:t>46360</w:t>
            </w: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(219)-879-1122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9689 CHASE BANK</w:t>
            </w:r>
          </w:p>
        </w:tc>
        <w:tc>
          <w:tcPr>
            <w:tcW w:w="2120" w:type="dxa"/>
            <w:vAlign w:val="bottom"/>
          </w:tcPr>
          <w:p>
            <w:pPr>
              <w:ind w:left="120"/>
              <w:spacing w:after="0"/>
              <w:rPr>
                <w:sz w:val="20"/>
                <w:szCs w:val="20"/>
                <w:color w:val="auto"/>
              </w:rPr>
            </w:pPr>
            <w:r>
              <w:rPr>
                <w:rFonts w:ascii="Arial" w:cs="Arial" w:eastAsia="Arial" w:hAnsi="Arial"/>
                <w:sz w:val="11"/>
                <w:szCs w:val="11"/>
                <w:color w:val="auto"/>
              </w:rPr>
              <w:t>819 S ALLEN HEIGHTS</w:t>
            </w:r>
          </w:p>
        </w:tc>
        <w:tc>
          <w:tcPr>
            <w:tcW w:w="1040" w:type="dxa"/>
            <w:vAlign w:val="bottom"/>
          </w:tcPr>
          <w:p>
            <w:pPr>
              <w:ind w:left="20"/>
              <w:spacing w:after="0"/>
              <w:rPr>
                <w:sz w:val="20"/>
                <w:szCs w:val="20"/>
                <w:color w:val="auto"/>
              </w:rPr>
            </w:pPr>
            <w:r>
              <w:rPr>
                <w:rFonts w:ascii="Arial" w:cs="Arial" w:eastAsia="Arial" w:hAnsi="Arial"/>
                <w:sz w:val="11"/>
                <w:szCs w:val="11"/>
                <w:color w:val="auto"/>
              </w:rPr>
              <w:t>ALLEN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75002</w:t>
            </w:r>
          </w:p>
        </w:tc>
        <w:tc>
          <w:tcPr>
            <w:tcW w:w="340" w:type="dxa"/>
            <w:vAlign w:val="bottom"/>
          </w:tcPr>
          <w:p>
            <w:pPr>
              <w:jc w:val="right"/>
              <w:spacing w:after="0"/>
              <w:rPr>
                <w:sz w:val="20"/>
                <w:szCs w:val="20"/>
                <w:color w:val="auto"/>
              </w:rPr>
            </w:pPr>
            <w:r>
              <w:rPr>
                <w:rFonts w:ascii="Arial" w:cs="Arial" w:eastAsia="Arial" w:hAnsi="Arial"/>
                <w:sz w:val="11"/>
                <w:szCs w:val="11"/>
                <w:color w:val="auto"/>
              </w:rPr>
              <w:t>(972)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747-3210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9691 COMPASS BANK</w:t>
            </w:r>
          </w:p>
        </w:tc>
        <w:tc>
          <w:tcPr>
            <w:tcW w:w="2120" w:type="dxa"/>
            <w:vAlign w:val="bottom"/>
          </w:tcPr>
          <w:p>
            <w:pPr>
              <w:ind w:left="120"/>
              <w:spacing w:after="0"/>
              <w:rPr>
                <w:sz w:val="20"/>
                <w:szCs w:val="20"/>
                <w:color w:val="auto"/>
              </w:rPr>
            </w:pPr>
            <w:r>
              <w:rPr>
                <w:rFonts w:ascii="Arial" w:cs="Arial" w:eastAsia="Arial" w:hAnsi="Arial"/>
                <w:sz w:val="11"/>
                <w:szCs w:val="11"/>
                <w:color w:val="auto"/>
              </w:rPr>
              <w:t>201 STARR ST</w:t>
            </w:r>
          </w:p>
        </w:tc>
        <w:tc>
          <w:tcPr>
            <w:tcW w:w="1040" w:type="dxa"/>
            <w:vAlign w:val="bottom"/>
          </w:tcPr>
          <w:p>
            <w:pPr>
              <w:ind w:left="20"/>
              <w:spacing w:after="0"/>
              <w:rPr>
                <w:sz w:val="20"/>
                <w:szCs w:val="20"/>
                <w:color w:val="auto"/>
              </w:rPr>
            </w:pPr>
            <w:r>
              <w:rPr>
                <w:rFonts w:ascii="Arial" w:cs="Arial" w:eastAsia="Arial" w:hAnsi="Arial"/>
                <w:sz w:val="11"/>
                <w:szCs w:val="11"/>
                <w:color w:val="auto"/>
              </w:rPr>
              <w:t>MERCEDES</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78570</w:t>
            </w:r>
          </w:p>
        </w:tc>
        <w:tc>
          <w:tcPr>
            <w:tcW w:w="340" w:type="dxa"/>
            <w:vAlign w:val="bottom"/>
          </w:tcPr>
          <w:p>
            <w:pPr>
              <w:jc w:val="right"/>
              <w:spacing w:after="0"/>
              <w:rPr>
                <w:sz w:val="20"/>
                <w:szCs w:val="20"/>
                <w:color w:val="auto"/>
              </w:rPr>
            </w:pPr>
            <w:r>
              <w:rPr>
                <w:rFonts w:ascii="Arial" w:cs="Arial" w:eastAsia="Arial" w:hAnsi="Arial"/>
                <w:sz w:val="11"/>
                <w:szCs w:val="11"/>
                <w:color w:val="auto"/>
              </w:rPr>
              <w:t>(956)</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565-5600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9693 CHASE BANK</w:t>
            </w:r>
          </w:p>
        </w:tc>
        <w:tc>
          <w:tcPr>
            <w:tcW w:w="2120" w:type="dxa"/>
            <w:vAlign w:val="bottom"/>
          </w:tcPr>
          <w:p>
            <w:pPr>
              <w:ind w:left="120"/>
              <w:spacing w:after="0"/>
              <w:rPr>
                <w:sz w:val="20"/>
                <w:szCs w:val="20"/>
                <w:color w:val="auto"/>
              </w:rPr>
            </w:pPr>
            <w:r>
              <w:rPr>
                <w:rFonts w:ascii="Arial" w:cs="Arial" w:eastAsia="Arial" w:hAnsi="Arial"/>
                <w:sz w:val="11"/>
                <w:szCs w:val="11"/>
                <w:color w:val="auto"/>
              </w:rPr>
              <w:t>1111 N. IH 35 At HIGHWAY 79</w:t>
            </w:r>
          </w:p>
        </w:tc>
        <w:tc>
          <w:tcPr>
            <w:tcW w:w="1040" w:type="dxa"/>
            <w:vAlign w:val="bottom"/>
          </w:tcPr>
          <w:p>
            <w:pPr>
              <w:ind w:left="20"/>
              <w:spacing w:after="0"/>
              <w:rPr>
                <w:sz w:val="20"/>
                <w:szCs w:val="20"/>
                <w:color w:val="auto"/>
              </w:rPr>
            </w:pPr>
            <w:r>
              <w:rPr>
                <w:rFonts w:ascii="Arial" w:cs="Arial" w:eastAsia="Arial" w:hAnsi="Arial"/>
                <w:sz w:val="11"/>
                <w:szCs w:val="11"/>
                <w:color w:val="auto"/>
              </w:rPr>
              <w:t>ROUND ROCK</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78664</w:t>
            </w:r>
          </w:p>
        </w:tc>
        <w:tc>
          <w:tcPr>
            <w:tcW w:w="340" w:type="dxa"/>
            <w:vAlign w:val="bottom"/>
          </w:tcPr>
          <w:p>
            <w:pPr>
              <w:jc w:val="right"/>
              <w:spacing w:after="0"/>
              <w:rPr>
                <w:sz w:val="20"/>
                <w:szCs w:val="20"/>
                <w:color w:val="auto"/>
              </w:rPr>
            </w:pPr>
            <w:r>
              <w:rPr>
                <w:rFonts w:ascii="Arial" w:cs="Arial" w:eastAsia="Arial" w:hAnsi="Arial"/>
                <w:sz w:val="11"/>
                <w:szCs w:val="11"/>
                <w:color w:val="auto"/>
              </w:rPr>
              <w:t>(512)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479-5400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9696 CITIZENS BANK</w:t>
            </w:r>
          </w:p>
        </w:tc>
        <w:tc>
          <w:tcPr>
            <w:tcW w:w="2120" w:type="dxa"/>
            <w:vAlign w:val="bottom"/>
          </w:tcPr>
          <w:p>
            <w:pPr>
              <w:ind w:left="120"/>
              <w:spacing w:after="0"/>
              <w:rPr>
                <w:sz w:val="20"/>
                <w:szCs w:val="20"/>
                <w:color w:val="auto"/>
              </w:rPr>
            </w:pPr>
            <w:r>
              <w:rPr>
                <w:rFonts w:ascii="Arial" w:cs="Arial" w:eastAsia="Arial" w:hAnsi="Arial"/>
                <w:sz w:val="11"/>
                <w:szCs w:val="11"/>
                <w:color w:val="auto"/>
              </w:rPr>
              <w:t>429 W RIDGE PIKE</w:t>
            </w:r>
          </w:p>
        </w:tc>
        <w:tc>
          <w:tcPr>
            <w:tcW w:w="1040" w:type="dxa"/>
            <w:vAlign w:val="bottom"/>
          </w:tcPr>
          <w:p>
            <w:pPr>
              <w:ind w:left="20"/>
              <w:spacing w:after="0"/>
              <w:rPr>
                <w:sz w:val="20"/>
                <w:szCs w:val="20"/>
                <w:color w:val="auto"/>
              </w:rPr>
            </w:pPr>
            <w:r>
              <w:rPr>
                <w:rFonts w:ascii="Arial" w:cs="Arial" w:eastAsia="Arial" w:hAnsi="Arial"/>
                <w:sz w:val="11"/>
                <w:szCs w:val="11"/>
                <w:color w:val="auto"/>
              </w:rPr>
              <w:t>LIMERICK</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19468</w:t>
            </w:r>
          </w:p>
        </w:tc>
        <w:tc>
          <w:tcPr>
            <w:tcW w:w="340" w:type="dxa"/>
            <w:vAlign w:val="bottom"/>
          </w:tcPr>
          <w:p>
            <w:pPr>
              <w:jc w:val="right"/>
              <w:spacing w:after="0"/>
              <w:rPr>
                <w:sz w:val="20"/>
                <w:szCs w:val="20"/>
                <w:color w:val="auto"/>
              </w:rPr>
            </w:pPr>
            <w:r>
              <w:rPr>
                <w:rFonts w:ascii="Arial" w:cs="Arial" w:eastAsia="Arial" w:hAnsi="Arial"/>
                <w:sz w:val="11"/>
                <w:szCs w:val="11"/>
                <w:color w:val="auto"/>
              </w:rPr>
              <w:t>(610)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495-2699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9697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17930 SPRING CYPRESS ROAD</w:t>
            </w:r>
          </w:p>
        </w:tc>
        <w:tc>
          <w:tcPr>
            <w:tcW w:w="1040" w:type="dxa"/>
            <w:vAlign w:val="bottom"/>
          </w:tcPr>
          <w:p>
            <w:pPr>
              <w:ind w:left="20"/>
              <w:spacing w:after="0"/>
              <w:rPr>
                <w:sz w:val="20"/>
                <w:szCs w:val="20"/>
                <w:color w:val="auto"/>
              </w:rPr>
            </w:pPr>
            <w:r>
              <w:rPr>
                <w:rFonts w:ascii="Arial" w:cs="Arial" w:eastAsia="Arial" w:hAnsi="Arial"/>
                <w:sz w:val="11"/>
                <w:szCs w:val="11"/>
                <w:color w:val="auto"/>
              </w:rPr>
              <w:t>CYPRESS</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TX 77429</w:t>
            </w:r>
          </w:p>
        </w:tc>
        <w:tc>
          <w:tcPr>
            <w:tcW w:w="340" w:type="dxa"/>
            <w:vAlign w:val="bottom"/>
          </w:tcPr>
          <w:p>
            <w:pPr>
              <w:jc w:val="right"/>
              <w:spacing w:after="0"/>
              <w:rPr>
                <w:sz w:val="20"/>
                <w:szCs w:val="20"/>
                <w:color w:val="auto"/>
              </w:rPr>
            </w:pPr>
            <w:r>
              <w:rPr>
                <w:rFonts w:ascii="Arial" w:cs="Arial" w:eastAsia="Arial" w:hAnsi="Arial"/>
                <w:sz w:val="11"/>
                <w:szCs w:val="11"/>
                <w:color w:val="auto"/>
              </w:rPr>
              <w:t>(281)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256-4000 ***</w:t>
            </w:r>
          </w:p>
        </w:tc>
      </w:tr>
      <w:tr>
        <w:trPr>
          <w:trHeight w:val="258"/>
        </w:trPr>
        <w:tc>
          <w:tcPr>
            <w:tcW w:w="1580" w:type="dxa"/>
            <w:vAlign w:val="bottom"/>
          </w:tcPr>
          <w:p>
            <w:pPr>
              <w:spacing w:after="0"/>
              <w:rPr>
                <w:sz w:val="20"/>
                <w:szCs w:val="20"/>
                <w:color w:val="auto"/>
              </w:rPr>
            </w:pPr>
            <w:r>
              <w:rPr>
                <w:rFonts w:ascii="Arial" w:cs="Arial" w:eastAsia="Arial" w:hAnsi="Arial"/>
                <w:sz w:val="11"/>
                <w:szCs w:val="11"/>
                <w:color w:val="auto"/>
              </w:rPr>
              <w:t>9698 PNC BANK</w:t>
            </w:r>
          </w:p>
        </w:tc>
        <w:tc>
          <w:tcPr>
            <w:tcW w:w="2120" w:type="dxa"/>
            <w:vAlign w:val="bottom"/>
          </w:tcPr>
          <w:p>
            <w:pPr>
              <w:ind w:left="120"/>
              <w:spacing w:after="0"/>
              <w:rPr>
                <w:sz w:val="20"/>
                <w:szCs w:val="20"/>
                <w:color w:val="auto"/>
              </w:rPr>
            </w:pPr>
            <w:r>
              <w:rPr>
                <w:rFonts w:ascii="Arial" w:cs="Arial" w:eastAsia="Arial" w:hAnsi="Arial"/>
                <w:sz w:val="11"/>
                <w:szCs w:val="11"/>
                <w:color w:val="auto"/>
              </w:rPr>
              <w:t>319 Washington Rd</w:t>
            </w:r>
          </w:p>
        </w:tc>
        <w:tc>
          <w:tcPr>
            <w:tcW w:w="1040" w:type="dxa"/>
            <w:vAlign w:val="bottom"/>
          </w:tcPr>
          <w:p>
            <w:pPr>
              <w:ind w:left="20"/>
              <w:spacing w:after="0"/>
              <w:rPr>
                <w:sz w:val="20"/>
                <w:szCs w:val="20"/>
                <w:color w:val="auto"/>
              </w:rPr>
            </w:pPr>
            <w:r>
              <w:rPr>
                <w:rFonts w:ascii="Arial" w:cs="Arial" w:eastAsia="Arial" w:hAnsi="Arial"/>
                <w:sz w:val="11"/>
                <w:szCs w:val="11"/>
                <w:color w:val="auto"/>
              </w:rPr>
              <w:t>WASHINGTON</w:t>
            </w:r>
          </w:p>
        </w:tc>
        <w:tc>
          <w:tcPr>
            <w:tcW w:w="220" w:type="dxa"/>
            <w:vAlign w:val="bottom"/>
          </w:tcPr>
          <w:p>
            <w:pPr>
              <w:ind w:left="60"/>
              <w:spacing w:after="0"/>
              <w:rPr>
                <w:sz w:val="20"/>
                <w:szCs w:val="20"/>
                <w:color w:val="auto"/>
              </w:rPr>
            </w:pPr>
            <w:r>
              <w:rPr>
                <w:rFonts w:ascii="Arial" w:cs="Arial" w:eastAsia="Arial" w:hAnsi="Arial"/>
                <w:sz w:val="11"/>
                <w:szCs w:val="11"/>
                <w:color w:val="auto"/>
                <w:w w:val="95"/>
              </w:rPr>
              <w:t>PA</w:t>
            </w:r>
          </w:p>
        </w:tc>
        <w:tc>
          <w:tcPr>
            <w:tcW w:w="440" w:type="dxa"/>
            <w:vAlign w:val="bottom"/>
          </w:tcPr>
          <w:p>
            <w:pPr>
              <w:ind w:left="20"/>
              <w:spacing w:after="0"/>
              <w:rPr>
                <w:sz w:val="20"/>
                <w:szCs w:val="20"/>
                <w:color w:val="auto"/>
              </w:rPr>
            </w:pPr>
            <w:r>
              <w:rPr>
                <w:rFonts w:ascii="Arial" w:cs="Arial" w:eastAsia="Arial" w:hAnsi="Arial"/>
                <w:sz w:val="11"/>
                <w:szCs w:val="11"/>
                <w:color w:val="auto"/>
              </w:rPr>
              <w:t>15301</w:t>
            </w:r>
          </w:p>
        </w:tc>
        <w:tc>
          <w:tcPr>
            <w:tcW w:w="340" w:type="dxa"/>
            <w:vAlign w:val="bottom"/>
          </w:tcPr>
          <w:p>
            <w:pPr>
              <w:jc w:val="right"/>
              <w:spacing w:after="0"/>
              <w:rPr>
                <w:sz w:val="20"/>
                <w:szCs w:val="20"/>
                <w:color w:val="auto"/>
              </w:rPr>
            </w:pPr>
            <w:r>
              <w:rPr>
                <w:rFonts w:ascii="Arial" w:cs="Arial" w:eastAsia="Arial" w:hAnsi="Arial"/>
                <w:sz w:val="11"/>
                <w:szCs w:val="11"/>
                <w:color w:val="auto"/>
              </w:rPr>
              <w:t>(724)</w:t>
            </w:r>
          </w:p>
        </w:tc>
        <w:tc>
          <w:tcPr>
            <w:tcW w:w="360" w:type="dxa"/>
            <w:vAlign w:val="bottom"/>
          </w:tcPr>
          <w:p>
            <w:pPr>
              <w:jc w:val="right"/>
              <w:ind w:right="66"/>
              <w:spacing w:after="0"/>
              <w:rPr>
                <w:sz w:val="20"/>
                <w:szCs w:val="20"/>
                <w:color w:val="auto"/>
              </w:rPr>
            </w:pPr>
            <w:r>
              <w:rPr>
                <w:rFonts w:ascii="Arial" w:cs="Arial" w:eastAsia="Arial" w:hAnsi="Arial"/>
                <w:sz w:val="11"/>
                <w:szCs w:val="11"/>
                <w:color w:val="auto"/>
                <w:w w:val="87"/>
              </w:rPr>
              <w:t>225 -</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1400</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9701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5959 CANOGA AVENUE</w:t>
            </w:r>
          </w:p>
        </w:tc>
        <w:tc>
          <w:tcPr>
            <w:tcW w:w="1040" w:type="dxa"/>
            <w:vAlign w:val="bottom"/>
          </w:tcPr>
          <w:p>
            <w:pPr>
              <w:ind w:left="20"/>
              <w:spacing w:after="0"/>
              <w:rPr>
                <w:sz w:val="20"/>
                <w:szCs w:val="20"/>
                <w:color w:val="auto"/>
              </w:rPr>
            </w:pPr>
            <w:r>
              <w:rPr>
                <w:rFonts w:ascii="Arial" w:cs="Arial" w:eastAsia="Arial" w:hAnsi="Arial"/>
                <w:sz w:val="11"/>
                <w:szCs w:val="11"/>
                <w:color w:val="auto"/>
              </w:rPr>
              <w:t>WOODLAND HILLS</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91367</w:t>
            </w:r>
          </w:p>
        </w:tc>
        <w:tc>
          <w:tcPr>
            <w:tcW w:w="340" w:type="dxa"/>
            <w:vAlign w:val="bottom"/>
          </w:tcPr>
          <w:p>
            <w:pPr>
              <w:jc w:val="right"/>
              <w:spacing w:after="0"/>
              <w:rPr>
                <w:sz w:val="20"/>
                <w:szCs w:val="20"/>
                <w:color w:val="auto"/>
              </w:rPr>
            </w:pPr>
            <w:r>
              <w:rPr>
                <w:rFonts w:ascii="Arial" w:cs="Arial" w:eastAsia="Arial" w:hAnsi="Arial"/>
                <w:sz w:val="11"/>
                <w:szCs w:val="11"/>
                <w:color w:val="auto"/>
              </w:rPr>
              <w:t>(818)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712-6007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9703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1603 HAWTHORNE BLVD</w:t>
            </w:r>
          </w:p>
        </w:tc>
        <w:tc>
          <w:tcPr>
            <w:tcW w:w="1040" w:type="dxa"/>
            <w:vAlign w:val="bottom"/>
          </w:tcPr>
          <w:p>
            <w:pPr>
              <w:ind w:left="20"/>
              <w:spacing w:after="0"/>
              <w:rPr>
                <w:sz w:val="20"/>
                <w:szCs w:val="20"/>
                <w:color w:val="auto"/>
              </w:rPr>
            </w:pPr>
            <w:r>
              <w:rPr>
                <w:rFonts w:ascii="Arial" w:cs="Arial" w:eastAsia="Arial" w:hAnsi="Arial"/>
                <w:sz w:val="11"/>
                <w:szCs w:val="11"/>
                <w:color w:val="auto"/>
              </w:rPr>
              <w:t>REDONDO BEACH</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90247</w:t>
            </w:r>
          </w:p>
        </w:tc>
        <w:tc>
          <w:tcPr>
            <w:tcW w:w="340" w:type="dxa"/>
            <w:vAlign w:val="bottom"/>
          </w:tcPr>
          <w:p>
            <w:pPr>
              <w:jc w:val="right"/>
              <w:spacing w:after="0"/>
              <w:rPr>
                <w:sz w:val="20"/>
                <w:szCs w:val="20"/>
                <w:color w:val="auto"/>
              </w:rPr>
            </w:pPr>
            <w:r>
              <w:rPr>
                <w:rFonts w:ascii="Arial" w:cs="Arial" w:eastAsia="Arial" w:hAnsi="Arial"/>
                <w:sz w:val="11"/>
                <w:szCs w:val="11"/>
                <w:color w:val="auto"/>
              </w:rPr>
              <w:t>(310)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214-7306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9704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391 SERRAMONTE CTR</w:t>
            </w:r>
          </w:p>
        </w:tc>
        <w:tc>
          <w:tcPr>
            <w:tcW w:w="1040" w:type="dxa"/>
            <w:vAlign w:val="bottom"/>
          </w:tcPr>
          <w:p>
            <w:pPr>
              <w:ind w:left="20"/>
              <w:spacing w:after="0"/>
              <w:rPr>
                <w:sz w:val="20"/>
                <w:szCs w:val="20"/>
                <w:color w:val="auto"/>
              </w:rPr>
            </w:pPr>
            <w:r>
              <w:rPr>
                <w:rFonts w:ascii="Arial" w:cs="Arial" w:eastAsia="Arial" w:hAnsi="Arial"/>
                <w:sz w:val="11"/>
                <w:szCs w:val="11"/>
                <w:color w:val="auto"/>
              </w:rPr>
              <w:t>DALY CITY</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94015</w:t>
            </w:r>
          </w:p>
        </w:tc>
        <w:tc>
          <w:tcPr>
            <w:tcW w:w="340" w:type="dxa"/>
            <w:vAlign w:val="bottom"/>
          </w:tcPr>
          <w:p>
            <w:pPr>
              <w:jc w:val="right"/>
              <w:spacing w:after="0"/>
              <w:rPr>
                <w:sz w:val="20"/>
                <w:szCs w:val="20"/>
                <w:color w:val="auto"/>
              </w:rPr>
            </w:pPr>
            <w:r>
              <w:rPr>
                <w:rFonts w:ascii="Arial" w:cs="Arial" w:eastAsia="Arial" w:hAnsi="Arial"/>
                <w:sz w:val="11"/>
                <w:szCs w:val="11"/>
                <w:color w:val="auto"/>
              </w:rPr>
              <w:t>(650)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615-4700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9705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2905 STEVENS CREEK BLVD</w:t>
            </w:r>
          </w:p>
        </w:tc>
        <w:tc>
          <w:tcPr>
            <w:tcW w:w="1040" w:type="dxa"/>
            <w:vAlign w:val="bottom"/>
          </w:tcPr>
          <w:p>
            <w:pPr>
              <w:ind w:left="20"/>
              <w:spacing w:after="0"/>
              <w:rPr>
                <w:sz w:val="20"/>
                <w:szCs w:val="20"/>
                <w:color w:val="auto"/>
              </w:rPr>
            </w:pPr>
            <w:r>
              <w:rPr>
                <w:rFonts w:ascii="Arial" w:cs="Arial" w:eastAsia="Arial" w:hAnsi="Arial"/>
                <w:sz w:val="11"/>
                <w:szCs w:val="11"/>
                <w:color w:val="auto"/>
              </w:rPr>
              <w:t>SANTA CLARA</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95050</w:t>
            </w:r>
          </w:p>
        </w:tc>
        <w:tc>
          <w:tcPr>
            <w:tcW w:w="340" w:type="dxa"/>
            <w:vAlign w:val="bottom"/>
          </w:tcPr>
          <w:p>
            <w:pPr>
              <w:jc w:val="right"/>
              <w:spacing w:after="0"/>
              <w:rPr>
                <w:sz w:val="20"/>
                <w:szCs w:val="20"/>
                <w:color w:val="auto"/>
              </w:rPr>
            </w:pPr>
            <w:r>
              <w:rPr>
                <w:rFonts w:ascii="Arial" w:cs="Arial" w:eastAsia="Arial" w:hAnsi="Arial"/>
                <w:sz w:val="11"/>
                <w:szCs w:val="11"/>
                <w:color w:val="auto"/>
              </w:rPr>
              <w:t>(408)</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983-0588 ***</w:t>
            </w:r>
          </w:p>
        </w:tc>
      </w:tr>
      <w:tr>
        <w:trPr>
          <w:trHeight w:val="258"/>
        </w:trPr>
        <w:tc>
          <w:tcPr>
            <w:tcW w:w="1580" w:type="dxa"/>
            <w:vAlign w:val="bottom"/>
          </w:tcPr>
          <w:p>
            <w:pPr>
              <w:spacing w:after="0"/>
              <w:rPr>
                <w:sz w:val="20"/>
                <w:szCs w:val="20"/>
                <w:color w:val="auto"/>
              </w:rPr>
            </w:pPr>
            <w:r>
              <w:rPr>
                <w:rFonts w:ascii="Arial" w:cs="Arial" w:eastAsia="Arial" w:hAnsi="Arial"/>
                <w:sz w:val="11"/>
                <w:szCs w:val="11"/>
                <w:color w:val="auto"/>
              </w:rPr>
              <w:t>9708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1053 SUNVALLEY BOULEVARD</w:t>
            </w:r>
          </w:p>
        </w:tc>
        <w:tc>
          <w:tcPr>
            <w:tcW w:w="1040" w:type="dxa"/>
            <w:vAlign w:val="bottom"/>
          </w:tcPr>
          <w:p>
            <w:pPr>
              <w:ind w:left="20"/>
              <w:spacing w:after="0"/>
              <w:rPr>
                <w:sz w:val="20"/>
                <w:szCs w:val="20"/>
                <w:color w:val="auto"/>
              </w:rPr>
            </w:pPr>
            <w:r>
              <w:rPr>
                <w:rFonts w:ascii="Arial" w:cs="Arial" w:eastAsia="Arial" w:hAnsi="Arial"/>
                <w:sz w:val="11"/>
                <w:szCs w:val="11"/>
                <w:color w:val="auto"/>
              </w:rPr>
              <w:t>CONCORD</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94520-</w:t>
            </w:r>
          </w:p>
        </w:tc>
        <w:tc>
          <w:tcPr>
            <w:tcW w:w="340" w:type="dxa"/>
            <w:vAlign w:val="bottom"/>
          </w:tcPr>
          <w:p>
            <w:pPr>
              <w:jc w:val="right"/>
              <w:spacing w:after="0"/>
              <w:rPr>
                <w:sz w:val="20"/>
                <w:szCs w:val="20"/>
                <w:color w:val="auto"/>
              </w:rPr>
            </w:pPr>
            <w:r>
              <w:rPr>
                <w:rFonts w:ascii="Arial" w:cs="Arial" w:eastAsia="Arial" w:hAnsi="Arial"/>
                <w:sz w:val="11"/>
                <w:szCs w:val="11"/>
                <w:color w:val="auto"/>
              </w:rPr>
              <w:t>(925)</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671-1563 ***</w:t>
            </w:r>
          </w:p>
        </w:tc>
      </w:tr>
      <w:tr>
        <w:trPr>
          <w:trHeight w:val="136"/>
        </w:trPr>
        <w:tc>
          <w:tcPr>
            <w:tcW w:w="1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5896</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9710 CHASE (JPMORGAN)</w:t>
            </w:r>
          </w:p>
        </w:tc>
        <w:tc>
          <w:tcPr>
            <w:tcW w:w="21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1"/>
                <w:szCs w:val="11"/>
                <w:color w:val="auto"/>
              </w:rPr>
              <w:t>SACRAMENTO</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95825</w:t>
            </w:r>
          </w:p>
        </w:tc>
        <w:tc>
          <w:tcPr>
            <w:tcW w:w="340" w:type="dxa"/>
            <w:vAlign w:val="bottom"/>
          </w:tcPr>
          <w:p>
            <w:pPr>
              <w:jc w:val="right"/>
              <w:spacing w:after="0"/>
              <w:rPr>
                <w:sz w:val="20"/>
                <w:szCs w:val="20"/>
                <w:color w:val="auto"/>
              </w:rPr>
            </w:pPr>
            <w:r>
              <w:rPr>
                <w:rFonts w:ascii="Arial" w:cs="Arial" w:eastAsia="Arial" w:hAnsi="Arial"/>
                <w:sz w:val="11"/>
                <w:szCs w:val="11"/>
                <w:color w:val="auto"/>
              </w:rPr>
              <w:t>(916)</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861-9429 ***</w:t>
            </w:r>
          </w:p>
        </w:tc>
      </w:tr>
      <w:tr>
        <w:trPr>
          <w:trHeight w:val="328"/>
        </w:trPr>
        <w:tc>
          <w:tcPr>
            <w:tcW w:w="1580" w:type="dxa"/>
            <w:vAlign w:val="bottom"/>
          </w:tcPr>
          <w:p>
            <w:pPr>
              <w:spacing w:after="0"/>
              <w:rPr>
                <w:sz w:val="20"/>
                <w:szCs w:val="20"/>
                <w:color w:val="auto"/>
              </w:rPr>
            </w:pPr>
            <w:r>
              <w:rPr>
                <w:rFonts w:ascii="Arial" w:cs="Arial" w:eastAsia="Arial" w:hAnsi="Arial"/>
                <w:sz w:val="11"/>
                <w:szCs w:val="11"/>
                <w:color w:val="auto"/>
              </w:rPr>
              <w:t>9711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7496 DUBLIN BLVD</w:t>
            </w:r>
          </w:p>
        </w:tc>
        <w:tc>
          <w:tcPr>
            <w:tcW w:w="1040" w:type="dxa"/>
            <w:vAlign w:val="bottom"/>
          </w:tcPr>
          <w:p>
            <w:pPr>
              <w:ind w:left="20"/>
              <w:spacing w:after="0"/>
              <w:rPr>
                <w:sz w:val="20"/>
                <w:szCs w:val="20"/>
                <w:color w:val="auto"/>
              </w:rPr>
            </w:pPr>
            <w:r>
              <w:rPr>
                <w:rFonts w:ascii="Arial" w:cs="Arial" w:eastAsia="Arial" w:hAnsi="Arial"/>
                <w:sz w:val="11"/>
                <w:szCs w:val="11"/>
                <w:color w:val="auto"/>
              </w:rPr>
              <w:t>DUBLIN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94568-</w:t>
            </w:r>
          </w:p>
        </w:tc>
        <w:tc>
          <w:tcPr>
            <w:tcW w:w="340" w:type="dxa"/>
            <w:vAlign w:val="bottom"/>
          </w:tcPr>
          <w:p>
            <w:pPr>
              <w:jc w:val="right"/>
              <w:spacing w:after="0"/>
              <w:rPr>
                <w:sz w:val="20"/>
                <w:szCs w:val="20"/>
                <w:color w:val="auto"/>
              </w:rPr>
            </w:pPr>
            <w:r>
              <w:rPr>
                <w:rFonts w:ascii="Arial" w:cs="Arial" w:eastAsia="Arial" w:hAnsi="Arial"/>
                <w:sz w:val="11"/>
                <w:szCs w:val="11"/>
                <w:color w:val="auto"/>
              </w:rPr>
              <w:t>(925)</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833-9588 ***</w:t>
            </w:r>
          </w:p>
        </w:tc>
      </w:tr>
      <w:tr>
        <w:trPr>
          <w:trHeight w:val="136"/>
        </w:trPr>
        <w:tc>
          <w:tcPr>
            <w:tcW w:w="1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auto"/>
              </w:rPr>
              <w:t>2416</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71"/>
        </w:trPr>
        <w:tc>
          <w:tcPr>
            <w:tcW w:w="1580" w:type="dxa"/>
            <w:vAlign w:val="bottom"/>
          </w:tcPr>
          <w:p>
            <w:pPr>
              <w:spacing w:after="0"/>
              <w:rPr>
                <w:sz w:val="20"/>
                <w:szCs w:val="20"/>
                <w:color w:val="auto"/>
              </w:rPr>
            </w:pPr>
            <w:r>
              <w:rPr>
                <w:rFonts w:ascii="Arial" w:cs="Arial" w:eastAsia="Arial" w:hAnsi="Arial"/>
                <w:sz w:val="11"/>
                <w:szCs w:val="11"/>
                <w:color w:val="auto"/>
              </w:rPr>
              <w:t>9713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3401 DALE ROAD</w:t>
            </w:r>
          </w:p>
        </w:tc>
        <w:tc>
          <w:tcPr>
            <w:tcW w:w="1040" w:type="dxa"/>
            <w:vAlign w:val="bottom"/>
          </w:tcPr>
          <w:p>
            <w:pPr>
              <w:ind w:left="20"/>
              <w:spacing w:after="0"/>
              <w:rPr>
                <w:sz w:val="20"/>
                <w:szCs w:val="20"/>
                <w:color w:val="auto"/>
              </w:rPr>
            </w:pPr>
            <w:r>
              <w:rPr>
                <w:rFonts w:ascii="Arial" w:cs="Arial" w:eastAsia="Arial" w:hAnsi="Arial"/>
                <w:sz w:val="11"/>
                <w:szCs w:val="11"/>
                <w:color w:val="auto"/>
              </w:rPr>
              <w:t>MODESTO</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95356</w:t>
            </w:r>
          </w:p>
        </w:tc>
        <w:tc>
          <w:tcPr>
            <w:tcW w:w="340" w:type="dxa"/>
            <w:vAlign w:val="bottom"/>
          </w:tcPr>
          <w:p>
            <w:pPr>
              <w:jc w:val="right"/>
              <w:spacing w:after="0"/>
              <w:rPr>
                <w:sz w:val="20"/>
                <w:szCs w:val="20"/>
                <w:color w:val="auto"/>
              </w:rPr>
            </w:pPr>
            <w:r>
              <w:rPr>
                <w:rFonts w:ascii="Arial" w:cs="Arial" w:eastAsia="Arial" w:hAnsi="Arial"/>
                <w:sz w:val="11"/>
                <w:szCs w:val="11"/>
                <w:color w:val="auto"/>
              </w:rPr>
              <w:t>(209)</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549-8280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9714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590 EAST SHAW AVENUE</w:t>
            </w:r>
          </w:p>
        </w:tc>
        <w:tc>
          <w:tcPr>
            <w:tcW w:w="1040" w:type="dxa"/>
            <w:vAlign w:val="bottom"/>
          </w:tcPr>
          <w:p>
            <w:pPr>
              <w:ind w:left="20"/>
              <w:spacing w:after="0"/>
              <w:rPr>
                <w:sz w:val="20"/>
                <w:szCs w:val="20"/>
                <w:color w:val="auto"/>
              </w:rPr>
            </w:pPr>
            <w:r>
              <w:rPr>
                <w:rFonts w:ascii="Arial" w:cs="Arial" w:eastAsia="Arial" w:hAnsi="Arial"/>
                <w:sz w:val="11"/>
                <w:szCs w:val="11"/>
                <w:color w:val="auto"/>
              </w:rPr>
              <w:t>FRESNO</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93710</w:t>
            </w:r>
          </w:p>
        </w:tc>
        <w:tc>
          <w:tcPr>
            <w:tcW w:w="340" w:type="dxa"/>
            <w:vAlign w:val="bottom"/>
          </w:tcPr>
          <w:p>
            <w:pPr>
              <w:jc w:val="right"/>
              <w:spacing w:after="0"/>
              <w:rPr>
                <w:sz w:val="20"/>
                <w:szCs w:val="20"/>
                <w:color w:val="auto"/>
              </w:rPr>
            </w:pPr>
            <w:r>
              <w:rPr>
                <w:rFonts w:ascii="Arial" w:cs="Arial" w:eastAsia="Arial" w:hAnsi="Arial"/>
                <w:sz w:val="11"/>
                <w:szCs w:val="11"/>
                <w:color w:val="auto"/>
              </w:rPr>
              <w:t>(559)</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445-7346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9715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303 NORTH "D" STREET</w:t>
            </w:r>
          </w:p>
        </w:tc>
        <w:tc>
          <w:tcPr>
            <w:tcW w:w="1040" w:type="dxa"/>
            <w:vAlign w:val="bottom"/>
          </w:tcPr>
          <w:p>
            <w:pPr>
              <w:ind w:left="20"/>
              <w:spacing w:after="0"/>
              <w:rPr>
                <w:sz w:val="20"/>
                <w:szCs w:val="20"/>
                <w:color w:val="auto"/>
              </w:rPr>
            </w:pPr>
            <w:r>
              <w:rPr>
                <w:rFonts w:ascii="Arial" w:cs="Arial" w:eastAsia="Arial" w:hAnsi="Arial"/>
                <w:sz w:val="11"/>
                <w:szCs w:val="11"/>
                <w:color w:val="auto"/>
              </w:rPr>
              <w:t>SAN BERNARDINO</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92401</w:t>
            </w:r>
          </w:p>
        </w:tc>
        <w:tc>
          <w:tcPr>
            <w:tcW w:w="340" w:type="dxa"/>
            <w:vAlign w:val="bottom"/>
          </w:tcPr>
          <w:p>
            <w:pPr>
              <w:jc w:val="right"/>
              <w:spacing w:after="0"/>
              <w:rPr>
                <w:sz w:val="20"/>
                <w:szCs w:val="20"/>
                <w:color w:val="auto"/>
              </w:rPr>
            </w:pPr>
            <w:r>
              <w:rPr>
                <w:rFonts w:ascii="Arial" w:cs="Arial" w:eastAsia="Arial" w:hAnsi="Arial"/>
                <w:sz w:val="11"/>
                <w:szCs w:val="11"/>
                <w:color w:val="auto"/>
              </w:rPr>
              <w:t>(909)</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381-8400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9716 CHASE (JPMORGAN)</w:t>
            </w:r>
          </w:p>
        </w:tc>
        <w:tc>
          <w:tcPr>
            <w:tcW w:w="2120" w:type="dxa"/>
            <w:vAlign w:val="bottom"/>
          </w:tcPr>
          <w:p>
            <w:pPr>
              <w:ind w:left="120"/>
              <w:spacing w:after="0"/>
              <w:rPr>
                <w:sz w:val="20"/>
                <w:szCs w:val="20"/>
                <w:color w:val="auto"/>
              </w:rPr>
            </w:pPr>
            <w:r>
              <w:rPr>
                <w:rFonts w:ascii="Arial" w:cs="Arial" w:eastAsia="Arial" w:hAnsi="Arial"/>
                <w:sz w:val="11"/>
                <w:szCs w:val="11"/>
                <w:color w:val="auto"/>
              </w:rPr>
              <w:t>5041 NORTH 16TH STREET</w:t>
            </w:r>
          </w:p>
        </w:tc>
        <w:tc>
          <w:tcPr>
            <w:tcW w:w="1040" w:type="dxa"/>
            <w:vAlign w:val="bottom"/>
          </w:tcPr>
          <w:p>
            <w:pPr>
              <w:ind w:left="20"/>
              <w:spacing w:after="0"/>
              <w:rPr>
                <w:sz w:val="20"/>
                <w:szCs w:val="20"/>
                <w:color w:val="auto"/>
              </w:rPr>
            </w:pPr>
            <w:r>
              <w:rPr>
                <w:rFonts w:ascii="Arial" w:cs="Arial" w:eastAsia="Arial" w:hAnsi="Arial"/>
                <w:sz w:val="11"/>
                <w:szCs w:val="11"/>
                <w:color w:val="auto"/>
              </w:rPr>
              <w:t>PHOENIX</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AZ 85016</w:t>
            </w:r>
          </w:p>
        </w:tc>
        <w:tc>
          <w:tcPr>
            <w:tcW w:w="340" w:type="dxa"/>
            <w:vAlign w:val="bottom"/>
          </w:tcPr>
          <w:p>
            <w:pPr>
              <w:jc w:val="right"/>
              <w:spacing w:after="0"/>
              <w:rPr>
                <w:sz w:val="20"/>
                <w:szCs w:val="20"/>
                <w:color w:val="auto"/>
              </w:rPr>
            </w:pPr>
            <w:r>
              <w:rPr>
                <w:rFonts w:ascii="Arial" w:cs="Arial" w:eastAsia="Arial" w:hAnsi="Arial"/>
                <w:sz w:val="11"/>
                <w:szCs w:val="11"/>
                <w:color w:val="auto"/>
              </w:rPr>
              <w:t>(602)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589-4340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9718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10 SANTA ROSA AVENUE</w:t>
            </w:r>
          </w:p>
        </w:tc>
        <w:tc>
          <w:tcPr>
            <w:tcW w:w="1040" w:type="dxa"/>
            <w:vAlign w:val="bottom"/>
          </w:tcPr>
          <w:p>
            <w:pPr>
              <w:ind w:left="20"/>
              <w:spacing w:after="0"/>
              <w:rPr>
                <w:sz w:val="20"/>
                <w:szCs w:val="20"/>
                <w:color w:val="auto"/>
              </w:rPr>
            </w:pPr>
            <w:r>
              <w:rPr>
                <w:rFonts w:ascii="Arial" w:cs="Arial" w:eastAsia="Arial" w:hAnsi="Arial"/>
                <w:sz w:val="11"/>
                <w:szCs w:val="11"/>
                <w:color w:val="auto"/>
              </w:rPr>
              <w:t>SANTA ROSA</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95404</w:t>
            </w:r>
          </w:p>
        </w:tc>
        <w:tc>
          <w:tcPr>
            <w:tcW w:w="340" w:type="dxa"/>
            <w:vAlign w:val="bottom"/>
          </w:tcPr>
          <w:p>
            <w:pPr>
              <w:jc w:val="right"/>
              <w:spacing w:after="0"/>
              <w:rPr>
                <w:sz w:val="20"/>
                <w:szCs w:val="20"/>
                <w:color w:val="auto"/>
              </w:rPr>
            </w:pPr>
            <w:r>
              <w:rPr>
                <w:rFonts w:ascii="Arial" w:cs="Arial" w:eastAsia="Arial" w:hAnsi="Arial"/>
                <w:sz w:val="11"/>
                <w:szCs w:val="11"/>
                <w:color w:val="auto"/>
              </w:rPr>
              <w:t>(707)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525-2303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9720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641 MALL RING CIRCLE</w:t>
            </w:r>
          </w:p>
        </w:tc>
        <w:tc>
          <w:tcPr>
            <w:tcW w:w="1040" w:type="dxa"/>
            <w:vAlign w:val="bottom"/>
          </w:tcPr>
          <w:p>
            <w:pPr>
              <w:ind w:left="20"/>
              <w:spacing w:after="0"/>
              <w:rPr>
                <w:sz w:val="20"/>
                <w:szCs w:val="20"/>
                <w:color w:val="auto"/>
              </w:rPr>
            </w:pPr>
            <w:r>
              <w:rPr>
                <w:rFonts w:ascii="Arial" w:cs="Arial" w:eastAsia="Arial" w:hAnsi="Arial"/>
                <w:sz w:val="11"/>
                <w:szCs w:val="11"/>
                <w:color w:val="auto"/>
              </w:rPr>
              <w:t>HENDERSON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NV 89014</w:t>
            </w:r>
          </w:p>
        </w:tc>
        <w:tc>
          <w:tcPr>
            <w:tcW w:w="340" w:type="dxa"/>
            <w:vAlign w:val="bottom"/>
          </w:tcPr>
          <w:p>
            <w:pPr>
              <w:jc w:val="right"/>
              <w:spacing w:after="0"/>
              <w:rPr>
                <w:sz w:val="20"/>
                <w:szCs w:val="20"/>
                <w:color w:val="auto"/>
              </w:rPr>
            </w:pPr>
            <w:r>
              <w:rPr>
                <w:rFonts w:ascii="Arial" w:cs="Arial" w:eastAsia="Arial" w:hAnsi="Arial"/>
                <w:sz w:val="11"/>
                <w:szCs w:val="11"/>
                <w:color w:val="auto"/>
              </w:rPr>
              <w:t>(702)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654-3100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9721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3800 MING AVENUE</w:t>
            </w:r>
          </w:p>
        </w:tc>
        <w:tc>
          <w:tcPr>
            <w:tcW w:w="1040" w:type="dxa"/>
            <w:vAlign w:val="bottom"/>
          </w:tcPr>
          <w:p>
            <w:pPr>
              <w:ind w:left="20"/>
              <w:spacing w:after="0"/>
              <w:rPr>
                <w:sz w:val="20"/>
                <w:szCs w:val="20"/>
                <w:color w:val="auto"/>
              </w:rPr>
            </w:pPr>
            <w:r>
              <w:rPr>
                <w:rFonts w:ascii="Arial" w:cs="Arial" w:eastAsia="Arial" w:hAnsi="Arial"/>
                <w:sz w:val="11"/>
                <w:szCs w:val="11"/>
                <w:color w:val="auto"/>
              </w:rPr>
              <w:t>BAKERSFIELD</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93309</w:t>
            </w:r>
          </w:p>
        </w:tc>
        <w:tc>
          <w:tcPr>
            <w:tcW w:w="340" w:type="dxa"/>
            <w:vAlign w:val="bottom"/>
          </w:tcPr>
          <w:p>
            <w:pPr>
              <w:jc w:val="right"/>
              <w:spacing w:after="0"/>
              <w:rPr>
                <w:sz w:val="20"/>
                <w:szCs w:val="20"/>
                <w:color w:val="auto"/>
              </w:rPr>
            </w:pPr>
            <w:r>
              <w:rPr>
                <w:rFonts w:ascii="Arial" w:cs="Arial" w:eastAsia="Arial" w:hAnsi="Arial"/>
                <w:sz w:val="11"/>
                <w:szCs w:val="11"/>
                <w:color w:val="auto"/>
              </w:rPr>
              <w:t>(661)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395-2117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9723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13244 JAMBOREE RD</w:t>
            </w:r>
          </w:p>
        </w:tc>
        <w:tc>
          <w:tcPr>
            <w:tcW w:w="1040" w:type="dxa"/>
            <w:vAlign w:val="bottom"/>
          </w:tcPr>
          <w:p>
            <w:pPr>
              <w:ind w:left="20"/>
              <w:spacing w:after="0"/>
              <w:rPr>
                <w:sz w:val="20"/>
                <w:szCs w:val="20"/>
                <w:color w:val="auto"/>
              </w:rPr>
            </w:pPr>
            <w:r>
              <w:rPr>
                <w:rFonts w:ascii="Arial" w:cs="Arial" w:eastAsia="Arial" w:hAnsi="Arial"/>
                <w:sz w:val="11"/>
                <w:szCs w:val="11"/>
                <w:color w:val="auto"/>
              </w:rPr>
              <w:t>IRVINE</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CA 92602</w:t>
            </w:r>
          </w:p>
        </w:tc>
        <w:tc>
          <w:tcPr>
            <w:tcW w:w="340" w:type="dxa"/>
            <w:vAlign w:val="bottom"/>
          </w:tcPr>
          <w:p>
            <w:pPr>
              <w:jc w:val="right"/>
              <w:spacing w:after="0"/>
              <w:rPr>
                <w:sz w:val="20"/>
                <w:szCs w:val="20"/>
                <w:color w:val="auto"/>
              </w:rPr>
            </w:pPr>
            <w:r>
              <w:rPr>
                <w:rFonts w:ascii="Arial" w:cs="Arial" w:eastAsia="Arial" w:hAnsi="Arial"/>
                <w:sz w:val="11"/>
                <w:szCs w:val="11"/>
                <w:color w:val="auto"/>
              </w:rPr>
              <w:t>(714)</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734-1321 ***</w:t>
            </w:r>
          </w:p>
        </w:tc>
      </w:tr>
      <w:tr>
        <w:trPr>
          <w:trHeight w:val="282"/>
        </w:trPr>
        <w:tc>
          <w:tcPr>
            <w:tcW w:w="1580" w:type="dxa"/>
            <w:vAlign w:val="bottom"/>
          </w:tcPr>
          <w:p>
            <w:pPr>
              <w:spacing w:after="0"/>
              <w:rPr>
                <w:sz w:val="20"/>
                <w:szCs w:val="20"/>
                <w:color w:val="auto"/>
              </w:rPr>
            </w:pPr>
            <w:r>
              <w:rPr>
                <w:rFonts w:ascii="Arial" w:cs="Arial" w:eastAsia="Arial" w:hAnsi="Arial"/>
                <w:sz w:val="11"/>
                <w:szCs w:val="11"/>
                <w:color w:val="auto"/>
              </w:rPr>
              <w:t>9727 CHASE (JPMORGAN)</w:t>
            </w: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53"/>
        </w:trPr>
        <w:tc>
          <w:tcPr>
            <w:tcW w:w="1580" w:type="dxa"/>
            <w:vAlign w:val="bottom"/>
          </w:tcPr>
          <w:p>
            <w:pPr>
              <w:spacing w:after="0"/>
              <w:rPr>
                <w:sz w:val="20"/>
                <w:szCs w:val="20"/>
                <w:color w:val="auto"/>
              </w:rPr>
            </w:pPr>
            <w:r>
              <w:rPr>
                <w:rFonts w:ascii="Arial" w:cs="Arial" w:eastAsia="Arial" w:hAnsi="Arial"/>
                <w:sz w:val="11"/>
                <w:szCs w:val="11"/>
                <w:color w:val="auto"/>
              </w:rPr>
              <w:t>9728 BANK OF AMERICA</w:t>
            </w:r>
          </w:p>
        </w:tc>
        <w:tc>
          <w:tcPr>
            <w:tcW w:w="2120" w:type="dxa"/>
            <w:vAlign w:val="bottom"/>
          </w:tcPr>
          <w:p>
            <w:pPr>
              <w:ind w:left="120"/>
              <w:spacing w:after="0"/>
              <w:rPr>
                <w:sz w:val="20"/>
                <w:szCs w:val="20"/>
                <w:color w:val="auto"/>
              </w:rPr>
            </w:pPr>
            <w:r>
              <w:rPr>
                <w:rFonts w:ascii="Arial" w:cs="Arial" w:eastAsia="Arial" w:hAnsi="Arial"/>
                <w:sz w:val="11"/>
                <w:szCs w:val="11"/>
                <w:color w:val="auto"/>
              </w:rPr>
              <w:t>4002 TACOMA MALL BLVD</w:t>
            </w:r>
          </w:p>
        </w:tc>
        <w:tc>
          <w:tcPr>
            <w:tcW w:w="1040" w:type="dxa"/>
            <w:vAlign w:val="bottom"/>
          </w:tcPr>
          <w:p>
            <w:pPr>
              <w:ind w:left="20"/>
              <w:spacing w:after="0"/>
              <w:rPr>
                <w:sz w:val="20"/>
                <w:szCs w:val="20"/>
                <w:color w:val="auto"/>
              </w:rPr>
            </w:pPr>
            <w:r>
              <w:rPr>
                <w:rFonts w:ascii="Arial" w:cs="Arial" w:eastAsia="Arial" w:hAnsi="Arial"/>
                <w:sz w:val="11"/>
                <w:szCs w:val="11"/>
                <w:color w:val="auto"/>
              </w:rPr>
              <w:t>TACOMA</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WA 98409</w:t>
            </w:r>
          </w:p>
        </w:tc>
        <w:tc>
          <w:tcPr>
            <w:tcW w:w="340" w:type="dxa"/>
            <w:vAlign w:val="bottom"/>
          </w:tcPr>
          <w:p>
            <w:pPr>
              <w:jc w:val="right"/>
              <w:spacing w:after="0"/>
              <w:rPr>
                <w:sz w:val="20"/>
                <w:szCs w:val="20"/>
                <w:color w:val="auto"/>
              </w:rPr>
            </w:pPr>
            <w:r>
              <w:rPr>
                <w:rFonts w:ascii="Arial" w:cs="Arial" w:eastAsia="Arial" w:hAnsi="Arial"/>
                <w:sz w:val="11"/>
                <w:szCs w:val="11"/>
                <w:color w:val="auto"/>
              </w:rPr>
              <w:t>(800)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w w:val="99"/>
              </w:rPr>
              <w:t>253-0784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-10438765</wp:posOffset>
            </wp:positionV>
            <wp:extent cx="406019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60190" cy="10515600"/>
                    </a:xfrm>
                    <a:prstGeom prst="rect">
                      <a:avLst/>
                    </a:prstGeom>
                    <a:noFill/>
                  </pic:spPr>
                </pic:pic>
              </a:graphicData>
            </a:graphic>
          </wp:anchor>
        </w:drawing>
      </w:r>
    </w:p>
    <w:p>
      <w:pPr>
        <w:sectPr>
          <w:pgSz w:w="11900" w:h="16838" w:orient="portrait"/>
          <w:cols w:equalWidth="0" w:num="1">
            <w:col w:w="9019"/>
          </w:cols>
          <w:pgMar w:left="1440" w:top="137" w:right="1440" w:bottom="0" w:gutter="0" w:footer="0" w:header="0"/>
        </w:sectPr>
      </w:pPr>
    </w:p>
    <w:bookmarkStart w:id="212" w:name="page213"/>
    <w:bookmarkEnd w:id="212"/>
    <w:tbl>
      <w:tblPr>
        <w:tblLayout w:type="fixed"/>
        <w:tblInd w:w="2539" w:type="dxa"/>
        <w:tblCellMar>
          <w:top w:w="0" w:type="dxa"/>
          <w:left w:w="0" w:type="dxa"/>
          <w:bottom w:w="0" w:type="dxa"/>
          <w:right w:w="0" w:type="dxa"/>
        </w:tblCellMar>
      </w:tblPr>
      <w:tr>
        <w:trPr>
          <w:trHeight w:val="136"/>
        </w:trPr>
        <w:tc>
          <w:tcPr>
            <w:tcW w:w="1480" w:type="dxa"/>
            <w:vAlign w:val="bottom"/>
          </w:tcPr>
          <w:p>
            <w:pPr>
              <w:spacing w:after="0"/>
              <w:rPr>
                <w:sz w:val="20"/>
                <w:szCs w:val="20"/>
                <w:color w:val="auto"/>
              </w:rPr>
            </w:pPr>
            <w:r>
              <w:rPr>
                <w:rFonts w:ascii="Arial" w:cs="Arial" w:eastAsia="Arial" w:hAnsi="Arial"/>
                <w:sz w:val="11"/>
                <w:szCs w:val="11"/>
                <w:color w:val="auto"/>
              </w:rPr>
              <w:t>9731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w w:val="99"/>
              </w:rPr>
              <w:t>4795 SOUTH MARYLAND PARKWAY</w:t>
            </w:r>
          </w:p>
        </w:tc>
        <w:tc>
          <w:tcPr>
            <w:tcW w:w="1120" w:type="dxa"/>
            <w:vAlign w:val="bottom"/>
          </w:tcPr>
          <w:p>
            <w:pPr>
              <w:ind w:left="120"/>
              <w:spacing w:after="0"/>
              <w:rPr>
                <w:sz w:val="20"/>
                <w:szCs w:val="20"/>
                <w:color w:val="auto"/>
              </w:rPr>
            </w:pPr>
            <w:r>
              <w:rPr>
                <w:rFonts w:ascii="Arial" w:cs="Arial" w:eastAsia="Arial" w:hAnsi="Arial"/>
                <w:sz w:val="11"/>
                <w:szCs w:val="11"/>
                <w:color w:val="auto"/>
              </w:rPr>
              <w:t>LAS VEGAS</w:t>
            </w:r>
          </w:p>
        </w:tc>
        <w:tc>
          <w:tcPr>
            <w:tcW w:w="680" w:type="dxa"/>
            <w:vAlign w:val="bottom"/>
          </w:tcPr>
          <w:p>
            <w:pPr>
              <w:ind w:left="80"/>
              <w:spacing w:after="0"/>
              <w:rPr>
                <w:sz w:val="20"/>
                <w:szCs w:val="20"/>
                <w:color w:val="auto"/>
              </w:rPr>
            </w:pPr>
            <w:r>
              <w:rPr>
                <w:rFonts w:ascii="Arial" w:cs="Arial" w:eastAsia="Arial" w:hAnsi="Arial"/>
                <w:sz w:val="11"/>
                <w:szCs w:val="11"/>
                <w:color w:val="auto"/>
              </w:rPr>
              <w:t>NV 89119</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53"/>
        </w:trPr>
        <w:tc>
          <w:tcPr>
            <w:tcW w:w="1480" w:type="dxa"/>
            <w:vAlign w:val="bottom"/>
          </w:tcPr>
          <w:p>
            <w:pPr>
              <w:spacing w:after="0"/>
              <w:rPr>
                <w:sz w:val="20"/>
                <w:szCs w:val="20"/>
                <w:color w:val="auto"/>
              </w:rPr>
            </w:pPr>
            <w:r>
              <w:rPr>
                <w:rFonts w:ascii="Arial" w:cs="Arial" w:eastAsia="Arial" w:hAnsi="Arial"/>
                <w:sz w:val="11"/>
                <w:szCs w:val="11"/>
                <w:color w:val="auto"/>
              </w:rPr>
              <w:t>9733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971 BLOSSOM HILL ROAD</w:t>
            </w:r>
          </w:p>
        </w:tc>
        <w:tc>
          <w:tcPr>
            <w:tcW w:w="1120" w:type="dxa"/>
            <w:vAlign w:val="bottom"/>
          </w:tcPr>
          <w:p>
            <w:pPr>
              <w:ind w:left="120"/>
              <w:spacing w:after="0"/>
              <w:rPr>
                <w:sz w:val="20"/>
                <w:szCs w:val="20"/>
                <w:color w:val="auto"/>
              </w:rPr>
            </w:pPr>
            <w:r>
              <w:rPr>
                <w:rFonts w:ascii="Arial" w:cs="Arial" w:eastAsia="Arial" w:hAnsi="Arial"/>
                <w:sz w:val="11"/>
                <w:szCs w:val="11"/>
                <w:color w:val="auto"/>
              </w:rPr>
              <w:t>SAN JOSE</w:t>
            </w:r>
          </w:p>
        </w:tc>
        <w:tc>
          <w:tcPr>
            <w:tcW w:w="680" w:type="dxa"/>
            <w:vAlign w:val="bottom"/>
          </w:tcPr>
          <w:p>
            <w:pPr>
              <w:ind w:left="80"/>
              <w:spacing w:after="0"/>
              <w:rPr>
                <w:sz w:val="20"/>
                <w:szCs w:val="20"/>
                <w:color w:val="auto"/>
              </w:rPr>
            </w:pPr>
            <w:r>
              <w:rPr>
                <w:rFonts w:ascii="Arial" w:cs="Arial" w:eastAsia="Arial" w:hAnsi="Arial"/>
                <w:sz w:val="11"/>
                <w:szCs w:val="11"/>
                <w:color w:val="auto"/>
              </w:rPr>
              <w:t>CA 95123</w:t>
            </w:r>
          </w:p>
        </w:tc>
        <w:tc>
          <w:tcPr>
            <w:tcW w:w="980" w:type="dxa"/>
            <w:vAlign w:val="bottom"/>
          </w:tcPr>
          <w:p>
            <w:pPr>
              <w:jc w:val="right"/>
              <w:spacing w:after="0"/>
              <w:rPr>
                <w:sz w:val="20"/>
                <w:szCs w:val="20"/>
                <w:color w:val="auto"/>
              </w:rPr>
            </w:pPr>
            <w:r>
              <w:rPr>
                <w:rFonts w:ascii="Arial" w:cs="Arial" w:eastAsia="Arial" w:hAnsi="Arial"/>
                <w:sz w:val="11"/>
                <w:szCs w:val="11"/>
                <w:color w:val="auto"/>
              </w:rPr>
              <w:t>(408) 277-7730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9735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10101 SW WASHINGTON SQ RD</w:t>
            </w:r>
          </w:p>
        </w:tc>
        <w:tc>
          <w:tcPr>
            <w:tcW w:w="1120" w:type="dxa"/>
            <w:vAlign w:val="bottom"/>
          </w:tcPr>
          <w:p>
            <w:pPr>
              <w:ind w:left="120"/>
              <w:spacing w:after="0"/>
              <w:rPr>
                <w:sz w:val="20"/>
                <w:szCs w:val="20"/>
                <w:color w:val="auto"/>
              </w:rPr>
            </w:pPr>
            <w:r>
              <w:rPr>
                <w:rFonts w:ascii="Arial" w:cs="Arial" w:eastAsia="Arial" w:hAnsi="Arial"/>
                <w:sz w:val="11"/>
                <w:szCs w:val="11"/>
                <w:color w:val="auto"/>
              </w:rPr>
              <w:t>PORTLAND</w:t>
            </w:r>
          </w:p>
        </w:tc>
        <w:tc>
          <w:tcPr>
            <w:tcW w:w="680" w:type="dxa"/>
            <w:vAlign w:val="bottom"/>
          </w:tcPr>
          <w:p>
            <w:pPr>
              <w:ind w:left="80"/>
              <w:spacing w:after="0"/>
              <w:rPr>
                <w:sz w:val="20"/>
                <w:szCs w:val="20"/>
                <w:color w:val="auto"/>
              </w:rPr>
            </w:pPr>
            <w:r>
              <w:rPr>
                <w:rFonts w:ascii="Arial" w:cs="Arial" w:eastAsia="Arial" w:hAnsi="Arial"/>
                <w:sz w:val="11"/>
                <w:szCs w:val="11"/>
                <w:color w:val="auto"/>
              </w:rPr>
              <w:t>OR 97223</w:t>
            </w:r>
          </w:p>
        </w:tc>
        <w:tc>
          <w:tcPr>
            <w:tcW w:w="980" w:type="dxa"/>
            <w:vAlign w:val="bottom"/>
          </w:tcPr>
          <w:p>
            <w:pPr>
              <w:jc w:val="right"/>
              <w:spacing w:after="0"/>
              <w:rPr>
                <w:sz w:val="20"/>
                <w:szCs w:val="20"/>
                <w:color w:val="auto"/>
              </w:rPr>
            </w:pPr>
            <w:r>
              <w:rPr>
                <w:rFonts w:ascii="Arial" w:cs="Arial" w:eastAsia="Arial" w:hAnsi="Arial"/>
                <w:sz w:val="11"/>
                <w:szCs w:val="11"/>
                <w:color w:val="auto"/>
              </w:rPr>
              <w:t>(503) 620-5515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9736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150 SO. CALIFORNIA AVENUE</w:t>
            </w:r>
          </w:p>
        </w:tc>
        <w:tc>
          <w:tcPr>
            <w:tcW w:w="1120" w:type="dxa"/>
            <w:vAlign w:val="bottom"/>
          </w:tcPr>
          <w:p>
            <w:pPr>
              <w:ind w:left="120"/>
              <w:spacing w:after="0"/>
              <w:rPr>
                <w:sz w:val="20"/>
                <w:szCs w:val="20"/>
                <w:color w:val="auto"/>
              </w:rPr>
            </w:pPr>
            <w:r>
              <w:rPr>
                <w:rFonts w:ascii="Arial" w:cs="Arial" w:eastAsia="Arial" w:hAnsi="Arial"/>
                <w:sz w:val="11"/>
                <w:szCs w:val="11"/>
                <w:color w:val="auto"/>
              </w:rPr>
              <w:t>W. COVINA</w:t>
            </w:r>
          </w:p>
        </w:tc>
        <w:tc>
          <w:tcPr>
            <w:tcW w:w="680" w:type="dxa"/>
            <w:vAlign w:val="bottom"/>
          </w:tcPr>
          <w:p>
            <w:pPr>
              <w:ind w:left="80"/>
              <w:spacing w:after="0"/>
              <w:rPr>
                <w:sz w:val="20"/>
                <w:szCs w:val="20"/>
                <w:color w:val="auto"/>
              </w:rPr>
            </w:pPr>
            <w:r>
              <w:rPr>
                <w:rFonts w:ascii="Arial" w:cs="Arial" w:eastAsia="Arial" w:hAnsi="Arial"/>
                <w:sz w:val="11"/>
                <w:szCs w:val="11"/>
                <w:color w:val="auto"/>
              </w:rPr>
              <w:t>CA 91790</w:t>
            </w:r>
          </w:p>
        </w:tc>
        <w:tc>
          <w:tcPr>
            <w:tcW w:w="980" w:type="dxa"/>
            <w:vAlign w:val="bottom"/>
          </w:tcPr>
          <w:p>
            <w:pPr>
              <w:jc w:val="right"/>
              <w:spacing w:after="0"/>
              <w:rPr>
                <w:sz w:val="20"/>
                <w:szCs w:val="20"/>
                <w:color w:val="auto"/>
              </w:rPr>
            </w:pPr>
            <w:r>
              <w:rPr>
                <w:rFonts w:ascii="Arial" w:cs="Arial" w:eastAsia="Arial" w:hAnsi="Arial"/>
                <w:sz w:val="11"/>
                <w:szCs w:val="11"/>
                <w:color w:val="auto"/>
              </w:rPr>
              <w:t>(626) 854-8047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9737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1200 FAIRMONT DRIVE</w:t>
            </w:r>
          </w:p>
        </w:tc>
        <w:tc>
          <w:tcPr>
            <w:tcW w:w="1120" w:type="dxa"/>
            <w:vAlign w:val="bottom"/>
          </w:tcPr>
          <w:p>
            <w:pPr>
              <w:ind w:left="120"/>
              <w:spacing w:after="0"/>
              <w:rPr>
                <w:sz w:val="20"/>
                <w:szCs w:val="20"/>
                <w:color w:val="auto"/>
              </w:rPr>
            </w:pPr>
            <w:r>
              <w:rPr>
                <w:rFonts w:ascii="Arial" w:cs="Arial" w:eastAsia="Arial" w:hAnsi="Arial"/>
                <w:sz w:val="11"/>
                <w:szCs w:val="11"/>
                <w:color w:val="auto"/>
              </w:rPr>
              <w:t>SAN LEANDRO</w:t>
            </w:r>
          </w:p>
        </w:tc>
        <w:tc>
          <w:tcPr>
            <w:tcW w:w="680" w:type="dxa"/>
            <w:vAlign w:val="bottom"/>
          </w:tcPr>
          <w:p>
            <w:pPr>
              <w:ind w:left="80"/>
              <w:spacing w:after="0"/>
              <w:rPr>
                <w:sz w:val="20"/>
                <w:szCs w:val="20"/>
                <w:color w:val="auto"/>
              </w:rPr>
            </w:pPr>
            <w:r>
              <w:rPr>
                <w:rFonts w:ascii="Arial" w:cs="Arial" w:eastAsia="Arial" w:hAnsi="Arial"/>
                <w:sz w:val="11"/>
                <w:szCs w:val="11"/>
                <w:color w:val="auto"/>
              </w:rPr>
              <w:t>CA 94578</w:t>
            </w:r>
          </w:p>
        </w:tc>
        <w:tc>
          <w:tcPr>
            <w:tcW w:w="980" w:type="dxa"/>
            <w:vAlign w:val="bottom"/>
          </w:tcPr>
          <w:p>
            <w:pPr>
              <w:jc w:val="right"/>
              <w:spacing w:after="0"/>
              <w:rPr>
                <w:sz w:val="20"/>
                <w:szCs w:val="20"/>
                <w:color w:val="auto"/>
              </w:rPr>
            </w:pPr>
            <w:r>
              <w:rPr>
                <w:rFonts w:ascii="Arial" w:cs="Arial" w:eastAsia="Arial" w:hAnsi="Arial"/>
                <w:sz w:val="11"/>
                <w:szCs w:val="11"/>
                <w:color w:val="auto"/>
              </w:rPr>
              <w:t>(510) 614-6150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9739 CHASE (JPMORGAN)</w:t>
            </w:r>
          </w:p>
        </w:tc>
        <w:tc>
          <w:tcPr>
            <w:tcW w:w="2120" w:type="dxa"/>
            <w:vAlign w:val="bottom"/>
          </w:tcPr>
          <w:p>
            <w:pPr>
              <w:ind w:left="220"/>
              <w:spacing w:after="0"/>
              <w:rPr>
                <w:sz w:val="20"/>
                <w:szCs w:val="20"/>
                <w:color w:val="auto"/>
              </w:rPr>
            </w:pPr>
            <w:r>
              <w:rPr>
                <w:rFonts w:ascii="Arial" w:cs="Arial" w:eastAsia="Arial" w:hAnsi="Arial"/>
                <w:sz w:val="11"/>
                <w:szCs w:val="11"/>
                <w:color w:val="auto"/>
              </w:rPr>
              <w:t>3939 NORTH ORACLE ROAD</w:t>
            </w:r>
          </w:p>
        </w:tc>
        <w:tc>
          <w:tcPr>
            <w:tcW w:w="1120" w:type="dxa"/>
            <w:vAlign w:val="bottom"/>
          </w:tcPr>
          <w:p>
            <w:pPr>
              <w:ind w:left="120"/>
              <w:spacing w:after="0"/>
              <w:rPr>
                <w:sz w:val="20"/>
                <w:szCs w:val="20"/>
                <w:color w:val="auto"/>
              </w:rPr>
            </w:pPr>
            <w:r>
              <w:rPr>
                <w:rFonts w:ascii="Arial" w:cs="Arial" w:eastAsia="Arial" w:hAnsi="Arial"/>
                <w:sz w:val="11"/>
                <w:szCs w:val="11"/>
                <w:color w:val="auto"/>
              </w:rPr>
              <w:t>TUCSON</w:t>
            </w:r>
          </w:p>
        </w:tc>
        <w:tc>
          <w:tcPr>
            <w:tcW w:w="680" w:type="dxa"/>
            <w:vAlign w:val="bottom"/>
          </w:tcPr>
          <w:p>
            <w:pPr>
              <w:ind w:left="80"/>
              <w:spacing w:after="0"/>
              <w:rPr>
                <w:sz w:val="20"/>
                <w:szCs w:val="20"/>
                <w:color w:val="auto"/>
              </w:rPr>
            </w:pPr>
            <w:r>
              <w:rPr>
                <w:rFonts w:ascii="Arial" w:cs="Arial" w:eastAsia="Arial" w:hAnsi="Arial"/>
                <w:sz w:val="11"/>
                <w:szCs w:val="11"/>
                <w:color w:val="auto"/>
              </w:rPr>
              <w:t>AZ 85705</w:t>
            </w:r>
          </w:p>
        </w:tc>
        <w:tc>
          <w:tcPr>
            <w:tcW w:w="980" w:type="dxa"/>
            <w:vAlign w:val="bottom"/>
          </w:tcPr>
          <w:p>
            <w:pPr>
              <w:jc w:val="right"/>
              <w:spacing w:after="0"/>
              <w:rPr>
                <w:sz w:val="20"/>
                <w:szCs w:val="20"/>
                <w:color w:val="auto"/>
              </w:rPr>
            </w:pPr>
            <w:r>
              <w:rPr>
                <w:rFonts w:ascii="Arial" w:cs="Arial" w:eastAsia="Arial" w:hAnsi="Arial"/>
                <w:sz w:val="11"/>
                <w:szCs w:val="11"/>
                <w:color w:val="auto"/>
              </w:rPr>
              <w:t>(877) 226-5663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9742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30 E WELLESLEY AVE</w:t>
            </w:r>
          </w:p>
        </w:tc>
        <w:tc>
          <w:tcPr>
            <w:tcW w:w="1120" w:type="dxa"/>
            <w:vAlign w:val="bottom"/>
          </w:tcPr>
          <w:p>
            <w:pPr>
              <w:ind w:left="120"/>
              <w:spacing w:after="0"/>
              <w:rPr>
                <w:sz w:val="20"/>
                <w:szCs w:val="20"/>
                <w:color w:val="auto"/>
              </w:rPr>
            </w:pPr>
            <w:r>
              <w:rPr>
                <w:rFonts w:ascii="Arial" w:cs="Arial" w:eastAsia="Arial" w:hAnsi="Arial"/>
                <w:sz w:val="11"/>
                <w:szCs w:val="11"/>
                <w:color w:val="auto"/>
              </w:rPr>
              <w:t>SPOKANE</w:t>
            </w:r>
          </w:p>
        </w:tc>
        <w:tc>
          <w:tcPr>
            <w:tcW w:w="680" w:type="dxa"/>
            <w:vAlign w:val="bottom"/>
          </w:tcPr>
          <w:p>
            <w:pPr>
              <w:ind w:left="80"/>
              <w:spacing w:after="0"/>
              <w:rPr>
                <w:sz w:val="20"/>
                <w:szCs w:val="20"/>
                <w:color w:val="auto"/>
              </w:rPr>
            </w:pPr>
            <w:r>
              <w:rPr>
                <w:rFonts w:ascii="Arial" w:cs="Arial" w:eastAsia="Arial" w:hAnsi="Arial"/>
                <w:sz w:val="11"/>
                <w:szCs w:val="11"/>
                <w:color w:val="auto"/>
              </w:rPr>
              <w:t>WA 99207</w:t>
            </w:r>
          </w:p>
        </w:tc>
        <w:tc>
          <w:tcPr>
            <w:tcW w:w="980" w:type="dxa"/>
            <w:vAlign w:val="bottom"/>
          </w:tcPr>
          <w:p>
            <w:pPr>
              <w:jc w:val="right"/>
              <w:spacing w:after="0"/>
              <w:rPr>
                <w:sz w:val="20"/>
                <w:szCs w:val="20"/>
                <w:color w:val="auto"/>
              </w:rPr>
            </w:pPr>
            <w:r>
              <w:rPr>
                <w:rFonts w:ascii="Arial" w:cs="Arial" w:eastAsia="Arial" w:hAnsi="Arial"/>
                <w:sz w:val="11"/>
                <w:szCs w:val="11"/>
                <w:color w:val="auto"/>
              </w:rPr>
              <w:t>(509) 353-6066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9744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71-799 HIGHWAY 111</w:t>
            </w:r>
          </w:p>
        </w:tc>
        <w:tc>
          <w:tcPr>
            <w:tcW w:w="1120" w:type="dxa"/>
            <w:vAlign w:val="bottom"/>
          </w:tcPr>
          <w:p>
            <w:pPr>
              <w:ind w:left="120"/>
              <w:spacing w:after="0"/>
              <w:rPr>
                <w:sz w:val="20"/>
                <w:szCs w:val="20"/>
                <w:color w:val="auto"/>
              </w:rPr>
            </w:pPr>
            <w:r>
              <w:rPr>
                <w:rFonts w:ascii="Arial" w:cs="Arial" w:eastAsia="Arial" w:hAnsi="Arial"/>
                <w:sz w:val="11"/>
                <w:szCs w:val="11"/>
                <w:color w:val="auto"/>
              </w:rPr>
              <w:t>RANCHO MIRAGE</w:t>
            </w:r>
          </w:p>
        </w:tc>
        <w:tc>
          <w:tcPr>
            <w:tcW w:w="680" w:type="dxa"/>
            <w:vAlign w:val="bottom"/>
          </w:tcPr>
          <w:p>
            <w:pPr>
              <w:ind w:left="80"/>
              <w:spacing w:after="0"/>
              <w:rPr>
                <w:sz w:val="20"/>
                <w:szCs w:val="20"/>
                <w:color w:val="auto"/>
              </w:rPr>
            </w:pPr>
            <w:r>
              <w:rPr>
                <w:rFonts w:ascii="Arial" w:cs="Arial" w:eastAsia="Arial" w:hAnsi="Arial"/>
                <w:sz w:val="11"/>
                <w:szCs w:val="11"/>
                <w:color w:val="auto"/>
              </w:rPr>
              <w:t>CA 92270</w:t>
            </w:r>
          </w:p>
        </w:tc>
        <w:tc>
          <w:tcPr>
            <w:tcW w:w="980" w:type="dxa"/>
            <w:vAlign w:val="bottom"/>
          </w:tcPr>
          <w:p>
            <w:pPr>
              <w:jc w:val="right"/>
              <w:spacing w:after="0"/>
              <w:rPr>
                <w:sz w:val="20"/>
                <w:szCs w:val="20"/>
                <w:color w:val="auto"/>
              </w:rPr>
            </w:pPr>
            <w:r>
              <w:rPr>
                <w:rFonts w:ascii="Arial" w:cs="Arial" w:eastAsia="Arial" w:hAnsi="Arial"/>
                <w:sz w:val="11"/>
                <w:szCs w:val="11"/>
                <w:color w:val="auto"/>
              </w:rPr>
              <w:t>(760) 341-4781 ***</w:t>
            </w:r>
          </w:p>
        </w:tc>
      </w:tr>
      <w:tr>
        <w:trPr>
          <w:trHeight w:val="258"/>
        </w:trPr>
        <w:tc>
          <w:tcPr>
            <w:tcW w:w="1480" w:type="dxa"/>
            <w:vAlign w:val="bottom"/>
          </w:tcPr>
          <w:p>
            <w:pPr>
              <w:spacing w:after="0"/>
              <w:rPr>
                <w:sz w:val="20"/>
                <w:szCs w:val="20"/>
                <w:color w:val="auto"/>
              </w:rPr>
            </w:pPr>
            <w:r>
              <w:rPr>
                <w:rFonts w:ascii="Arial" w:cs="Arial" w:eastAsia="Arial" w:hAnsi="Arial"/>
                <w:sz w:val="11"/>
                <w:szCs w:val="11"/>
                <w:color w:val="auto"/>
              </w:rPr>
              <w:t>9745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2495 E. LAKESHORE DR</w:t>
            </w:r>
          </w:p>
        </w:tc>
        <w:tc>
          <w:tcPr>
            <w:tcW w:w="1120" w:type="dxa"/>
            <w:vAlign w:val="bottom"/>
          </w:tcPr>
          <w:p>
            <w:pPr>
              <w:ind w:left="120"/>
              <w:spacing w:after="0"/>
              <w:rPr>
                <w:sz w:val="20"/>
                <w:szCs w:val="20"/>
                <w:color w:val="auto"/>
              </w:rPr>
            </w:pPr>
            <w:r>
              <w:rPr>
                <w:rFonts w:ascii="Arial" w:cs="Arial" w:eastAsia="Arial" w:hAnsi="Arial"/>
                <w:sz w:val="11"/>
                <w:szCs w:val="11"/>
                <w:color w:val="auto"/>
              </w:rPr>
              <w:t>LAKE ELSINORE</w:t>
            </w:r>
          </w:p>
        </w:tc>
        <w:tc>
          <w:tcPr>
            <w:tcW w:w="680" w:type="dxa"/>
            <w:vAlign w:val="bottom"/>
          </w:tcPr>
          <w:p>
            <w:pPr>
              <w:ind w:left="80"/>
              <w:spacing w:after="0"/>
              <w:rPr>
                <w:sz w:val="20"/>
                <w:szCs w:val="20"/>
                <w:color w:val="auto"/>
              </w:rPr>
            </w:pPr>
            <w:r>
              <w:rPr>
                <w:rFonts w:ascii="Arial" w:cs="Arial" w:eastAsia="Arial" w:hAnsi="Arial"/>
                <w:sz w:val="11"/>
                <w:szCs w:val="11"/>
                <w:color w:val="auto"/>
              </w:rPr>
              <w:t>CA 92530-</w:t>
            </w:r>
          </w:p>
        </w:tc>
        <w:tc>
          <w:tcPr>
            <w:tcW w:w="980" w:type="dxa"/>
            <w:vAlign w:val="bottom"/>
          </w:tcPr>
          <w:p>
            <w:pPr>
              <w:jc w:val="right"/>
              <w:spacing w:after="0"/>
              <w:rPr>
                <w:sz w:val="20"/>
                <w:szCs w:val="20"/>
                <w:color w:val="auto"/>
              </w:rPr>
            </w:pPr>
            <w:r>
              <w:rPr>
                <w:rFonts w:ascii="Arial" w:cs="Arial" w:eastAsia="Arial" w:hAnsi="Arial"/>
                <w:sz w:val="11"/>
                <w:szCs w:val="11"/>
                <w:color w:val="auto"/>
              </w:rPr>
              <w:t>(909) 679-6818 ***</w:t>
            </w:r>
          </w:p>
        </w:tc>
      </w:tr>
      <w:tr>
        <w:trPr>
          <w:trHeight w:val="136"/>
        </w:trPr>
        <w:tc>
          <w:tcPr>
            <w:tcW w:w="14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ind w:left="260"/>
              <w:spacing w:after="0"/>
              <w:rPr>
                <w:sz w:val="20"/>
                <w:szCs w:val="20"/>
                <w:color w:val="auto"/>
              </w:rPr>
            </w:pPr>
            <w:r>
              <w:rPr>
                <w:rFonts w:ascii="Arial" w:cs="Arial" w:eastAsia="Arial" w:hAnsi="Arial"/>
                <w:sz w:val="11"/>
                <w:szCs w:val="11"/>
                <w:color w:val="auto"/>
              </w:rPr>
              <w:t>4446</w:t>
            </w:r>
          </w:p>
        </w:tc>
        <w:tc>
          <w:tcPr>
            <w:tcW w:w="980" w:type="dxa"/>
            <w:vAlign w:val="bottom"/>
          </w:tcPr>
          <w:p>
            <w:pPr>
              <w:spacing w:after="0"/>
              <w:rPr>
                <w:sz w:val="11"/>
                <w:szCs w:val="11"/>
                <w:color w:val="auto"/>
              </w:rPr>
            </w:pPr>
          </w:p>
        </w:tc>
      </w:tr>
      <w:tr>
        <w:trPr>
          <w:trHeight w:val="171"/>
        </w:trPr>
        <w:tc>
          <w:tcPr>
            <w:tcW w:w="1480" w:type="dxa"/>
            <w:vAlign w:val="bottom"/>
          </w:tcPr>
          <w:p>
            <w:pPr>
              <w:spacing w:after="0"/>
              <w:rPr>
                <w:sz w:val="20"/>
                <w:szCs w:val="20"/>
                <w:color w:val="auto"/>
              </w:rPr>
            </w:pPr>
            <w:r>
              <w:rPr>
                <w:rFonts w:ascii="Arial" w:cs="Arial" w:eastAsia="Arial" w:hAnsi="Arial"/>
                <w:sz w:val="11"/>
                <w:szCs w:val="11"/>
                <w:color w:val="auto"/>
              </w:rPr>
              <w:t>9746 CHASE (JPMORGAN)</w:t>
            </w:r>
          </w:p>
        </w:tc>
        <w:tc>
          <w:tcPr>
            <w:tcW w:w="2120" w:type="dxa"/>
            <w:vAlign w:val="bottom"/>
          </w:tcPr>
          <w:p>
            <w:pPr>
              <w:ind w:left="220"/>
              <w:spacing w:after="0"/>
              <w:rPr>
                <w:sz w:val="20"/>
                <w:szCs w:val="20"/>
                <w:color w:val="auto"/>
              </w:rPr>
            </w:pPr>
            <w:r>
              <w:rPr>
                <w:rFonts w:ascii="Arial" w:cs="Arial" w:eastAsia="Arial" w:hAnsi="Arial"/>
                <w:sz w:val="11"/>
                <w:szCs w:val="11"/>
                <w:color w:val="auto"/>
              </w:rPr>
              <w:t>5059 LAKEWOOD CENTER MALL</w:t>
            </w:r>
          </w:p>
        </w:tc>
        <w:tc>
          <w:tcPr>
            <w:tcW w:w="1120" w:type="dxa"/>
            <w:vAlign w:val="bottom"/>
          </w:tcPr>
          <w:p>
            <w:pPr>
              <w:ind w:left="120"/>
              <w:spacing w:after="0"/>
              <w:rPr>
                <w:sz w:val="20"/>
                <w:szCs w:val="20"/>
                <w:color w:val="auto"/>
              </w:rPr>
            </w:pPr>
            <w:r>
              <w:rPr>
                <w:rFonts w:ascii="Arial" w:cs="Arial" w:eastAsia="Arial" w:hAnsi="Arial"/>
                <w:sz w:val="11"/>
                <w:szCs w:val="11"/>
                <w:color w:val="auto"/>
              </w:rPr>
              <w:t>LAKEWOOD</w:t>
            </w:r>
          </w:p>
        </w:tc>
        <w:tc>
          <w:tcPr>
            <w:tcW w:w="680" w:type="dxa"/>
            <w:vAlign w:val="bottom"/>
          </w:tcPr>
          <w:p>
            <w:pPr>
              <w:ind w:left="80"/>
              <w:spacing w:after="0"/>
              <w:rPr>
                <w:sz w:val="20"/>
                <w:szCs w:val="20"/>
                <w:color w:val="auto"/>
              </w:rPr>
            </w:pPr>
            <w:r>
              <w:rPr>
                <w:rFonts w:ascii="Arial" w:cs="Arial" w:eastAsia="Arial" w:hAnsi="Arial"/>
                <w:sz w:val="11"/>
                <w:szCs w:val="11"/>
                <w:color w:val="auto"/>
              </w:rPr>
              <w:t>CA 90712</w:t>
            </w:r>
          </w:p>
        </w:tc>
        <w:tc>
          <w:tcPr>
            <w:tcW w:w="980" w:type="dxa"/>
            <w:vAlign w:val="bottom"/>
          </w:tcPr>
          <w:p>
            <w:pPr>
              <w:jc w:val="right"/>
              <w:spacing w:after="0"/>
              <w:rPr>
                <w:sz w:val="20"/>
                <w:szCs w:val="20"/>
                <w:color w:val="auto"/>
              </w:rPr>
            </w:pPr>
            <w:r>
              <w:rPr>
                <w:rFonts w:ascii="Arial" w:cs="Arial" w:eastAsia="Arial" w:hAnsi="Arial"/>
                <w:sz w:val="11"/>
                <w:szCs w:val="11"/>
                <w:color w:val="auto"/>
              </w:rPr>
              <w:t>(562) 529-6710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9747 CHASE (JPMORGAN)</w:t>
            </w:r>
          </w:p>
        </w:tc>
        <w:tc>
          <w:tcPr>
            <w:tcW w:w="2120" w:type="dxa"/>
            <w:vAlign w:val="bottom"/>
          </w:tcPr>
          <w:p>
            <w:pPr>
              <w:ind w:left="220"/>
              <w:spacing w:after="0"/>
              <w:rPr>
                <w:sz w:val="20"/>
                <w:szCs w:val="20"/>
                <w:color w:val="auto"/>
              </w:rPr>
            </w:pPr>
            <w:r>
              <w:rPr>
                <w:rFonts w:ascii="Arial" w:cs="Arial" w:eastAsia="Arial" w:hAnsi="Arial"/>
                <w:sz w:val="11"/>
                <w:szCs w:val="11"/>
                <w:color w:val="auto"/>
              </w:rPr>
              <w:t>101 W BROADWAY, SUITE 100</w:t>
            </w:r>
          </w:p>
        </w:tc>
        <w:tc>
          <w:tcPr>
            <w:tcW w:w="1120" w:type="dxa"/>
            <w:vAlign w:val="bottom"/>
          </w:tcPr>
          <w:p>
            <w:pPr>
              <w:ind w:left="120"/>
              <w:spacing w:after="0"/>
              <w:rPr>
                <w:sz w:val="20"/>
                <w:szCs w:val="20"/>
                <w:color w:val="auto"/>
              </w:rPr>
            </w:pPr>
            <w:r>
              <w:rPr>
                <w:rFonts w:ascii="Arial" w:cs="Arial" w:eastAsia="Arial" w:hAnsi="Arial"/>
                <w:sz w:val="11"/>
                <w:szCs w:val="11"/>
                <w:color w:val="auto"/>
              </w:rPr>
              <w:t>SAN DIEGO</w:t>
            </w:r>
          </w:p>
        </w:tc>
        <w:tc>
          <w:tcPr>
            <w:tcW w:w="680" w:type="dxa"/>
            <w:vAlign w:val="bottom"/>
          </w:tcPr>
          <w:p>
            <w:pPr>
              <w:ind w:left="80"/>
              <w:spacing w:after="0"/>
              <w:rPr>
                <w:sz w:val="20"/>
                <w:szCs w:val="20"/>
                <w:color w:val="auto"/>
              </w:rPr>
            </w:pPr>
            <w:r>
              <w:rPr>
                <w:rFonts w:ascii="Arial" w:cs="Arial" w:eastAsia="Arial" w:hAnsi="Arial"/>
                <w:sz w:val="11"/>
                <w:szCs w:val="11"/>
                <w:color w:val="auto"/>
              </w:rPr>
              <w:t>CA 92101</w:t>
            </w:r>
          </w:p>
        </w:tc>
        <w:tc>
          <w:tcPr>
            <w:tcW w:w="980" w:type="dxa"/>
            <w:vAlign w:val="bottom"/>
          </w:tcPr>
          <w:p>
            <w:pPr>
              <w:jc w:val="right"/>
              <w:spacing w:after="0"/>
              <w:rPr>
                <w:sz w:val="20"/>
                <w:szCs w:val="20"/>
                <w:color w:val="auto"/>
              </w:rPr>
            </w:pPr>
            <w:r>
              <w:rPr>
                <w:rFonts w:ascii="Arial" w:cs="Arial" w:eastAsia="Arial" w:hAnsi="Arial"/>
                <w:sz w:val="11"/>
                <w:szCs w:val="11"/>
                <w:color w:val="auto"/>
              </w:rPr>
              <w:t>(619) 615-0600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9748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5541 SEPULVEDA BLVD</w:t>
            </w:r>
          </w:p>
        </w:tc>
        <w:tc>
          <w:tcPr>
            <w:tcW w:w="1120" w:type="dxa"/>
            <w:vAlign w:val="bottom"/>
          </w:tcPr>
          <w:p>
            <w:pPr>
              <w:ind w:left="120"/>
              <w:spacing w:after="0"/>
              <w:rPr>
                <w:sz w:val="20"/>
                <w:szCs w:val="20"/>
                <w:color w:val="auto"/>
              </w:rPr>
            </w:pPr>
            <w:r>
              <w:rPr>
                <w:rFonts w:ascii="Arial" w:cs="Arial" w:eastAsia="Arial" w:hAnsi="Arial"/>
                <w:sz w:val="11"/>
                <w:szCs w:val="11"/>
                <w:color w:val="auto"/>
              </w:rPr>
              <w:t>CULVER CITY</w:t>
            </w:r>
          </w:p>
        </w:tc>
        <w:tc>
          <w:tcPr>
            <w:tcW w:w="680" w:type="dxa"/>
            <w:vAlign w:val="bottom"/>
          </w:tcPr>
          <w:p>
            <w:pPr>
              <w:ind w:left="80"/>
              <w:spacing w:after="0"/>
              <w:rPr>
                <w:sz w:val="20"/>
                <w:szCs w:val="20"/>
                <w:color w:val="auto"/>
              </w:rPr>
            </w:pPr>
            <w:r>
              <w:rPr>
                <w:rFonts w:ascii="Arial" w:cs="Arial" w:eastAsia="Arial" w:hAnsi="Arial"/>
                <w:sz w:val="11"/>
                <w:szCs w:val="11"/>
                <w:color w:val="auto"/>
              </w:rPr>
              <w:t>CA 90230</w:t>
            </w:r>
          </w:p>
        </w:tc>
        <w:tc>
          <w:tcPr>
            <w:tcW w:w="980" w:type="dxa"/>
            <w:vAlign w:val="bottom"/>
          </w:tcPr>
          <w:p>
            <w:pPr>
              <w:jc w:val="right"/>
              <w:spacing w:after="0"/>
              <w:rPr>
                <w:sz w:val="20"/>
                <w:szCs w:val="20"/>
                <w:color w:val="auto"/>
              </w:rPr>
            </w:pPr>
            <w:r>
              <w:rPr>
                <w:rFonts w:ascii="Arial" w:cs="Arial" w:eastAsia="Arial" w:hAnsi="Arial"/>
                <w:sz w:val="11"/>
                <w:szCs w:val="11"/>
                <w:color w:val="auto"/>
              </w:rPr>
              <w:t>(310) 397-7781 ***</w:t>
            </w:r>
          </w:p>
        </w:tc>
      </w:tr>
      <w:tr>
        <w:trPr>
          <w:trHeight w:val="282"/>
        </w:trPr>
        <w:tc>
          <w:tcPr>
            <w:tcW w:w="1480" w:type="dxa"/>
            <w:vAlign w:val="bottom"/>
          </w:tcPr>
          <w:p>
            <w:pPr>
              <w:spacing w:after="0"/>
              <w:rPr>
                <w:sz w:val="20"/>
                <w:szCs w:val="20"/>
                <w:color w:val="auto"/>
              </w:rPr>
            </w:pPr>
            <w:r>
              <w:rPr>
                <w:rFonts w:ascii="Arial" w:cs="Arial" w:eastAsia="Arial" w:hAnsi="Arial"/>
                <w:sz w:val="11"/>
                <w:szCs w:val="11"/>
                <w:color w:val="auto"/>
              </w:rPr>
              <w:t>9752 WELLS FARGO</w:t>
            </w:r>
          </w:p>
        </w:tc>
        <w:tc>
          <w:tcPr>
            <w:tcW w:w="2120" w:type="dxa"/>
            <w:vAlign w:val="bottom"/>
          </w:tcPr>
          <w:p>
            <w:pPr>
              <w:ind w:left="220"/>
              <w:spacing w:after="0"/>
              <w:rPr>
                <w:sz w:val="20"/>
                <w:szCs w:val="20"/>
                <w:color w:val="auto"/>
              </w:rPr>
            </w:pPr>
            <w:r>
              <w:rPr>
                <w:rFonts w:ascii="Arial" w:cs="Arial" w:eastAsia="Arial" w:hAnsi="Arial"/>
                <w:sz w:val="11"/>
                <w:szCs w:val="11"/>
                <w:color w:val="auto"/>
              </w:rPr>
              <w:t>12240 N JANTZEN DRIVE</w:t>
            </w:r>
          </w:p>
        </w:tc>
        <w:tc>
          <w:tcPr>
            <w:tcW w:w="1120" w:type="dxa"/>
            <w:vAlign w:val="bottom"/>
          </w:tcPr>
          <w:p>
            <w:pPr>
              <w:ind w:left="120"/>
              <w:spacing w:after="0"/>
              <w:rPr>
                <w:sz w:val="20"/>
                <w:szCs w:val="20"/>
                <w:color w:val="auto"/>
              </w:rPr>
            </w:pPr>
            <w:r>
              <w:rPr>
                <w:rFonts w:ascii="Arial" w:cs="Arial" w:eastAsia="Arial" w:hAnsi="Arial"/>
                <w:sz w:val="11"/>
                <w:szCs w:val="11"/>
                <w:color w:val="auto"/>
              </w:rPr>
              <w:t>PORTLAND</w:t>
            </w:r>
          </w:p>
        </w:tc>
        <w:tc>
          <w:tcPr>
            <w:tcW w:w="680" w:type="dxa"/>
            <w:vAlign w:val="bottom"/>
          </w:tcPr>
          <w:p>
            <w:pPr>
              <w:ind w:left="80"/>
              <w:spacing w:after="0"/>
              <w:rPr>
                <w:sz w:val="20"/>
                <w:szCs w:val="20"/>
                <w:color w:val="auto"/>
              </w:rPr>
            </w:pPr>
            <w:r>
              <w:rPr>
                <w:rFonts w:ascii="Arial" w:cs="Arial" w:eastAsia="Arial" w:hAnsi="Arial"/>
                <w:sz w:val="11"/>
                <w:szCs w:val="11"/>
                <w:color w:val="auto"/>
              </w:rPr>
              <w:t>OR 97156</w:t>
            </w:r>
          </w:p>
        </w:tc>
        <w:tc>
          <w:tcPr>
            <w:tcW w:w="980" w:type="dxa"/>
            <w:vAlign w:val="bottom"/>
          </w:tcPr>
          <w:p>
            <w:pPr>
              <w:jc w:val="right"/>
              <w:spacing w:after="0"/>
              <w:rPr>
                <w:sz w:val="20"/>
                <w:szCs w:val="20"/>
                <w:color w:val="auto"/>
              </w:rPr>
            </w:pPr>
            <w:r>
              <w:rPr>
                <w:rFonts w:ascii="Arial" w:cs="Arial" w:eastAsia="Arial" w:hAnsi="Arial"/>
                <w:sz w:val="11"/>
                <w:szCs w:val="11"/>
                <w:color w:val="auto"/>
              </w:rPr>
              <w:t>(503) 289-7156 ***</w:t>
            </w:r>
          </w:p>
        </w:tc>
      </w:tr>
      <w:tr>
        <w:trPr>
          <w:trHeight w:val="258"/>
        </w:trPr>
        <w:tc>
          <w:tcPr>
            <w:tcW w:w="1480" w:type="dxa"/>
            <w:vAlign w:val="bottom"/>
          </w:tcPr>
          <w:p>
            <w:pPr>
              <w:spacing w:after="0"/>
              <w:rPr>
                <w:sz w:val="20"/>
                <w:szCs w:val="20"/>
                <w:color w:val="auto"/>
              </w:rPr>
            </w:pPr>
            <w:r>
              <w:rPr>
                <w:rFonts w:ascii="Arial" w:cs="Arial" w:eastAsia="Arial" w:hAnsi="Arial"/>
                <w:sz w:val="11"/>
                <w:szCs w:val="11"/>
                <w:color w:val="auto"/>
              </w:rPr>
              <w:t>9756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12682 ARMAGOSA ROAD</w:t>
            </w:r>
          </w:p>
        </w:tc>
        <w:tc>
          <w:tcPr>
            <w:tcW w:w="1120" w:type="dxa"/>
            <w:vAlign w:val="bottom"/>
          </w:tcPr>
          <w:p>
            <w:pPr>
              <w:ind w:left="120"/>
              <w:spacing w:after="0"/>
              <w:rPr>
                <w:sz w:val="20"/>
                <w:szCs w:val="20"/>
                <w:color w:val="auto"/>
              </w:rPr>
            </w:pPr>
            <w:r>
              <w:rPr>
                <w:rFonts w:ascii="Arial" w:cs="Arial" w:eastAsia="Arial" w:hAnsi="Arial"/>
                <w:sz w:val="11"/>
                <w:szCs w:val="11"/>
                <w:color w:val="auto"/>
              </w:rPr>
              <w:t>SOUTH</w:t>
            </w:r>
          </w:p>
        </w:tc>
        <w:tc>
          <w:tcPr>
            <w:tcW w:w="680" w:type="dxa"/>
            <w:vAlign w:val="bottom"/>
          </w:tcPr>
          <w:p>
            <w:pPr>
              <w:ind w:left="80"/>
              <w:spacing w:after="0"/>
              <w:rPr>
                <w:sz w:val="20"/>
                <w:szCs w:val="20"/>
                <w:color w:val="auto"/>
              </w:rPr>
            </w:pPr>
            <w:r>
              <w:rPr>
                <w:rFonts w:ascii="Arial" w:cs="Arial" w:eastAsia="Arial" w:hAnsi="Arial"/>
                <w:sz w:val="11"/>
                <w:szCs w:val="11"/>
                <w:color w:val="auto"/>
              </w:rPr>
              <w:t>CA 92392</w:t>
            </w:r>
          </w:p>
        </w:tc>
        <w:tc>
          <w:tcPr>
            <w:tcW w:w="980" w:type="dxa"/>
            <w:vAlign w:val="bottom"/>
          </w:tcPr>
          <w:p>
            <w:pPr>
              <w:jc w:val="right"/>
              <w:spacing w:after="0"/>
              <w:rPr>
                <w:sz w:val="20"/>
                <w:szCs w:val="20"/>
                <w:color w:val="auto"/>
              </w:rPr>
            </w:pPr>
            <w:r>
              <w:rPr>
                <w:rFonts w:ascii="Arial" w:cs="Arial" w:eastAsia="Arial" w:hAnsi="Arial"/>
                <w:sz w:val="11"/>
                <w:szCs w:val="11"/>
                <w:color w:val="auto"/>
              </w:rPr>
              <w:t>(760) 843-6615 ***</w:t>
            </w:r>
          </w:p>
        </w:tc>
      </w:tr>
      <w:tr>
        <w:trPr>
          <w:trHeight w:val="136"/>
        </w:trPr>
        <w:tc>
          <w:tcPr>
            <w:tcW w:w="14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color w:val="auto"/>
              </w:rPr>
              <w:t>VICTORVILLE</w:t>
            </w: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1"/>
        </w:trPr>
        <w:tc>
          <w:tcPr>
            <w:tcW w:w="1480" w:type="dxa"/>
            <w:vAlign w:val="bottom"/>
          </w:tcPr>
          <w:p>
            <w:pPr>
              <w:spacing w:after="0"/>
              <w:rPr>
                <w:sz w:val="20"/>
                <w:szCs w:val="20"/>
                <w:color w:val="auto"/>
              </w:rPr>
            </w:pPr>
            <w:r>
              <w:rPr>
                <w:rFonts w:ascii="Arial" w:cs="Arial" w:eastAsia="Arial" w:hAnsi="Arial"/>
                <w:sz w:val="11"/>
                <w:szCs w:val="11"/>
                <w:color w:val="auto"/>
              </w:rPr>
              <w:t>9757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1288 LANCASTER DR NE</w:t>
            </w:r>
          </w:p>
        </w:tc>
        <w:tc>
          <w:tcPr>
            <w:tcW w:w="1120" w:type="dxa"/>
            <w:vAlign w:val="bottom"/>
          </w:tcPr>
          <w:p>
            <w:pPr>
              <w:ind w:left="120"/>
              <w:spacing w:after="0"/>
              <w:rPr>
                <w:sz w:val="20"/>
                <w:szCs w:val="20"/>
                <w:color w:val="auto"/>
              </w:rPr>
            </w:pPr>
            <w:r>
              <w:rPr>
                <w:rFonts w:ascii="Arial" w:cs="Arial" w:eastAsia="Arial" w:hAnsi="Arial"/>
                <w:sz w:val="11"/>
                <w:szCs w:val="11"/>
                <w:color w:val="auto"/>
              </w:rPr>
              <w:t>SALEM</w:t>
            </w:r>
          </w:p>
        </w:tc>
        <w:tc>
          <w:tcPr>
            <w:tcW w:w="680" w:type="dxa"/>
            <w:vAlign w:val="bottom"/>
          </w:tcPr>
          <w:p>
            <w:pPr>
              <w:ind w:left="80"/>
              <w:spacing w:after="0"/>
              <w:rPr>
                <w:sz w:val="20"/>
                <w:szCs w:val="20"/>
                <w:color w:val="auto"/>
              </w:rPr>
            </w:pPr>
            <w:r>
              <w:rPr>
                <w:rFonts w:ascii="Arial" w:cs="Arial" w:eastAsia="Arial" w:hAnsi="Arial"/>
                <w:sz w:val="11"/>
                <w:szCs w:val="11"/>
                <w:color w:val="auto"/>
              </w:rPr>
              <w:t>OR 97301</w:t>
            </w:r>
          </w:p>
        </w:tc>
        <w:tc>
          <w:tcPr>
            <w:tcW w:w="980" w:type="dxa"/>
            <w:vAlign w:val="bottom"/>
          </w:tcPr>
          <w:p>
            <w:pPr>
              <w:jc w:val="right"/>
              <w:spacing w:after="0"/>
              <w:rPr>
                <w:sz w:val="20"/>
                <w:szCs w:val="20"/>
                <w:color w:val="auto"/>
              </w:rPr>
            </w:pPr>
            <w:r>
              <w:rPr>
                <w:rFonts w:ascii="Arial" w:cs="Arial" w:eastAsia="Arial" w:hAnsi="Arial"/>
                <w:sz w:val="11"/>
                <w:szCs w:val="11"/>
                <w:color w:val="auto"/>
              </w:rPr>
              <w:t>(503) 945-2194 ***</w:t>
            </w:r>
          </w:p>
        </w:tc>
      </w:tr>
      <w:tr>
        <w:trPr>
          <w:trHeight w:val="258"/>
        </w:trPr>
        <w:tc>
          <w:tcPr>
            <w:tcW w:w="1480" w:type="dxa"/>
            <w:vAlign w:val="bottom"/>
          </w:tcPr>
          <w:p>
            <w:pPr>
              <w:spacing w:after="0"/>
              <w:rPr>
                <w:sz w:val="20"/>
                <w:szCs w:val="20"/>
                <w:color w:val="auto"/>
              </w:rPr>
            </w:pPr>
            <w:r>
              <w:rPr>
                <w:rFonts w:ascii="Arial" w:cs="Arial" w:eastAsia="Arial" w:hAnsi="Arial"/>
                <w:sz w:val="11"/>
                <w:szCs w:val="11"/>
                <w:color w:val="auto"/>
              </w:rPr>
              <w:t>9761 BANK OF AMERICA</w:t>
            </w:r>
          </w:p>
        </w:tc>
        <w:tc>
          <w:tcPr>
            <w:tcW w:w="2120" w:type="dxa"/>
            <w:vAlign w:val="bottom"/>
          </w:tcPr>
          <w:p>
            <w:pPr>
              <w:ind w:left="220"/>
              <w:spacing w:after="0"/>
              <w:rPr>
                <w:sz w:val="20"/>
                <w:szCs w:val="20"/>
                <w:color w:val="auto"/>
              </w:rPr>
            </w:pPr>
            <w:r>
              <w:rPr>
                <w:rFonts w:ascii="Arial" w:cs="Arial" w:eastAsia="Arial" w:hAnsi="Arial"/>
                <w:sz w:val="11"/>
                <w:szCs w:val="11"/>
                <w:color w:val="auto"/>
              </w:rPr>
              <w:t>5905 S. VIRGINIA ST</w:t>
            </w:r>
          </w:p>
        </w:tc>
        <w:tc>
          <w:tcPr>
            <w:tcW w:w="1120" w:type="dxa"/>
            <w:vAlign w:val="bottom"/>
          </w:tcPr>
          <w:p>
            <w:pPr>
              <w:ind w:left="120"/>
              <w:spacing w:after="0"/>
              <w:rPr>
                <w:sz w:val="20"/>
                <w:szCs w:val="20"/>
                <w:color w:val="auto"/>
              </w:rPr>
            </w:pPr>
            <w:r>
              <w:rPr>
                <w:rFonts w:ascii="Arial" w:cs="Arial" w:eastAsia="Arial" w:hAnsi="Arial"/>
                <w:sz w:val="11"/>
                <w:szCs w:val="11"/>
                <w:color w:val="auto"/>
              </w:rPr>
              <w:t>RENO</w:t>
            </w:r>
          </w:p>
        </w:tc>
        <w:tc>
          <w:tcPr>
            <w:tcW w:w="680" w:type="dxa"/>
            <w:vAlign w:val="bottom"/>
          </w:tcPr>
          <w:p>
            <w:pPr>
              <w:ind w:left="80"/>
              <w:spacing w:after="0"/>
              <w:rPr>
                <w:sz w:val="20"/>
                <w:szCs w:val="20"/>
                <w:color w:val="auto"/>
              </w:rPr>
            </w:pPr>
            <w:r>
              <w:rPr>
                <w:rFonts w:ascii="Arial" w:cs="Arial" w:eastAsia="Arial" w:hAnsi="Arial"/>
                <w:sz w:val="11"/>
                <w:szCs w:val="11"/>
                <w:color w:val="auto"/>
              </w:rPr>
              <w:t>NV 89502-</w:t>
            </w:r>
          </w:p>
        </w:tc>
        <w:tc>
          <w:tcPr>
            <w:tcW w:w="980" w:type="dxa"/>
            <w:vAlign w:val="bottom"/>
          </w:tcPr>
          <w:p>
            <w:pPr>
              <w:jc w:val="right"/>
              <w:spacing w:after="0"/>
              <w:rPr>
                <w:sz w:val="20"/>
                <w:szCs w:val="20"/>
                <w:color w:val="auto"/>
              </w:rPr>
            </w:pPr>
            <w:r>
              <w:rPr>
                <w:rFonts w:ascii="Arial" w:cs="Arial" w:eastAsia="Arial" w:hAnsi="Arial"/>
                <w:sz w:val="11"/>
                <w:szCs w:val="11"/>
                <w:color w:val="auto"/>
              </w:rPr>
              <w:t>(775) 688-8900 ***</w:t>
            </w:r>
          </w:p>
        </w:tc>
      </w:tr>
      <w:tr>
        <w:trPr>
          <w:trHeight w:val="136"/>
        </w:trPr>
        <w:tc>
          <w:tcPr>
            <w:tcW w:w="14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ind w:left="260"/>
              <w:spacing w:after="0"/>
              <w:rPr>
                <w:sz w:val="20"/>
                <w:szCs w:val="20"/>
                <w:color w:val="auto"/>
              </w:rPr>
            </w:pPr>
            <w:r>
              <w:rPr>
                <w:rFonts w:ascii="Arial" w:cs="Arial" w:eastAsia="Arial" w:hAnsi="Arial"/>
                <w:sz w:val="11"/>
                <w:szCs w:val="11"/>
                <w:color w:val="auto"/>
              </w:rPr>
              <w:t>6029</w:t>
            </w:r>
          </w:p>
        </w:tc>
        <w:tc>
          <w:tcPr>
            <w:tcW w:w="980" w:type="dxa"/>
            <w:vAlign w:val="bottom"/>
          </w:tcPr>
          <w:p>
            <w:pPr>
              <w:spacing w:after="0"/>
              <w:rPr>
                <w:sz w:val="11"/>
                <w:szCs w:val="11"/>
                <w:color w:val="auto"/>
              </w:rPr>
            </w:pP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1753870</wp:posOffset>
            </wp:positionH>
            <wp:positionV relativeFrom="page">
              <wp:posOffset>88900</wp:posOffset>
            </wp:positionV>
            <wp:extent cx="4060190" cy="2933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60190" cy="2933065"/>
                    </a:xfrm>
                    <a:prstGeom prst="rect">
                      <a:avLst/>
                    </a:prstGeom>
                    <a:noFill/>
                  </pic:spPr>
                </pic:pic>
              </a:graphicData>
            </a:graphic>
          </wp:anchor>
        </w:drawing>
      </w:r>
    </w:p>
    <w:p>
      <w:pPr>
        <w:ind w:left="259" w:hanging="259"/>
        <w:spacing w:after="0"/>
        <w:tabs>
          <w:tab w:leader="none" w:pos="259" w:val="left"/>
        </w:tabs>
        <w:numPr>
          <w:ilvl w:val="0"/>
          <w:numId w:val="216"/>
        </w:numPr>
        <w:rPr>
          <w:rFonts w:ascii="Arial" w:cs="Arial" w:eastAsia="Arial" w:hAnsi="Arial"/>
          <w:sz w:val="14"/>
          <w:szCs w:val="14"/>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239"/>
          </w:cols>
          <w:pgMar w:left="221" w:top="157" w:right="1440" w:bottom="1440" w:gutter="0" w:footer="0" w:header="0"/>
        </w:sectPr>
      </w:pPr>
    </w:p>
    <w:bookmarkStart w:id="213" w:name="page214"/>
    <w:bookmarkEnd w:id="213"/>
    <w:p>
      <w:pPr>
        <w:spacing w:after="0" w:line="83"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3480" w:type="dxa"/>
            <w:vAlign w:val="bottom"/>
            <w:gridSpan w:val="2"/>
          </w:tcPr>
          <w:p>
            <w:pPr>
              <w:spacing w:after="0"/>
              <w:rPr>
                <w:sz w:val="20"/>
                <w:szCs w:val="20"/>
                <w:color w:val="auto"/>
              </w:rPr>
            </w:pPr>
            <w:r>
              <w:rPr>
                <w:rFonts w:ascii="Arial" w:cs="Arial" w:eastAsia="Arial" w:hAnsi="Arial"/>
                <w:sz w:val="11"/>
                <w:szCs w:val="11"/>
                <w:color w:val="auto"/>
              </w:rPr>
              <w:t>9768 BANK OF AMERICA 24740 VALLEY STREET</w:t>
            </w:r>
          </w:p>
        </w:tc>
        <w:tc>
          <w:tcPr>
            <w:tcW w:w="1220" w:type="dxa"/>
            <w:vAlign w:val="bottom"/>
          </w:tcPr>
          <w:p>
            <w:pPr>
              <w:ind w:left="80"/>
              <w:spacing w:after="0"/>
              <w:rPr>
                <w:sz w:val="20"/>
                <w:szCs w:val="20"/>
                <w:color w:val="auto"/>
              </w:rPr>
            </w:pPr>
            <w:r>
              <w:rPr>
                <w:rFonts w:ascii="Arial" w:cs="Arial" w:eastAsia="Arial" w:hAnsi="Arial"/>
                <w:sz w:val="11"/>
                <w:szCs w:val="11"/>
                <w:color w:val="auto"/>
              </w:rPr>
              <w:t>NEWHALL</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CA 91321-</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(661)</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253-4600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ind w:right="146"/>
              <w:spacing w:after="0"/>
              <w:rPr>
                <w:sz w:val="20"/>
                <w:szCs w:val="20"/>
                <w:color w:val="auto"/>
              </w:rPr>
            </w:pPr>
            <w:r>
              <w:rPr>
                <w:rFonts w:ascii="Arial" w:cs="Arial" w:eastAsia="Arial" w:hAnsi="Arial"/>
                <w:sz w:val="11"/>
                <w:szCs w:val="11"/>
                <w:color w:val="auto"/>
                <w:w w:val="89"/>
              </w:rPr>
              <w:t>2640</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1"/>
                <w:szCs w:val="11"/>
                <w:color w:val="auto"/>
              </w:rPr>
              <w:t>9769 BANK OF AMERICA 2597 GEORGE BUSBEE PKWY</w:t>
            </w:r>
          </w:p>
        </w:tc>
        <w:tc>
          <w:tcPr>
            <w:tcW w:w="1220" w:type="dxa"/>
            <w:vAlign w:val="bottom"/>
          </w:tcPr>
          <w:p>
            <w:pPr>
              <w:ind w:left="80"/>
              <w:spacing w:after="0"/>
              <w:rPr>
                <w:sz w:val="20"/>
                <w:szCs w:val="20"/>
                <w:color w:val="auto"/>
              </w:rPr>
            </w:pPr>
            <w:r>
              <w:rPr>
                <w:rFonts w:ascii="Arial" w:cs="Arial" w:eastAsia="Arial" w:hAnsi="Arial"/>
                <w:sz w:val="11"/>
                <w:szCs w:val="11"/>
                <w:color w:val="auto"/>
              </w:rPr>
              <w:t>KENNESAW</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GA 30144</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(770)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423-5177</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9775 BANK OF AMERICA 2500 HIGHLAND</w:t>
            </w:r>
          </w:p>
        </w:tc>
        <w:tc>
          <w:tcPr>
            <w:tcW w:w="1220" w:type="dxa"/>
            <w:vAlign w:val="bottom"/>
          </w:tcPr>
          <w:p>
            <w:pPr>
              <w:ind w:left="80"/>
              <w:spacing w:after="0"/>
              <w:rPr>
                <w:sz w:val="20"/>
                <w:szCs w:val="20"/>
                <w:color w:val="auto"/>
              </w:rPr>
            </w:pPr>
            <w:r>
              <w:rPr>
                <w:rFonts w:ascii="Arial" w:cs="Arial" w:eastAsia="Arial" w:hAnsi="Arial"/>
                <w:sz w:val="11"/>
                <w:szCs w:val="11"/>
                <w:color w:val="auto"/>
              </w:rPr>
              <w:t>JONESBORO</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AR 72401</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(870)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933-4352</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9777 BANK OF AMERICA 4041 LYNN COURT DRIVE</w:t>
            </w:r>
          </w:p>
        </w:tc>
        <w:tc>
          <w:tcPr>
            <w:tcW w:w="1220" w:type="dxa"/>
            <w:vAlign w:val="bottom"/>
          </w:tcPr>
          <w:p>
            <w:pPr>
              <w:ind w:left="80"/>
              <w:spacing w:after="0"/>
              <w:rPr>
                <w:sz w:val="20"/>
                <w:szCs w:val="20"/>
                <w:color w:val="auto"/>
              </w:rPr>
            </w:pPr>
            <w:r>
              <w:rPr>
                <w:rFonts w:ascii="Arial" w:cs="Arial" w:eastAsia="Arial" w:hAnsi="Arial"/>
                <w:sz w:val="11"/>
                <w:szCs w:val="11"/>
                <w:color w:val="auto"/>
              </w:rPr>
              <w:t>INDEPENDENCE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MO 64055</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(816)</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979-6119</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9778 BANK OF AMERICA 3410 WEST CHANDLER BLVD</w:t>
            </w:r>
          </w:p>
        </w:tc>
        <w:tc>
          <w:tcPr>
            <w:tcW w:w="1220" w:type="dxa"/>
            <w:vAlign w:val="bottom"/>
          </w:tcPr>
          <w:p>
            <w:pPr>
              <w:ind w:left="80"/>
              <w:spacing w:after="0"/>
              <w:rPr>
                <w:sz w:val="20"/>
                <w:szCs w:val="20"/>
                <w:color w:val="auto"/>
              </w:rPr>
            </w:pPr>
            <w:r>
              <w:rPr>
                <w:rFonts w:ascii="Arial" w:cs="Arial" w:eastAsia="Arial" w:hAnsi="Arial"/>
                <w:sz w:val="11"/>
                <w:szCs w:val="11"/>
                <w:color w:val="auto"/>
              </w:rPr>
              <w:t>CHANDLER</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AZ 85226</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(480)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224-2021</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9780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4889 HOUSTON ROAD</w:t>
            </w:r>
          </w:p>
        </w:tc>
        <w:tc>
          <w:tcPr>
            <w:tcW w:w="1220" w:type="dxa"/>
            <w:vAlign w:val="bottom"/>
          </w:tcPr>
          <w:p>
            <w:pPr>
              <w:ind w:left="80"/>
              <w:spacing w:after="0"/>
              <w:rPr>
                <w:sz w:val="20"/>
                <w:szCs w:val="20"/>
                <w:color w:val="auto"/>
              </w:rPr>
            </w:pPr>
            <w:r>
              <w:rPr>
                <w:rFonts w:ascii="Arial" w:cs="Arial" w:eastAsia="Arial" w:hAnsi="Arial"/>
                <w:sz w:val="11"/>
                <w:szCs w:val="11"/>
                <w:color w:val="auto"/>
              </w:rPr>
              <w:t>FLORENCE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KY 41042</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(859)</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647-6300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1"/>
                <w:szCs w:val="11"/>
                <w:color w:val="auto"/>
                <w:w w:val="99"/>
              </w:rPr>
              <w:t>9783 BANK OF AMERICA 1391 SILAS CREEK ROAD PKWAY PLAZA</w:t>
            </w:r>
          </w:p>
        </w:tc>
        <w:tc>
          <w:tcPr>
            <w:tcW w:w="1220" w:type="dxa"/>
            <w:vAlign w:val="bottom"/>
          </w:tcPr>
          <w:p>
            <w:pPr>
              <w:ind w:left="80"/>
              <w:spacing w:after="0"/>
              <w:rPr>
                <w:sz w:val="20"/>
                <w:szCs w:val="20"/>
                <w:color w:val="auto"/>
              </w:rPr>
            </w:pPr>
            <w:r>
              <w:rPr>
                <w:rFonts w:ascii="Arial" w:cs="Arial" w:eastAsia="Arial" w:hAnsi="Arial"/>
                <w:sz w:val="11"/>
                <w:szCs w:val="11"/>
                <w:color w:val="auto"/>
              </w:rPr>
              <w:t>WINSTON SALEM</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NC 27127</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(336)</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805-3468</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9787 BANK OF AMERICA 11262 LOS ALAMITOS BLVD</w:t>
            </w:r>
          </w:p>
        </w:tc>
        <w:tc>
          <w:tcPr>
            <w:tcW w:w="1220" w:type="dxa"/>
            <w:vAlign w:val="bottom"/>
          </w:tcPr>
          <w:p>
            <w:pPr>
              <w:ind w:left="80"/>
              <w:spacing w:after="0"/>
              <w:rPr>
                <w:sz w:val="20"/>
                <w:szCs w:val="20"/>
                <w:color w:val="auto"/>
              </w:rPr>
            </w:pPr>
            <w:r>
              <w:rPr>
                <w:rFonts w:ascii="Arial" w:cs="Arial" w:eastAsia="Arial" w:hAnsi="Arial"/>
                <w:sz w:val="11"/>
                <w:szCs w:val="11"/>
                <w:color w:val="auto"/>
              </w:rPr>
              <w:t>LOS ALAMITOS</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CA 90720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(562)</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624-4425</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9789 BANK OF AMERICA 1855 NORTH OXNARD BLVD</w:t>
            </w:r>
          </w:p>
        </w:tc>
        <w:tc>
          <w:tcPr>
            <w:tcW w:w="1220" w:type="dxa"/>
            <w:vAlign w:val="bottom"/>
          </w:tcPr>
          <w:p>
            <w:pPr>
              <w:ind w:left="80"/>
              <w:spacing w:after="0"/>
              <w:rPr>
                <w:sz w:val="20"/>
                <w:szCs w:val="20"/>
                <w:color w:val="auto"/>
              </w:rPr>
            </w:pPr>
            <w:r>
              <w:rPr>
                <w:rFonts w:ascii="Arial" w:cs="Arial" w:eastAsia="Arial" w:hAnsi="Arial"/>
                <w:sz w:val="11"/>
                <w:szCs w:val="11"/>
                <w:color w:val="auto"/>
              </w:rPr>
              <w:t>OXNARD</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CA 93030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(805)</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278-4511</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9791 BANK OF AMERICA 1729 WEST BROADWAY, SUITE 15</w:t>
            </w:r>
          </w:p>
        </w:tc>
        <w:tc>
          <w:tcPr>
            <w:tcW w:w="1220" w:type="dxa"/>
            <w:vAlign w:val="bottom"/>
          </w:tcPr>
          <w:p>
            <w:pPr>
              <w:ind w:left="80"/>
              <w:spacing w:after="0"/>
              <w:rPr>
                <w:sz w:val="20"/>
                <w:szCs w:val="20"/>
                <w:color w:val="auto"/>
              </w:rPr>
            </w:pPr>
            <w:r>
              <w:rPr>
                <w:rFonts w:ascii="Arial" w:cs="Arial" w:eastAsia="Arial" w:hAnsi="Arial"/>
                <w:sz w:val="11"/>
                <w:szCs w:val="11"/>
                <w:color w:val="auto"/>
              </w:rPr>
              <w:t>COLUMBIA</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MO 65203</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(573)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876-6353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1160" w:type="dxa"/>
            <w:vAlign w:val="bottom"/>
          </w:tcPr>
          <w:p>
            <w:pPr>
              <w:spacing w:after="0"/>
              <w:rPr>
                <w:sz w:val="20"/>
                <w:szCs w:val="20"/>
                <w:color w:val="auto"/>
              </w:rPr>
            </w:pPr>
            <w:r>
              <w:rPr>
                <w:rFonts w:ascii="Arial" w:cs="Arial" w:eastAsia="Arial" w:hAnsi="Arial"/>
                <w:sz w:val="11"/>
                <w:szCs w:val="11"/>
                <w:color w:val="auto"/>
              </w:rPr>
              <w:t>9792 US BANK</w:t>
            </w:r>
          </w:p>
        </w:tc>
        <w:tc>
          <w:tcPr>
            <w:tcW w:w="2320" w:type="dxa"/>
            <w:vAlign w:val="bottom"/>
          </w:tcPr>
          <w:p>
            <w:pPr>
              <w:ind w:left="100"/>
              <w:spacing w:after="0"/>
              <w:rPr>
                <w:sz w:val="20"/>
                <w:szCs w:val="20"/>
                <w:color w:val="auto"/>
              </w:rPr>
            </w:pPr>
            <w:r>
              <w:rPr>
                <w:rFonts w:ascii="Arial" w:cs="Arial" w:eastAsia="Arial" w:hAnsi="Arial"/>
                <w:sz w:val="11"/>
                <w:szCs w:val="11"/>
                <w:color w:val="auto"/>
              </w:rPr>
              <w:t>4004 NORTHWEST BLVD</w:t>
            </w:r>
          </w:p>
        </w:tc>
        <w:tc>
          <w:tcPr>
            <w:tcW w:w="1220" w:type="dxa"/>
            <w:vAlign w:val="bottom"/>
          </w:tcPr>
          <w:p>
            <w:pPr>
              <w:ind w:left="80"/>
              <w:spacing w:after="0"/>
              <w:rPr>
                <w:sz w:val="20"/>
                <w:szCs w:val="20"/>
                <w:color w:val="auto"/>
              </w:rPr>
            </w:pPr>
            <w:r>
              <w:rPr>
                <w:rFonts w:ascii="Arial" w:cs="Arial" w:eastAsia="Arial" w:hAnsi="Arial"/>
                <w:sz w:val="11"/>
                <w:szCs w:val="11"/>
                <w:color w:val="auto"/>
              </w:rPr>
              <w:t>DAVENPORT</w:t>
            </w:r>
          </w:p>
        </w:tc>
        <w:tc>
          <w:tcPr>
            <w:tcW w:w="200" w:type="dxa"/>
            <w:vAlign w:val="bottom"/>
          </w:tcPr>
          <w:p>
            <w:pPr>
              <w:ind w:left="40"/>
              <w:spacing w:after="0"/>
              <w:rPr>
                <w:sz w:val="20"/>
                <w:szCs w:val="20"/>
                <w:color w:val="auto"/>
              </w:rPr>
            </w:pPr>
            <w:r>
              <w:rPr>
                <w:rFonts w:ascii="Arial" w:cs="Arial" w:eastAsia="Arial" w:hAnsi="Arial"/>
                <w:sz w:val="11"/>
                <w:szCs w:val="11"/>
                <w:color w:val="auto"/>
              </w:rPr>
              <w:t>IA</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52806</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(563)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388-9223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1160" w:type="dxa"/>
            <w:vAlign w:val="bottom"/>
          </w:tcPr>
          <w:p>
            <w:pPr>
              <w:spacing w:after="0"/>
              <w:rPr>
                <w:sz w:val="20"/>
                <w:szCs w:val="20"/>
                <w:color w:val="auto"/>
              </w:rPr>
            </w:pPr>
            <w:r>
              <w:rPr>
                <w:rFonts w:ascii="Arial" w:cs="Arial" w:eastAsia="Arial" w:hAnsi="Arial"/>
                <w:sz w:val="11"/>
                <w:szCs w:val="11"/>
                <w:color w:val="auto"/>
              </w:rPr>
              <w:t>9793 US BANK</w:t>
            </w:r>
          </w:p>
        </w:tc>
        <w:tc>
          <w:tcPr>
            <w:tcW w:w="2320" w:type="dxa"/>
            <w:vAlign w:val="bottom"/>
          </w:tcPr>
          <w:p>
            <w:pPr>
              <w:ind w:left="100"/>
              <w:spacing w:after="0"/>
              <w:rPr>
                <w:sz w:val="20"/>
                <w:szCs w:val="20"/>
                <w:color w:val="auto"/>
              </w:rPr>
            </w:pPr>
            <w:r>
              <w:rPr>
                <w:rFonts w:ascii="Arial" w:cs="Arial" w:eastAsia="Arial" w:hAnsi="Arial"/>
                <w:sz w:val="11"/>
                <w:szCs w:val="11"/>
                <w:color w:val="auto"/>
              </w:rPr>
              <w:t>4444 1st Avenue NE</w:t>
            </w:r>
          </w:p>
        </w:tc>
        <w:tc>
          <w:tcPr>
            <w:tcW w:w="1220" w:type="dxa"/>
            <w:vAlign w:val="bottom"/>
          </w:tcPr>
          <w:p>
            <w:pPr>
              <w:ind w:left="80"/>
              <w:spacing w:after="0"/>
              <w:rPr>
                <w:sz w:val="20"/>
                <w:szCs w:val="20"/>
                <w:color w:val="auto"/>
              </w:rPr>
            </w:pPr>
            <w:r>
              <w:rPr>
                <w:rFonts w:ascii="Arial" w:cs="Arial" w:eastAsia="Arial" w:hAnsi="Arial"/>
                <w:sz w:val="11"/>
                <w:szCs w:val="11"/>
                <w:color w:val="auto"/>
              </w:rPr>
              <w:t>Cedar Rapids</w:t>
            </w:r>
          </w:p>
        </w:tc>
        <w:tc>
          <w:tcPr>
            <w:tcW w:w="200" w:type="dxa"/>
            <w:vAlign w:val="bottom"/>
          </w:tcPr>
          <w:p>
            <w:pPr>
              <w:ind w:left="40"/>
              <w:spacing w:after="0"/>
              <w:rPr>
                <w:sz w:val="20"/>
                <w:szCs w:val="20"/>
                <w:color w:val="auto"/>
              </w:rPr>
            </w:pPr>
            <w:r>
              <w:rPr>
                <w:rFonts w:ascii="Arial" w:cs="Arial" w:eastAsia="Arial" w:hAnsi="Arial"/>
                <w:sz w:val="11"/>
                <w:szCs w:val="11"/>
                <w:color w:val="auto"/>
              </w:rPr>
              <w:t>IA</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52402</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(319)</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393-9156</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9795 BANK OF AMERICA 23831 EL TORO</w:t>
            </w:r>
          </w:p>
        </w:tc>
        <w:tc>
          <w:tcPr>
            <w:tcW w:w="1220" w:type="dxa"/>
            <w:vAlign w:val="bottom"/>
          </w:tcPr>
          <w:p>
            <w:pPr>
              <w:ind w:left="80"/>
              <w:spacing w:after="0"/>
              <w:rPr>
                <w:sz w:val="20"/>
                <w:szCs w:val="20"/>
                <w:color w:val="auto"/>
              </w:rPr>
            </w:pPr>
            <w:r>
              <w:rPr>
                <w:rFonts w:ascii="Arial" w:cs="Arial" w:eastAsia="Arial" w:hAnsi="Arial"/>
                <w:sz w:val="11"/>
                <w:szCs w:val="11"/>
                <w:color w:val="auto"/>
              </w:rPr>
              <w:t>LAKE FOREST</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CA 92630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(949)</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951-4024</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9798 BANK OF AMERICA 198 WEST MAIN STREET</w:t>
            </w:r>
          </w:p>
        </w:tc>
        <w:tc>
          <w:tcPr>
            <w:tcW w:w="1220" w:type="dxa"/>
            <w:vAlign w:val="bottom"/>
          </w:tcPr>
          <w:p>
            <w:pPr>
              <w:ind w:left="80"/>
              <w:spacing w:after="0"/>
              <w:rPr>
                <w:sz w:val="20"/>
                <w:szCs w:val="20"/>
                <w:color w:val="auto"/>
              </w:rPr>
            </w:pPr>
            <w:r>
              <w:rPr>
                <w:rFonts w:ascii="Arial" w:cs="Arial" w:eastAsia="Arial" w:hAnsi="Arial"/>
                <w:sz w:val="11"/>
                <w:szCs w:val="11"/>
                <w:color w:val="auto"/>
              </w:rPr>
              <w:t>EL CAJON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CA 92020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(619)</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401-1930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9799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505 D STREET</w:t>
            </w:r>
          </w:p>
        </w:tc>
        <w:tc>
          <w:tcPr>
            <w:tcW w:w="1220" w:type="dxa"/>
            <w:vAlign w:val="bottom"/>
          </w:tcPr>
          <w:p>
            <w:pPr>
              <w:ind w:left="80"/>
              <w:spacing w:after="0"/>
              <w:rPr>
                <w:sz w:val="20"/>
                <w:szCs w:val="20"/>
                <w:color w:val="auto"/>
              </w:rPr>
            </w:pPr>
            <w:r>
              <w:rPr>
                <w:rFonts w:ascii="Arial" w:cs="Arial" w:eastAsia="Arial" w:hAnsi="Arial"/>
                <w:sz w:val="11"/>
                <w:szCs w:val="11"/>
                <w:color w:val="auto"/>
                <w:w w:val="95"/>
              </w:rPr>
              <w:t>SOUTH CHARLESTON</w:t>
            </w:r>
          </w:p>
        </w:tc>
        <w:tc>
          <w:tcPr>
            <w:tcW w:w="640" w:type="dxa"/>
            <w:vAlign w:val="bottom"/>
            <w:gridSpan w:val="2"/>
          </w:tcPr>
          <w:p>
            <w:pPr>
              <w:jc w:val="right"/>
              <w:ind w:right="86"/>
              <w:spacing w:after="0"/>
              <w:rPr>
                <w:sz w:val="20"/>
                <w:szCs w:val="20"/>
                <w:color w:val="auto"/>
              </w:rPr>
            </w:pPr>
            <w:r>
              <w:rPr>
                <w:rFonts w:ascii="Arial" w:cs="Arial" w:eastAsia="Arial" w:hAnsi="Arial"/>
                <w:sz w:val="11"/>
                <w:szCs w:val="11"/>
                <w:color w:val="auto"/>
                <w:w w:val="99"/>
              </w:rPr>
              <w:t>WV25303</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(304)</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744-1835</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9800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8283 SOUTH QUEBEC STREET</w:t>
            </w:r>
          </w:p>
        </w:tc>
        <w:tc>
          <w:tcPr>
            <w:tcW w:w="1220" w:type="dxa"/>
            <w:vAlign w:val="bottom"/>
          </w:tcPr>
          <w:p>
            <w:pPr>
              <w:ind w:left="80"/>
              <w:spacing w:after="0"/>
              <w:rPr>
                <w:sz w:val="20"/>
                <w:szCs w:val="20"/>
                <w:color w:val="auto"/>
              </w:rPr>
            </w:pPr>
            <w:r>
              <w:rPr>
                <w:rFonts w:ascii="Arial" w:cs="Arial" w:eastAsia="Arial" w:hAnsi="Arial"/>
                <w:sz w:val="11"/>
                <w:szCs w:val="11"/>
                <w:color w:val="auto"/>
              </w:rPr>
              <w:t>ENGLEWOOD</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CO 80112</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(303)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244-5310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1"/>
                <w:szCs w:val="11"/>
                <w:color w:val="auto"/>
              </w:rPr>
              <w:t>9801 BANK OF AMERICA 10900 SEMINOLE BLVD</w:t>
            </w:r>
          </w:p>
        </w:tc>
        <w:tc>
          <w:tcPr>
            <w:tcW w:w="1220" w:type="dxa"/>
            <w:vAlign w:val="bottom"/>
          </w:tcPr>
          <w:p>
            <w:pPr>
              <w:ind w:left="80"/>
              <w:spacing w:after="0"/>
              <w:rPr>
                <w:sz w:val="20"/>
                <w:szCs w:val="20"/>
                <w:color w:val="auto"/>
              </w:rPr>
            </w:pPr>
            <w:r>
              <w:rPr>
                <w:rFonts w:ascii="Arial" w:cs="Arial" w:eastAsia="Arial" w:hAnsi="Arial"/>
                <w:sz w:val="11"/>
                <w:szCs w:val="11"/>
                <w:color w:val="auto"/>
              </w:rPr>
              <w:t>LARGO</w:t>
            </w:r>
          </w:p>
        </w:tc>
        <w:tc>
          <w:tcPr>
            <w:tcW w:w="200" w:type="dxa"/>
            <w:vAlign w:val="bottom"/>
          </w:tcPr>
          <w:p>
            <w:pPr>
              <w:ind w:left="40"/>
              <w:spacing w:after="0"/>
              <w:rPr>
                <w:sz w:val="20"/>
                <w:szCs w:val="20"/>
                <w:color w:val="auto"/>
              </w:rPr>
            </w:pPr>
            <w:r>
              <w:rPr>
                <w:rFonts w:ascii="Arial" w:cs="Arial" w:eastAsia="Arial" w:hAnsi="Arial"/>
                <w:sz w:val="11"/>
                <w:szCs w:val="11"/>
                <w:color w:val="auto"/>
              </w:rPr>
              <w:t>FL</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33778</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(727)</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319-4913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9802 BANK OF AMERICA 1101 Woodland Road</w:t>
            </w:r>
          </w:p>
        </w:tc>
        <w:tc>
          <w:tcPr>
            <w:tcW w:w="1220" w:type="dxa"/>
            <w:vAlign w:val="bottom"/>
          </w:tcPr>
          <w:p>
            <w:pPr>
              <w:ind w:left="80"/>
              <w:spacing w:after="0"/>
              <w:rPr>
                <w:sz w:val="20"/>
                <w:szCs w:val="20"/>
                <w:color w:val="auto"/>
              </w:rPr>
            </w:pPr>
            <w:r>
              <w:rPr>
                <w:rFonts w:ascii="Arial" w:cs="Arial" w:eastAsia="Arial" w:hAnsi="Arial"/>
                <w:sz w:val="11"/>
                <w:szCs w:val="11"/>
                <w:color w:val="auto"/>
              </w:rPr>
              <w:t>Wyomissing</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19610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841-4000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9805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3265 WEST MARKET STREET, SUITE 80</w:t>
            </w:r>
          </w:p>
        </w:tc>
        <w:tc>
          <w:tcPr>
            <w:tcW w:w="1220" w:type="dxa"/>
            <w:vAlign w:val="bottom"/>
          </w:tcPr>
          <w:p>
            <w:pPr>
              <w:ind w:left="80"/>
              <w:spacing w:after="0"/>
              <w:rPr>
                <w:sz w:val="20"/>
                <w:szCs w:val="20"/>
                <w:color w:val="auto"/>
              </w:rPr>
            </w:pPr>
            <w:r>
              <w:rPr>
                <w:rFonts w:ascii="Arial" w:cs="Arial" w:eastAsia="Arial" w:hAnsi="Arial"/>
                <w:sz w:val="11"/>
                <w:szCs w:val="11"/>
                <w:color w:val="auto"/>
              </w:rPr>
              <w:t>AKRON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OH 44333</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(330)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972-1930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9806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1400 WOODLOCH FOREST DRIVE</w:t>
            </w:r>
          </w:p>
        </w:tc>
        <w:tc>
          <w:tcPr>
            <w:tcW w:w="1220" w:type="dxa"/>
            <w:vAlign w:val="bottom"/>
          </w:tcPr>
          <w:p>
            <w:pPr>
              <w:ind w:left="80"/>
              <w:spacing w:after="0"/>
              <w:rPr>
                <w:sz w:val="20"/>
                <w:szCs w:val="20"/>
                <w:color w:val="auto"/>
              </w:rPr>
            </w:pPr>
            <w:r>
              <w:rPr>
                <w:rFonts w:ascii="Arial" w:cs="Arial" w:eastAsia="Arial" w:hAnsi="Arial"/>
                <w:sz w:val="11"/>
                <w:szCs w:val="11"/>
                <w:color w:val="auto"/>
              </w:rPr>
              <w:t>THE WOODLANDS</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TX 77380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(713)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751-6100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9808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1757 WEST FULLERTON</w:t>
            </w:r>
          </w:p>
        </w:tc>
        <w:tc>
          <w:tcPr>
            <w:tcW w:w="1220" w:type="dxa"/>
            <w:vAlign w:val="bottom"/>
          </w:tcPr>
          <w:p>
            <w:pPr>
              <w:ind w:left="80"/>
              <w:spacing w:after="0"/>
              <w:rPr>
                <w:sz w:val="20"/>
                <w:szCs w:val="20"/>
                <w:color w:val="auto"/>
              </w:rPr>
            </w:pPr>
            <w:r>
              <w:rPr>
                <w:rFonts w:ascii="Arial" w:cs="Arial" w:eastAsia="Arial" w:hAnsi="Arial"/>
                <w:sz w:val="11"/>
                <w:szCs w:val="11"/>
                <w:color w:val="auto"/>
              </w:rPr>
              <w:t>CHICAGO</w:t>
            </w:r>
          </w:p>
        </w:tc>
        <w:tc>
          <w:tcPr>
            <w:tcW w:w="200" w:type="dxa"/>
            <w:vAlign w:val="bottom"/>
          </w:tcPr>
          <w:p>
            <w:pPr>
              <w:ind w:left="40"/>
              <w:spacing w:after="0"/>
              <w:rPr>
                <w:sz w:val="20"/>
                <w:szCs w:val="20"/>
                <w:color w:val="auto"/>
              </w:rPr>
            </w:pPr>
            <w:r>
              <w:rPr>
                <w:rFonts w:ascii="Arial" w:cs="Arial" w:eastAsia="Arial" w:hAnsi="Arial"/>
                <w:sz w:val="11"/>
                <w:szCs w:val="11"/>
                <w:color w:val="auto"/>
              </w:rPr>
              <w:t>IL</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60614</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(773)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880-1376</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9810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575 SOUTH RANDALL ROAD</w:t>
            </w:r>
          </w:p>
        </w:tc>
        <w:tc>
          <w:tcPr>
            <w:tcW w:w="1220" w:type="dxa"/>
            <w:vAlign w:val="bottom"/>
          </w:tcPr>
          <w:p>
            <w:pPr>
              <w:ind w:left="80"/>
              <w:spacing w:after="0"/>
              <w:rPr>
                <w:sz w:val="20"/>
                <w:szCs w:val="20"/>
                <w:color w:val="auto"/>
              </w:rPr>
            </w:pPr>
            <w:r>
              <w:rPr>
                <w:rFonts w:ascii="Arial" w:cs="Arial" w:eastAsia="Arial" w:hAnsi="Arial"/>
                <w:sz w:val="11"/>
                <w:szCs w:val="11"/>
                <w:color w:val="auto"/>
              </w:rPr>
              <w:t>ST. CHARLES</w:t>
            </w:r>
          </w:p>
        </w:tc>
        <w:tc>
          <w:tcPr>
            <w:tcW w:w="200" w:type="dxa"/>
            <w:vAlign w:val="bottom"/>
          </w:tcPr>
          <w:p>
            <w:pPr>
              <w:ind w:left="40"/>
              <w:spacing w:after="0"/>
              <w:rPr>
                <w:sz w:val="20"/>
                <w:szCs w:val="20"/>
                <w:color w:val="auto"/>
              </w:rPr>
            </w:pPr>
            <w:r>
              <w:rPr>
                <w:rFonts w:ascii="Arial" w:cs="Arial" w:eastAsia="Arial" w:hAnsi="Arial"/>
                <w:sz w:val="11"/>
                <w:szCs w:val="11"/>
                <w:color w:val="auto"/>
              </w:rPr>
              <w:t>IL</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60134</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(630)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377-0808</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1"/>
                <w:szCs w:val="11"/>
                <w:color w:val="auto"/>
              </w:rPr>
              <w:t>9813 BANK OF AMERICA 2330 WEST OREGON AVENUE</w:t>
            </w:r>
          </w:p>
        </w:tc>
        <w:tc>
          <w:tcPr>
            <w:tcW w:w="1220" w:type="dxa"/>
            <w:vAlign w:val="bottom"/>
          </w:tcPr>
          <w:p>
            <w:pPr>
              <w:ind w:left="80"/>
              <w:spacing w:after="0"/>
              <w:rPr>
                <w:sz w:val="20"/>
                <w:szCs w:val="20"/>
                <w:color w:val="auto"/>
              </w:rPr>
            </w:pPr>
            <w:r>
              <w:rPr>
                <w:rFonts w:ascii="Arial" w:cs="Arial" w:eastAsia="Arial" w:hAnsi="Arial"/>
                <w:sz w:val="11"/>
                <w:szCs w:val="11"/>
                <w:color w:val="auto"/>
              </w:rPr>
              <w:t>PHILADELPHIA</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19145</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432-1000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9816 BANK OF AMERICA 192 PATTERSON PLANK ROAD</w:t>
            </w:r>
          </w:p>
        </w:tc>
        <w:tc>
          <w:tcPr>
            <w:tcW w:w="1220" w:type="dxa"/>
            <w:vAlign w:val="bottom"/>
          </w:tcPr>
          <w:p>
            <w:pPr>
              <w:ind w:left="80"/>
              <w:spacing w:after="0"/>
              <w:rPr>
                <w:sz w:val="20"/>
                <w:szCs w:val="20"/>
                <w:color w:val="auto"/>
              </w:rPr>
            </w:pPr>
            <w:r>
              <w:rPr>
                <w:rFonts w:ascii="Arial" w:cs="Arial" w:eastAsia="Arial" w:hAnsi="Arial"/>
                <w:sz w:val="11"/>
                <w:szCs w:val="11"/>
                <w:color w:val="auto"/>
              </w:rPr>
              <w:t>CARLSTADT</w:t>
            </w:r>
          </w:p>
        </w:tc>
        <w:tc>
          <w:tcPr>
            <w:tcW w:w="200" w:type="dxa"/>
            <w:vAlign w:val="bottom"/>
          </w:tcPr>
          <w:p>
            <w:pPr>
              <w:ind w:left="40"/>
              <w:spacing w:after="0"/>
              <w:rPr>
                <w:sz w:val="20"/>
                <w:szCs w:val="20"/>
                <w:color w:val="auto"/>
              </w:rPr>
            </w:pPr>
            <w:r>
              <w:rPr>
                <w:rFonts w:ascii="Arial" w:cs="Arial" w:eastAsia="Arial" w:hAnsi="Arial"/>
                <w:sz w:val="11"/>
                <w:szCs w:val="11"/>
                <w:color w:val="auto"/>
              </w:rPr>
              <w:t>NJ</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07072</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432-1000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9817 BANK OF AMERICA 7805 GUNN HIGHWAY</w:t>
            </w:r>
          </w:p>
        </w:tc>
        <w:tc>
          <w:tcPr>
            <w:tcW w:w="1220" w:type="dxa"/>
            <w:vAlign w:val="bottom"/>
          </w:tcPr>
          <w:p>
            <w:pPr>
              <w:ind w:left="80"/>
              <w:spacing w:after="0"/>
              <w:rPr>
                <w:sz w:val="20"/>
                <w:szCs w:val="20"/>
                <w:color w:val="auto"/>
              </w:rPr>
            </w:pPr>
            <w:r>
              <w:rPr>
                <w:rFonts w:ascii="Arial" w:cs="Arial" w:eastAsia="Arial" w:hAnsi="Arial"/>
                <w:sz w:val="11"/>
                <w:szCs w:val="11"/>
                <w:color w:val="auto"/>
              </w:rPr>
              <w:t>TAMPA</w:t>
            </w:r>
          </w:p>
        </w:tc>
        <w:tc>
          <w:tcPr>
            <w:tcW w:w="200" w:type="dxa"/>
            <w:vAlign w:val="bottom"/>
          </w:tcPr>
          <w:p>
            <w:pPr>
              <w:ind w:left="40"/>
              <w:spacing w:after="0"/>
              <w:rPr>
                <w:sz w:val="20"/>
                <w:szCs w:val="20"/>
                <w:color w:val="auto"/>
              </w:rPr>
            </w:pPr>
            <w:r>
              <w:rPr>
                <w:rFonts w:ascii="Arial" w:cs="Arial" w:eastAsia="Arial" w:hAnsi="Arial"/>
                <w:sz w:val="11"/>
                <w:szCs w:val="11"/>
                <w:color w:val="auto"/>
              </w:rPr>
              <w:t>FL</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33626</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(813)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792-0342</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9818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4200 DEMPSTER</w:t>
            </w:r>
          </w:p>
        </w:tc>
        <w:tc>
          <w:tcPr>
            <w:tcW w:w="1220" w:type="dxa"/>
            <w:vAlign w:val="bottom"/>
          </w:tcPr>
          <w:p>
            <w:pPr>
              <w:ind w:left="80"/>
              <w:spacing w:after="0"/>
              <w:rPr>
                <w:sz w:val="20"/>
                <w:szCs w:val="20"/>
                <w:color w:val="auto"/>
              </w:rPr>
            </w:pPr>
            <w:r>
              <w:rPr>
                <w:rFonts w:ascii="Arial" w:cs="Arial" w:eastAsia="Arial" w:hAnsi="Arial"/>
                <w:sz w:val="11"/>
                <w:szCs w:val="11"/>
                <w:color w:val="auto"/>
              </w:rPr>
              <w:t>SKOKIE</w:t>
            </w:r>
          </w:p>
        </w:tc>
        <w:tc>
          <w:tcPr>
            <w:tcW w:w="200" w:type="dxa"/>
            <w:vAlign w:val="bottom"/>
          </w:tcPr>
          <w:p>
            <w:pPr>
              <w:ind w:left="40"/>
              <w:spacing w:after="0"/>
              <w:rPr>
                <w:sz w:val="20"/>
                <w:szCs w:val="20"/>
                <w:color w:val="auto"/>
              </w:rPr>
            </w:pPr>
            <w:r>
              <w:rPr>
                <w:rFonts w:ascii="Arial" w:cs="Arial" w:eastAsia="Arial" w:hAnsi="Arial"/>
                <w:sz w:val="11"/>
                <w:szCs w:val="11"/>
                <w:color w:val="auto"/>
              </w:rPr>
              <w:t>IL</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60076</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(847)</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674-1323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1"/>
                <w:szCs w:val="11"/>
                <w:color w:val="auto"/>
              </w:rPr>
              <w:t>9820 BANK OF AMERICA 8320 NORTH OAK TRAFFICWAY</w:t>
            </w:r>
          </w:p>
        </w:tc>
        <w:tc>
          <w:tcPr>
            <w:tcW w:w="1220" w:type="dxa"/>
            <w:vAlign w:val="bottom"/>
          </w:tcPr>
          <w:p>
            <w:pPr>
              <w:ind w:left="80"/>
              <w:spacing w:after="0"/>
              <w:rPr>
                <w:sz w:val="20"/>
                <w:szCs w:val="20"/>
                <w:color w:val="auto"/>
              </w:rPr>
            </w:pPr>
            <w:r>
              <w:rPr>
                <w:rFonts w:ascii="Arial" w:cs="Arial" w:eastAsia="Arial" w:hAnsi="Arial"/>
                <w:sz w:val="11"/>
                <w:szCs w:val="11"/>
                <w:color w:val="auto"/>
              </w:rPr>
              <w:t>KANSAS CITY</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MO 64155</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(816)</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979-4922</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9821 BANK OF AMERICA 3220 188TH STREET, SW</w:t>
            </w:r>
          </w:p>
        </w:tc>
        <w:tc>
          <w:tcPr>
            <w:tcW w:w="1220" w:type="dxa"/>
            <w:vAlign w:val="bottom"/>
          </w:tcPr>
          <w:p>
            <w:pPr>
              <w:ind w:left="80"/>
              <w:spacing w:after="0"/>
              <w:rPr>
                <w:sz w:val="20"/>
                <w:szCs w:val="20"/>
                <w:color w:val="auto"/>
              </w:rPr>
            </w:pPr>
            <w:r>
              <w:rPr>
                <w:rFonts w:ascii="Arial" w:cs="Arial" w:eastAsia="Arial" w:hAnsi="Arial"/>
                <w:sz w:val="11"/>
                <w:szCs w:val="11"/>
                <w:color w:val="auto"/>
              </w:rPr>
              <w:t>LYNNWOOD</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WA 98037</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(425)</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744-1132</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9826 BANK OF AMERICA 3010 ST HWY 35</w:t>
            </w:r>
          </w:p>
        </w:tc>
        <w:tc>
          <w:tcPr>
            <w:tcW w:w="1220" w:type="dxa"/>
            <w:vAlign w:val="bottom"/>
          </w:tcPr>
          <w:p>
            <w:pPr>
              <w:ind w:left="80"/>
              <w:spacing w:after="0"/>
              <w:rPr>
                <w:sz w:val="20"/>
                <w:szCs w:val="20"/>
                <w:color w:val="auto"/>
              </w:rPr>
            </w:pPr>
            <w:r>
              <w:rPr>
                <w:rFonts w:ascii="Arial" w:cs="Arial" w:eastAsia="Arial" w:hAnsi="Arial"/>
                <w:sz w:val="11"/>
                <w:szCs w:val="11"/>
                <w:color w:val="auto"/>
              </w:rPr>
              <w:t>HAZLET</w:t>
            </w:r>
          </w:p>
        </w:tc>
        <w:tc>
          <w:tcPr>
            <w:tcW w:w="200" w:type="dxa"/>
            <w:vAlign w:val="bottom"/>
          </w:tcPr>
          <w:p>
            <w:pPr>
              <w:ind w:left="40"/>
              <w:spacing w:after="0"/>
              <w:rPr>
                <w:sz w:val="20"/>
                <w:szCs w:val="20"/>
                <w:color w:val="auto"/>
              </w:rPr>
            </w:pPr>
            <w:r>
              <w:rPr>
                <w:rFonts w:ascii="Arial" w:cs="Arial" w:eastAsia="Arial" w:hAnsi="Arial"/>
                <w:sz w:val="11"/>
                <w:szCs w:val="11"/>
                <w:color w:val="auto"/>
              </w:rPr>
              <w:t>NJ</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07730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432-1000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1160" w:type="dxa"/>
            <w:vAlign w:val="bottom"/>
          </w:tcPr>
          <w:p>
            <w:pPr>
              <w:spacing w:after="0"/>
              <w:rPr>
                <w:sz w:val="20"/>
                <w:szCs w:val="20"/>
                <w:color w:val="auto"/>
              </w:rPr>
            </w:pPr>
            <w:r>
              <w:rPr>
                <w:rFonts w:ascii="Arial" w:cs="Arial" w:eastAsia="Arial" w:hAnsi="Arial"/>
                <w:sz w:val="11"/>
                <w:szCs w:val="11"/>
                <w:color w:val="auto"/>
              </w:rPr>
              <w:t>9829 CITIZENS BANK</w:t>
            </w:r>
          </w:p>
        </w:tc>
        <w:tc>
          <w:tcPr>
            <w:tcW w:w="2320" w:type="dxa"/>
            <w:vAlign w:val="bottom"/>
          </w:tcPr>
          <w:p>
            <w:pPr>
              <w:ind w:left="100"/>
              <w:spacing w:after="0"/>
              <w:rPr>
                <w:sz w:val="20"/>
                <w:szCs w:val="20"/>
                <w:color w:val="auto"/>
              </w:rPr>
            </w:pPr>
            <w:r>
              <w:rPr>
                <w:rFonts w:ascii="Arial" w:cs="Arial" w:eastAsia="Arial" w:hAnsi="Arial"/>
                <w:sz w:val="11"/>
                <w:szCs w:val="11"/>
                <w:color w:val="auto"/>
              </w:rPr>
              <w:t>1 NORTH MAIN STREET</w:t>
            </w:r>
          </w:p>
        </w:tc>
        <w:tc>
          <w:tcPr>
            <w:tcW w:w="1220" w:type="dxa"/>
            <w:vAlign w:val="bottom"/>
          </w:tcPr>
          <w:p>
            <w:pPr>
              <w:ind w:left="80"/>
              <w:spacing w:after="0"/>
              <w:rPr>
                <w:sz w:val="20"/>
                <w:szCs w:val="20"/>
                <w:color w:val="auto"/>
              </w:rPr>
            </w:pPr>
            <w:r>
              <w:rPr>
                <w:rFonts w:ascii="Arial" w:cs="Arial" w:eastAsia="Arial" w:hAnsi="Arial"/>
                <w:sz w:val="11"/>
                <w:szCs w:val="11"/>
                <w:color w:val="auto"/>
              </w:rPr>
              <w:t>GREENSBURG</w:t>
            </w:r>
          </w:p>
        </w:tc>
        <w:tc>
          <w:tcPr>
            <w:tcW w:w="200" w:type="dxa"/>
            <w:vAlign w:val="bottom"/>
          </w:tcPr>
          <w:p>
            <w:pPr>
              <w:ind w:left="40"/>
              <w:spacing w:after="0"/>
              <w:rPr>
                <w:sz w:val="20"/>
                <w:szCs w:val="20"/>
                <w:color w:val="auto"/>
              </w:rPr>
            </w:pPr>
            <w:r>
              <w:rPr>
                <w:rFonts w:ascii="Arial" w:cs="Arial" w:eastAsia="Arial" w:hAnsi="Arial"/>
                <w:sz w:val="11"/>
                <w:szCs w:val="11"/>
                <w:color w:val="auto"/>
                <w:w w:val="95"/>
              </w:rPr>
              <w:t>PA</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15601</w:t>
            </w:r>
          </w:p>
        </w:tc>
        <w:tc>
          <w:tcPr>
            <w:tcW w:w="840" w:type="dxa"/>
            <w:vAlign w:val="bottom"/>
            <w:gridSpan w:val="2"/>
          </w:tcPr>
          <w:p>
            <w:pPr>
              <w:ind w:left="120"/>
              <w:spacing w:after="0"/>
              <w:rPr>
                <w:sz w:val="20"/>
                <w:szCs w:val="20"/>
                <w:color w:val="auto"/>
              </w:rPr>
            </w:pPr>
            <w:r>
              <w:rPr>
                <w:rFonts w:ascii="Arial" w:cs="Arial" w:eastAsia="Arial" w:hAnsi="Arial"/>
                <w:sz w:val="11"/>
                <w:szCs w:val="11"/>
                <w:color w:val="auto"/>
              </w:rPr>
              <w:t>724-832-5900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1160" w:type="dxa"/>
            <w:vAlign w:val="bottom"/>
          </w:tcPr>
          <w:p>
            <w:pPr>
              <w:spacing w:after="0"/>
              <w:rPr>
                <w:sz w:val="20"/>
                <w:szCs w:val="20"/>
                <w:color w:val="auto"/>
              </w:rPr>
            </w:pPr>
            <w:r>
              <w:rPr>
                <w:rFonts w:ascii="Arial" w:cs="Arial" w:eastAsia="Arial" w:hAnsi="Arial"/>
                <w:sz w:val="11"/>
                <w:szCs w:val="11"/>
                <w:color w:val="auto"/>
              </w:rPr>
              <w:t>9840 CHASE BANK</w:t>
            </w:r>
          </w:p>
        </w:tc>
        <w:tc>
          <w:tcPr>
            <w:tcW w:w="2320" w:type="dxa"/>
            <w:vAlign w:val="bottom"/>
          </w:tcPr>
          <w:p>
            <w:pPr>
              <w:ind w:left="100"/>
              <w:spacing w:after="0"/>
              <w:rPr>
                <w:sz w:val="20"/>
                <w:szCs w:val="20"/>
                <w:color w:val="auto"/>
              </w:rPr>
            </w:pPr>
            <w:r>
              <w:rPr>
                <w:rFonts w:ascii="Arial" w:cs="Arial" w:eastAsia="Arial" w:hAnsi="Arial"/>
                <w:sz w:val="11"/>
                <w:szCs w:val="11"/>
                <w:color w:val="auto"/>
              </w:rPr>
              <w:t>3783 VETERANS BLVD</w:t>
            </w:r>
          </w:p>
        </w:tc>
        <w:tc>
          <w:tcPr>
            <w:tcW w:w="1220" w:type="dxa"/>
            <w:vAlign w:val="bottom"/>
          </w:tcPr>
          <w:p>
            <w:pPr>
              <w:ind w:left="80"/>
              <w:spacing w:after="0"/>
              <w:rPr>
                <w:sz w:val="20"/>
                <w:szCs w:val="20"/>
                <w:color w:val="auto"/>
              </w:rPr>
            </w:pPr>
            <w:r>
              <w:rPr>
                <w:rFonts w:ascii="Arial" w:cs="Arial" w:eastAsia="Arial" w:hAnsi="Arial"/>
                <w:sz w:val="11"/>
                <w:szCs w:val="11"/>
                <w:color w:val="auto"/>
              </w:rPr>
              <w:t>METAIRIE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LA 70002</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(504)</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455-9728</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9843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359 STRANDER BOULEVARD</w:t>
            </w:r>
          </w:p>
        </w:tc>
        <w:tc>
          <w:tcPr>
            <w:tcW w:w="1220" w:type="dxa"/>
            <w:vAlign w:val="bottom"/>
          </w:tcPr>
          <w:p>
            <w:pPr>
              <w:ind w:left="80"/>
              <w:spacing w:after="0"/>
              <w:rPr>
                <w:sz w:val="20"/>
                <w:szCs w:val="20"/>
                <w:color w:val="auto"/>
              </w:rPr>
            </w:pPr>
            <w:r>
              <w:rPr>
                <w:rFonts w:ascii="Arial" w:cs="Arial" w:eastAsia="Arial" w:hAnsi="Arial"/>
                <w:sz w:val="11"/>
                <w:szCs w:val="11"/>
                <w:color w:val="auto"/>
              </w:rPr>
              <w:t>TUKWILA</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WA 98188</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(206)</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461-7025</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1"/>
                <w:szCs w:val="11"/>
                <w:color w:val="auto"/>
              </w:rPr>
              <w:t>9844 BANK OF AMERICA 700 ALAFAYA TRAIL</w:t>
            </w:r>
          </w:p>
        </w:tc>
        <w:tc>
          <w:tcPr>
            <w:tcW w:w="1220" w:type="dxa"/>
            <w:vAlign w:val="bottom"/>
          </w:tcPr>
          <w:p>
            <w:pPr>
              <w:ind w:left="80"/>
              <w:spacing w:after="0"/>
              <w:rPr>
                <w:sz w:val="20"/>
                <w:szCs w:val="20"/>
                <w:color w:val="auto"/>
              </w:rPr>
            </w:pPr>
            <w:r>
              <w:rPr>
                <w:rFonts w:ascii="Arial" w:cs="Arial" w:eastAsia="Arial" w:hAnsi="Arial"/>
                <w:sz w:val="11"/>
                <w:szCs w:val="11"/>
                <w:color w:val="auto"/>
              </w:rPr>
              <w:t>ORLANDO</w:t>
            </w:r>
          </w:p>
        </w:tc>
        <w:tc>
          <w:tcPr>
            <w:tcW w:w="200" w:type="dxa"/>
            <w:vAlign w:val="bottom"/>
          </w:tcPr>
          <w:p>
            <w:pPr>
              <w:ind w:left="40"/>
              <w:spacing w:after="0"/>
              <w:rPr>
                <w:sz w:val="20"/>
                <w:szCs w:val="20"/>
                <w:color w:val="auto"/>
              </w:rPr>
            </w:pPr>
            <w:r>
              <w:rPr>
                <w:rFonts w:ascii="Arial" w:cs="Arial" w:eastAsia="Arial" w:hAnsi="Arial"/>
                <w:sz w:val="11"/>
                <w:szCs w:val="11"/>
                <w:color w:val="auto"/>
              </w:rPr>
              <w:t>FL</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32828</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(407)</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381-3980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9846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12 LLOYDS LANE</w:t>
            </w:r>
          </w:p>
        </w:tc>
        <w:tc>
          <w:tcPr>
            <w:tcW w:w="1220" w:type="dxa"/>
            <w:vAlign w:val="bottom"/>
          </w:tcPr>
          <w:p>
            <w:pPr>
              <w:ind w:left="80"/>
              <w:spacing w:after="0"/>
              <w:rPr>
                <w:sz w:val="20"/>
                <w:szCs w:val="20"/>
                <w:color w:val="auto"/>
              </w:rPr>
            </w:pPr>
            <w:r>
              <w:rPr>
                <w:rFonts w:ascii="Arial" w:cs="Arial" w:eastAsia="Arial" w:hAnsi="Arial"/>
                <w:sz w:val="11"/>
                <w:szCs w:val="11"/>
                <w:color w:val="auto"/>
              </w:rPr>
              <w:t>MIDDLETOWN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NY 10940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(845)</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342-3310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9847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2335 NEW HYDE PARK RD</w:t>
            </w:r>
          </w:p>
        </w:tc>
        <w:tc>
          <w:tcPr>
            <w:tcW w:w="1220" w:type="dxa"/>
            <w:vAlign w:val="bottom"/>
          </w:tcPr>
          <w:p>
            <w:pPr>
              <w:ind w:left="80"/>
              <w:spacing w:after="0"/>
              <w:rPr>
                <w:sz w:val="20"/>
                <w:szCs w:val="20"/>
                <w:color w:val="auto"/>
              </w:rPr>
            </w:pPr>
            <w:r>
              <w:rPr>
                <w:rFonts w:ascii="Arial" w:cs="Arial" w:eastAsia="Arial" w:hAnsi="Arial"/>
                <w:sz w:val="11"/>
                <w:szCs w:val="11"/>
                <w:color w:val="auto"/>
              </w:rPr>
              <w:t>NEW HIDE PARK</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NY 11042</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(516)</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355-2670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1"/>
                <w:szCs w:val="11"/>
                <w:color w:val="auto"/>
              </w:rPr>
              <w:t>9849 BANK OF AMERICA 8258 WEST BELL ROAD</w:t>
            </w:r>
          </w:p>
        </w:tc>
        <w:tc>
          <w:tcPr>
            <w:tcW w:w="1220" w:type="dxa"/>
            <w:vAlign w:val="bottom"/>
          </w:tcPr>
          <w:p>
            <w:pPr>
              <w:ind w:left="80"/>
              <w:spacing w:after="0"/>
              <w:rPr>
                <w:sz w:val="20"/>
                <w:szCs w:val="20"/>
                <w:color w:val="auto"/>
              </w:rPr>
            </w:pPr>
            <w:r>
              <w:rPr>
                <w:rFonts w:ascii="Arial" w:cs="Arial" w:eastAsia="Arial" w:hAnsi="Arial"/>
                <w:sz w:val="11"/>
                <w:szCs w:val="11"/>
                <w:color w:val="auto"/>
              </w:rPr>
              <w:t>GLENDALE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AZ 85308</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(623)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487-5864</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1160" w:type="dxa"/>
            <w:vAlign w:val="bottom"/>
          </w:tcPr>
          <w:p>
            <w:pPr>
              <w:spacing w:after="0"/>
              <w:rPr>
                <w:sz w:val="20"/>
                <w:szCs w:val="20"/>
                <w:color w:val="auto"/>
              </w:rPr>
            </w:pPr>
            <w:r>
              <w:rPr>
                <w:rFonts w:ascii="Arial" w:cs="Arial" w:eastAsia="Arial" w:hAnsi="Arial"/>
                <w:sz w:val="11"/>
                <w:szCs w:val="11"/>
                <w:color w:val="auto"/>
              </w:rPr>
              <w:t>9850 US BANK</w:t>
            </w:r>
          </w:p>
        </w:tc>
        <w:tc>
          <w:tcPr>
            <w:tcW w:w="2320" w:type="dxa"/>
            <w:vAlign w:val="bottom"/>
          </w:tcPr>
          <w:p>
            <w:pPr>
              <w:ind w:left="100"/>
              <w:spacing w:after="0"/>
              <w:rPr>
                <w:sz w:val="20"/>
                <w:szCs w:val="20"/>
                <w:color w:val="auto"/>
              </w:rPr>
            </w:pPr>
            <w:r>
              <w:rPr>
                <w:rFonts w:ascii="Arial" w:cs="Arial" w:eastAsia="Arial" w:hAnsi="Arial"/>
                <w:sz w:val="11"/>
                <w:szCs w:val="11"/>
                <w:color w:val="auto"/>
              </w:rPr>
              <w:t>12000 SE 82nd AVE, SUITE 2001</w:t>
            </w:r>
          </w:p>
        </w:tc>
        <w:tc>
          <w:tcPr>
            <w:tcW w:w="1220" w:type="dxa"/>
            <w:vAlign w:val="bottom"/>
          </w:tcPr>
          <w:p>
            <w:pPr>
              <w:ind w:left="80"/>
              <w:spacing w:after="0"/>
              <w:rPr>
                <w:sz w:val="20"/>
                <w:szCs w:val="20"/>
                <w:color w:val="auto"/>
              </w:rPr>
            </w:pPr>
            <w:r>
              <w:rPr>
                <w:rFonts w:ascii="Arial" w:cs="Arial" w:eastAsia="Arial" w:hAnsi="Arial"/>
                <w:sz w:val="11"/>
                <w:szCs w:val="11"/>
                <w:color w:val="auto"/>
              </w:rPr>
              <w:t>PORTLAND</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OR 97266</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(503)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275-7211</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3480" w:type="dxa"/>
            <w:vAlign w:val="bottom"/>
            <w:gridSpan w:val="2"/>
          </w:tcPr>
          <w:p>
            <w:pPr>
              <w:spacing w:after="0"/>
              <w:rPr>
                <w:sz w:val="20"/>
                <w:szCs w:val="20"/>
                <w:color w:val="auto"/>
              </w:rPr>
            </w:pPr>
            <w:r>
              <w:rPr>
                <w:rFonts w:ascii="Arial" w:cs="Arial" w:eastAsia="Arial" w:hAnsi="Arial"/>
                <w:sz w:val="11"/>
                <w:szCs w:val="11"/>
                <w:color w:val="auto"/>
              </w:rPr>
              <w:t>9851 BANK OF AMERICA 7387 DAY CREEK BLVD</w:t>
            </w:r>
          </w:p>
        </w:tc>
        <w:tc>
          <w:tcPr>
            <w:tcW w:w="1220" w:type="dxa"/>
            <w:vAlign w:val="bottom"/>
          </w:tcPr>
          <w:p>
            <w:pPr>
              <w:ind w:left="80"/>
              <w:spacing w:after="0"/>
              <w:rPr>
                <w:sz w:val="20"/>
                <w:szCs w:val="20"/>
                <w:color w:val="auto"/>
              </w:rPr>
            </w:pPr>
            <w:r>
              <w:rPr>
                <w:rFonts w:ascii="Arial" w:cs="Arial" w:eastAsia="Arial" w:hAnsi="Arial"/>
                <w:sz w:val="11"/>
                <w:szCs w:val="11"/>
                <w:color w:val="auto"/>
              </w:rPr>
              <w:t>RANCHO</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CA 91739</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(909)</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803-2724</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20" w:type="dxa"/>
            <w:vAlign w:val="bottom"/>
          </w:tcPr>
          <w:p>
            <w:pPr>
              <w:ind w:left="80"/>
              <w:spacing w:after="0"/>
              <w:rPr>
                <w:sz w:val="20"/>
                <w:szCs w:val="20"/>
                <w:color w:val="auto"/>
              </w:rPr>
            </w:pPr>
            <w:r>
              <w:rPr>
                <w:rFonts w:ascii="Arial" w:cs="Arial" w:eastAsia="Arial" w:hAnsi="Arial"/>
                <w:sz w:val="11"/>
                <w:szCs w:val="11"/>
                <w:color w:val="auto"/>
              </w:rPr>
              <w:t>CUCAMONGA</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9852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800 BROWN ROAD</w:t>
            </w:r>
          </w:p>
        </w:tc>
        <w:tc>
          <w:tcPr>
            <w:tcW w:w="1220" w:type="dxa"/>
            <w:vAlign w:val="bottom"/>
          </w:tcPr>
          <w:p>
            <w:pPr>
              <w:ind w:left="80"/>
              <w:spacing w:after="0"/>
              <w:rPr>
                <w:sz w:val="20"/>
                <w:szCs w:val="20"/>
                <w:color w:val="auto"/>
              </w:rPr>
            </w:pPr>
            <w:r>
              <w:rPr>
                <w:rFonts w:ascii="Arial" w:cs="Arial" w:eastAsia="Arial" w:hAnsi="Arial"/>
                <w:sz w:val="11"/>
                <w:szCs w:val="11"/>
                <w:color w:val="auto"/>
              </w:rPr>
              <w:t>AUBURN HILLS</w:t>
            </w:r>
          </w:p>
        </w:tc>
        <w:tc>
          <w:tcPr>
            <w:tcW w:w="200" w:type="dxa"/>
            <w:vAlign w:val="bottom"/>
          </w:tcPr>
          <w:p>
            <w:pPr>
              <w:ind w:left="40"/>
              <w:spacing w:after="0"/>
              <w:rPr>
                <w:sz w:val="20"/>
                <w:szCs w:val="20"/>
                <w:color w:val="auto"/>
              </w:rPr>
            </w:pPr>
            <w:r>
              <w:rPr>
                <w:rFonts w:ascii="Arial" w:cs="Arial" w:eastAsia="Arial" w:hAnsi="Arial"/>
                <w:sz w:val="11"/>
                <w:szCs w:val="11"/>
                <w:color w:val="auto"/>
              </w:rPr>
              <w:t>MI</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48326</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(248)</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393-1276</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9855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2910 WASHINGTON BLVD</w:t>
            </w:r>
          </w:p>
        </w:tc>
        <w:tc>
          <w:tcPr>
            <w:tcW w:w="1220" w:type="dxa"/>
            <w:vAlign w:val="bottom"/>
          </w:tcPr>
          <w:p>
            <w:pPr>
              <w:ind w:left="80"/>
              <w:spacing w:after="0"/>
              <w:rPr>
                <w:sz w:val="20"/>
                <w:szCs w:val="20"/>
                <w:color w:val="auto"/>
              </w:rPr>
            </w:pPr>
            <w:r>
              <w:rPr>
                <w:rFonts w:ascii="Arial" w:cs="Arial" w:eastAsia="Arial" w:hAnsi="Arial"/>
                <w:sz w:val="11"/>
                <w:szCs w:val="11"/>
                <w:color w:val="auto"/>
              </w:rPr>
              <w:t>OGDEN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UT 84401</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(801)</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621-7266</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9856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FASHION PLACE 6255 S STATE</w:t>
            </w:r>
          </w:p>
        </w:tc>
        <w:tc>
          <w:tcPr>
            <w:tcW w:w="1220" w:type="dxa"/>
            <w:vAlign w:val="bottom"/>
          </w:tcPr>
          <w:p>
            <w:pPr>
              <w:ind w:left="80"/>
              <w:spacing w:after="0"/>
              <w:rPr>
                <w:sz w:val="20"/>
                <w:szCs w:val="20"/>
                <w:color w:val="auto"/>
              </w:rPr>
            </w:pPr>
            <w:r>
              <w:rPr>
                <w:rFonts w:ascii="Arial" w:cs="Arial" w:eastAsia="Arial" w:hAnsi="Arial"/>
                <w:sz w:val="11"/>
                <w:szCs w:val="11"/>
                <w:color w:val="auto"/>
              </w:rPr>
              <w:t>MURRAY</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UT 84107</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(801)</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481-5070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9858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373 N MILWAUKEE ST</w:t>
            </w:r>
          </w:p>
        </w:tc>
        <w:tc>
          <w:tcPr>
            <w:tcW w:w="1220" w:type="dxa"/>
            <w:vAlign w:val="bottom"/>
          </w:tcPr>
          <w:p>
            <w:pPr>
              <w:ind w:left="80"/>
              <w:spacing w:after="0"/>
              <w:rPr>
                <w:sz w:val="20"/>
                <w:szCs w:val="20"/>
                <w:color w:val="auto"/>
              </w:rPr>
            </w:pPr>
            <w:r>
              <w:rPr>
                <w:rFonts w:ascii="Arial" w:cs="Arial" w:eastAsia="Arial" w:hAnsi="Arial"/>
                <w:sz w:val="11"/>
                <w:szCs w:val="11"/>
                <w:color w:val="auto"/>
              </w:rPr>
              <w:t>BOISE</w:t>
            </w:r>
          </w:p>
        </w:tc>
        <w:tc>
          <w:tcPr>
            <w:tcW w:w="200" w:type="dxa"/>
            <w:vAlign w:val="bottom"/>
          </w:tcPr>
          <w:p>
            <w:pPr>
              <w:ind w:left="40"/>
              <w:spacing w:after="0"/>
              <w:rPr>
                <w:sz w:val="20"/>
                <w:szCs w:val="20"/>
                <w:color w:val="auto"/>
              </w:rPr>
            </w:pPr>
            <w:r>
              <w:rPr>
                <w:rFonts w:ascii="Arial" w:cs="Arial" w:eastAsia="Arial" w:hAnsi="Arial"/>
                <w:sz w:val="11"/>
                <w:szCs w:val="11"/>
                <w:color w:val="auto"/>
              </w:rPr>
              <w:t>ID</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83704</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(208)</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373-3300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1160" w:type="dxa"/>
            <w:vAlign w:val="bottom"/>
          </w:tcPr>
          <w:p>
            <w:pPr>
              <w:spacing w:after="0"/>
              <w:rPr>
                <w:sz w:val="20"/>
                <w:szCs w:val="20"/>
                <w:color w:val="auto"/>
              </w:rPr>
            </w:pPr>
            <w:r>
              <w:rPr>
                <w:rFonts w:ascii="Arial" w:cs="Arial" w:eastAsia="Arial" w:hAnsi="Arial"/>
                <w:sz w:val="11"/>
                <w:szCs w:val="11"/>
                <w:color w:val="auto"/>
              </w:rPr>
              <w:t>9859 US BANK</w:t>
            </w:r>
          </w:p>
        </w:tc>
        <w:tc>
          <w:tcPr>
            <w:tcW w:w="2320" w:type="dxa"/>
            <w:vAlign w:val="bottom"/>
          </w:tcPr>
          <w:p>
            <w:pPr>
              <w:ind w:left="100"/>
              <w:spacing w:after="0"/>
              <w:rPr>
                <w:sz w:val="20"/>
                <w:szCs w:val="20"/>
                <w:color w:val="auto"/>
              </w:rPr>
            </w:pPr>
            <w:r>
              <w:rPr>
                <w:rFonts w:ascii="Arial" w:cs="Arial" w:eastAsia="Arial" w:hAnsi="Arial"/>
                <w:sz w:val="11"/>
                <w:szCs w:val="11"/>
                <w:color w:val="auto"/>
              </w:rPr>
              <w:t>920 S 29th St W</w:t>
            </w:r>
          </w:p>
        </w:tc>
        <w:tc>
          <w:tcPr>
            <w:tcW w:w="1220" w:type="dxa"/>
            <w:vAlign w:val="bottom"/>
          </w:tcPr>
          <w:p>
            <w:pPr>
              <w:ind w:left="80"/>
              <w:spacing w:after="0"/>
              <w:rPr>
                <w:sz w:val="20"/>
                <w:szCs w:val="20"/>
                <w:color w:val="auto"/>
              </w:rPr>
            </w:pPr>
            <w:r>
              <w:rPr>
                <w:rFonts w:ascii="Arial" w:cs="Arial" w:eastAsia="Arial" w:hAnsi="Arial"/>
                <w:sz w:val="11"/>
                <w:szCs w:val="11"/>
                <w:color w:val="auto"/>
              </w:rPr>
              <w:t>BILLINGS</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MT 59102</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(406)</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651-1060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9860 CHASE</w:t>
            </w:r>
          </w:p>
        </w:tc>
        <w:tc>
          <w:tcPr>
            <w:tcW w:w="2320" w:type="dxa"/>
            <w:vAlign w:val="bottom"/>
          </w:tcPr>
          <w:p>
            <w:pPr>
              <w:spacing w:after="0"/>
              <w:rPr>
                <w:sz w:val="22"/>
                <w:szCs w:val="22"/>
                <w:color w:val="auto"/>
              </w:rPr>
            </w:pPr>
          </w:p>
        </w:tc>
        <w:tc>
          <w:tcPr>
            <w:tcW w:w="1220" w:type="dxa"/>
            <w:vAlign w:val="bottom"/>
          </w:tcPr>
          <w:p>
            <w:pPr>
              <w:ind w:left="80"/>
              <w:spacing w:after="0"/>
              <w:rPr>
                <w:sz w:val="20"/>
                <w:szCs w:val="20"/>
                <w:color w:val="auto"/>
              </w:rPr>
            </w:pPr>
            <w:r>
              <w:rPr>
                <w:rFonts w:ascii="Arial" w:cs="Arial" w:eastAsia="Arial" w:hAnsi="Arial"/>
                <w:sz w:val="11"/>
                <w:szCs w:val="11"/>
                <w:color w:val="auto"/>
              </w:rPr>
              <w:t>GILBERT</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AZ 85234</w:t>
            </w: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7"/>
        </w:trPr>
        <w:tc>
          <w:tcPr>
            <w:tcW w:w="1160" w:type="dxa"/>
            <w:vAlign w:val="bottom"/>
          </w:tcPr>
          <w:p>
            <w:pPr>
              <w:spacing w:after="0"/>
              <w:rPr>
                <w:sz w:val="20"/>
                <w:szCs w:val="20"/>
                <w:color w:val="auto"/>
              </w:rPr>
            </w:pPr>
            <w:r>
              <w:rPr>
                <w:rFonts w:ascii="Arial" w:cs="Arial" w:eastAsia="Arial" w:hAnsi="Arial"/>
                <w:sz w:val="11"/>
                <w:szCs w:val="11"/>
                <w:color w:val="auto"/>
              </w:rPr>
              <w:t>9862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292 PEQUOT AVE</w:t>
            </w:r>
          </w:p>
        </w:tc>
        <w:tc>
          <w:tcPr>
            <w:tcW w:w="1220" w:type="dxa"/>
            <w:vAlign w:val="bottom"/>
          </w:tcPr>
          <w:p>
            <w:pPr>
              <w:ind w:left="80"/>
              <w:spacing w:after="0"/>
              <w:rPr>
                <w:sz w:val="20"/>
                <w:szCs w:val="20"/>
                <w:color w:val="auto"/>
              </w:rPr>
            </w:pPr>
            <w:r>
              <w:rPr>
                <w:rFonts w:ascii="Arial" w:cs="Arial" w:eastAsia="Arial" w:hAnsi="Arial"/>
                <w:sz w:val="11"/>
                <w:szCs w:val="11"/>
                <w:color w:val="auto"/>
              </w:rPr>
              <w:t>SOUTHPORT</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CT 6490</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(203)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227-0010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9863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3382 PRESTON RD</w:t>
            </w:r>
          </w:p>
        </w:tc>
        <w:tc>
          <w:tcPr>
            <w:tcW w:w="1220" w:type="dxa"/>
            <w:vAlign w:val="bottom"/>
          </w:tcPr>
          <w:p>
            <w:pPr>
              <w:ind w:left="80"/>
              <w:spacing w:after="0"/>
              <w:rPr>
                <w:sz w:val="20"/>
                <w:szCs w:val="20"/>
                <w:color w:val="auto"/>
              </w:rPr>
            </w:pPr>
            <w:r>
              <w:rPr>
                <w:rFonts w:ascii="Arial" w:cs="Arial" w:eastAsia="Arial" w:hAnsi="Arial"/>
                <w:sz w:val="11"/>
                <w:szCs w:val="11"/>
                <w:color w:val="auto"/>
              </w:rPr>
              <w:t>FRISCO</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TX 75034</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(972)</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335-5820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1160" w:type="dxa"/>
            <w:vAlign w:val="bottom"/>
          </w:tcPr>
          <w:p>
            <w:pPr>
              <w:spacing w:after="0"/>
              <w:rPr>
                <w:sz w:val="20"/>
                <w:szCs w:val="20"/>
                <w:color w:val="auto"/>
              </w:rPr>
            </w:pPr>
            <w:r>
              <w:rPr>
                <w:rFonts w:ascii="Arial" w:cs="Arial" w:eastAsia="Arial" w:hAnsi="Arial"/>
                <w:sz w:val="11"/>
                <w:szCs w:val="11"/>
                <w:color w:val="auto"/>
              </w:rPr>
              <w:t>9864 US BANK</w:t>
            </w:r>
          </w:p>
        </w:tc>
        <w:tc>
          <w:tcPr>
            <w:tcW w:w="2320" w:type="dxa"/>
            <w:vAlign w:val="bottom"/>
          </w:tcPr>
          <w:p>
            <w:pPr>
              <w:ind w:left="100"/>
              <w:spacing w:after="0"/>
              <w:rPr>
                <w:sz w:val="20"/>
                <w:szCs w:val="20"/>
                <w:color w:val="auto"/>
              </w:rPr>
            </w:pPr>
            <w:r>
              <w:rPr>
                <w:rFonts w:ascii="Arial" w:cs="Arial" w:eastAsia="Arial" w:hAnsi="Arial"/>
                <w:sz w:val="11"/>
                <w:szCs w:val="11"/>
                <w:color w:val="auto"/>
              </w:rPr>
              <w:t>14111 EAST ALAMEDA AVENUE</w:t>
            </w:r>
          </w:p>
        </w:tc>
        <w:tc>
          <w:tcPr>
            <w:tcW w:w="1220" w:type="dxa"/>
            <w:vAlign w:val="bottom"/>
          </w:tcPr>
          <w:p>
            <w:pPr>
              <w:ind w:left="80"/>
              <w:spacing w:after="0"/>
              <w:rPr>
                <w:sz w:val="20"/>
                <w:szCs w:val="20"/>
                <w:color w:val="auto"/>
              </w:rPr>
            </w:pPr>
            <w:r>
              <w:rPr>
                <w:rFonts w:ascii="Arial" w:cs="Arial" w:eastAsia="Arial" w:hAnsi="Arial"/>
                <w:sz w:val="11"/>
                <w:szCs w:val="11"/>
                <w:color w:val="auto"/>
              </w:rPr>
              <w:t>AURORA</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CO 80012</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(303)</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344-1331</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9865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5113 S JOHN YOUNG PKWY</w:t>
            </w:r>
          </w:p>
        </w:tc>
        <w:tc>
          <w:tcPr>
            <w:tcW w:w="1220" w:type="dxa"/>
            <w:vAlign w:val="bottom"/>
          </w:tcPr>
          <w:p>
            <w:pPr>
              <w:ind w:left="80"/>
              <w:spacing w:after="0"/>
              <w:rPr>
                <w:sz w:val="20"/>
                <w:szCs w:val="20"/>
                <w:color w:val="auto"/>
              </w:rPr>
            </w:pPr>
            <w:r>
              <w:rPr>
                <w:rFonts w:ascii="Arial" w:cs="Arial" w:eastAsia="Arial" w:hAnsi="Arial"/>
                <w:sz w:val="11"/>
                <w:szCs w:val="11"/>
                <w:color w:val="auto"/>
              </w:rPr>
              <w:t>ORLANDO</w:t>
            </w:r>
          </w:p>
        </w:tc>
        <w:tc>
          <w:tcPr>
            <w:tcW w:w="200" w:type="dxa"/>
            <w:vAlign w:val="bottom"/>
          </w:tcPr>
          <w:p>
            <w:pPr>
              <w:ind w:left="40"/>
              <w:spacing w:after="0"/>
              <w:rPr>
                <w:sz w:val="20"/>
                <w:szCs w:val="20"/>
                <w:color w:val="auto"/>
              </w:rPr>
            </w:pPr>
            <w:r>
              <w:rPr>
                <w:rFonts w:ascii="Arial" w:cs="Arial" w:eastAsia="Arial" w:hAnsi="Arial"/>
                <w:sz w:val="11"/>
                <w:szCs w:val="11"/>
                <w:color w:val="auto"/>
              </w:rPr>
              <w:t>FL</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32839</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(407)</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857-1083</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3480" w:type="dxa"/>
            <w:vAlign w:val="bottom"/>
            <w:gridSpan w:val="2"/>
          </w:tcPr>
          <w:p>
            <w:pPr>
              <w:spacing w:after="0"/>
              <w:rPr>
                <w:sz w:val="20"/>
                <w:szCs w:val="20"/>
                <w:color w:val="auto"/>
              </w:rPr>
            </w:pPr>
            <w:r>
              <w:rPr>
                <w:rFonts w:ascii="Arial" w:cs="Arial" w:eastAsia="Arial" w:hAnsi="Arial"/>
                <w:sz w:val="11"/>
                <w:szCs w:val="11"/>
                <w:color w:val="auto"/>
              </w:rPr>
              <w:t>9866 BANK OF AMERICA 290 S STATE COLLEGE BOULEVARD</w:t>
            </w:r>
          </w:p>
        </w:tc>
        <w:tc>
          <w:tcPr>
            <w:tcW w:w="1220" w:type="dxa"/>
            <w:vAlign w:val="bottom"/>
          </w:tcPr>
          <w:p>
            <w:pPr>
              <w:ind w:left="80"/>
              <w:spacing w:after="0"/>
              <w:rPr>
                <w:sz w:val="20"/>
                <w:szCs w:val="20"/>
                <w:color w:val="auto"/>
              </w:rPr>
            </w:pPr>
            <w:r>
              <w:rPr>
                <w:rFonts w:ascii="Arial" w:cs="Arial" w:eastAsia="Arial" w:hAnsi="Arial"/>
                <w:sz w:val="11"/>
                <w:szCs w:val="11"/>
                <w:color w:val="auto"/>
              </w:rPr>
              <w:t>BREA</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CA 92821</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(800)</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w w:val="96"/>
              </w:rPr>
              <w:t>622 - 8731 ***</w:t>
            </w:r>
          </w:p>
        </w:tc>
      </w:tr>
      <w:tr>
        <w:trPr>
          <w:trHeight w:val="258"/>
        </w:trPr>
        <w:tc>
          <w:tcPr>
            <w:tcW w:w="1160" w:type="dxa"/>
            <w:vAlign w:val="bottom"/>
          </w:tcPr>
          <w:p>
            <w:pPr>
              <w:spacing w:after="0"/>
              <w:rPr>
                <w:sz w:val="20"/>
                <w:szCs w:val="20"/>
                <w:color w:val="auto"/>
              </w:rPr>
            </w:pPr>
            <w:r>
              <w:rPr>
                <w:rFonts w:ascii="Arial" w:cs="Arial" w:eastAsia="Arial" w:hAnsi="Arial"/>
                <w:sz w:val="11"/>
                <w:szCs w:val="11"/>
                <w:color w:val="auto"/>
              </w:rPr>
              <w:t>9867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10011 FM 1960 BYPASS RD W</w:t>
            </w:r>
          </w:p>
        </w:tc>
        <w:tc>
          <w:tcPr>
            <w:tcW w:w="1220" w:type="dxa"/>
            <w:vAlign w:val="bottom"/>
          </w:tcPr>
          <w:p>
            <w:pPr>
              <w:ind w:left="80"/>
              <w:spacing w:after="0"/>
              <w:rPr>
                <w:sz w:val="20"/>
                <w:szCs w:val="20"/>
                <w:color w:val="auto"/>
              </w:rPr>
            </w:pPr>
            <w:r>
              <w:rPr>
                <w:rFonts w:ascii="Arial" w:cs="Arial" w:eastAsia="Arial" w:hAnsi="Arial"/>
                <w:sz w:val="11"/>
                <w:szCs w:val="11"/>
                <w:color w:val="auto"/>
              </w:rPr>
              <w:t>HUMBLE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TX 77338</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(281)</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446-1800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1"/>
        </w:trPr>
        <w:tc>
          <w:tcPr>
            <w:tcW w:w="1160" w:type="dxa"/>
            <w:vAlign w:val="bottom"/>
          </w:tcPr>
          <w:p>
            <w:pPr>
              <w:spacing w:after="0"/>
              <w:rPr>
                <w:sz w:val="20"/>
                <w:szCs w:val="20"/>
                <w:color w:val="auto"/>
              </w:rPr>
            </w:pPr>
            <w:r>
              <w:rPr>
                <w:rFonts w:ascii="Arial" w:cs="Arial" w:eastAsia="Arial" w:hAnsi="Arial"/>
                <w:sz w:val="11"/>
                <w:szCs w:val="11"/>
                <w:color w:val="auto"/>
              </w:rPr>
              <w:t>9868 CITIZENS BANK</w:t>
            </w:r>
          </w:p>
        </w:tc>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328"/>
        </w:trPr>
        <w:tc>
          <w:tcPr>
            <w:tcW w:w="1160" w:type="dxa"/>
            <w:vAlign w:val="bottom"/>
          </w:tcPr>
          <w:p>
            <w:pPr>
              <w:spacing w:after="0"/>
              <w:rPr>
                <w:sz w:val="20"/>
                <w:szCs w:val="20"/>
                <w:color w:val="auto"/>
              </w:rPr>
            </w:pPr>
            <w:r>
              <w:rPr>
                <w:rFonts w:ascii="Arial" w:cs="Arial" w:eastAsia="Arial" w:hAnsi="Arial"/>
                <w:sz w:val="11"/>
                <w:szCs w:val="11"/>
                <w:color w:val="auto"/>
              </w:rPr>
              <w:t>9869 CHASE</w:t>
            </w: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7"/>
        </w:trPr>
        <w:tc>
          <w:tcPr>
            <w:tcW w:w="3480" w:type="dxa"/>
            <w:vAlign w:val="bottom"/>
            <w:gridSpan w:val="2"/>
          </w:tcPr>
          <w:p>
            <w:pPr>
              <w:spacing w:after="0"/>
              <w:rPr>
                <w:sz w:val="20"/>
                <w:szCs w:val="20"/>
                <w:color w:val="auto"/>
              </w:rPr>
            </w:pPr>
            <w:r>
              <w:rPr>
                <w:rFonts w:ascii="Arial" w:cs="Arial" w:eastAsia="Arial" w:hAnsi="Arial"/>
                <w:sz w:val="11"/>
                <w:szCs w:val="11"/>
                <w:color w:val="auto"/>
                <w:w w:val="97"/>
              </w:rPr>
              <w:t>9870 BANK OF AMERICA 1775 CAMINO DE LA REINA NORTH, SUITE</w:t>
            </w:r>
          </w:p>
        </w:tc>
        <w:tc>
          <w:tcPr>
            <w:tcW w:w="1220" w:type="dxa"/>
            <w:vAlign w:val="bottom"/>
          </w:tcPr>
          <w:p>
            <w:pPr>
              <w:ind w:left="80"/>
              <w:spacing w:after="0"/>
              <w:rPr>
                <w:sz w:val="20"/>
                <w:szCs w:val="20"/>
                <w:color w:val="auto"/>
              </w:rPr>
            </w:pPr>
            <w:r>
              <w:rPr>
                <w:rFonts w:ascii="Arial" w:cs="Arial" w:eastAsia="Arial" w:hAnsi="Arial"/>
                <w:sz w:val="11"/>
                <w:szCs w:val="11"/>
                <w:color w:val="auto"/>
              </w:rPr>
              <w:t>SAN DIEGO</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CA 92108</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spacing w:after="0"/>
              <w:rPr>
                <w:sz w:val="11"/>
                <w:szCs w:val="11"/>
                <w:color w:val="auto"/>
              </w:rPr>
            </w:pPr>
          </w:p>
        </w:tc>
        <w:tc>
          <w:tcPr>
            <w:tcW w:w="2320" w:type="dxa"/>
            <w:vAlign w:val="bottom"/>
          </w:tcPr>
          <w:p>
            <w:pPr>
              <w:ind w:left="100"/>
              <w:spacing w:after="0"/>
              <w:rPr>
                <w:sz w:val="20"/>
                <w:szCs w:val="20"/>
                <w:color w:val="auto"/>
              </w:rPr>
            </w:pPr>
            <w:r>
              <w:rPr>
                <w:rFonts w:ascii="Arial" w:cs="Arial" w:eastAsia="Arial" w:hAnsi="Arial"/>
                <w:sz w:val="11"/>
                <w:szCs w:val="11"/>
                <w:color w:val="auto"/>
              </w:rPr>
              <w:t>180</w:t>
            </w: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7"/>
        </w:trPr>
        <w:tc>
          <w:tcPr>
            <w:tcW w:w="1160" w:type="dxa"/>
            <w:vAlign w:val="bottom"/>
          </w:tcPr>
          <w:p>
            <w:pPr>
              <w:spacing w:after="0"/>
              <w:rPr>
                <w:sz w:val="20"/>
                <w:szCs w:val="20"/>
                <w:color w:val="auto"/>
              </w:rPr>
            </w:pPr>
            <w:r>
              <w:rPr>
                <w:rFonts w:ascii="Arial" w:cs="Arial" w:eastAsia="Arial" w:hAnsi="Arial"/>
                <w:sz w:val="11"/>
                <w:szCs w:val="11"/>
                <w:color w:val="auto"/>
              </w:rPr>
              <w:t>9871 CHASE</w:t>
            </w:r>
          </w:p>
        </w:tc>
        <w:tc>
          <w:tcPr>
            <w:tcW w:w="2320" w:type="dxa"/>
            <w:vAlign w:val="bottom"/>
          </w:tcPr>
          <w:p>
            <w:pPr>
              <w:ind w:left="100"/>
              <w:spacing w:after="0"/>
              <w:rPr>
                <w:sz w:val="20"/>
                <w:szCs w:val="20"/>
                <w:color w:val="auto"/>
              </w:rPr>
            </w:pPr>
            <w:r>
              <w:rPr>
                <w:rFonts w:ascii="Arial" w:cs="Arial" w:eastAsia="Arial" w:hAnsi="Arial"/>
                <w:sz w:val="11"/>
                <w:szCs w:val="11"/>
                <w:color w:val="auto"/>
              </w:rPr>
              <w:t>30950 PINETREE ROAD</w:t>
            </w:r>
          </w:p>
        </w:tc>
        <w:tc>
          <w:tcPr>
            <w:tcW w:w="1220" w:type="dxa"/>
            <w:vAlign w:val="bottom"/>
          </w:tcPr>
          <w:p>
            <w:pPr>
              <w:ind w:left="80"/>
              <w:spacing w:after="0"/>
              <w:rPr>
                <w:sz w:val="20"/>
                <w:szCs w:val="20"/>
                <w:color w:val="auto"/>
              </w:rPr>
            </w:pPr>
            <w:r>
              <w:rPr>
                <w:rFonts w:ascii="Arial" w:cs="Arial" w:eastAsia="Arial" w:hAnsi="Arial"/>
                <w:sz w:val="11"/>
                <w:szCs w:val="11"/>
                <w:color w:val="auto"/>
              </w:rPr>
              <w:t>PEPPER PIKE</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OH 44124</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(216)</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831-5252</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1"/>
                <w:szCs w:val="11"/>
                <w:color w:val="auto"/>
              </w:rPr>
              <w:t>9872 CHASE</w:t>
            </w:r>
          </w:p>
        </w:tc>
        <w:tc>
          <w:tcPr>
            <w:tcW w:w="2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36"/>
        </w:trPr>
        <w:tc>
          <w:tcPr>
            <w:tcW w:w="11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2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42"/>
        </w:trPr>
        <w:tc>
          <w:tcPr>
            <w:tcW w:w="3480" w:type="dxa"/>
            <w:vAlign w:val="bottom"/>
            <w:gridSpan w:val="2"/>
          </w:tcPr>
          <w:p>
            <w:pPr>
              <w:spacing w:after="0"/>
              <w:rPr>
                <w:sz w:val="20"/>
                <w:szCs w:val="20"/>
                <w:color w:val="auto"/>
              </w:rPr>
            </w:pPr>
            <w:r>
              <w:rPr>
                <w:rFonts w:ascii="Arial" w:cs="Arial" w:eastAsia="Arial" w:hAnsi="Arial"/>
                <w:sz w:val="11"/>
                <w:szCs w:val="11"/>
                <w:color w:val="auto"/>
              </w:rPr>
              <w:t>9873 FIFTH THIRD BANK 7312 EAGLE CREST BOULEVARD</w:t>
            </w:r>
          </w:p>
        </w:tc>
        <w:tc>
          <w:tcPr>
            <w:tcW w:w="1220" w:type="dxa"/>
            <w:vAlign w:val="bottom"/>
          </w:tcPr>
          <w:p>
            <w:pPr>
              <w:ind w:left="80"/>
              <w:spacing w:after="0"/>
              <w:rPr>
                <w:sz w:val="20"/>
                <w:szCs w:val="20"/>
                <w:color w:val="auto"/>
              </w:rPr>
            </w:pPr>
            <w:r>
              <w:rPr>
                <w:rFonts w:ascii="Arial" w:cs="Arial" w:eastAsia="Arial" w:hAnsi="Arial"/>
                <w:sz w:val="11"/>
                <w:szCs w:val="11"/>
                <w:color w:val="auto"/>
              </w:rPr>
              <w:t>EVANSVILLE</w:t>
            </w:r>
          </w:p>
        </w:tc>
        <w:tc>
          <w:tcPr>
            <w:tcW w:w="200" w:type="dxa"/>
            <w:vAlign w:val="bottom"/>
          </w:tcPr>
          <w:p>
            <w:pPr>
              <w:ind w:left="40"/>
              <w:spacing w:after="0"/>
              <w:rPr>
                <w:sz w:val="20"/>
                <w:szCs w:val="20"/>
                <w:color w:val="auto"/>
              </w:rPr>
            </w:pPr>
            <w:r>
              <w:rPr>
                <w:rFonts w:ascii="Arial" w:cs="Arial" w:eastAsia="Arial" w:hAnsi="Arial"/>
                <w:sz w:val="11"/>
                <w:szCs w:val="11"/>
                <w:color w:val="auto"/>
              </w:rPr>
              <w:t>IN</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w w:val="91"/>
              </w:rPr>
              <w:t>47715</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(812)</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471-7235</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9876 BANK OF AMERICA 376 SOUTHBRIDGE STREET</w:t>
            </w:r>
          </w:p>
        </w:tc>
        <w:tc>
          <w:tcPr>
            <w:tcW w:w="1220" w:type="dxa"/>
            <w:vAlign w:val="bottom"/>
          </w:tcPr>
          <w:p>
            <w:pPr>
              <w:ind w:left="80"/>
              <w:spacing w:after="0"/>
              <w:rPr>
                <w:sz w:val="20"/>
                <w:szCs w:val="20"/>
                <w:color w:val="auto"/>
              </w:rPr>
            </w:pPr>
            <w:r>
              <w:rPr>
                <w:rFonts w:ascii="Arial" w:cs="Arial" w:eastAsia="Arial" w:hAnsi="Arial"/>
                <w:sz w:val="11"/>
                <w:szCs w:val="11"/>
                <w:color w:val="auto"/>
              </w:rPr>
              <w:t>AUBURN</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MA 01501</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(508)</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832-4199</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3480" w:type="dxa"/>
            <w:vAlign w:val="bottom"/>
            <w:gridSpan w:val="2"/>
          </w:tcPr>
          <w:p>
            <w:pPr>
              <w:spacing w:after="0"/>
              <w:rPr>
                <w:sz w:val="20"/>
                <w:szCs w:val="20"/>
                <w:color w:val="auto"/>
              </w:rPr>
            </w:pPr>
            <w:r>
              <w:rPr>
                <w:rFonts w:ascii="Arial" w:cs="Arial" w:eastAsia="Arial" w:hAnsi="Arial"/>
                <w:sz w:val="11"/>
                <w:szCs w:val="11"/>
                <w:color w:val="auto"/>
              </w:rPr>
              <w:t>9878 BANK OF AMERICA 99 Rockingham Park Boulevard</w:t>
            </w:r>
          </w:p>
        </w:tc>
        <w:tc>
          <w:tcPr>
            <w:tcW w:w="1220" w:type="dxa"/>
            <w:vAlign w:val="bottom"/>
          </w:tcPr>
          <w:p>
            <w:pPr>
              <w:ind w:left="80"/>
              <w:spacing w:after="0"/>
              <w:rPr>
                <w:sz w:val="20"/>
                <w:szCs w:val="20"/>
                <w:color w:val="auto"/>
              </w:rPr>
            </w:pPr>
            <w:r>
              <w:rPr>
                <w:rFonts w:ascii="Arial" w:cs="Arial" w:eastAsia="Arial" w:hAnsi="Arial"/>
                <w:sz w:val="11"/>
                <w:szCs w:val="11"/>
                <w:color w:val="auto"/>
              </w:rPr>
              <w:t>SALEM</w:t>
            </w:r>
          </w:p>
        </w:tc>
        <w:tc>
          <w:tcPr>
            <w:tcW w:w="640" w:type="dxa"/>
            <w:vAlign w:val="bottom"/>
            <w:gridSpan w:val="2"/>
          </w:tcPr>
          <w:p>
            <w:pPr>
              <w:ind w:left="40"/>
              <w:spacing w:after="0"/>
              <w:rPr>
                <w:sz w:val="20"/>
                <w:szCs w:val="20"/>
                <w:color w:val="auto"/>
              </w:rPr>
            </w:pPr>
            <w:r>
              <w:rPr>
                <w:rFonts w:ascii="Arial" w:cs="Arial" w:eastAsia="Arial" w:hAnsi="Arial"/>
                <w:sz w:val="11"/>
                <w:szCs w:val="11"/>
                <w:color w:val="auto"/>
              </w:rPr>
              <w:t>NH 03079</w:t>
            </w:r>
          </w:p>
        </w:tc>
        <w:tc>
          <w:tcPr>
            <w:tcW w:w="360" w:type="dxa"/>
            <w:vAlign w:val="bottom"/>
          </w:tcPr>
          <w:p>
            <w:pPr>
              <w:ind w:left="120"/>
              <w:spacing w:after="0"/>
              <w:rPr>
                <w:sz w:val="20"/>
                <w:szCs w:val="20"/>
                <w:color w:val="auto"/>
              </w:rPr>
            </w:pPr>
            <w:r>
              <w:rPr>
                <w:rFonts w:ascii="Arial" w:cs="Arial" w:eastAsia="Arial" w:hAnsi="Arial"/>
                <w:sz w:val="11"/>
                <w:szCs w:val="11"/>
                <w:color w:val="auto"/>
                <w:w w:val="85"/>
              </w:rPr>
              <w:t>(800)</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w w:val="85"/>
              </w:rPr>
              <w:t>432-1000</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-10528300</wp:posOffset>
            </wp:positionV>
            <wp:extent cx="406019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60190" cy="10515600"/>
                    </a:xfrm>
                    <a:prstGeom prst="rect">
                      <a:avLst/>
                    </a:prstGeom>
                    <a:noFill/>
                  </pic:spPr>
                </pic:pic>
              </a:graphicData>
            </a:graphic>
          </wp:anchor>
        </w:drawing>
      </w:r>
    </w:p>
    <w:p>
      <w:pPr>
        <w:sectPr>
          <w:pgSz w:w="11900" w:h="16922" w:orient="portrait"/>
          <w:cols w:equalWidth="0" w:num="1">
            <w:col w:w="9019"/>
          </w:cols>
          <w:pgMar w:left="1440" w:top="121" w:right="1440" w:bottom="0" w:gutter="0" w:footer="0" w:header="0"/>
        </w:sectPr>
      </w:pPr>
    </w:p>
    <w:bookmarkStart w:id="214" w:name="page215"/>
    <w:bookmarkEnd w:id="214"/>
    <w:tbl>
      <w:tblPr>
        <w:tblLayout w:type="fixed"/>
        <w:tblInd w:w="2539" w:type="dxa"/>
        <w:tblCellMar>
          <w:top w:w="0" w:type="dxa"/>
          <w:left w:w="0" w:type="dxa"/>
          <w:bottom w:w="0" w:type="dxa"/>
          <w:right w:w="0" w:type="dxa"/>
        </w:tblCellMar>
      </w:tblPr>
      <w:tr>
        <w:trPr>
          <w:trHeight w:val="136"/>
        </w:trPr>
        <w:tc>
          <w:tcPr>
            <w:tcW w:w="1260" w:type="dxa"/>
            <w:vAlign w:val="bottom"/>
          </w:tcPr>
          <w:p>
            <w:pPr>
              <w:spacing w:after="0"/>
              <w:rPr>
                <w:sz w:val="20"/>
                <w:szCs w:val="20"/>
                <w:color w:val="auto"/>
              </w:rPr>
            </w:pPr>
            <w:r>
              <w:rPr>
                <w:rFonts w:ascii="Arial" w:cs="Arial" w:eastAsia="Arial" w:hAnsi="Arial"/>
                <w:sz w:val="11"/>
                <w:szCs w:val="11"/>
                <w:color w:val="auto"/>
                <w:w w:val="96"/>
              </w:rPr>
              <w:t>9879 BANK OF AMERICA</w:t>
            </w:r>
          </w:p>
        </w:tc>
        <w:tc>
          <w:tcPr>
            <w:tcW w:w="1900" w:type="dxa"/>
            <w:vAlign w:val="bottom"/>
          </w:tcPr>
          <w:p>
            <w:pPr>
              <w:spacing w:after="0"/>
              <w:rPr>
                <w:sz w:val="20"/>
                <w:szCs w:val="20"/>
                <w:color w:val="auto"/>
              </w:rPr>
            </w:pPr>
            <w:r>
              <w:rPr>
                <w:rFonts w:ascii="Arial" w:cs="Arial" w:eastAsia="Arial" w:hAnsi="Arial"/>
                <w:sz w:val="11"/>
                <w:szCs w:val="11"/>
                <w:color w:val="auto"/>
              </w:rPr>
              <w:t>911 HAYWOOD ROAD</w:t>
            </w:r>
          </w:p>
        </w:tc>
        <w:tc>
          <w:tcPr>
            <w:tcW w:w="1360" w:type="dxa"/>
            <w:vAlign w:val="bottom"/>
          </w:tcPr>
          <w:p>
            <w:pPr>
              <w:ind w:left="400"/>
              <w:spacing w:after="0"/>
              <w:rPr>
                <w:sz w:val="20"/>
                <w:szCs w:val="20"/>
                <w:color w:val="auto"/>
              </w:rPr>
            </w:pPr>
            <w:r>
              <w:rPr>
                <w:rFonts w:ascii="Arial" w:cs="Arial" w:eastAsia="Arial" w:hAnsi="Arial"/>
                <w:sz w:val="11"/>
                <w:szCs w:val="11"/>
                <w:color w:val="auto"/>
              </w:rPr>
              <w:t>GREENVILLE</w:t>
            </w:r>
          </w:p>
        </w:tc>
        <w:tc>
          <w:tcPr>
            <w:tcW w:w="800" w:type="dxa"/>
            <w:vAlign w:val="bottom"/>
          </w:tcPr>
          <w:p>
            <w:pPr>
              <w:ind w:left="220"/>
              <w:spacing w:after="0"/>
              <w:rPr>
                <w:sz w:val="20"/>
                <w:szCs w:val="20"/>
                <w:color w:val="auto"/>
              </w:rPr>
            </w:pPr>
            <w:r>
              <w:rPr>
                <w:rFonts w:ascii="Arial" w:cs="Arial" w:eastAsia="Arial" w:hAnsi="Arial"/>
                <w:sz w:val="11"/>
                <w:szCs w:val="11"/>
                <w:color w:val="auto"/>
              </w:rPr>
              <w:t>SC 29615</w:t>
            </w:r>
          </w:p>
        </w:tc>
        <w:tc>
          <w:tcPr>
            <w:tcW w:w="82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28"/>
        </w:trPr>
        <w:tc>
          <w:tcPr>
            <w:tcW w:w="1260" w:type="dxa"/>
            <w:vAlign w:val="bottom"/>
          </w:tcPr>
          <w:p>
            <w:pPr>
              <w:spacing w:after="0"/>
              <w:rPr>
                <w:sz w:val="20"/>
                <w:szCs w:val="20"/>
                <w:color w:val="auto"/>
              </w:rPr>
            </w:pPr>
            <w:r>
              <w:rPr>
                <w:rFonts w:ascii="Arial" w:cs="Arial" w:eastAsia="Arial" w:hAnsi="Arial"/>
                <w:sz w:val="11"/>
                <w:szCs w:val="11"/>
                <w:color w:val="auto"/>
              </w:rPr>
              <w:t>9881 CHASE</w:t>
            </w:r>
          </w:p>
        </w:tc>
        <w:tc>
          <w:tcPr>
            <w:tcW w:w="1900" w:type="dxa"/>
            <w:vAlign w:val="bottom"/>
          </w:tcPr>
          <w:p>
            <w:pPr>
              <w:spacing w:after="0"/>
              <w:rPr>
                <w:sz w:val="20"/>
                <w:szCs w:val="20"/>
                <w:color w:val="auto"/>
              </w:rPr>
            </w:pPr>
            <w:r>
              <w:rPr>
                <w:rFonts w:ascii="Arial" w:cs="Arial" w:eastAsia="Arial" w:hAnsi="Arial"/>
                <w:sz w:val="11"/>
                <w:szCs w:val="11"/>
                <w:color w:val="auto"/>
              </w:rPr>
              <w:t>1460 ROUTE 9</w:t>
            </w:r>
          </w:p>
        </w:tc>
        <w:tc>
          <w:tcPr>
            <w:tcW w:w="1360" w:type="dxa"/>
            <w:vAlign w:val="bottom"/>
          </w:tcPr>
          <w:p>
            <w:pPr>
              <w:ind w:left="400"/>
              <w:spacing w:after="0"/>
              <w:rPr>
                <w:sz w:val="20"/>
                <w:szCs w:val="20"/>
                <w:color w:val="auto"/>
              </w:rPr>
            </w:pPr>
            <w:r>
              <w:rPr>
                <w:rFonts w:ascii="Arial" w:cs="Arial" w:eastAsia="Arial" w:hAnsi="Arial"/>
                <w:sz w:val="11"/>
                <w:szCs w:val="11"/>
                <w:color w:val="auto"/>
              </w:rPr>
              <w:t>Wappingers Falls</w:t>
            </w:r>
          </w:p>
        </w:tc>
        <w:tc>
          <w:tcPr>
            <w:tcW w:w="800" w:type="dxa"/>
            <w:vAlign w:val="bottom"/>
          </w:tcPr>
          <w:p>
            <w:pPr>
              <w:ind w:left="220"/>
              <w:spacing w:after="0"/>
              <w:rPr>
                <w:sz w:val="20"/>
                <w:szCs w:val="20"/>
                <w:color w:val="auto"/>
              </w:rPr>
            </w:pPr>
            <w:r>
              <w:rPr>
                <w:rFonts w:ascii="Arial" w:cs="Arial" w:eastAsia="Arial" w:hAnsi="Arial"/>
                <w:sz w:val="11"/>
                <w:szCs w:val="11"/>
                <w:color w:val="auto"/>
              </w:rPr>
              <w:t>NY 12590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(845) 298-2461  ***</w:t>
            </w:r>
          </w:p>
        </w:tc>
      </w:tr>
      <w:tr>
        <w:trPr>
          <w:trHeight w:val="136"/>
        </w:trPr>
        <w:tc>
          <w:tcPr>
            <w:tcW w:w="1260" w:type="dxa"/>
            <w:vAlign w:val="bottom"/>
          </w:tcPr>
          <w:p>
            <w:pPr>
              <w:ind w:left="240"/>
              <w:spacing w:after="0"/>
              <w:rPr>
                <w:sz w:val="20"/>
                <w:szCs w:val="20"/>
                <w:color w:val="auto"/>
              </w:rPr>
            </w:pPr>
            <w:r>
              <w:rPr>
                <w:rFonts w:ascii="Arial" w:cs="Arial" w:eastAsia="Arial" w:hAnsi="Arial"/>
                <w:sz w:val="11"/>
                <w:szCs w:val="11"/>
                <w:color w:val="auto"/>
              </w:rPr>
              <w:t>(JPMORGAN)</w:t>
            </w:r>
          </w:p>
        </w:tc>
        <w:tc>
          <w:tcPr>
            <w:tcW w:w="1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71"/>
        </w:trPr>
        <w:tc>
          <w:tcPr>
            <w:tcW w:w="1260" w:type="dxa"/>
            <w:vAlign w:val="bottom"/>
          </w:tcPr>
          <w:p>
            <w:pPr>
              <w:spacing w:after="0"/>
              <w:rPr>
                <w:sz w:val="20"/>
                <w:szCs w:val="20"/>
                <w:color w:val="auto"/>
              </w:rPr>
            </w:pPr>
            <w:r>
              <w:rPr>
                <w:rFonts w:ascii="Arial" w:cs="Arial" w:eastAsia="Arial" w:hAnsi="Arial"/>
                <w:sz w:val="11"/>
                <w:szCs w:val="11"/>
                <w:color w:val="auto"/>
                <w:w w:val="96"/>
              </w:rPr>
              <w:t>9882 BANK OF AMERICA</w:t>
            </w:r>
          </w:p>
        </w:tc>
        <w:tc>
          <w:tcPr>
            <w:tcW w:w="1900" w:type="dxa"/>
            <w:vAlign w:val="bottom"/>
          </w:tcPr>
          <w:p>
            <w:pPr>
              <w:spacing w:after="0"/>
              <w:rPr>
                <w:sz w:val="20"/>
                <w:szCs w:val="20"/>
                <w:color w:val="auto"/>
              </w:rPr>
            </w:pPr>
            <w:r>
              <w:rPr>
                <w:rFonts w:ascii="Arial" w:cs="Arial" w:eastAsia="Arial" w:hAnsi="Arial"/>
                <w:sz w:val="11"/>
                <w:szCs w:val="11"/>
                <w:color w:val="auto"/>
              </w:rPr>
              <w:t>200 MID RIVERS MALL DRIVE</w:t>
            </w:r>
          </w:p>
        </w:tc>
        <w:tc>
          <w:tcPr>
            <w:tcW w:w="1360" w:type="dxa"/>
            <w:vAlign w:val="bottom"/>
          </w:tcPr>
          <w:p>
            <w:pPr>
              <w:ind w:left="400"/>
              <w:spacing w:after="0"/>
              <w:rPr>
                <w:sz w:val="20"/>
                <w:szCs w:val="20"/>
                <w:color w:val="auto"/>
              </w:rPr>
            </w:pPr>
            <w:r>
              <w:rPr>
                <w:rFonts w:ascii="Arial" w:cs="Arial" w:eastAsia="Arial" w:hAnsi="Arial"/>
                <w:sz w:val="11"/>
                <w:szCs w:val="11"/>
                <w:color w:val="auto"/>
              </w:rPr>
              <w:t>SAINT PETERS</w:t>
            </w:r>
          </w:p>
        </w:tc>
        <w:tc>
          <w:tcPr>
            <w:tcW w:w="800" w:type="dxa"/>
            <w:vAlign w:val="bottom"/>
          </w:tcPr>
          <w:p>
            <w:pPr>
              <w:ind w:left="220"/>
              <w:spacing w:after="0"/>
              <w:rPr>
                <w:sz w:val="20"/>
                <w:szCs w:val="20"/>
                <w:color w:val="auto"/>
              </w:rPr>
            </w:pPr>
            <w:r>
              <w:rPr>
                <w:rFonts w:ascii="Arial" w:cs="Arial" w:eastAsia="Arial" w:hAnsi="Arial"/>
                <w:sz w:val="11"/>
                <w:szCs w:val="11"/>
                <w:color w:val="auto"/>
              </w:rPr>
              <w:t>MO 63376</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(636) 278-4469  ***</w:t>
            </w:r>
          </w:p>
        </w:tc>
      </w:tr>
      <w:tr>
        <w:trPr>
          <w:trHeight w:val="282"/>
        </w:trPr>
        <w:tc>
          <w:tcPr>
            <w:tcW w:w="1260" w:type="dxa"/>
            <w:vAlign w:val="bottom"/>
          </w:tcPr>
          <w:p>
            <w:pPr>
              <w:spacing w:after="0"/>
              <w:rPr>
                <w:sz w:val="20"/>
                <w:szCs w:val="20"/>
                <w:color w:val="auto"/>
              </w:rPr>
            </w:pPr>
            <w:r>
              <w:rPr>
                <w:rFonts w:ascii="Arial" w:cs="Arial" w:eastAsia="Arial" w:hAnsi="Arial"/>
                <w:sz w:val="11"/>
                <w:szCs w:val="11"/>
                <w:color w:val="auto"/>
              </w:rPr>
              <w:t>5000 Bank Of America</w:t>
            </w:r>
          </w:p>
        </w:tc>
        <w:tc>
          <w:tcPr>
            <w:tcW w:w="1900" w:type="dxa"/>
            <w:vAlign w:val="bottom"/>
          </w:tcPr>
          <w:p>
            <w:pPr>
              <w:spacing w:after="0"/>
              <w:rPr>
                <w:sz w:val="20"/>
                <w:szCs w:val="20"/>
                <w:color w:val="auto"/>
              </w:rPr>
            </w:pPr>
            <w:r>
              <w:rPr>
                <w:rFonts w:ascii="Arial" w:cs="Arial" w:eastAsia="Arial" w:hAnsi="Arial"/>
                <w:sz w:val="11"/>
                <w:szCs w:val="11"/>
                <w:color w:val="auto"/>
              </w:rPr>
              <w:t>33 New Montgomery Street</w:t>
            </w:r>
          </w:p>
        </w:tc>
        <w:tc>
          <w:tcPr>
            <w:tcW w:w="1360" w:type="dxa"/>
            <w:vAlign w:val="bottom"/>
          </w:tcPr>
          <w:p>
            <w:pPr>
              <w:ind w:left="400"/>
              <w:spacing w:after="0"/>
              <w:rPr>
                <w:sz w:val="20"/>
                <w:szCs w:val="20"/>
                <w:color w:val="auto"/>
              </w:rPr>
            </w:pPr>
            <w:r>
              <w:rPr>
                <w:rFonts w:ascii="Arial" w:cs="Arial" w:eastAsia="Arial" w:hAnsi="Arial"/>
                <w:sz w:val="11"/>
                <w:szCs w:val="11"/>
                <w:color w:val="auto"/>
              </w:rPr>
              <w:t>San Francisco</w:t>
            </w:r>
          </w:p>
        </w:tc>
        <w:tc>
          <w:tcPr>
            <w:tcW w:w="800" w:type="dxa"/>
            <w:vAlign w:val="bottom"/>
          </w:tcPr>
          <w:p>
            <w:pPr>
              <w:ind w:left="220"/>
              <w:spacing w:after="0"/>
              <w:rPr>
                <w:sz w:val="20"/>
                <w:szCs w:val="20"/>
                <w:color w:val="auto"/>
              </w:rPr>
            </w:pPr>
            <w:r>
              <w:rPr>
                <w:rFonts w:ascii="Arial" w:cs="Arial" w:eastAsia="Arial" w:hAnsi="Arial"/>
                <w:sz w:val="11"/>
                <w:szCs w:val="11"/>
                <w:color w:val="auto"/>
              </w:rPr>
              <w:t>CA 94103</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415-624-0791   ***</w:t>
            </w:r>
          </w:p>
        </w:tc>
      </w:tr>
      <w:tr>
        <w:trPr>
          <w:trHeight w:val="282"/>
        </w:trPr>
        <w:tc>
          <w:tcPr>
            <w:tcW w:w="1260" w:type="dxa"/>
            <w:vAlign w:val="bottom"/>
          </w:tcPr>
          <w:p>
            <w:pPr>
              <w:spacing w:after="0"/>
              <w:rPr>
                <w:sz w:val="20"/>
                <w:szCs w:val="20"/>
                <w:color w:val="auto"/>
              </w:rPr>
            </w:pPr>
            <w:r>
              <w:rPr>
                <w:rFonts w:ascii="Arial" w:cs="Arial" w:eastAsia="Arial" w:hAnsi="Arial"/>
                <w:sz w:val="11"/>
                <w:szCs w:val="11"/>
                <w:color w:val="auto"/>
                <w:w w:val="86"/>
              </w:rPr>
              <w:t>5008 JP Morgan Chase Bank</w:t>
            </w:r>
          </w:p>
        </w:tc>
        <w:tc>
          <w:tcPr>
            <w:tcW w:w="1900" w:type="dxa"/>
            <w:vAlign w:val="bottom"/>
          </w:tcPr>
          <w:p>
            <w:pPr>
              <w:spacing w:after="0"/>
              <w:rPr>
                <w:sz w:val="24"/>
                <w:szCs w:val="24"/>
                <w:color w:val="auto"/>
              </w:rPr>
            </w:pPr>
          </w:p>
        </w:tc>
        <w:tc>
          <w:tcPr>
            <w:tcW w:w="1360" w:type="dxa"/>
            <w:vAlign w:val="bottom"/>
          </w:tcPr>
          <w:p>
            <w:pPr>
              <w:ind w:left="400"/>
              <w:spacing w:after="0"/>
              <w:rPr>
                <w:sz w:val="20"/>
                <w:szCs w:val="20"/>
                <w:color w:val="auto"/>
              </w:rPr>
            </w:pPr>
            <w:r>
              <w:rPr>
                <w:rFonts w:ascii="Arial" w:cs="Arial" w:eastAsia="Arial" w:hAnsi="Arial"/>
                <w:sz w:val="11"/>
                <w:szCs w:val="11"/>
                <w:color w:val="auto"/>
              </w:rPr>
              <w:t>Beverly Hills</w:t>
            </w:r>
          </w:p>
        </w:tc>
        <w:tc>
          <w:tcPr>
            <w:tcW w:w="800" w:type="dxa"/>
            <w:vAlign w:val="bottom"/>
          </w:tcPr>
          <w:p>
            <w:pPr>
              <w:ind w:left="220"/>
              <w:spacing w:after="0"/>
              <w:rPr>
                <w:sz w:val="20"/>
                <w:szCs w:val="20"/>
                <w:color w:val="auto"/>
              </w:rPr>
            </w:pPr>
            <w:r>
              <w:rPr>
                <w:rFonts w:ascii="Arial" w:cs="Arial" w:eastAsia="Arial" w:hAnsi="Arial"/>
                <w:sz w:val="11"/>
                <w:szCs w:val="11"/>
                <w:color w:val="auto"/>
              </w:rPr>
              <w:t>CA 90212</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310-777-2746   ***</w:t>
            </w:r>
          </w:p>
        </w:tc>
      </w:tr>
      <w:tr>
        <w:trPr>
          <w:trHeight w:val="353"/>
        </w:trPr>
        <w:tc>
          <w:tcPr>
            <w:tcW w:w="1260" w:type="dxa"/>
            <w:vAlign w:val="bottom"/>
          </w:tcPr>
          <w:p>
            <w:pPr>
              <w:spacing w:after="0"/>
              <w:rPr>
                <w:sz w:val="20"/>
                <w:szCs w:val="20"/>
                <w:color w:val="auto"/>
              </w:rPr>
            </w:pPr>
            <w:r>
              <w:rPr>
                <w:rFonts w:ascii="Arial" w:cs="Arial" w:eastAsia="Arial" w:hAnsi="Arial"/>
                <w:sz w:val="11"/>
                <w:szCs w:val="11"/>
                <w:color w:val="auto"/>
                <w:w w:val="86"/>
              </w:rPr>
              <w:t>5013 JP Morgan Chase Bank</w:t>
            </w:r>
          </w:p>
        </w:tc>
        <w:tc>
          <w:tcPr>
            <w:tcW w:w="1900" w:type="dxa"/>
            <w:vAlign w:val="bottom"/>
          </w:tcPr>
          <w:p>
            <w:pPr>
              <w:spacing w:after="0"/>
              <w:rPr>
                <w:sz w:val="20"/>
                <w:szCs w:val="20"/>
                <w:color w:val="auto"/>
              </w:rPr>
            </w:pPr>
            <w:r>
              <w:rPr>
                <w:rFonts w:ascii="Arial" w:cs="Arial" w:eastAsia="Arial" w:hAnsi="Arial"/>
                <w:sz w:val="11"/>
                <w:szCs w:val="11"/>
                <w:color w:val="auto"/>
              </w:rPr>
              <w:t>1251 Avenue of the Americas</w:t>
            </w:r>
          </w:p>
        </w:tc>
        <w:tc>
          <w:tcPr>
            <w:tcW w:w="1360" w:type="dxa"/>
            <w:vAlign w:val="bottom"/>
          </w:tcPr>
          <w:p>
            <w:pPr>
              <w:ind w:left="400"/>
              <w:spacing w:after="0"/>
              <w:rPr>
                <w:sz w:val="20"/>
                <w:szCs w:val="20"/>
                <w:color w:val="auto"/>
              </w:rPr>
            </w:pPr>
            <w:r>
              <w:rPr>
                <w:rFonts w:ascii="Arial" w:cs="Arial" w:eastAsia="Arial" w:hAnsi="Arial"/>
                <w:sz w:val="11"/>
                <w:szCs w:val="11"/>
                <w:color w:val="auto"/>
              </w:rPr>
              <w:t>New York</w:t>
            </w:r>
          </w:p>
        </w:tc>
        <w:tc>
          <w:tcPr>
            <w:tcW w:w="800" w:type="dxa"/>
            <w:vAlign w:val="bottom"/>
          </w:tcPr>
          <w:p>
            <w:pPr>
              <w:ind w:left="220"/>
              <w:spacing w:after="0"/>
              <w:rPr>
                <w:sz w:val="20"/>
                <w:szCs w:val="20"/>
                <w:color w:val="auto"/>
              </w:rPr>
            </w:pPr>
            <w:r>
              <w:rPr>
                <w:rFonts w:ascii="Arial" w:cs="Arial" w:eastAsia="Arial" w:hAnsi="Arial"/>
                <w:sz w:val="11"/>
                <w:szCs w:val="11"/>
                <w:color w:val="auto"/>
              </w:rPr>
              <w:t>NY 10019</w:t>
            </w:r>
          </w:p>
        </w:tc>
        <w:tc>
          <w:tcPr>
            <w:tcW w:w="8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53"/>
        </w:trPr>
        <w:tc>
          <w:tcPr>
            <w:tcW w:w="1260" w:type="dxa"/>
            <w:vAlign w:val="bottom"/>
          </w:tcPr>
          <w:p>
            <w:pPr>
              <w:spacing w:after="0"/>
              <w:rPr>
                <w:sz w:val="20"/>
                <w:szCs w:val="20"/>
                <w:color w:val="auto"/>
              </w:rPr>
            </w:pPr>
            <w:r>
              <w:rPr>
                <w:rFonts w:ascii="Arial" w:cs="Arial" w:eastAsia="Arial" w:hAnsi="Arial"/>
                <w:sz w:val="11"/>
                <w:szCs w:val="11"/>
                <w:color w:val="auto"/>
              </w:rPr>
              <w:t>5014 Bank Of America</w:t>
            </w:r>
          </w:p>
        </w:tc>
        <w:tc>
          <w:tcPr>
            <w:tcW w:w="1900" w:type="dxa"/>
            <w:vAlign w:val="bottom"/>
          </w:tcPr>
          <w:p>
            <w:pPr>
              <w:spacing w:after="0"/>
              <w:rPr>
                <w:sz w:val="20"/>
                <w:szCs w:val="20"/>
                <w:color w:val="auto"/>
              </w:rPr>
            </w:pPr>
            <w:r>
              <w:rPr>
                <w:rFonts w:ascii="Arial" w:cs="Arial" w:eastAsia="Arial" w:hAnsi="Arial"/>
                <w:sz w:val="11"/>
                <w:szCs w:val="11"/>
                <w:color w:val="auto"/>
              </w:rPr>
              <w:t>11868 Preston Road</w:t>
            </w:r>
          </w:p>
        </w:tc>
        <w:tc>
          <w:tcPr>
            <w:tcW w:w="1360" w:type="dxa"/>
            <w:vAlign w:val="bottom"/>
          </w:tcPr>
          <w:p>
            <w:pPr>
              <w:ind w:left="400"/>
              <w:spacing w:after="0"/>
              <w:rPr>
                <w:sz w:val="20"/>
                <w:szCs w:val="20"/>
                <w:color w:val="auto"/>
              </w:rPr>
            </w:pPr>
            <w:r>
              <w:rPr>
                <w:rFonts w:ascii="Arial" w:cs="Arial" w:eastAsia="Arial" w:hAnsi="Arial"/>
                <w:sz w:val="11"/>
                <w:szCs w:val="11"/>
                <w:color w:val="auto"/>
              </w:rPr>
              <w:t>Dallas</w:t>
            </w:r>
          </w:p>
        </w:tc>
        <w:tc>
          <w:tcPr>
            <w:tcW w:w="800" w:type="dxa"/>
            <w:vAlign w:val="bottom"/>
          </w:tcPr>
          <w:p>
            <w:pPr>
              <w:ind w:left="220"/>
              <w:spacing w:after="0"/>
              <w:rPr>
                <w:sz w:val="20"/>
                <w:szCs w:val="20"/>
                <w:color w:val="auto"/>
              </w:rPr>
            </w:pPr>
            <w:r>
              <w:rPr>
                <w:rFonts w:ascii="Arial" w:cs="Arial" w:eastAsia="Arial" w:hAnsi="Arial"/>
                <w:sz w:val="11"/>
                <w:szCs w:val="11"/>
                <w:color w:val="auto"/>
              </w:rPr>
              <w:t>TX 75230</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972-448-2750   ***</w:t>
            </w:r>
          </w:p>
        </w:tc>
      </w:tr>
      <w:tr>
        <w:trPr>
          <w:trHeight w:val="282"/>
        </w:trPr>
        <w:tc>
          <w:tcPr>
            <w:tcW w:w="1260" w:type="dxa"/>
            <w:vAlign w:val="bottom"/>
          </w:tcPr>
          <w:p>
            <w:pPr>
              <w:spacing w:after="0"/>
              <w:rPr>
                <w:sz w:val="20"/>
                <w:szCs w:val="20"/>
                <w:color w:val="auto"/>
              </w:rPr>
            </w:pPr>
            <w:r>
              <w:rPr>
                <w:rFonts w:ascii="Arial" w:cs="Arial" w:eastAsia="Arial" w:hAnsi="Arial"/>
                <w:sz w:val="11"/>
                <w:szCs w:val="11"/>
                <w:color w:val="auto"/>
              </w:rPr>
              <w:t>5016 Bank Of America</w:t>
            </w:r>
          </w:p>
        </w:tc>
        <w:tc>
          <w:tcPr>
            <w:tcW w:w="1900" w:type="dxa"/>
            <w:vAlign w:val="bottom"/>
          </w:tcPr>
          <w:p>
            <w:pPr>
              <w:spacing w:after="0"/>
              <w:rPr>
                <w:sz w:val="20"/>
                <w:szCs w:val="20"/>
                <w:color w:val="auto"/>
              </w:rPr>
            </w:pPr>
            <w:r>
              <w:rPr>
                <w:rFonts w:ascii="Arial" w:cs="Arial" w:eastAsia="Arial" w:hAnsi="Arial"/>
                <w:sz w:val="11"/>
                <w:szCs w:val="11"/>
                <w:color w:val="auto"/>
              </w:rPr>
              <w:t>1801 K Street, NW</w:t>
            </w:r>
          </w:p>
        </w:tc>
        <w:tc>
          <w:tcPr>
            <w:tcW w:w="1360" w:type="dxa"/>
            <w:vAlign w:val="bottom"/>
          </w:tcPr>
          <w:p>
            <w:pPr>
              <w:ind w:left="400"/>
              <w:spacing w:after="0"/>
              <w:rPr>
                <w:sz w:val="20"/>
                <w:szCs w:val="20"/>
                <w:color w:val="auto"/>
              </w:rPr>
            </w:pPr>
            <w:r>
              <w:rPr>
                <w:rFonts w:ascii="Arial" w:cs="Arial" w:eastAsia="Arial" w:hAnsi="Arial"/>
                <w:sz w:val="11"/>
                <w:szCs w:val="11"/>
                <w:color w:val="auto"/>
              </w:rPr>
              <w:t>Washington</w:t>
            </w:r>
          </w:p>
        </w:tc>
        <w:tc>
          <w:tcPr>
            <w:tcW w:w="800" w:type="dxa"/>
            <w:vAlign w:val="bottom"/>
          </w:tcPr>
          <w:p>
            <w:pPr>
              <w:ind w:left="220"/>
              <w:spacing w:after="0"/>
              <w:rPr>
                <w:sz w:val="20"/>
                <w:szCs w:val="20"/>
                <w:color w:val="auto"/>
              </w:rPr>
            </w:pPr>
            <w:r>
              <w:rPr>
                <w:rFonts w:ascii="Arial" w:cs="Arial" w:eastAsia="Arial" w:hAnsi="Arial"/>
                <w:sz w:val="11"/>
                <w:szCs w:val="11"/>
                <w:color w:val="auto"/>
              </w:rPr>
              <w:t>DC 20036</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202-624-5110</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1260" w:type="dxa"/>
            <w:vAlign w:val="bottom"/>
          </w:tcPr>
          <w:p>
            <w:pPr>
              <w:spacing w:after="0"/>
              <w:rPr>
                <w:sz w:val="20"/>
                <w:szCs w:val="20"/>
                <w:color w:val="auto"/>
              </w:rPr>
            </w:pPr>
            <w:r>
              <w:rPr>
                <w:rFonts w:ascii="Arial" w:cs="Arial" w:eastAsia="Arial" w:hAnsi="Arial"/>
                <w:sz w:val="11"/>
                <w:szCs w:val="11"/>
                <w:color w:val="auto"/>
                <w:w w:val="99"/>
              </w:rPr>
              <w:t>5018 Barclays Blank PLC</w:t>
            </w:r>
          </w:p>
        </w:tc>
        <w:tc>
          <w:tcPr>
            <w:tcW w:w="1900" w:type="dxa"/>
            <w:vAlign w:val="bottom"/>
          </w:tcPr>
          <w:p>
            <w:pPr>
              <w:spacing w:after="0"/>
              <w:rPr>
                <w:sz w:val="20"/>
                <w:szCs w:val="20"/>
                <w:color w:val="auto"/>
              </w:rPr>
            </w:pPr>
            <w:r>
              <w:rPr>
                <w:rFonts w:ascii="Arial" w:cs="Arial" w:eastAsia="Arial" w:hAnsi="Arial"/>
                <w:sz w:val="11"/>
                <w:szCs w:val="11"/>
                <w:color w:val="auto"/>
              </w:rPr>
              <w:t>54 Lombard Street</w:t>
            </w:r>
          </w:p>
        </w:tc>
        <w:tc>
          <w:tcPr>
            <w:tcW w:w="1360" w:type="dxa"/>
            <w:vAlign w:val="bottom"/>
          </w:tcPr>
          <w:p>
            <w:pPr>
              <w:ind w:left="400"/>
              <w:spacing w:after="0"/>
              <w:rPr>
                <w:sz w:val="20"/>
                <w:szCs w:val="20"/>
                <w:color w:val="auto"/>
              </w:rPr>
            </w:pPr>
            <w:r>
              <w:rPr>
                <w:rFonts w:ascii="Arial" w:cs="Arial" w:eastAsia="Arial" w:hAnsi="Arial"/>
                <w:sz w:val="11"/>
                <w:szCs w:val="11"/>
                <w:color w:val="auto"/>
              </w:rPr>
              <w:t>London, England</w:t>
            </w:r>
          </w:p>
        </w:tc>
        <w:tc>
          <w:tcPr>
            <w:tcW w:w="8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44-121-333-7722***</w:t>
            </w:r>
          </w:p>
        </w:tc>
      </w:tr>
      <w:tr>
        <w:trPr>
          <w:trHeight w:val="353"/>
        </w:trPr>
        <w:tc>
          <w:tcPr>
            <w:tcW w:w="1260" w:type="dxa"/>
            <w:vAlign w:val="bottom"/>
          </w:tcPr>
          <w:p>
            <w:pPr>
              <w:spacing w:after="0"/>
              <w:rPr>
                <w:sz w:val="20"/>
                <w:szCs w:val="20"/>
                <w:color w:val="auto"/>
              </w:rPr>
            </w:pPr>
            <w:r>
              <w:rPr>
                <w:rFonts w:ascii="Arial" w:cs="Arial" w:eastAsia="Arial" w:hAnsi="Arial"/>
                <w:sz w:val="11"/>
                <w:szCs w:val="11"/>
                <w:color w:val="auto"/>
              </w:rPr>
              <w:t>5025 Bank Of America</w:t>
            </w:r>
          </w:p>
        </w:tc>
        <w:tc>
          <w:tcPr>
            <w:tcW w:w="1900" w:type="dxa"/>
            <w:vAlign w:val="bottom"/>
          </w:tcPr>
          <w:p>
            <w:pPr>
              <w:spacing w:after="0"/>
              <w:rPr>
                <w:sz w:val="20"/>
                <w:szCs w:val="20"/>
                <w:color w:val="auto"/>
              </w:rPr>
            </w:pPr>
            <w:r>
              <w:rPr>
                <w:rFonts w:ascii="Arial" w:cs="Arial" w:eastAsia="Arial" w:hAnsi="Arial"/>
                <w:sz w:val="11"/>
                <w:szCs w:val="11"/>
                <w:color w:val="auto"/>
              </w:rPr>
              <w:t>19645 Biscayne Blvd.</w:t>
            </w:r>
          </w:p>
        </w:tc>
        <w:tc>
          <w:tcPr>
            <w:tcW w:w="1360" w:type="dxa"/>
            <w:vAlign w:val="bottom"/>
          </w:tcPr>
          <w:p>
            <w:pPr>
              <w:ind w:left="400"/>
              <w:spacing w:after="0"/>
              <w:rPr>
                <w:sz w:val="20"/>
                <w:szCs w:val="20"/>
                <w:color w:val="auto"/>
              </w:rPr>
            </w:pPr>
            <w:r>
              <w:rPr>
                <w:rFonts w:ascii="Arial" w:cs="Arial" w:eastAsia="Arial" w:hAnsi="Arial"/>
                <w:sz w:val="11"/>
                <w:szCs w:val="11"/>
                <w:color w:val="auto"/>
              </w:rPr>
              <w:t>Aventura</w:t>
            </w:r>
          </w:p>
        </w:tc>
        <w:tc>
          <w:tcPr>
            <w:tcW w:w="800" w:type="dxa"/>
            <w:vAlign w:val="bottom"/>
          </w:tcPr>
          <w:p>
            <w:pPr>
              <w:ind w:left="220"/>
              <w:spacing w:after="0"/>
              <w:rPr>
                <w:sz w:val="20"/>
                <w:szCs w:val="20"/>
                <w:color w:val="auto"/>
              </w:rPr>
            </w:pPr>
            <w:r>
              <w:rPr>
                <w:rFonts w:ascii="Arial" w:cs="Arial" w:eastAsia="Arial" w:hAnsi="Arial"/>
                <w:sz w:val="11"/>
                <w:szCs w:val="11"/>
                <w:color w:val="auto"/>
              </w:rPr>
              <w:t>FL 33160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305-466-0436</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1260" w:type="dxa"/>
            <w:vAlign w:val="bottom"/>
          </w:tcPr>
          <w:p>
            <w:pPr>
              <w:spacing w:after="0"/>
              <w:rPr>
                <w:sz w:val="20"/>
                <w:szCs w:val="20"/>
                <w:color w:val="auto"/>
              </w:rPr>
            </w:pPr>
            <w:r>
              <w:rPr>
                <w:rFonts w:ascii="Arial" w:cs="Arial" w:eastAsia="Arial" w:hAnsi="Arial"/>
                <w:sz w:val="11"/>
                <w:szCs w:val="11"/>
                <w:color w:val="auto"/>
              </w:rPr>
              <w:t>5029 Bank Of America</w:t>
            </w:r>
          </w:p>
        </w:tc>
        <w:tc>
          <w:tcPr>
            <w:tcW w:w="1900" w:type="dxa"/>
            <w:vAlign w:val="bottom"/>
          </w:tcPr>
          <w:p>
            <w:pPr>
              <w:spacing w:after="0"/>
              <w:rPr>
                <w:sz w:val="20"/>
                <w:szCs w:val="20"/>
                <w:color w:val="auto"/>
              </w:rPr>
            </w:pPr>
            <w:r>
              <w:rPr>
                <w:rFonts w:ascii="Arial" w:cs="Arial" w:eastAsia="Arial" w:hAnsi="Arial"/>
                <w:sz w:val="11"/>
                <w:szCs w:val="11"/>
                <w:color w:val="auto"/>
              </w:rPr>
              <w:t>240 Plandome Road</w:t>
            </w:r>
          </w:p>
        </w:tc>
        <w:tc>
          <w:tcPr>
            <w:tcW w:w="1360" w:type="dxa"/>
            <w:vAlign w:val="bottom"/>
          </w:tcPr>
          <w:p>
            <w:pPr>
              <w:ind w:left="400"/>
              <w:spacing w:after="0"/>
              <w:rPr>
                <w:sz w:val="20"/>
                <w:szCs w:val="20"/>
                <w:color w:val="auto"/>
              </w:rPr>
            </w:pPr>
            <w:r>
              <w:rPr>
                <w:rFonts w:ascii="Arial" w:cs="Arial" w:eastAsia="Arial" w:hAnsi="Arial"/>
                <w:sz w:val="11"/>
                <w:szCs w:val="11"/>
                <w:color w:val="auto"/>
              </w:rPr>
              <w:t>Manhasset</w:t>
            </w:r>
          </w:p>
        </w:tc>
        <w:tc>
          <w:tcPr>
            <w:tcW w:w="800" w:type="dxa"/>
            <w:vAlign w:val="bottom"/>
          </w:tcPr>
          <w:p>
            <w:pPr>
              <w:ind w:left="220"/>
              <w:spacing w:after="0"/>
              <w:rPr>
                <w:sz w:val="20"/>
                <w:szCs w:val="20"/>
                <w:color w:val="auto"/>
              </w:rPr>
            </w:pPr>
            <w:r>
              <w:rPr>
                <w:rFonts w:ascii="Arial" w:cs="Arial" w:eastAsia="Arial" w:hAnsi="Arial"/>
                <w:sz w:val="11"/>
                <w:szCs w:val="11"/>
                <w:color w:val="auto"/>
              </w:rPr>
              <w:t>NY 11030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800-841-4000</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82"/>
        </w:trPr>
        <w:tc>
          <w:tcPr>
            <w:tcW w:w="1260" w:type="dxa"/>
            <w:vAlign w:val="bottom"/>
          </w:tcPr>
          <w:p>
            <w:pPr>
              <w:spacing w:after="0"/>
              <w:rPr>
                <w:sz w:val="20"/>
                <w:szCs w:val="20"/>
                <w:color w:val="auto"/>
              </w:rPr>
            </w:pPr>
            <w:r>
              <w:rPr>
                <w:rFonts w:ascii="Arial" w:cs="Arial" w:eastAsia="Arial" w:hAnsi="Arial"/>
                <w:sz w:val="11"/>
                <w:szCs w:val="11"/>
                <w:color w:val="auto"/>
              </w:rPr>
              <w:t>5103 Bank Of America</w:t>
            </w:r>
          </w:p>
        </w:tc>
        <w:tc>
          <w:tcPr>
            <w:tcW w:w="1900" w:type="dxa"/>
            <w:vAlign w:val="bottom"/>
          </w:tcPr>
          <w:p>
            <w:pPr>
              <w:spacing w:after="0"/>
              <w:rPr>
                <w:sz w:val="20"/>
                <w:szCs w:val="20"/>
                <w:color w:val="auto"/>
              </w:rPr>
            </w:pPr>
            <w:r>
              <w:rPr>
                <w:rFonts w:ascii="Arial" w:cs="Arial" w:eastAsia="Arial" w:hAnsi="Arial"/>
                <w:sz w:val="11"/>
                <w:szCs w:val="11"/>
                <w:color w:val="auto"/>
              </w:rPr>
              <w:t>2000 West Glades Road</w:t>
            </w:r>
          </w:p>
        </w:tc>
        <w:tc>
          <w:tcPr>
            <w:tcW w:w="1360" w:type="dxa"/>
            <w:vAlign w:val="bottom"/>
          </w:tcPr>
          <w:p>
            <w:pPr>
              <w:ind w:left="400"/>
              <w:spacing w:after="0"/>
              <w:rPr>
                <w:sz w:val="20"/>
                <w:szCs w:val="20"/>
                <w:color w:val="auto"/>
              </w:rPr>
            </w:pPr>
            <w:r>
              <w:rPr>
                <w:rFonts w:ascii="Arial" w:cs="Arial" w:eastAsia="Arial" w:hAnsi="Arial"/>
                <w:sz w:val="11"/>
                <w:szCs w:val="11"/>
                <w:color w:val="auto"/>
              </w:rPr>
              <w:t>Boca Raton</w:t>
            </w:r>
          </w:p>
        </w:tc>
        <w:tc>
          <w:tcPr>
            <w:tcW w:w="800" w:type="dxa"/>
            <w:vAlign w:val="bottom"/>
          </w:tcPr>
          <w:p>
            <w:pPr>
              <w:ind w:left="220"/>
              <w:spacing w:after="0"/>
              <w:rPr>
                <w:sz w:val="20"/>
                <w:szCs w:val="20"/>
                <w:color w:val="auto"/>
              </w:rPr>
            </w:pPr>
            <w:r>
              <w:rPr>
                <w:rFonts w:ascii="Arial" w:cs="Arial" w:eastAsia="Arial" w:hAnsi="Arial"/>
                <w:sz w:val="11"/>
                <w:szCs w:val="11"/>
                <w:color w:val="auto"/>
              </w:rPr>
              <w:t>FL 33431</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561-447-8767</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1753870</wp:posOffset>
            </wp:positionH>
            <wp:positionV relativeFrom="page">
              <wp:posOffset>88900</wp:posOffset>
            </wp:positionV>
            <wp:extent cx="4060190" cy="2439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60190" cy="243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79" w:hanging="979"/>
        <w:spacing w:after="0"/>
        <w:tabs>
          <w:tab w:leader="none" w:pos="979" w:val="left"/>
        </w:tabs>
        <w:numPr>
          <w:ilvl w:val="0"/>
          <w:numId w:val="217"/>
        </w:numPr>
        <w:rPr>
          <w:rFonts w:ascii="Arial" w:cs="Arial" w:eastAsia="Arial" w:hAnsi="Arial"/>
          <w:sz w:val="14"/>
          <w:szCs w:val="14"/>
          <w:b w:val="1"/>
          <w:bCs w:val="1"/>
          <w:color w:val="auto"/>
        </w:rPr>
      </w:pPr>
      <w:r>
        <w:rPr>
          <w:rFonts w:ascii="Arial" w:cs="Arial" w:eastAsia="Arial" w:hAnsi="Arial"/>
          <w:sz w:val="12"/>
          <w:szCs w:val="12"/>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0559"/>
          </w:cols>
          <w:pgMar w:left="221" w:top="298" w:right="1119" w:bottom="1440" w:gutter="0" w:footer="0" w:header="0"/>
        </w:sectPr>
      </w:pPr>
    </w:p>
    <w:bookmarkStart w:id="215" w:name="page216"/>
    <w:bookmarkEnd w:id="215"/>
    <w:p>
      <w:pPr>
        <w:jc w:val="center"/>
        <w:ind w:right="-999"/>
        <w:spacing w:after="0"/>
        <w:rPr>
          <w:sz w:val="20"/>
          <w:szCs w:val="20"/>
          <w:color w:val="auto"/>
        </w:rPr>
      </w:pPr>
      <w:r>
        <w:rPr>
          <w:rFonts w:ascii="Arial" w:cs="Arial" w:eastAsia="Arial" w:hAnsi="Arial"/>
          <w:sz w:val="16"/>
          <w:szCs w:val="16"/>
          <w:b w:val="1"/>
          <w:bCs w:val="1"/>
          <w:u w:val="single" w:color="auto"/>
          <w:color w:val="auto"/>
        </w:rPr>
        <w:t>EXHIBIT 7.2</w:t>
      </w:r>
    </w:p>
    <w:p>
      <w:pPr>
        <w:spacing w:after="0" w:line="15"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u w:val="single" w:color="auto"/>
          <w:color w:val="auto"/>
        </w:rPr>
        <w:t>Credit Card Arrangements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Merchant Services Bankcard Agreement, by and among Destination XL Group, Inc.(“DXLG”), The Chase Manhattan Bank and Chase Merchant Services, L.L.C.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DXLG entities operate under credit card arrangements with Chase Merchant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Services, L.L.C. as follows:</w:t>
      </w:r>
    </w:p>
    <w:p>
      <w:pPr>
        <w:spacing w:after="0" w:line="78" w:lineRule="exact"/>
        <w:rPr>
          <w:sz w:val="20"/>
          <w:szCs w:val="20"/>
          <w:color w:val="auto"/>
        </w:rPr>
      </w:pPr>
    </w:p>
    <w:p>
      <w:pPr>
        <w:ind w:left="1980" w:hanging="328"/>
        <w:spacing w:after="0"/>
        <w:tabs>
          <w:tab w:leader="none" w:pos="19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Visa</w:t>
      </w:r>
    </w:p>
    <w:p>
      <w:pPr>
        <w:spacing w:after="0" w:line="78" w:lineRule="exact"/>
        <w:rPr>
          <w:rFonts w:ascii="Arial" w:cs="Arial" w:eastAsia="Arial" w:hAnsi="Arial"/>
          <w:sz w:val="16"/>
          <w:szCs w:val="16"/>
          <w:color w:val="auto"/>
        </w:rPr>
      </w:pPr>
    </w:p>
    <w:p>
      <w:pPr>
        <w:ind w:left="1980" w:hanging="328"/>
        <w:spacing w:after="0"/>
        <w:tabs>
          <w:tab w:leader="none" w:pos="19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MasterCard</w:t>
      </w:r>
    </w:p>
    <w:p>
      <w:pPr>
        <w:spacing w:after="0" w:line="78" w:lineRule="exact"/>
        <w:rPr>
          <w:rFonts w:ascii="Arial" w:cs="Arial" w:eastAsia="Arial" w:hAnsi="Arial"/>
          <w:sz w:val="16"/>
          <w:szCs w:val="16"/>
          <w:color w:val="auto"/>
        </w:rPr>
      </w:pPr>
    </w:p>
    <w:p>
      <w:pPr>
        <w:ind w:left="1980" w:hanging="328"/>
        <w:spacing w:after="0"/>
        <w:tabs>
          <w:tab w:leader="none" w:pos="19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American Express</w:t>
      </w:r>
    </w:p>
    <w:p>
      <w:pPr>
        <w:spacing w:after="0" w:line="78" w:lineRule="exact"/>
        <w:rPr>
          <w:rFonts w:ascii="Arial" w:cs="Arial" w:eastAsia="Arial" w:hAnsi="Arial"/>
          <w:sz w:val="16"/>
          <w:szCs w:val="16"/>
          <w:color w:val="auto"/>
        </w:rPr>
      </w:pPr>
    </w:p>
    <w:p>
      <w:pPr>
        <w:ind w:left="1980" w:hanging="328"/>
        <w:spacing w:after="0"/>
        <w:tabs>
          <w:tab w:leader="none" w:pos="19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Discover</w:t>
      </w:r>
    </w:p>
    <w:p>
      <w:pPr>
        <w:sectPr>
          <w:pgSz w:w="11900" w:h="16838" w:orient="portrait"/>
          <w:cols w:equalWidth="0" w:num="1">
            <w:col w:w="10460"/>
          </w:cols>
          <w:pgMar w:left="220" w:top="120" w:right="121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3"/>
          <w:szCs w:val="13"/>
          <w:b w:val="1"/>
          <w:bCs w:val="1"/>
          <w:color w:val="auto"/>
        </w:rPr>
        <w:t>EXHIBIT 16.1</w:t>
      </w:r>
    </w:p>
    <w:p>
      <w:pPr>
        <w:spacing w:after="0" w:line="377" w:lineRule="exact"/>
        <w:rPr>
          <w:sz w:val="20"/>
          <w:szCs w:val="20"/>
          <w:color w:val="auto"/>
        </w:rPr>
      </w:pPr>
    </w:p>
    <w:p>
      <w:pPr>
        <w:ind w:left="760"/>
        <w:spacing w:after="0"/>
        <w:rPr>
          <w:sz w:val="20"/>
          <w:szCs w:val="20"/>
          <w:color w:val="auto"/>
        </w:rPr>
      </w:pPr>
      <w:r>
        <w:rPr>
          <w:rFonts w:ascii="Arial" w:cs="Arial" w:eastAsia="Arial" w:hAnsi="Arial"/>
          <w:sz w:val="13"/>
          <w:szCs w:val="13"/>
          <w:b w:val="1"/>
          <w:bCs w:val="1"/>
          <w:i w:val="1"/>
          <w:iCs w:val="1"/>
          <w:color w:val="auto"/>
        </w:rPr>
        <w:t>[FORM OF] ASSIGNMENT AND ACCEPTANCE</w:t>
      </w:r>
    </w:p>
    <w:p>
      <w:pPr>
        <w:spacing w:after="0" w:line="385"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Dated:</w:t>
      </w:r>
    </w:p>
    <w:p>
      <w:pPr>
        <w:spacing w:after="0" w:line="225" w:lineRule="exact"/>
        <w:rPr>
          <w:sz w:val="20"/>
          <w:szCs w:val="20"/>
          <w:color w:val="auto"/>
        </w:rPr>
      </w:pPr>
    </w:p>
    <w:p>
      <w:pPr>
        <w:ind w:left="9100"/>
        <w:spacing w:after="0"/>
        <w:rPr>
          <w:sz w:val="20"/>
          <w:szCs w:val="20"/>
          <w:color w:val="auto"/>
        </w:rPr>
      </w:pPr>
      <w:r>
        <w:rPr>
          <w:rFonts w:ascii="Arial" w:cs="Arial" w:eastAsia="Arial" w:hAnsi="Arial"/>
          <w:sz w:val="12"/>
          <w:szCs w:val="12"/>
          <w:color w:val="auto"/>
        </w:rPr>
        <w:t>Effective Date:</w:t>
      </w:r>
    </w:p>
    <w:p>
      <w:pPr>
        <w:sectPr>
          <w:pgSz w:w="11900" w:h="16838" w:orient="portrait"/>
          <w:cols w:equalWidth="0" w:num="1">
            <w:col w:w="11460"/>
          </w:cols>
          <w:pgMar w:left="220" w:top="127" w:right="219" w:bottom="1440" w:gutter="0" w:footer="0" w:header="0"/>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Re: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ind w:right="40" w:hanging="255"/>
        <w:spacing w:after="0" w:line="272" w:lineRule="auto"/>
        <w:rPr>
          <w:sz w:val="20"/>
          <w:szCs w:val="20"/>
          <w:color w:val="auto"/>
        </w:rPr>
      </w:pPr>
      <w:r>
        <w:rPr>
          <w:rFonts w:ascii="Arial" w:cs="Arial" w:eastAsia="Arial" w:hAnsi="Arial"/>
          <w:sz w:val="13"/>
          <w:szCs w:val="13"/>
          <w:color w:val="auto"/>
        </w:rPr>
        <w:t>Term Loan and Security Agreement dated October 29, 2014 (as amended,</w:t>
      </w:r>
      <w:r>
        <w:rPr>
          <w:sz w:val="20"/>
          <w:szCs w:val="20"/>
          <w:color w:val="auto"/>
        </w:rPr>
        <w:t xml:space="preserve"> </w:t>
      </w:r>
      <w:r>
        <w:rPr>
          <w:rFonts w:ascii="Arial" w:cs="Arial" w:eastAsia="Arial" w:hAnsi="Arial"/>
          <w:sz w:val="13"/>
          <w:szCs w:val="13"/>
          <w:color w:val="auto"/>
        </w:rPr>
        <w:t>modified, supplemented or restated and in effect from time to time, the “</w:t>
      </w:r>
      <w:r>
        <w:rPr>
          <w:rFonts w:ascii="Arial" w:cs="Arial" w:eastAsia="Arial" w:hAnsi="Arial"/>
          <w:sz w:val="13"/>
          <w:szCs w:val="13"/>
          <w:b w:val="1"/>
          <w:bCs w:val="1"/>
          <w:color w:val="auto"/>
        </w:rPr>
        <w:t>Loan Agreement</w:t>
      </w:r>
      <w:r>
        <w:rPr>
          <w:rFonts w:ascii="Arial" w:cs="Arial" w:eastAsia="Arial" w:hAnsi="Arial"/>
          <w:sz w:val="13"/>
          <w:szCs w:val="13"/>
          <w:color w:val="auto"/>
        </w:rPr>
        <w:t>”) between Wells Fargo Bank, National Association, as Collateral Agent and Administrative Agent for the Term Lenders, and the Term Lenders, on the one hand, and Destination XL Group, Inc., as Borrowers’ Representative for itself and the other Borrowers from time to time party thereto and as a Borrower, and each of the other Borrowers from time to time party thereto, on the other hand. (Terms used herein which are defined in the Loan Agreement have the same meaning herein as in the Loan Agreement).</w:t>
      </w:r>
    </w:p>
    <w:p>
      <w:pPr>
        <w:spacing w:after="0" w:line="200" w:lineRule="exact"/>
        <w:rPr>
          <w:sz w:val="20"/>
          <w:szCs w:val="20"/>
          <w:color w:val="auto"/>
        </w:rPr>
      </w:pPr>
    </w:p>
    <w:p>
      <w:pPr>
        <w:sectPr>
          <w:pgSz w:w="11900" w:h="16838" w:orient="portrait"/>
          <w:cols w:equalWidth="0" w:num="2">
            <w:col w:w="380" w:space="520"/>
            <w:col w:w="10560"/>
          </w:cols>
          <w:pgMar w:left="220" w:top="127" w:right="219" w:bottom="1440" w:gutter="0" w:footer="0" w:header="0"/>
          <w:type w:val="continuous"/>
        </w:sectPr>
      </w:pPr>
    </w:p>
    <w:p>
      <w:pPr>
        <w:spacing w:after="0" w:line="1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Agreement By and Between:</w:t>
      </w:r>
    </w:p>
    <w:p>
      <w:pPr>
        <w:spacing w:after="0" w:line="201" w:lineRule="exact"/>
        <w:rPr>
          <w:sz w:val="20"/>
          <w:szCs w:val="20"/>
          <w:color w:val="auto"/>
        </w:rPr>
      </w:pPr>
    </w:p>
    <w:p>
      <w:pPr>
        <w:ind w:left="1860"/>
        <w:spacing w:after="0"/>
        <w:rPr>
          <w:sz w:val="20"/>
          <w:szCs w:val="20"/>
          <w:color w:val="auto"/>
        </w:rPr>
      </w:pPr>
      <w:r>
        <w:rPr>
          <w:rFonts w:ascii="Arial" w:cs="Arial" w:eastAsia="Arial" w:hAnsi="Arial"/>
          <w:sz w:val="12"/>
          <w:szCs w:val="12"/>
          <w:color w:val="auto"/>
        </w:rPr>
        <w:t>(The “</w:t>
      </w:r>
      <w:r>
        <w:rPr>
          <w:rFonts w:ascii="Arial" w:cs="Arial" w:eastAsia="Arial" w:hAnsi="Arial"/>
          <w:sz w:val="12"/>
          <w:szCs w:val="12"/>
          <w:b w:val="1"/>
          <w:bCs w:val="1"/>
          <w:color w:val="auto"/>
        </w:rPr>
        <w:t>Assignor</w:t>
      </w:r>
      <w:r>
        <w:rPr>
          <w:rFonts w:ascii="Arial" w:cs="Arial" w:eastAsia="Arial" w:hAnsi="Arial"/>
          <w:sz w:val="12"/>
          <w:szCs w:val="12"/>
          <w:color w:val="auto"/>
        </w:rPr>
        <w:t>”) and</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Assignee</w:t>
      </w:r>
      <w:r>
        <w:rPr>
          <w:rFonts w:ascii="Arial" w:cs="Arial" w:eastAsia="Arial" w:hAnsi="Arial"/>
          <w:sz w:val="13"/>
          <w:szCs w:val="13"/>
          <w:color w:val="auto"/>
        </w:rPr>
        <w:t>”)</w:t>
      </w:r>
    </w:p>
    <w:p>
      <w:pPr>
        <w:sectPr>
          <w:pgSz w:w="11900" w:h="16838" w:orient="portrait"/>
          <w:cols w:equalWidth="0" w:num="1">
            <w:col w:w="11460"/>
          </w:cols>
          <w:pgMar w:left="220" w:top="127" w:right="219" w:bottom="1440" w:gutter="0" w:footer="0" w:header="0"/>
          <w:type w:val="continuous"/>
        </w:sectPr>
      </w:pPr>
    </w:p>
    <w:p>
      <w:pPr>
        <w:spacing w:after="0" w:line="19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Wire Address for Assignee: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________________________________</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ABA #: _________________________</w:t>
      </w:r>
    </w:p>
    <w:p>
      <w:pPr>
        <w:spacing w:after="0" w:line="12" w:lineRule="exact"/>
        <w:rPr>
          <w:sz w:val="20"/>
          <w:szCs w:val="20"/>
          <w:color w:val="auto"/>
        </w:rPr>
      </w:pPr>
    </w:p>
    <w:p>
      <w:pPr>
        <w:sectPr>
          <w:pgSz w:w="11900" w:h="16838" w:orient="portrait"/>
          <w:cols w:equalWidth="0" w:num="2">
            <w:col w:w="2560" w:space="720"/>
            <w:col w:w="8180"/>
          </w:cols>
          <w:pgMar w:left="220" w:top="127" w:right="219" w:bottom="1440" w:gutter="0" w:footer="0" w:header="0"/>
          <w:type w:val="continuous"/>
        </w:sectPr>
      </w:pPr>
    </w:p>
    <w:p>
      <w:pPr>
        <w:ind w:left="3280"/>
        <w:spacing w:after="0"/>
        <w:rPr>
          <w:sz w:val="20"/>
          <w:szCs w:val="20"/>
          <w:color w:val="auto"/>
        </w:rPr>
      </w:pPr>
      <w:r>
        <w:rPr>
          <w:rFonts w:ascii="Arial" w:cs="Arial" w:eastAsia="Arial" w:hAnsi="Arial"/>
          <w:sz w:val="13"/>
          <w:szCs w:val="13"/>
          <w:color w:val="auto"/>
        </w:rPr>
        <w:t>Account #: _______________________</w:t>
      </w:r>
    </w:p>
    <w:p>
      <w:pPr>
        <w:spacing w:after="0" w:line="12" w:lineRule="exact"/>
        <w:rPr>
          <w:sz w:val="20"/>
          <w:szCs w:val="20"/>
          <w:color w:val="auto"/>
        </w:rPr>
      </w:pPr>
    </w:p>
    <w:p>
      <w:pPr>
        <w:ind w:left="3280"/>
        <w:spacing w:after="0"/>
        <w:rPr>
          <w:sz w:val="20"/>
          <w:szCs w:val="20"/>
          <w:color w:val="auto"/>
        </w:rPr>
      </w:pPr>
      <w:r>
        <w:rPr>
          <w:rFonts w:ascii="Arial" w:cs="Arial" w:eastAsia="Arial" w:hAnsi="Arial"/>
          <w:sz w:val="13"/>
          <w:szCs w:val="13"/>
          <w:color w:val="auto"/>
        </w:rPr>
        <w:t>Attn: ___________________________</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Notice Address for Assignee: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Attn: _______________________________</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13"/>
          <w:szCs w:val="13"/>
          <w:color w:val="auto"/>
        </w:rPr>
        <w:t>Fax: ________________________________</w:t>
      </w:r>
    </w:p>
    <w:p>
      <w:pPr>
        <w:spacing w:after="0" w:line="181" w:lineRule="exact"/>
        <w:rPr>
          <w:sz w:val="20"/>
          <w:szCs w:val="20"/>
          <w:color w:val="auto"/>
        </w:rPr>
      </w:pPr>
    </w:p>
    <w:p>
      <w:pPr>
        <w:ind w:firstLine="1"/>
        <w:spacing w:after="0" w:line="298" w:lineRule="auto"/>
        <w:tabs>
          <w:tab w:leader="none" w:pos="585" w:val="left"/>
        </w:tabs>
        <w:numPr>
          <w:ilvl w:val="0"/>
          <w:numId w:val="219"/>
        </w:numPr>
        <w:rPr>
          <w:rFonts w:ascii="Arial" w:cs="Arial" w:eastAsia="Arial" w:hAnsi="Arial"/>
          <w:sz w:val="13"/>
          <w:szCs w:val="13"/>
          <w:color w:val="auto"/>
        </w:rPr>
      </w:pPr>
      <w:r>
        <w:rPr>
          <w:rFonts w:ascii="Arial" w:cs="Arial" w:eastAsia="Arial" w:hAnsi="Arial"/>
          <w:sz w:val="13"/>
          <w:szCs w:val="13"/>
          <w:b w:val="1"/>
          <w:bCs w:val="1"/>
          <w:color w:val="auto"/>
        </w:rPr>
        <w:t>ASSIGNMENT AND ACCEPTANCE</w:t>
      </w:r>
      <w:r>
        <w:rPr>
          <w:rFonts w:ascii="Arial" w:cs="Arial" w:eastAsia="Arial" w:hAnsi="Arial"/>
          <w:sz w:val="13"/>
          <w:szCs w:val="13"/>
          <w:color w:val="auto"/>
        </w:rPr>
        <w:t>: The Assignor hereby sells and assigns to the Assignee, and the Assignee hereby purchases and assumes from the Assignor, as of the Effective Date (as</w:t>
      </w:r>
      <w:r>
        <w:rPr>
          <w:rFonts w:ascii="Arial" w:cs="Arial" w:eastAsia="Arial" w:hAnsi="Arial"/>
          <w:sz w:val="13"/>
          <w:szCs w:val="13"/>
          <w:b w:val="1"/>
          <w:bCs w:val="1"/>
          <w:color w:val="auto"/>
        </w:rPr>
        <w:t xml:space="preserve"> </w:t>
      </w:r>
      <w:r>
        <w:rPr>
          <w:rFonts w:ascii="Arial" w:cs="Arial" w:eastAsia="Arial" w:hAnsi="Arial"/>
          <w:sz w:val="13"/>
          <w:szCs w:val="13"/>
          <w:color w:val="auto"/>
        </w:rPr>
        <w:t>hereinafter defined), the following portion (the “</w:t>
      </w:r>
      <w:r>
        <w:rPr>
          <w:rFonts w:ascii="Arial" w:cs="Arial" w:eastAsia="Arial" w:hAnsi="Arial"/>
          <w:sz w:val="13"/>
          <w:szCs w:val="13"/>
          <w:b w:val="1"/>
          <w:bCs w:val="1"/>
          <w:color w:val="auto"/>
        </w:rPr>
        <w:t>Assigned Commitment</w:t>
      </w:r>
      <w:r>
        <w:rPr>
          <w:rFonts w:ascii="Arial" w:cs="Arial" w:eastAsia="Arial" w:hAnsi="Arial"/>
          <w:sz w:val="13"/>
          <w:szCs w:val="13"/>
          <w:color w:val="auto"/>
        </w:rPr>
        <w:t>”) of the Assignor’s interest in the Term Facility: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20" w:type="dxa"/>
            <w:vAlign w:val="bottom"/>
          </w:tcPr>
          <w:p>
            <w:pPr>
              <w:spacing w:after="0"/>
              <w:rPr>
                <w:sz w:val="20"/>
                <w:szCs w:val="20"/>
                <w:color w:val="auto"/>
              </w:rPr>
            </w:pPr>
            <w:r>
              <w:rPr>
                <w:rFonts w:ascii="Arial" w:cs="Arial" w:eastAsia="Arial" w:hAnsi="Arial"/>
                <w:sz w:val="13"/>
                <w:szCs w:val="13"/>
                <w:color w:val="auto"/>
                <w:w w:val="99"/>
              </w:rPr>
              <w:t>Term Percentage Commitment:</w:t>
            </w:r>
          </w:p>
        </w:tc>
        <w:tc>
          <w:tcPr>
            <w:tcW w:w="320" w:type="dxa"/>
            <w:vAlign w:val="bottom"/>
          </w:tcPr>
          <w:p>
            <w:pPr>
              <w:spacing w:after="0"/>
              <w:rPr>
                <w:sz w:val="14"/>
                <w:szCs w:val="14"/>
                <w:color w:val="auto"/>
              </w:rPr>
            </w:pPr>
          </w:p>
        </w:tc>
        <w:tc>
          <w:tcPr>
            <w:tcW w:w="800" w:type="dxa"/>
            <w:vAlign w:val="bottom"/>
            <w:gridSpan w:val="2"/>
          </w:tcPr>
          <w:p>
            <w:pPr>
              <w:jc w:val="right"/>
              <w:ind w:right="333"/>
              <w:spacing w:after="0"/>
              <w:rPr>
                <w:sz w:val="20"/>
                <w:szCs w:val="20"/>
                <w:color w:val="auto"/>
              </w:rPr>
            </w:pPr>
            <w:r>
              <w:rPr>
                <w:rFonts w:ascii="Arial" w:cs="Arial" w:eastAsia="Arial" w:hAnsi="Arial"/>
                <w:sz w:val="13"/>
                <w:szCs w:val="13"/>
                <w:color w:val="auto"/>
              </w:rPr>
              <w:t>__%</w:t>
            </w:r>
          </w:p>
        </w:tc>
      </w:tr>
      <w:tr>
        <w:trPr>
          <w:trHeight w:val="293"/>
        </w:trPr>
        <w:tc>
          <w:tcPr>
            <w:tcW w:w="1820" w:type="dxa"/>
            <w:vAlign w:val="bottom"/>
          </w:tcPr>
          <w:p>
            <w:pPr>
              <w:spacing w:after="0"/>
              <w:rPr>
                <w:sz w:val="20"/>
                <w:szCs w:val="20"/>
                <w:color w:val="auto"/>
              </w:rPr>
            </w:pPr>
            <w:r>
              <w:rPr>
                <w:rFonts w:ascii="Arial" w:cs="Arial" w:eastAsia="Arial" w:hAnsi="Arial"/>
                <w:sz w:val="13"/>
                <w:szCs w:val="13"/>
                <w:color w:val="auto"/>
              </w:rPr>
              <w:t>Term Dollar Commitment:</w:t>
            </w:r>
          </w:p>
        </w:tc>
        <w:tc>
          <w:tcPr>
            <w:tcW w:w="3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-210820</wp:posOffset>
            </wp:positionV>
            <wp:extent cx="2222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225" cy="635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-5715</wp:posOffset>
            </wp:positionV>
            <wp:extent cx="2222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149" w:lineRule="exact"/>
        <w:rPr>
          <w:sz w:val="20"/>
          <w:szCs w:val="20"/>
          <w:color w:val="auto"/>
        </w:rPr>
      </w:pPr>
    </w:p>
    <w:p>
      <w:pPr>
        <w:jc w:val="both"/>
        <w:ind w:firstLine="1"/>
        <w:spacing w:after="0" w:line="278" w:lineRule="auto"/>
        <w:tabs>
          <w:tab w:leader="none" w:pos="585" w:val="left"/>
        </w:tabs>
        <w:numPr>
          <w:ilvl w:val="0"/>
          <w:numId w:val="220"/>
        </w:numPr>
        <w:rPr>
          <w:rFonts w:ascii="Arial" w:cs="Arial" w:eastAsia="Arial" w:hAnsi="Arial"/>
          <w:sz w:val="13"/>
          <w:szCs w:val="13"/>
          <w:color w:val="auto"/>
        </w:rPr>
      </w:pPr>
      <w:r>
        <w:rPr>
          <w:rFonts w:ascii="Arial" w:cs="Arial" w:eastAsia="Arial" w:hAnsi="Arial"/>
          <w:sz w:val="13"/>
          <w:szCs w:val="13"/>
          <w:b w:val="1"/>
          <w:bCs w:val="1"/>
          <w:color w:val="auto"/>
        </w:rPr>
        <w:t>EFFECTIVE DATE</w:t>
      </w:r>
      <w:r>
        <w:rPr>
          <w:rFonts w:ascii="Arial" w:cs="Arial" w:eastAsia="Arial" w:hAnsi="Arial"/>
          <w:sz w:val="13"/>
          <w:szCs w:val="13"/>
          <w:color w:val="auto"/>
        </w:rPr>
        <w:t>: For purposes of this Assignment and Acceptance, the “</w:t>
      </w:r>
      <w:r>
        <w:rPr>
          <w:rFonts w:ascii="Arial" w:cs="Arial" w:eastAsia="Arial" w:hAnsi="Arial"/>
          <w:sz w:val="13"/>
          <w:szCs w:val="13"/>
          <w:b w:val="1"/>
          <w:bCs w:val="1"/>
          <w:color w:val="auto"/>
        </w:rPr>
        <w:t>Effective Date</w:t>
      </w:r>
      <w:r>
        <w:rPr>
          <w:rFonts w:ascii="Arial" w:cs="Arial" w:eastAsia="Arial" w:hAnsi="Arial"/>
          <w:sz w:val="13"/>
          <w:szCs w:val="13"/>
          <w:color w:val="auto"/>
        </w:rPr>
        <w:t>” is that date endorsed above by the Administrative Agent (which may be up to five (5) Business</w:t>
      </w:r>
      <w:r>
        <w:rPr>
          <w:rFonts w:ascii="Arial" w:cs="Arial" w:eastAsia="Arial" w:hAnsi="Arial"/>
          <w:sz w:val="13"/>
          <w:szCs w:val="13"/>
          <w:b w:val="1"/>
          <w:bCs w:val="1"/>
          <w:color w:val="auto"/>
        </w:rPr>
        <w:t xml:space="preserve"> </w:t>
      </w:r>
      <w:r>
        <w:rPr>
          <w:rFonts w:ascii="Arial" w:cs="Arial" w:eastAsia="Arial" w:hAnsi="Arial"/>
          <w:sz w:val="13"/>
          <w:szCs w:val="13"/>
          <w:color w:val="auto"/>
        </w:rPr>
        <w:t>Days after the last to occur of: (a) the execution of this Assignment and Acceptance by the Assignor and the Assignee; (b) the assent of the Administrative Agent; (c) the obtaining of any other consent required by the Loan Agreement; and (d) the payment of any requisite processing fee).</w:t>
      </w:r>
    </w:p>
    <w:p>
      <w:pPr>
        <w:spacing w:after="0" w:line="146" w:lineRule="exact"/>
        <w:rPr>
          <w:rFonts w:ascii="Arial" w:cs="Arial" w:eastAsia="Arial" w:hAnsi="Arial"/>
          <w:sz w:val="13"/>
          <w:szCs w:val="13"/>
          <w:color w:val="auto"/>
        </w:rPr>
      </w:pPr>
    </w:p>
    <w:p>
      <w:pPr>
        <w:ind w:left="620" w:hanging="619"/>
        <w:spacing w:after="0"/>
        <w:tabs>
          <w:tab w:leader="none" w:pos="620" w:val="left"/>
        </w:tabs>
        <w:numPr>
          <w:ilvl w:val="0"/>
          <w:numId w:val="220"/>
        </w:numPr>
        <w:rPr>
          <w:rFonts w:ascii="Arial" w:cs="Arial" w:eastAsia="Arial" w:hAnsi="Arial"/>
          <w:sz w:val="13"/>
          <w:szCs w:val="13"/>
          <w:color w:val="auto"/>
        </w:rPr>
      </w:pPr>
      <w:r>
        <w:rPr>
          <w:rFonts w:ascii="Arial" w:cs="Arial" w:eastAsia="Arial" w:hAnsi="Arial"/>
          <w:sz w:val="13"/>
          <w:szCs w:val="13"/>
          <w:b w:val="1"/>
          <w:bCs w:val="1"/>
          <w:color w:val="auto"/>
        </w:rPr>
        <w:t>REPRESENTATIONS BY ASSIGNOR</w:t>
      </w:r>
      <w:r>
        <w:rPr>
          <w:rFonts w:ascii="Arial" w:cs="Arial" w:eastAsia="Arial" w:hAnsi="Arial"/>
          <w:sz w:val="13"/>
          <w:szCs w:val="13"/>
          <w:color w:val="auto"/>
        </w:rPr>
        <w:t>:  The Assignor represents that, as of the Effective Date:</w:t>
      </w:r>
    </w:p>
    <w:p>
      <w:pPr>
        <w:spacing w:after="0" w:line="195" w:lineRule="exact"/>
        <w:rPr>
          <w:rFonts w:ascii="Arial" w:cs="Arial" w:eastAsia="Arial" w:hAnsi="Arial"/>
          <w:sz w:val="13"/>
          <w:szCs w:val="13"/>
          <w:color w:val="auto"/>
        </w:rPr>
      </w:pPr>
    </w:p>
    <w:p>
      <w:pPr>
        <w:ind w:left="1180" w:hanging="415"/>
        <w:spacing w:after="0"/>
        <w:tabs>
          <w:tab w:leader="none" w:pos="1180" w:val="left"/>
        </w:tabs>
        <w:numPr>
          <w:ilvl w:val="1"/>
          <w:numId w:val="220"/>
        </w:numPr>
        <w:rPr>
          <w:rFonts w:ascii="Arial" w:cs="Arial" w:eastAsia="Arial" w:hAnsi="Arial"/>
          <w:sz w:val="13"/>
          <w:szCs w:val="13"/>
          <w:color w:val="auto"/>
        </w:rPr>
      </w:pPr>
      <w:r>
        <w:rPr>
          <w:rFonts w:ascii="Arial" w:cs="Arial" w:eastAsia="Arial" w:hAnsi="Arial"/>
          <w:sz w:val="13"/>
          <w:szCs w:val="13"/>
          <w:color w:val="auto"/>
        </w:rPr>
        <w:t>The Assignor is the legal and beneficial owner of the interest being assigned hereby free and clear of any liens and Encumbrances.</w:t>
      </w:r>
    </w:p>
    <w:p>
      <w:pPr>
        <w:spacing w:after="0" w:line="193" w:lineRule="exact"/>
        <w:rPr>
          <w:sz w:val="20"/>
          <w:szCs w:val="20"/>
          <w:color w:val="auto"/>
        </w:rPr>
      </w:pPr>
    </w:p>
    <w:p>
      <w:pPr>
        <w:ind w:left="760"/>
        <w:spacing w:after="0"/>
        <w:tabs>
          <w:tab w:leader="none" w:pos="1160" w:val="left"/>
          <w:tab w:leader="none" w:pos="640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The principal balance due to the Assignor on account of the Term Note held by the Assignor is</w:t>
      </w:r>
      <w:r>
        <w:rPr>
          <w:sz w:val="20"/>
          <w:szCs w:val="20"/>
          <w:color w:val="auto"/>
        </w:rPr>
        <w:tab/>
      </w:r>
      <w:r>
        <w:rPr>
          <w:rFonts w:ascii="Arial" w:cs="Arial" w:eastAsia="Arial" w:hAnsi="Arial"/>
          <w:sz w:val="11"/>
          <w:szCs w:val="11"/>
          <w:color w:val="auto"/>
        </w:rPr>
        <w:t>$__________________.</w:t>
      </w:r>
    </w:p>
    <w:p>
      <w:pPr>
        <w:sectPr>
          <w:pgSz w:w="11900" w:h="16838" w:orient="portrait"/>
          <w:cols w:equalWidth="0" w:num="1">
            <w:col w:w="11460"/>
          </w:cols>
          <w:pgMar w:left="220" w:top="127" w:right="219" w:bottom="1440" w:gutter="0" w:footer="0" w:header="0"/>
          <w:type w:val="continuous"/>
        </w:sectPr>
      </w:pPr>
    </w:p>
    <w:bookmarkStart w:id="217" w:name="page218"/>
    <w:bookmarkEnd w:id="217"/>
    <w:p>
      <w:pPr>
        <w:ind w:left="620" w:hanging="619"/>
        <w:spacing w:after="0"/>
        <w:tabs>
          <w:tab w:leader="none" w:pos="620" w:val="left"/>
        </w:tabs>
        <w:numPr>
          <w:ilvl w:val="0"/>
          <w:numId w:val="221"/>
        </w:numPr>
        <w:rPr>
          <w:rFonts w:ascii="Arial" w:cs="Arial" w:eastAsia="Arial" w:hAnsi="Arial"/>
          <w:sz w:val="13"/>
          <w:szCs w:val="13"/>
          <w:color w:val="auto"/>
        </w:rPr>
      </w:pPr>
      <w:r>
        <w:rPr>
          <w:rFonts w:ascii="Arial" w:cs="Arial" w:eastAsia="Arial" w:hAnsi="Arial"/>
          <w:sz w:val="13"/>
          <w:szCs w:val="13"/>
          <w:b w:val="1"/>
          <w:bCs w:val="1"/>
          <w:color w:val="auto"/>
        </w:rPr>
        <w:t>EXCLUSION OF WARRANTIES BY ASSIGNOR</w:t>
      </w:r>
      <w:r>
        <w:rPr>
          <w:rFonts w:ascii="Arial" w:cs="Arial" w:eastAsia="Arial" w:hAnsi="Arial"/>
          <w:sz w:val="13"/>
          <w:szCs w:val="13"/>
          <w:color w:val="auto"/>
        </w:rPr>
        <w:t>: The Assignor:</w:t>
      </w:r>
    </w:p>
    <w:p>
      <w:pPr>
        <w:spacing w:after="0" w:line="195" w:lineRule="exact"/>
        <w:rPr>
          <w:sz w:val="20"/>
          <w:szCs w:val="20"/>
          <w:color w:val="auto"/>
        </w:rPr>
      </w:pPr>
    </w:p>
    <w:p>
      <w:pPr>
        <w:ind w:firstLine="765"/>
        <w:spacing w:after="0" w:line="294" w:lineRule="auto"/>
        <w:rPr>
          <w:sz w:val="20"/>
          <w:szCs w:val="20"/>
          <w:color w:val="auto"/>
        </w:rPr>
      </w:pPr>
      <w:r>
        <w:rPr>
          <w:rFonts w:ascii="Arial" w:cs="Arial" w:eastAsia="Arial" w:hAnsi="Arial"/>
          <w:sz w:val="13"/>
          <w:szCs w:val="13"/>
          <w:color w:val="auto"/>
        </w:rPr>
        <w:t>(a) Makes no representation or warranty and assumes no responsibility with respect to any statements, warranties or representations made in or in connection with any Loan Document or the execution, legality, validity, enforceability, genuineness, sufficiency or value of any Loan Document or any other instrument or document furnished pursuant thereto or hereto.</w:t>
      </w:r>
    </w:p>
    <w:p>
      <w:pPr>
        <w:ind w:left="1360" w:hanging="595"/>
        <w:spacing w:after="0"/>
        <w:tabs>
          <w:tab w:leader="none" w:pos="136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Makes no representation or  warranty and assumes no responsibility with respect to the financial condition of any Borrower or any other Person primarily or secondarily liable in</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respect of any of the Liabilities, or the performance or observance by the Borrowers’ Representative or any Borrower or any other Person primarily or secondarily liable in respect of any of the Liabilities of any of their obligations under any Loan Documents or any other instrument or document furnished pursuant hereto or thereto.</w:t>
      </w:r>
    </w:p>
    <w:p>
      <w:pPr>
        <w:spacing w:after="0" w:line="138" w:lineRule="exact"/>
        <w:rPr>
          <w:sz w:val="20"/>
          <w:szCs w:val="20"/>
          <w:color w:val="auto"/>
        </w:rPr>
      </w:pPr>
    </w:p>
    <w:p>
      <w:pPr>
        <w:ind w:firstLine="765"/>
        <w:spacing w:after="0" w:line="294" w:lineRule="auto"/>
        <w:tabs>
          <w:tab w:leader="none" w:pos="1188" w:val="left"/>
        </w:tabs>
        <w:numPr>
          <w:ilvl w:val="1"/>
          <w:numId w:val="223"/>
        </w:numPr>
        <w:rPr>
          <w:rFonts w:ascii="Arial" w:cs="Arial" w:eastAsia="Arial" w:hAnsi="Arial"/>
          <w:sz w:val="13"/>
          <w:szCs w:val="13"/>
          <w:color w:val="auto"/>
        </w:rPr>
      </w:pPr>
      <w:r>
        <w:rPr>
          <w:rFonts w:ascii="Arial" w:cs="Arial" w:eastAsia="Arial" w:hAnsi="Arial"/>
          <w:sz w:val="13"/>
          <w:szCs w:val="13"/>
          <w:color w:val="auto"/>
        </w:rPr>
        <w:t>Attaches the Term Note of which the Assignor is the holder and requests that the Administrative Agent cause the Borrowers’ exchange of such Term Note for a new Term Note payable to the Assignor and the Assignee reflecting the assignment referenced above.</w:t>
      </w:r>
    </w:p>
    <w:p>
      <w:pPr>
        <w:spacing w:after="0" w:line="135" w:lineRule="exact"/>
        <w:rPr>
          <w:rFonts w:ascii="Arial" w:cs="Arial" w:eastAsia="Arial" w:hAnsi="Arial"/>
          <w:sz w:val="13"/>
          <w:szCs w:val="13"/>
          <w:color w:val="auto"/>
        </w:rPr>
      </w:pPr>
    </w:p>
    <w:p>
      <w:pPr>
        <w:ind w:left="620" w:hanging="619"/>
        <w:spacing w:after="0"/>
        <w:tabs>
          <w:tab w:leader="none" w:pos="620" w:val="left"/>
        </w:tabs>
        <w:numPr>
          <w:ilvl w:val="0"/>
          <w:numId w:val="224"/>
        </w:numPr>
        <w:rPr>
          <w:rFonts w:ascii="Arial" w:cs="Arial" w:eastAsia="Arial" w:hAnsi="Arial"/>
          <w:sz w:val="13"/>
          <w:szCs w:val="13"/>
          <w:color w:val="auto"/>
        </w:rPr>
      </w:pPr>
      <w:r>
        <w:rPr>
          <w:rFonts w:ascii="Arial" w:cs="Arial" w:eastAsia="Arial" w:hAnsi="Arial"/>
          <w:sz w:val="13"/>
          <w:szCs w:val="13"/>
          <w:b w:val="1"/>
          <w:bCs w:val="1"/>
          <w:color w:val="auto"/>
        </w:rPr>
        <w:t>ASSIGNEE’S REPRESENTATIONS, WARRANTIES AND AGREEMENTS</w:t>
      </w:r>
      <w:r>
        <w:rPr>
          <w:rFonts w:ascii="Arial" w:cs="Arial" w:eastAsia="Arial" w:hAnsi="Arial"/>
          <w:sz w:val="13"/>
          <w:szCs w:val="13"/>
          <w:color w:val="auto"/>
        </w:rPr>
        <w:t>: The Assignee:</w:t>
      </w:r>
    </w:p>
    <w:p>
      <w:pPr>
        <w:spacing w:after="0" w:line="195" w:lineRule="exact"/>
        <w:rPr>
          <w:rFonts w:ascii="Arial" w:cs="Arial" w:eastAsia="Arial" w:hAnsi="Arial"/>
          <w:sz w:val="13"/>
          <w:szCs w:val="13"/>
          <w:color w:val="auto"/>
        </w:rPr>
      </w:pPr>
    </w:p>
    <w:p>
      <w:pPr>
        <w:ind w:firstLine="765"/>
        <w:spacing w:after="0" w:line="294" w:lineRule="auto"/>
        <w:tabs>
          <w:tab w:leader="none" w:pos="1211" w:val="left"/>
        </w:tabs>
        <w:numPr>
          <w:ilvl w:val="1"/>
          <w:numId w:val="224"/>
        </w:numPr>
        <w:rPr>
          <w:rFonts w:ascii="Arial" w:cs="Arial" w:eastAsia="Arial" w:hAnsi="Arial"/>
          <w:sz w:val="13"/>
          <w:szCs w:val="13"/>
          <w:color w:val="auto"/>
        </w:rPr>
      </w:pPr>
      <w:r>
        <w:rPr>
          <w:rFonts w:ascii="Arial" w:cs="Arial" w:eastAsia="Arial" w:hAnsi="Arial"/>
          <w:sz w:val="13"/>
          <w:szCs w:val="13"/>
          <w:color w:val="auto"/>
        </w:rPr>
        <w:t>Confirms that it has received a copy of the Loan Agreement (and any amendment thereto), the most recent financial statements then to have been delivered pursuant to the Loan Agreement, and such other documents and information as the Assignee has deemed appropriate to make its own credit analysis and decision to enter into this Assignment and Acceptance.</w:t>
      </w:r>
    </w:p>
    <w:p>
      <w:pPr>
        <w:spacing w:after="0" w:line="138" w:lineRule="exact"/>
        <w:rPr>
          <w:sz w:val="20"/>
          <w:szCs w:val="20"/>
          <w:color w:val="auto"/>
        </w:rPr>
      </w:pPr>
    </w:p>
    <w:p>
      <w:pPr>
        <w:ind w:firstLine="765"/>
        <w:spacing w:after="0" w:line="294" w:lineRule="auto"/>
        <w:rPr>
          <w:sz w:val="20"/>
          <w:szCs w:val="20"/>
          <w:color w:val="auto"/>
        </w:rPr>
      </w:pPr>
      <w:r>
        <w:rPr>
          <w:rFonts w:ascii="Arial" w:cs="Arial" w:eastAsia="Arial" w:hAnsi="Arial"/>
          <w:sz w:val="13"/>
          <w:szCs w:val="13"/>
          <w:color w:val="auto"/>
        </w:rPr>
        <w:t>(b) Confirms and represents that, independently and without reliance upon the Assignor, the Administrative Agent, or any other Term Lender and based on such documents and information as the Assignee deems appropriate, has made such Person’s own credit decision to join in the credit facility contemplated by the Loan Documents and to become a “</w:t>
      </w:r>
      <w:r>
        <w:rPr>
          <w:rFonts w:ascii="Arial" w:cs="Arial" w:eastAsia="Arial" w:hAnsi="Arial"/>
          <w:sz w:val="13"/>
          <w:szCs w:val="13"/>
          <w:b w:val="1"/>
          <w:bCs w:val="1"/>
          <w:color w:val="auto"/>
        </w:rPr>
        <w:t>Term Lender</w:t>
      </w:r>
      <w:r>
        <w:rPr>
          <w:rFonts w:ascii="Arial" w:cs="Arial" w:eastAsia="Arial" w:hAnsi="Arial"/>
          <w:sz w:val="13"/>
          <w:szCs w:val="13"/>
          <w:color w:val="auto"/>
        </w:rPr>
        <w:t>”.</w:t>
      </w:r>
    </w:p>
    <w:p>
      <w:pPr>
        <w:spacing w:after="0" w:line="138" w:lineRule="exact"/>
        <w:rPr>
          <w:sz w:val="20"/>
          <w:szCs w:val="20"/>
          <w:color w:val="auto"/>
        </w:rPr>
      </w:pPr>
    </w:p>
    <w:p>
      <w:pPr>
        <w:ind w:firstLine="765"/>
        <w:spacing w:after="0" w:line="339" w:lineRule="auto"/>
        <w:tabs>
          <w:tab w:leader="none" w:pos="1257" w:val="left"/>
        </w:tabs>
        <w:numPr>
          <w:ilvl w:val="1"/>
          <w:numId w:val="225"/>
        </w:numPr>
        <w:rPr>
          <w:rFonts w:ascii="Arial" w:cs="Arial" w:eastAsia="Arial" w:hAnsi="Arial"/>
          <w:sz w:val="12"/>
          <w:szCs w:val="12"/>
          <w:color w:val="auto"/>
        </w:rPr>
      </w:pPr>
      <w:r>
        <w:rPr>
          <w:rFonts w:ascii="Arial" w:cs="Arial" w:eastAsia="Arial" w:hAnsi="Arial"/>
          <w:sz w:val="12"/>
          <w:szCs w:val="12"/>
          <w:color w:val="auto"/>
        </w:rPr>
        <w:t>Confirms and represents that the Assignee will continue to make such Person’s own credit decisions in taking or not taking action under the Loan Agreement and other Loan Documents independently and without reliance upon the Assignor, the Administrative Agent or any other Term Lender and based on such documents and information as the Assignee shall deem appropriate at the time.</w:t>
      </w:r>
    </w:p>
    <w:p>
      <w:pPr>
        <w:spacing w:after="0" w:line="114" w:lineRule="exact"/>
        <w:rPr>
          <w:rFonts w:ascii="Arial" w:cs="Arial" w:eastAsia="Arial" w:hAnsi="Arial"/>
          <w:sz w:val="12"/>
          <w:szCs w:val="12"/>
          <w:color w:val="auto"/>
        </w:rPr>
      </w:pPr>
    </w:p>
    <w:p>
      <w:pPr>
        <w:ind w:firstLine="765"/>
        <w:spacing w:after="0" w:line="294" w:lineRule="auto"/>
        <w:tabs>
          <w:tab w:leader="none" w:pos="1406" w:val="left"/>
        </w:tabs>
        <w:numPr>
          <w:ilvl w:val="1"/>
          <w:numId w:val="225"/>
        </w:numPr>
        <w:rPr>
          <w:rFonts w:ascii="Arial" w:cs="Arial" w:eastAsia="Arial" w:hAnsi="Arial"/>
          <w:sz w:val="13"/>
          <w:szCs w:val="13"/>
          <w:color w:val="auto"/>
        </w:rPr>
      </w:pPr>
      <w:r>
        <w:rPr>
          <w:rFonts w:ascii="Arial" w:cs="Arial" w:eastAsia="Arial" w:hAnsi="Arial"/>
          <w:sz w:val="13"/>
          <w:szCs w:val="13"/>
          <w:color w:val="auto"/>
        </w:rPr>
        <w:t>Appoints and authorizes the Agent to take such action on behalf of the Assignee and to exercise such powers under the Loan Documents as are delegated to the Agent by the terms hereof or thereof, together with such powers as are reasonably incidental thereto.</w:t>
      </w:r>
    </w:p>
    <w:p>
      <w:pPr>
        <w:spacing w:after="0" w:line="137" w:lineRule="exact"/>
        <w:rPr>
          <w:rFonts w:ascii="Arial" w:cs="Arial" w:eastAsia="Arial" w:hAnsi="Arial"/>
          <w:sz w:val="13"/>
          <w:szCs w:val="13"/>
          <w:color w:val="auto"/>
        </w:rPr>
      </w:pPr>
    </w:p>
    <w:p>
      <w:pPr>
        <w:ind w:firstLine="765"/>
        <w:spacing w:after="0" w:line="294" w:lineRule="auto"/>
        <w:tabs>
          <w:tab w:leader="none" w:pos="1248" w:val="left"/>
        </w:tabs>
        <w:numPr>
          <w:ilvl w:val="1"/>
          <w:numId w:val="225"/>
        </w:numPr>
        <w:rPr>
          <w:rFonts w:ascii="Arial" w:cs="Arial" w:eastAsia="Arial" w:hAnsi="Arial"/>
          <w:sz w:val="13"/>
          <w:szCs w:val="13"/>
          <w:color w:val="auto"/>
        </w:rPr>
      </w:pPr>
      <w:r>
        <w:rPr>
          <w:rFonts w:ascii="Arial" w:cs="Arial" w:eastAsia="Arial" w:hAnsi="Arial"/>
          <w:sz w:val="13"/>
          <w:szCs w:val="13"/>
          <w:color w:val="auto"/>
        </w:rPr>
        <w:t>Agrees that the Assignee will perform, in accordance with their terms, all of the obligations which, by the terms of the Loan Agreement and all other Loan Documents are required to be performed by it as a “Term Lender” as if the Assignee had been a signatory thereto and to any amendments thereof.</w:t>
      </w:r>
    </w:p>
    <w:p>
      <w:pPr>
        <w:spacing w:after="0" w:line="137" w:lineRule="exact"/>
        <w:rPr>
          <w:rFonts w:ascii="Arial" w:cs="Arial" w:eastAsia="Arial" w:hAnsi="Arial"/>
          <w:sz w:val="13"/>
          <w:szCs w:val="13"/>
          <w:color w:val="auto"/>
        </w:rPr>
      </w:pPr>
    </w:p>
    <w:p>
      <w:pPr>
        <w:ind w:left="1220" w:hanging="455"/>
        <w:spacing w:after="0"/>
        <w:tabs>
          <w:tab w:leader="none" w:pos="1220" w:val="left"/>
        </w:tabs>
        <w:numPr>
          <w:ilvl w:val="1"/>
          <w:numId w:val="225"/>
        </w:numPr>
        <w:rPr>
          <w:rFonts w:ascii="Arial" w:cs="Arial" w:eastAsia="Arial" w:hAnsi="Arial"/>
          <w:sz w:val="12"/>
          <w:szCs w:val="12"/>
          <w:color w:val="auto"/>
        </w:rPr>
      </w:pPr>
      <w:r>
        <w:rPr>
          <w:rFonts w:ascii="Arial" w:cs="Arial" w:eastAsia="Arial" w:hAnsi="Arial"/>
          <w:sz w:val="12"/>
          <w:szCs w:val="12"/>
          <w:color w:val="auto"/>
        </w:rPr>
        <w:t>Represents and warrants that it is legally authorized to enter into this Assignment and Acceptance and to perform its obligations hereunder, under the Loan Agreement and under the Loan</w:t>
      </w:r>
    </w:p>
    <w:p>
      <w:pPr>
        <w:spacing w:after="0" w:line="33"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Documents.</w:t>
      </w:r>
    </w:p>
    <w:p>
      <w:pPr>
        <w:spacing w:after="0" w:line="180" w:lineRule="exact"/>
        <w:rPr>
          <w:rFonts w:ascii="Arial" w:cs="Arial" w:eastAsia="Arial" w:hAnsi="Arial"/>
          <w:sz w:val="12"/>
          <w:szCs w:val="12"/>
          <w:color w:val="auto"/>
        </w:rPr>
      </w:pPr>
    </w:p>
    <w:p>
      <w:pPr>
        <w:ind w:left="580" w:hanging="579"/>
        <w:spacing w:after="0"/>
        <w:tabs>
          <w:tab w:leader="none" w:pos="580" w:val="left"/>
        </w:tabs>
        <w:numPr>
          <w:ilvl w:val="0"/>
          <w:numId w:val="226"/>
        </w:numPr>
        <w:rPr>
          <w:rFonts w:ascii="Arial" w:cs="Arial" w:eastAsia="Arial" w:hAnsi="Arial"/>
          <w:sz w:val="12"/>
          <w:szCs w:val="12"/>
          <w:color w:val="auto"/>
        </w:rPr>
      </w:pPr>
      <w:r>
        <w:rPr>
          <w:rFonts w:ascii="Arial" w:cs="Arial" w:eastAsia="Arial" w:hAnsi="Arial"/>
          <w:sz w:val="12"/>
          <w:szCs w:val="12"/>
          <w:b w:val="1"/>
          <w:bCs w:val="1"/>
          <w:color w:val="auto"/>
        </w:rPr>
        <w:t>EFFECT OF ASSIGNMENT AND ACCEPTANCE</w:t>
      </w:r>
      <w:r>
        <w:rPr>
          <w:rFonts w:ascii="Arial" w:cs="Arial" w:eastAsia="Arial" w:hAnsi="Arial"/>
          <w:sz w:val="12"/>
          <w:szCs w:val="12"/>
          <w:color w:val="auto"/>
        </w:rPr>
        <w:t>: Following delivery, acceptance and recording by the Administrative Agent of this Assignment and Acceptance, from and after the Effective Date:</w:t>
      </w:r>
    </w:p>
    <w:p>
      <w:pPr>
        <w:spacing w:after="0" w:line="206" w:lineRule="exact"/>
        <w:rPr>
          <w:rFonts w:ascii="Arial" w:cs="Arial" w:eastAsia="Arial" w:hAnsi="Arial"/>
          <w:sz w:val="12"/>
          <w:szCs w:val="12"/>
          <w:color w:val="auto"/>
        </w:rPr>
      </w:pPr>
    </w:p>
    <w:p>
      <w:pPr>
        <w:ind w:firstLine="765"/>
        <w:spacing w:after="0" w:line="294" w:lineRule="auto"/>
        <w:tabs>
          <w:tab w:leader="none" w:pos="1182" w:val="left"/>
        </w:tabs>
        <w:numPr>
          <w:ilvl w:val="1"/>
          <w:numId w:val="226"/>
        </w:numPr>
        <w:rPr>
          <w:rFonts w:ascii="Arial" w:cs="Arial" w:eastAsia="Arial" w:hAnsi="Arial"/>
          <w:sz w:val="13"/>
          <w:szCs w:val="13"/>
          <w:color w:val="auto"/>
        </w:rPr>
      </w:pPr>
      <w:r>
        <w:rPr>
          <w:rFonts w:ascii="Arial" w:cs="Arial" w:eastAsia="Arial" w:hAnsi="Arial"/>
          <w:sz w:val="13"/>
          <w:szCs w:val="13"/>
          <w:color w:val="auto"/>
        </w:rPr>
        <w:t>The Assignee shall be a party to the Loan Agreement and the other Loan Documents (and any amendments thereto) and to the extent of the Assigned Commitment, have the rights and obligations of a Term Lender thereunder.</w:t>
      </w:r>
    </w:p>
    <w:p>
      <w:pPr>
        <w:spacing w:after="0" w:line="137" w:lineRule="exact"/>
        <w:rPr>
          <w:rFonts w:ascii="Arial" w:cs="Arial" w:eastAsia="Arial" w:hAnsi="Arial"/>
          <w:sz w:val="13"/>
          <w:szCs w:val="13"/>
          <w:color w:val="auto"/>
        </w:rPr>
      </w:pPr>
    </w:p>
    <w:p>
      <w:pPr>
        <w:ind w:left="1440" w:hanging="675"/>
        <w:spacing w:after="0"/>
        <w:tabs>
          <w:tab w:leader="none" w:pos="1440" w:val="left"/>
        </w:tabs>
        <w:numPr>
          <w:ilvl w:val="1"/>
          <w:numId w:val="226"/>
        </w:numPr>
        <w:rPr>
          <w:rFonts w:ascii="Arial" w:cs="Arial" w:eastAsia="Arial" w:hAnsi="Arial"/>
          <w:sz w:val="13"/>
          <w:szCs w:val="13"/>
          <w:color w:val="auto"/>
        </w:rPr>
      </w:pPr>
      <w:r>
        <w:rPr>
          <w:rFonts w:ascii="Arial" w:cs="Arial" w:eastAsia="Arial" w:hAnsi="Arial"/>
          <w:sz w:val="13"/>
          <w:szCs w:val="13"/>
          <w:color w:val="auto"/>
        </w:rPr>
        <w:t>The Assignor shall be released from the Assignee’s obligations under the Loan Agreement and the other Loan Documents to the extent of the Assigned Commitment.</w:t>
      </w:r>
    </w:p>
    <w:p>
      <w:pPr>
        <w:spacing w:after="0" w:line="193" w:lineRule="exact"/>
        <w:rPr>
          <w:rFonts w:ascii="Arial" w:cs="Arial" w:eastAsia="Arial" w:hAnsi="Arial"/>
          <w:sz w:val="13"/>
          <w:szCs w:val="13"/>
          <w:color w:val="auto"/>
        </w:rPr>
      </w:pPr>
    </w:p>
    <w:p>
      <w:pPr>
        <w:ind w:left="1180" w:hanging="415"/>
        <w:spacing w:after="0"/>
        <w:tabs>
          <w:tab w:leader="none" w:pos="1180" w:val="left"/>
        </w:tabs>
        <w:numPr>
          <w:ilvl w:val="1"/>
          <w:numId w:val="226"/>
        </w:numPr>
        <w:rPr>
          <w:rFonts w:ascii="Arial" w:cs="Arial" w:eastAsia="Arial" w:hAnsi="Arial"/>
          <w:sz w:val="12"/>
          <w:szCs w:val="12"/>
          <w:color w:val="auto"/>
        </w:rPr>
      </w:pPr>
      <w:r>
        <w:rPr>
          <w:rFonts w:ascii="Arial" w:cs="Arial" w:eastAsia="Arial" w:hAnsi="Arial"/>
          <w:sz w:val="12"/>
          <w:szCs w:val="12"/>
          <w:color w:val="auto"/>
        </w:rPr>
        <w:t>The Administrative Agent shall make all payments in respect of the interest in the Term Loans assigned hereby (including payments of principal, interest, and applicable fees) to the Assignee.</w:t>
      </w:r>
    </w:p>
    <w:p>
      <w:pPr>
        <w:spacing w:after="0" w:line="204" w:lineRule="exact"/>
        <w:rPr>
          <w:rFonts w:ascii="Arial" w:cs="Arial" w:eastAsia="Arial" w:hAnsi="Arial"/>
          <w:sz w:val="12"/>
          <w:szCs w:val="12"/>
          <w:color w:val="auto"/>
        </w:rPr>
      </w:pPr>
    </w:p>
    <w:p>
      <w:pPr>
        <w:ind w:firstLine="765"/>
        <w:spacing w:after="0" w:line="294" w:lineRule="auto"/>
        <w:tabs>
          <w:tab w:leader="none" w:pos="1273" w:val="left"/>
        </w:tabs>
        <w:numPr>
          <w:ilvl w:val="1"/>
          <w:numId w:val="226"/>
        </w:numPr>
        <w:rPr>
          <w:rFonts w:ascii="Arial" w:cs="Arial" w:eastAsia="Arial" w:hAnsi="Arial"/>
          <w:sz w:val="13"/>
          <w:szCs w:val="13"/>
          <w:color w:val="auto"/>
        </w:rPr>
      </w:pPr>
      <w:r>
        <w:rPr>
          <w:rFonts w:ascii="Arial" w:cs="Arial" w:eastAsia="Arial" w:hAnsi="Arial"/>
          <w:sz w:val="13"/>
          <w:szCs w:val="13"/>
          <w:color w:val="auto"/>
        </w:rPr>
        <w:t>The Assignor and Assignee shall make all appropriate adjustments in payments for periods prior to the Effective Date by the Administrative Agent or with respect to the making of this assignment directly between themselves.</w:t>
      </w:r>
    </w:p>
    <w:p>
      <w:pPr>
        <w:spacing w:after="0" w:line="135" w:lineRule="exact"/>
        <w:rPr>
          <w:rFonts w:ascii="Arial" w:cs="Arial" w:eastAsia="Arial" w:hAnsi="Arial"/>
          <w:sz w:val="13"/>
          <w:szCs w:val="13"/>
          <w:color w:val="auto"/>
        </w:rPr>
      </w:pPr>
    </w:p>
    <w:p>
      <w:pPr>
        <w:ind w:firstLine="1"/>
        <w:spacing w:after="0" w:line="298" w:lineRule="auto"/>
        <w:tabs>
          <w:tab w:leader="none" w:pos="528" w:val="left"/>
        </w:tabs>
        <w:numPr>
          <w:ilvl w:val="0"/>
          <w:numId w:val="226"/>
        </w:numPr>
        <w:rPr>
          <w:rFonts w:ascii="Arial" w:cs="Arial" w:eastAsia="Arial" w:hAnsi="Arial"/>
          <w:sz w:val="13"/>
          <w:szCs w:val="13"/>
          <w:color w:val="auto"/>
        </w:rPr>
      </w:pPr>
      <w:r>
        <w:rPr>
          <w:rFonts w:ascii="Arial" w:cs="Arial" w:eastAsia="Arial" w:hAnsi="Arial"/>
          <w:sz w:val="13"/>
          <w:szCs w:val="13"/>
          <w:b w:val="1"/>
          <w:bCs w:val="1"/>
          <w:color w:val="auto"/>
        </w:rPr>
        <w:t>MASSACHUSETTS LAW</w:t>
      </w:r>
      <w:r>
        <w:rPr>
          <w:rFonts w:ascii="Arial" w:cs="Arial" w:eastAsia="Arial" w:hAnsi="Arial"/>
          <w:sz w:val="13"/>
          <w:szCs w:val="13"/>
          <w:color w:val="auto"/>
        </w:rPr>
        <w:t>: This Assignment and Acceptance shall be governed by, and construed in accordance with, the laws of the Commonwealth of Massachusetts (without giving effect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conflicts of laws principles thereof).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Follows]</w:t>
      </w:r>
    </w:p>
    <w:p>
      <w:pPr>
        <w:sectPr>
          <w:pgSz w:w="11900" w:h="16838" w:orient="portrait"/>
          <w:cols w:equalWidth="0" w:num="1">
            <w:col w:w="11460"/>
          </w:cols>
          <w:pgMar w:left="220" w:top="127" w:right="219" w:bottom="1440" w:gutter="0" w:footer="0" w:header="0"/>
        </w:sectPr>
      </w:pPr>
    </w:p>
    <w:bookmarkStart w:id="218" w:name="page219"/>
    <w:bookmarkEnd w:id="218"/>
    <w:p>
      <w:pPr>
        <w:ind w:firstLine="761"/>
        <w:spacing w:after="0" w:line="294" w:lineRule="auto"/>
        <w:rPr>
          <w:sz w:val="20"/>
          <w:szCs w:val="20"/>
          <w:color w:val="auto"/>
        </w:rPr>
      </w:pPr>
      <w:r>
        <w:rPr>
          <w:rFonts w:ascii="Arial" w:cs="Arial" w:eastAsia="Arial" w:hAnsi="Arial"/>
          <w:sz w:val="13"/>
          <w:szCs w:val="13"/>
          <w:color w:val="050505"/>
        </w:rPr>
        <w:t>IN WITNESS WHEREOF, intending to be legally bound, each of the undersigned has caused this Assignment and Acceptance to be executed on its behalf by its officer thereunto duly authorized, as of the date first above written.</w:t>
      </w:r>
    </w:p>
    <w:p>
      <w:pPr>
        <w:spacing w:after="0" w:line="360" w:lineRule="exact"/>
        <w:rPr>
          <w:sz w:val="20"/>
          <w:szCs w:val="20"/>
          <w:color w:val="auto"/>
        </w:rPr>
      </w:pPr>
    </w:p>
    <w:p>
      <w:pPr>
        <w:ind w:left="5040"/>
        <w:spacing w:after="0"/>
        <w:rPr>
          <w:sz w:val="20"/>
          <w:szCs w:val="20"/>
          <w:color w:val="auto"/>
        </w:rPr>
      </w:pPr>
      <w:r>
        <w:rPr>
          <w:rFonts w:ascii="Arial" w:cs="Arial" w:eastAsia="Arial" w:hAnsi="Arial"/>
          <w:sz w:val="13"/>
          <w:szCs w:val="13"/>
          <w:u w:val="single" w:color="auto"/>
          <w:color w:val="050505"/>
        </w:rPr>
        <w:t>ASSIGNOR</w:t>
      </w:r>
    </w:p>
    <w:p>
      <w:pPr>
        <w:spacing w:after="0" w:line="22" w:lineRule="exact"/>
        <w:rPr>
          <w:sz w:val="20"/>
          <w:szCs w:val="20"/>
          <w:color w:val="auto"/>
        </w:rPr>
      </w:pPr>
    </w:p>
    <w:p>
      <w:pPr>
        <w:ind w:left="5040"/>
        <w:spacing w:after="0"/>
        <w:tabs>
          <w:tab w:leader="none" w:pos="5700" w:val="left"/>
        </w:tabs>
        <w:rPr>
          <w:sz w:val="20"/>
          <w:szCs w:val="20"/>
          <w:color w:val="auto"/>
        </w:rPr>
      </w:pPr>
      <w:r>
        <w:rPr>
          <w:rFonts w:ascii="Arial" w:cs="Arial" w:eastAsia="Arial" w:hAnsi="Arial"/>
          <w:sz w:val="13"/>
          <w:szCs w:val="13"/>
          <w:color w:val="050505"/>
        </w:rPr>
        <w:t>By:</w:t>
      </w:r>
      <w:r>
        <w:rPr>
          <w:sz w:val="20"/>
          <w:szCs w:val="20"/>
          <w:color w:val="auto"/>
        </w:rPr>
        <w:tab/>
      </w:r>
      <w:r>
        <w:rPr>
          <w:rFonts w:ascii="Arial" w:cs="Arial" w:eastAsia="Arial" w:hAnsi="Arial"/>
          <w:sz w:val="13"/>
          <w:szCs w:val="13"/>
          <w:color w:val="050505"/>
        </w:rPr>
        <w:t>________________________________</w:t>
      </w:r>
    </w:p>
    <w:p>
      <w:pPr>
        <w:spacing w:after="0" w:line="32" w:lineRule="exact"/>
        <w:rPr>
          <w:sz w:val="20"/>
          <w:szCs w:val="20"/>
          <w:color w:val="auto"/>
        </w:rPr>
      </w:pPr>
    </w:p>
    <w:p>
      <w:pPr>
        <w:ind w:left="5040"/>
        <w:spacing w:after="0"/>
        <w:rPr>
          <w:sz w:val="20"/>
          <w:szCs w:val="20"/>
          <w:color w:val="auto"/>
        </w:rPr>
      </w:pPr>
      <w:r>
        <w:rPr>
          <w:rFonts w:ascii="Arial" w:cs="Arial" w:eastAsia="Arial" w:hAnsi="Arial"/>
          <w:sz w:val="13"/>
          <w:szCs w:val="13"/>
          <w:color w:val="050505"/>
        </w:rPr>
        <w:t>Name:</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3"/>
          <w:szCs w:val="13"/>
          <w:color w:val="050505"/>
        </w:rPr>
        <w:t>Title:</w:t>
      </w:r>
    </w:p>
    <w:p>
      <w:pPr>
        <w:spacing w:after="0" w:line="223" w:lineRule="exact"/>
        <w:rPr>
          <w:sz w:val="20"/>
          <w:szCs w:val="20"/>
          <w:color w:val="auto"/>
        </w:rPr>
      </w:pPr>
    </w:p>
    <w:p>
      <w:pPr>
        <w:ind w:left="5040"/>
        <w:spacing w:after="0"/>
        <w:rPr>
          <w:sz w:val="20"/>
          <w:szCs w:val="20"/>
          <w:color w:val="auto"/>
        </w:rPr>
      </w:pPr>
      <w:r>
        <w:rPr>
          <w:rFonts w:ascii="Arial" w:cs="Arial" w:eastAsia="Arial" w:hAnsi="Arial"/>
          <w:sz w:val="13"/>
          <w:szCs w:val="13"/>
          <w:u w:val="single" w:color="auto"/>
          <w:color w:val="050505"/>
        </w:rPr>
        <w:t>ASSIGNEE</w:t>
      </w:r>
    </w:p>
    <w:p>
      <w:pPr>
        <w:spacing w:after="0" w:line="22" w:lineRule="exact"/>
        <w:rPr>
          <w:sz w:val="20"/>
          <w:szCs w:val="20"/>
          <w:color w:val="auto"/>
        </w:rPr>
      </w:pPr>
    </w:p>
    <w:p>
      <w:pPr>
        <w:ind w:left="5040"/>
        <w:spacing w:after="0"/>
        <w:tabs>
          <w:tab w:leader="none" w:pos="5700" w:val="left"/>
        </w:tabs>
        <w:rPr>
          <w:sz w:val="20"/>
          <w:szCs w:val="20"/>
          <w:color w:val="auto"/>
        </w:rPr>
      </w:pPr>
      <w:r>
        <w:rPr>
          <w:rFonts w:ascii="Arial" w:cs="Arial" w:eastAsia="Arial" w:hAnsi="Arial"/>
          <w:sz w:val="13"/>
          <w:szCs w:val="13"/>
          <w:color w:val="050505"/>
        </w:rPr>
        <w:t>By:</w:t>
      </w:r>
      <w:r>
        <w:rPr>
          <w:sz w:val="20"/>
          <w:szCs w:val="20"/>
          <w:color w:val="auto"/>
        </w:rPr>
        <w:tab/>
      </w:r>
      <w:r>
        <w:rPr>
          <w:rFonts w:ascii="Arial" w:cs="Arial" w:eastAsia="Arial" w:hAnsi="Arial"/>
          <w:sz w:val="13"/>
          <w:szCs w:val="13"/>
          <w:color w:val="050505"/>
        </w:rPr>
        <w:t>________________________________</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13"/>
          <w:szCs w:val="13"/>
          <w:color w:val="050505"/>
        </w:rPr>
        <w:t>Name:</w:t>
      </w:r>
    </w:p>
    <w:p>
      <w:pPr>
        <w:spacing w:after="0" w:line="32" w:lineRule="exact"/>
        <w:rPr>
          <w:sz w:val="20"/>
          <w:szCs w:val="20"/>
          <w:color w:val="auto"/>
        </w:rPr>
      </w:pPr>
    </w:p>
    <w:p>
      <w:pPr>
        <w:ind w:left="5040"/>
        <w:spacing w:after="0"/>
        <w:rPr>
          <w:sz w:val="20"/>
          <w:szCs w:val="20"/>
          <w:color w:val="auto"/>
        </w:rPr>
      </w:pPr>
      <w:r>
        <w:rPr>
          <w:rFonts w:ascii="Arial" w:cs="Arial" w:eastAsia="Arial" w:hAnsi="Arial"/>
          <w:sz w:val="13"/>
          <w:szCs w:val="13"/>
          <w:color w:val="050505"/>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050505"/>
        </w:rPr>
        <w:t>CONSENT</w:t>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050505"/>
        </w:rPr>
        <w:t>The Administrative Agent hereby approves the foregoing assignment.</w:t>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050505"/>
        </w:rPr>
        <w:t>WELLS FARGO BANK,</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050505"/>
        </w:rPr>
        <w:t>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050505"/>
        </w:rPr>
        <w:t>as Administrative Agent</w:t>
      </w:r>
    </w:p>
    <w:p>
      <w:pPr>
        <w:spacing w:after="0" w:line="223"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050505"/>
        </w:rPr>
        <w:t>By:</w:t>
      </w:r>
      <w:r>
        <w:rPr>
          <w:sz w:val="20"/>
          <w:szCs w:val="20"/>
          <w:color w:val="auto"/>
        </w:rPr>
        <w:tab/>
      </w:r>
      <w:r>
        <w:rPr>
          <w:rFonts w:ascii="Arial" w:cs="Arial" w:eastAsia="Arial" w:hAnsi="Arial"/>
          <w:sz w:val="13"/>
          <w:szCs w:val="13"/>
          <w:color w:val="050505"/>
        </w:rPr>
        <w:t>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050505"/>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050505"/>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050505"/>
        </w:rPr>
        <w:t>[Signature Page to Assignment and Acceptance]</w:t>
      </w:r>
    </w:p>
    <w:p>
      <w:pPr>
        <w:sectPr>
          <w:pgSz w:w="11900" w:h="16838" w:orient="portrait"/>
          <w:cols w:equalWidth="0" w:num="1">
            <w:col w:w="11400"/>
          </w:cols>
          <w:pgMar w:left="220" w:top="129" w:right="279" w:bottom="1440" w:gutter="0" w:footer="0" w:header="0"/>
        </w:sectPr>
      </w:pPr>
    </w:p>
    <w:bookmarkStart w:id="219" w:name="page220"/>
    <w:bookmarkEnd w:id="219"/>
    <w:p>
      <w:pPr>
        <w:spacing w:after="0"/>
        <w:rPr>
          <w:sz w:val="20"/>
          <w:szCs w:val="20"/>
          <w:color w:val="auto"/>
        </w:rPr>
      </w:pPr>
      <w:r>
        <w:rPr>
          <w:rFonts w:ascii="Arial" w:cs="Arial" w:eastAsia="Arial" w:hAnsi="Arial"/>
          <w:sz w:val="13"/>
          <w:szCs w:val="13"/>
          <w:color w:val="050505"/>
        </w:rPr>
        <w:t>Acknowledged and, to the extent required under the Loan Agreement, consented to, this __ day of ______, ___.</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050505"/>
        </w:rPr>
        <w:t>DESTINATION XL GROUP, INC.</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050505"/>
        </w:rPr>
        <w:t>As Borrowers’ Representative</w:t>
      </w:r>
    </w:p>
    <w:p>
      <w:pPr>
        <w:spacing w:after="0" w:line="22"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050505"/>
        </w:rPr>
        <w:t>By:</w:t>
      </w:r>
      <w:r>
        <w:rPr>
          <w:sz w:val="20"/>
          <w:szCs w:val="20"/>
          <w:color w:val="auto"/>
        </w:rPr>
        <w:tab/>
      </w:r>
      <w:r>
        <w:rPr>
          <w:rFonts w:ascii="Arial" w:cs="Arial" w:eastAsia="Arial" w:hAnsi="Arial"/>
          <w:sz w:val="13"/>
          <w:szCs w:val="13"/>
          <w:color w:val="050505"/>
        </w:rPr>
        <w:t>________________________________</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050505"/>
        </w:rPr>
        <w:t>Name: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050505"/>
        </w:rPr>
        <w:t>Title: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239"/>
        <w:spacing w:after="0"/>
        <w:rPr>
          <w:sz w:val="20"/>
          <w:szCs w:val="20"/>
          <w:color w:val="auto"/>
        </w:rPr>
      </w:pPr>
      <w:r>
        <w:rPr>
          <w:rFonts w:ascii="Arial" w:cs="Arial" w:eastAsia="Arial" w:hAnsi="Arial"/>
          <w:sz w:val="13"/>
          <w:szCs w:val="13"/>
          <w:color w:val="050505"/>
        </w:rPr>
        <w:t>[Signature Page to Assignment and Acceptance]</w:t>
      </w:r>
    </w:p>
    <w:p>
      <w:pPr>
        <w:sectPr>
          <w:pgSz w:w="11900" w:h="16838" w:orient="portrait"/>
          <w:cols w:equalWidth="0" w:num="1">
            <w:col w:w="10239"/>
          </w:cols>
          <w:pgMar w:left="220" w:top="129"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13"/>
          <w:szCs w:val="13"/>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I, David A. Levin, certify that:</w:t>
      </w:r>
    </w:p>
    <w:p>
      <w:pPr>
        <w:spacing w:after="0" w:line="93" w:lineRule="exact"/>
        <w:rPr>
          <w:sz w:val="20"/>
          <w:szCs w:val="20"/>
          <w:color w:val="auto"/>
        </w:rPr>
      </w:pPr>
    </w:p>
    <w:p>
      <w:pPr>
        <w:ind w:left="520" w:hanging="519"/>
        <w:spacing w:after="0"/>
        <w:tabs>
          <w:tab w:leader="none" w:pos="5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Destination XL Group, Inc.;</w:t>
      </w:r>
    </w:p>
    <w:p>
      <w:pPr>
        <w:spacing w:after="0" w:line="92" w:lineRule="exact"/>
        <w:rPr>
          <w:rFonts w:ascii="Arial" w:cs="Arial" w:eastAsia="Arial" w:hAnsi="Arial"/>
          <w:sz w:val="13"/>
          <w:szCs w:val="13"/>
          <w:color w:val="auto"/>
        </w:rPr>
      </w:pPr>
    </w:p>
    <w:p>
      <w:pPr>
        <w:ind w:left="520" w:right="260" w:hanging="519"/>
        <w:spacing w:after="0" w:line="294" w:lineRule="auto"/>
        <w:tabs>
          <w:tab w:leader="none" w:pos="5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Arial" w:cs="Arial" w:eastAsia="Arial" w:hAnsi="Arial"/>
          <w:sz w:val="13"/>
          <w:szCs w:val="13"/>
          <w:color w:val="auto"/>
        </w:rPr>
      </w:pPr>
    </w:p>
    <w:p>
      <w:pPr>
        <w:ind w:left="520" w:right="60" w:hanging="519"/>
        <w:spacing w:after="0" w:line="294" w:lineRule="auto"/>
        <w:tabs>
          <w:tab w:leader="none" w:pos="5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3"/>
          <w:szCs w:val="13"/>
          <w:color w:val="auto"/>
        </w:rPr>
      </w:pPr>
    </w:p>
    <w:p>
      <w:pPr>
        <w:ind w:left="520" w:right="360" w:hanging="519"/>
        <w:spacing w:after="0" w:line="294" w:lineRule="auto"/>
        <w:tabs>
          <w:tab w:leader="none" w:pos="5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Arial" w:cs="Arial" w:eastAsia="Arial" w:hAnsi="Arial"/>
          <w:sz w:val="13"/>
          <w:szCs w:val="13"/>
          <w:color w:val="auto"/>
        </w:rPr>
      </w:pPr>
    </w:p>
    <w:p>
      <w:pPr>
        <w:ind w:left="1020" w:right="260" w:hanging="499"/>
        <w:spacing w:after="0" w:line="339" w:lineRule="auto"/>
        <w:tabs>
          <w:tab w:leader="none" w:pos="1020" w:val="left"/>
        </w:tabs>
        <w:numPr>
          <w:ilvl w:val="1"/>
          <w:numId w:val="2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2"/>
          <w:szCs w:val="12"/>
          <w:color w:val="auto"/>
        </w:rPr>
      </w:pPr>
    </w:p>
    <w:p>
      <w:pPr>
        <w:ind w:left="1020" w:right="120" w:hanging="499"/>
        <w:spacing w:after="0" w:line="339" w:lineRule="auto"/>
        <w:tabs>
          <w:tab w:leader="none" w:pos="1020" w:val="left"/>
        </w:tabs>
        <w:numPr>
          <w:ilvl w:val="1"/>
          <w:numId w:val="22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2"/>
          <w:szCs w:val="12"/>
          <w:color w:val="auto"/>
        </w:rPr>
      </w:pPr>
    </w:p>
    <w:p>
      <w:pPr>
        <w:ind w:left="1020" w:right="40" w:hanging="499"/>
        <w:spacing w:after="0" w:line="294" w:lineRule="auto"/>
        <w:tabs>
          <w:tab w:leader="none" w:pos="102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3"/>
          <w:szCs w:val="13"/>
          <w:color w:val="auto"/>
        </w:rPr>
      </w:pPr>
    </w:p>
    <w:p>
      <w:pPr>
        <w:ind w:left="1020" w:right="100" w:hanging="499"/>
        <w:spacing w:after="0" w:line="294" w:lineRule="auto"/>
        <w:tabs>
          <w:tab w:leader="none" w:pos="102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Arial" w:cs="Arial" w:eastAsia="Arial" w:hAnsi="Arial"/>
          <w:sz w:val="13"/>
          <w:szCs w:val="13"/>
          <w:color w:val="auto"/>
        </w:rPr>
      </w:pPr>
    </w:p>
    <w:p>
      <w:pPr>
        <w:ind w:left="520" w:right="120" w:hanging="519"/>
        <w:spacing w:after="0" w:line="294" w:lineRule="auto"/>
        <w:tabs>
          <w:tab w:leader="none" w:pos="5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3"/>
          <w:szCs w:val="13"/>
          <w:color w:val="auto"/>
        </w:rPr>
      </w:pPr>
    </w:p>
    <w:p>
      <w:pPr>
        <w:ind w:left="1020" w:right="20" w:hanging="499"/>
        <w:spacing w:after="0" w:line="294" w:lineRule="auto"/>
        <w:tabs>
          <w:tab w:leader="none" w:pos="102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3"/>
          <w:szCs w:val="13"/>
          <w:color w:val="auto"/>
        </w:rPr>
      </w:pPr>
    </w:p>
    <w:p>
      <w:pPr>
        <w:ind w:left="1020" w:hanging="499"/>
        <w:spacing w:after="0"/>
        <w:tabs>
          <w:tab w:leader="none" w:pos="1020" w:val="left"/>
        </w:tabs>
        <w:numPr>
          <w:ilvl w:val="1"/>
          <w:numId w:val="2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tabs>
          <w:tab w:leader="none" w:pos="6860" w:val="left"/>
          <w:tab w:leader="none" w:pos="8760" w:val="left"/>
        </w:tabs>
        <w:rPr>
          <w:sz w:val="20"/>
          <w:szCs w:val="20"/>
          <w:color w:val="auto"/>
        </w:rPr>
      </w:pPr>
      <w:r>
        <w:rPr>
          <w:rFonts w:ascii="Arial" w:cs="Arial" w:eastAsia="Arial" w:hAnsi="Arial"/>
          <w:sz w:val="13"/>
          <w:szCs w:val="13"/>
          <w:color w:val="auto"/>
        </w:rPr>
        <w:t>Date: November 21, 2014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David A. Levin</w:t>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1"/>
          <w:szCs w:val="11"/>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-73025</wp:posOffset>
            </wp:positionV>
            <wp:extent cx="276669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6695" cy="635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1"/>
          <w:szCs w:val="11"/>
          <w:b w:val="1"/>
          <w:bCs w:val="1"/>
          <w:color w:val="auto"/>
        </w:rPr>
        <w:t>Chief Executive Officer</w:t>
      </w:r>
    </w:p>
    <w:p>
      <w:pPr>
        <w:sectPr>
          <w:pgSz w:w="11900" w:h="16838" w:orient="portrait"/>
          <w:cols w:equalWidth="0" w:num="1">
            <w:col w:w="11460"/>
          </w:cols>
          <w:pgMar w:left="220" w:top="127" w:right="2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3"/>
          <w:szCs w:val="13"/>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I, Peter H. Stratton, Jr., certify that:</w:t>
      </w:r>
    </w:p>
    <w:p>
      <w:pPr>
        <w:spacing w:after="0" w:line="93" w:lineRule="exact"/>
        <w:rPr>
          <w:sz w:val="20"/>
          <w:szCs w:val="20"/>
          <w:color w:val="auto"/>
        </w:rPr>
      </w:pPr>
    </w:p>
    <w:p>
      <w:pPr>
        <w:ind w:left="520" w:hanging="519"/>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Destination XL Group, Inc.;</w:t>
      </w:r>
    </w:p>
    <w:p>
      <w:pPr>
        <w:spacing w:after="0" w:line="92" w:lineRule="exact"/>
        <w:rPr>
          <w:rFonts w:ascii="Arial" w:cs="Arial" w:eastAsia="Arial" w:hAnsi="Arial"/>
          <w:sz w:val="13"/>
          <w:szCs w:val="13"/>
          <w:color w:val="auto"/>
        </w:rPr>
      </w:pPr>
    </w:p>
    <w:p>
      <w:pPr>
        <w:ind w:left="520" w:right="260" w:hanging="519"/>
        <w:spacing w:after="0" w:line="294" w:lineRule="auto"/>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Arial" w:cs="Arial" w:eastAsia="Arial" w:hAnsi="Arial"/>
          <w:sz w:val="13"/>
          <w:szCs w:val="13"/>
          <w:color w:val="auto"/>
        </w:rPr>
      </w:pPr>
    </w:p>
    <w:p>
      <w:pPr>
        <w:ind w:left="520" w:right="60" w:hanging="519"/>
        <w:spacing w:after="0" w:line="294" w:lineRule="auto"/>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3"/>
          <w:szCs w:val="13"/>
          <w:color w:val="auto"/>
        </w:rPr>
      </w:pPr>
    </w:p>
    <w:p>
      <w:pPr>
        <w:ind w:left="520" w:right="360" w:hanging="519"/>
        <w:spacing w:after="0" w:line="294" w:lineRule="auto"/>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Arial" w:cs="Arial" w:eastAsia="Arial" w:hAnsi="Arial"/>
          <w:sz w:val="13"/>
          <w:szCs w:val="13"/>
          <w:color w:val="auto"/>
        </w:rPr>
      </w:pPr>
    </w:p>
    <w:p>
      <w:pPr>
        <w:ind w:left="1020" w:right="260" w:hanging="499"/>
        <w:spacing w:after="0" w:line="339" w:lineRule="auto"/>
        <w:tabs>
          <w:tab w:leader="none" w:pos="1020" w:val="left"/>
        </w:tabs>
        <w:numPr>
          <w:ilvl w:val="1"/>
          <w:numId w:val="22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2"/>
          <w:szCs w:val="12"/>
          <w:color w:val="auto"/>
        </w:rPr>
      </w:pPr>
    </w:p>
    <w:p>
      <w:pPr>
        <w:ind w:left="1020" w:right="120" w:hanging="499"/>
        <w:spacing w:after="0" w:line="339" w:lineRule="auto"/>
        <w:tabs>
          <w:tab w:leader="none" w:pos="1020" w:val="left"/>
        </w:tabs>
        <w:numPr>
          <w:ilvl w:val="1"/>
          <w:numId w:val="22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2"/>
          <w:szCs w:val="12"/>
          <w:color w:val="auto"/>
        </w:rPr>
      </w:pPr>
    </w:p>
    <w:p>
      <w:pPr>
        <w:ind w:left="1020" w:right="40" w:hanging="499"/>
        <w:spacing w:after="0" w:line="294" w:lineRule="auto"/>
        <w:tabs>
          <w:tab w:leader="none" w:pos="1020" w:val="left"/>
        </w:tabs>
        <w:numPr>
          <w:ilvl w:val="1"/>
          <w:numId w:val="22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3"/>
          <w:szCs w:val="13"/>
          <w:color w:val="auto"/>
        </w:rPr>
      </w:pPr>
    </w:p>
    <w:p>
      <w:pPr>
        <w:ind w:left="1020" w:right="100" w:hanging="499"/>
        <w:spacing w:after="0" w:line="294" w:lineRule="auto"/>
        <w:tabs>
          <w:tab w:leader="none" w:pos="1020" w:val="left"/>
        </w:tabs>
        <w:numPr>
          <w:ilvl w:val="1"/>
          <w:numId w:val="2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Arial" w:cs="Arial" w:eastAsia="Arial" w:hAnsi="Arial"/>
          <w:sz w:val="13"/>
          <w:szCs w:val="13"/>
          <w:color w:val="auto"/>
        </w:rPr>
      </w:pPr>
    </w:p>
    <w:p>
      <w:pPr>
        <w:ind w:left="520" w:right="120" w:hanging="519"/>
        <w:spacing w:after="0" w:line="294" w:lineRule="auto"/>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3"/>
          <w:szCs w:val="13"/>
          <w:color w:val="auto"/>
        </w:rPr>
      </w:pPr>
    </w:p>
    <w:p>
      <w:pPr>
        <w:ind w:left="1020" w:right="20" w:hanging="499"/>
        <w:spacing w:after="0" w:line="294" w:lineRule="auto"/>
        <w:tabs>
          <w:tab w:leader="none" w:pos="1020" w:val="left"/>
        </w:tabs>
        <w:numPr>
          <w:ilvl w:val="1"/>
          <w:numId w:val="22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3"/>
          <w:szCs w:val="13"/>
          <w:color w:val="auto"/>
        </w:rPr>
      </w:pPr>
    </w:p>
    <w:p>
      <w:pPr>
        <w:ind w:left="1020" w:hanging="499"/>
        <w:spacing w:after="0"/>
        <w:tabs>
          <w:tab w:leader="none" w:pos="1020" w:val="left"/>
        </w:tabs>
        <w:numPr>
          <w:ilvl w:val="1"/>
          <w:numId w:val="22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tabs>
          <w:tab w:leader="none" w:pos="6860" w:val="left"/>
          <w:tab w:leader="none" w:pos="8640" w:val="left"/>
        </w:tabs>
        <w:rPr>
          <w:sz w:val="20"/>
          <w:szCs w:val="20"/>
          <w:color w:val="auto"/>
        </w:rPr>
      </w:pPr>
      <w:r>
        <w:rPr>
          <w:rFonts w:ascii="Arial" w:cs="Arial" w:eastAsia="Arial" w:hAnsi="Arial"/>
          <w:sz w:val="13"/>
          <w:szCs w:val="13"/>
          <w:color w:val="auto"/>
        </w:rPr>
        <w:t>Date: November 21, 2014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Peter H. Stratton, Jr.</w:t>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1"/>
          <w:szCs w:val="11"/>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-73025</wp:posOffset>
            </wp:positionV>
            <wp:extent cx="276669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6695" cy="635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1"/>
          <w:szCs w:val="11"/>
          <w:b w:val="1"/>
          <w:bCs w:val="1"/>
          <w:color w:val="auto"/>
        </w:rPr>
        <w:t>Chief Financial Officer</w:t>
      </w:r>
    </w:p>
    <w:p>
      <w:pPr>
        <w:sectPr>
          <w:pgSz w:w="11900" w:h="16838" w:orient="portrait"/>
          <w:cols w:equalWidth="0" w:num="1">
            <w:col w:w="11460"/>
          </w:cols>
          <w:pgMar w:left="220" w:top="127" w:right="2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3"/>
          <w:szCs w:val="13"/>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63" w:lineRule="exact"/>
        <w:rPr>
          <w:sz w:val="20"/>
          <w:szCs w:val="20"/>
          <w:color w:val="auto"/>
        </w:rPr>
      </w:pPr>
    </w:p>
    <w:p>
      <w:pPr>
        <w:ind w:right="40" w:firstLine="521"/>
        <w:spacing w:after="0" w:line="33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November 1, 2014, as filed with the Securities and Exchange Commission on the date hereof (the “Report”), I, David A. Levin, Chief Executive Officer of the Company, certify pursuant to 18 U.S.C. § 1350, as adopted pursuant to § 906 of the Sarbanes-Oxley Act of 2002, that:</w:t>
      </w:r>
    </w:p>
    <w:p>
      <w:pPr>
        <w:spacing w:after="0" w:line="14" w:lineRule="exact"/>
        <w:rPr>
          <w:sz w:val="20"/>
          <w:szCs w:val="20"/>
          <w:color w:val="auto"/>
        </w:rPr>
      </w:pPr>
    </w:p>
    <w:p>
      <w:pPr>
        <w:ind w:left="1280" w:hanging="192"/>
        <w:spacing w:after="0"/>
        <w:tabs>
          <w:tab w:leader="none" w:pos="128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(the “Exchange Act”); and</w:t>
      </w:r>
    </w:p>
    <w:p>
      <w:pPr>
        <w:spacing w:after="0" w:line="92" w:lineRule="exact"/>
        <w:rPr>
          <w:rFonts w:ascii="Arial" w:cs="Arial" w:eastAsia="Arial" w:hAnsi="Arial"/>
          <w:sz w:val="13"/>
          <w:szCs w:val="13"/>
          <w:color w:val="auto"/>
        </w:rPr>
      </w:pPr>
    </w:p>
    <w:p>
      <w:pPr>
        <w:ind w:left="1280" w:hanging="192"/>
        <w:spacing w:after="0"/>
        <w:tabs>
          <w:tab w:leader="none" w:pos="128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ind w:right="20" w:firstLine="521"/>
        <w:spacing w:after="0" w:line="310"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31" w:lineRule="exact"/>
        <w:rPr>
          <w:sz w:val="20"/>
          <w:szCs w:val="20"/>
          <w:color w:val="auto"/>
        </w:rPr>
      </w:pPr>
    </w:p>
    <w:p>
      <w:pPr>
        <w:spacing w:after="0"/>
        <w:tabs>
          <w:tab w:leader="none" w:pos="6860" w:val="left"/>
          <w:tab w:leader="none" w:pos="8760" w:val="left"/>
        </w:tabs>
        <w:rPr>
          <w:sz w:val="20"/>
          <w:szCs w:val="20"/>
          <w:color w:val="auto"/>
        </w:rPr>
      </w:pPr>
      <w:r>
        <w:rPr>
          <w:rFonts w:ascii="Arial" w:cs="Arial" w:eastAsia="Arial" w:hAnsi="Arial"/>
          <w:sz w:val="13"/>
          <w:szCs w:val="13"/>
          <w:color w:val="auto"/>
        </w:rPr>
        <w:t>Date: November 21, 2014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David A. Levin</w:t>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1"/>
          <w:szCs w:val="11"/>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-73025</wp:posOffset>
            </wp:positionV>
            <wp:extent cx="276669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66695" cy="635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1"/>
          <w:szCs w:val="11"/>
          <w:b w:val="1"/>
          <w:bCs w:val="1"/>
          <w:color w:val="auto"/>
        </w:rPr>
        <w:t>Chief Executive Officer</w:t>
      </w:r>
    </w:p>
    <w:p>
      <w:pPr>
        <w:spacing w:after="0" w:line="140" w:lineRule="exact"/>
        <w:rPr>
          <w:sz w:val="20"/>
          <w:szCs w:val="20"/>
          <w:color w:val="auto"/>
        </w:rPr>
      </w:pPr>
    </w:p>
    <w:p>
      <w:pPr>
        <w:ind w:right="40" w:firstLine="521"/>
        <w:spacing w:after="0" w:line="276" w:lineRule="auto"/>
        <w:rPr>
          <w:sz w:val="20"/>
          <w:szCs w:val="20"/>
          <w:color w:val="auto"/>
        </w:rPr>
      </w:pPr>
      <w:r>
        <w:rPr>
          <w:rFonts w:ascii="Arial" w:cs="Arial" w:eastAsia="Arial" w:hAnsi="Arial"/>
          <w:sz w:val="13"/>
          <w:szCs w:val="13"/>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60"/>
          </w:cols>
          <w:pgMar w:left="220" w:top="127" w:right="2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63" w:lineRule="exact"/>
        <w:rPr>
          <w:sz w:val="20"/>
          <w:szCs w:val="20"/>
          <w:color w:val="auto"/>
        </w:rPr>
      </w:pPr>
    </w:p>
    <w:p>
      <w:pPr>
        <w:ind w:right="40" w:firstLine="521"/>
        <w:spacing w:after="0" w:line="33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November 1, 2014,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14" w:lineRule="exact"/>
        <w:rPr>
          <w:sz w:val="20"/>
          <w:szCs w:val="20"/>
          <w:color w:val="auto"/>
        </w:rPr>
      </w:pPr>
    </w:p>
    <w:p>
      <w:pPr>
        <w:ind w:left="1280" w:hanging="192"/>
        <w:spacing w:after="0"/>
        <w:tabs>
          <w:tab w:leader="none" w:pos="128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(the “Exchange Act”); and</w:t>
      </w:r>
    </w:p>
    <w:p>
      <w:pPr>
        <w:spacing w:after="0" w:line="92" w:lineRule="exact"/>
        <w:rPr>
          <w:rFonts w:ascii="Arial" w:cs="Arial" w:eastAsia="Arial" w:hAnsi="Arial"/>
          <w:sz w:val="13"/>
          <w:szCs w:val="13"/>
          <w:color w:val="auto"/>
        </w:rPr>
      </w:pPr>
    </w:p>
    <w:p>
      <w:pPr>
        <w:ind w:left="1280" w:hanging="192"/>
        <w:spacing w:after="0"/>
        <w:tabs>
          <w:tab w:leader="none" w:pos="128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ind w:right="20" w:firstLine="521"/>
        <w:spacing w:after="0" w:line="310"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31" w:lineRule="exact"/>
        <w:rPr>
          <w:sz w:val="20"/>
          <w:szCs w:val="20"/>
          <w:color w:val="auto"/>
        </w:rPr>
      </w:pPr>
    </w:p>
    <w:p>
      <w:pPr>
        <w:spacing w:after="0"/>
        <w:tabs>
          <w:tab w:leader="none" w:pos="6860" w:val="left"/>
          <w:tab w:leader="none" w:pos="8640" w:val="left"/>
        </w:tabs>
        <w:rPr>
          <w:sz w:val="20"/>
          <w:szCs w:val="20"/>
          <w:color w:val="auto"/>
        </w:rPr>
      </w:pPr>
      <w:r>
        <w:rPr>
          <w:rFonts w:ascii="Arial" w:cs="Arial" w:eastAsia="Arial" w:hAnsi="Arial"/>
          <w:sz w:val="13"/>
          <w:szCs w:val="13"/>
          <w:color w:val="auto"/>
        </w:rPr>
        <w:t>Date: November 21, 2014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Peter H. Stratton, Jr.</w:t>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1"/>
          <w:szCs w:val="11"/>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4515485</wp:posOffset>
            </wp:positionH>
            <wp:positionV relativeFrom="paragraph">
              <wp:posOffset>-73025</wp:posOffset>
            </wp:positionV>
            <wp:extent cx="276669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66695" cy="635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1"/>
          <w:szCs w:val="11"/>
          <w:b w:val="1"/>
          <w:bCs w:val="1"/>
          <w:color w:val="auto"/>
        </w:rPr>
        <w:t>Chief Financial Officer</w:t>
      </w:r>
    </w:p>
    <w:p>
      <w:pPr>
        <w:spacing w:after="0" w:line="140" w:lineRule="exact"/>
        <w:rPr>
          <w:sz w:val="20"/>
          <w:szCs w:val="20"/>
          <w:color w:val="auto"/>
        </w:rPr>
      </w:pPr>
    </w:p>
    <w:p>
      <w:pPr>
        <w:ind w:right="40" w:firstLine="521"/>
        <w:spacing w:after="0" w:line="276" w:lineRule="auto"/>
        <w:rPr>
          <w:sz w:val="20"/>
          <w:szCs w:val="20"/>
          <w:color w:val="auto"/>
        </w:rPr>
      </w:pPr>
      <w:r>
        <w:rPr>
          <w:rFonts w:ascii="Arial" w:cs="Arial" w:eastAsia="Arial" w:hAnsi="Arial"/>
          <w:sz w:val="13"/>
          <w:szCs w:val="13"/>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DF6A55"/>
    <w:multiLevelType w:val="hybridMultilevel"/>
    <w:lvl w:ilvl="0">
      <w:lvlJc w:val="left"/>
      <w:lvlText w:val="(%1)"/>
      <w:numFmt w:val="decimal"/>
      <w:start w:val="1"/>
    </w:lvl>
  </w:abstractNum>
  <w:abstractNum w:abstractNumId="1">
    <w:nsid w:val="39B7AAA2"/>
    <w:multiLevelType w:val="hybridMultilevel"/>
    <w:lvl w:ilvl="0">
      <w:lvlJc w:val="left"/>
      <w:lvlText w:val="(%1)"/>
      <w:numFmt w:val="lowerLetter"/>
      <w:start w:val="3"/>
    </w:lvl>
  </w:abstractNum>
  <w:abstractNum w:abstractNumId="2">
    <w:nsid w:val="2B0D8DBE"/>
    <w:multiLevelType w:val="hybridMultilevel"/>
    <w:lvl w:ilvl="0">
      <w:lvlJc w:val="left"/>
      <w:lvlText w:val="(%1)"/>
      <w:numFmt w:val="decimal"/>
      <w:start w:val="1"/>
    </w:lvl>
  </w:abstractNum>
  <w:abstractNum w:abstractNumId="3">
    <w:nsid w:val="6C80EC70"/>
    <w:multiLevelType w:val="hybridMultilevel"/>
    <w:lvl w:ilvl="0">
      <w:lvlJc w:val="left"/>
      <w:lvlText w:val="(%1)"/>
      <w:numFmt w:val="decimal"/>
      <w:start w:val="1"/>
    </w:lvl>
  </w:abstractNum>
  <w:abstractNum w:abstractNumId="4">
    <w:nsid w:val="379E21B5"/>
    <w:multiLevelType w:val="hybridMultilevel"/>
    <w:lvl w:ilvl="0">
      <w:lvlJc w:val="left"/>
      <w:lvlText w:val="(%1)"/>
      <w:numFmt w:val="decimal"/>
      <w:start w:val="1"/>
    </w:lvl>
  </w:abstractNum>
  <w:abstractNum w:abstractNumId="5">
    <w:nsid w:val="69E373"/>
    <w:multiLevelType w:val="hybridMultilevel"/>
    <w:lvl w:ilvl="0">
      <w:lvlJc w:val="left"/>
      <w:lvlText w:val="(%1)"/>
      <w:numFmt w:val="decimal"/>
      <w:start w:val="1"/>
    </w:lvl>
  </w:abstractNum>
  <w:abstractNum w:abstractNumId="6">
    <w:nsid w:val="2C27173B"/>
    <w:multiLevelType w:val="hybridMultilevel"/>
    <w:lvl w:ilvl="0">
      <w:lvlJc w:val="left"/>
      <w:lvlText w:val="(%1)"/>
      <w:numFmt w:val="decimal"/>
      <w:start w:val="1"/>
    </w:lvl>
  </w:abstractNum>
  <w:abstractNum w:abstractNumId="7">
    <w:nsid w:val="4C9B0904"/>
    <w:multiLevelType w:val="hybridMultilevel"/>
    <w:lvl w:ilvl="0">
      <w:lvlJc w:val="left"/>
      <w:lvlText w:val="\emdash "/>
      <w:numFmt w:val="bullet"/>
      <w:start w:val="1"/>
    </w:lvl>
  </w:abstractNum>
  <w:abstractNum w:abstractNumId="8">
    <w:nsid w:val="6AA7B75C"/>
    <w:multiLevelType w:val="hybridMultilevel"/>
    <w:lvl w:ilvl="0">
      <w:lvlJc w:val="left"/>
      <w:lvlText w:val="\emdash "/>
      <w:numFmt w:val="bullet"/>
      <w:start w:val="1"/>
    </w:lvl>
  </w:abstractNum>
  <w:abstractNum w:abstractNumId="9">
    <w:nsid w:val="1DF029D3"/>
    <w:multiLevelType w:val="hybridMultilevel"/>
    <w:lvl w:ilvl="0">
      <w:lvlJc w:val="left"/>
      <w:lvlText w:val="(%1)"/>
      <w:numFmt w:val="decimal"/>
      <w:start w:val="1"/>
    </w:lvl>
  </w:abstractNum>
  <w:abstractNum w:abstractNumId="10">
    <w:nsid w:val="5675FF36"/>
    <w:multiLevelType w:val="hybridMultilevel"/>
    <w:lvl w:ilvl="0">
      <w:lvlJc w:val="left"/>
      <w:lvlText w:val="(%1)"/>
      <w:numFmt w:val="decimal"/>
      <w:start w:val="1"/>
    </w:lvl>
  </w:abstractNum>
  <w:abstractNum w:abstractNumId="11">
    <w:nsid w:val="3DD15094"/>
    <w:multiLevelType w:val="hybridMultilevel"/>
    <w:lvl w:ilvl="0">
      <w:lvlJc w:val="left"/>
      <w:lvlText w:val="%1"/>
      <w:numFmt w:val="decimal"/>
      <w:start w:val="101"/>
    </w:lvl>
    <w:lvl w:ilvl="1">
      <w:lvlJc w:val="left"/>
      <w:lvlText w:val="*"/>
      <w:numFmt w:val="bullet"/>
      <w:start w:val="1"/>
    </w:lvl>
  </w:abstractNum>
  <w:abstractNum w:abstractNumId="12">
    <w:nsid w:val="3DB012B3"/>
    <w:multiLevelType w:val="hybridMultilevel"/>
    <w:lvl w:ilvl="0">
      <w:lvlJc w:val="left"/>
      <w:lvlText w:val="%1."/>
      <w:numFmt w:val="decimal"/>
      <w:start w:val="1"/>
    </w:lvl>
  </w:abstractNum>
  <w:abstractNum w:abstractNumId="13">
    <w:nsid w:val="2708C9A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6"/>
    </w:lvl>
  </w:abstractNum>
  <w:abstractNum w:abstractNumId="14">
    <w:nsid w:val="5B25ACE2"/>
    <w:multiLevelType w:val="hybridMultilevel"/>
    <w:lvl w:ilvl="0">
      <w:lvlJc w:val="left"/>
      <w:lvlText w:val="%1)"/>
      <w:numFmt w:val="lowerLetter"/>
      <w:start w:val="1"/>
    </w:lvl>
  </w:abstractNum>
  <w:abstractNum w:abstractNumId="15">
    <w:nsid w:val="175DFCF0"/>
    <w:multiLevelType w:val="hybridMultilevel"/>
    <w:lvl w:ilvl="0">
      <w:lvlJc w:val="left"/>
      <w:lvlText w:val="%1"/>
      <w:numFmt w:val="lowerLetter"/>
      <w:start w:val="1"/>
    </w:lvl>
    <w:lvl w:ilvl="1">
      <w:lvlJc w:val="left"/>
      <w:lvlText w:val="(%2)"/>
      <w:numFmt w:val="lowerLetter"/>
      <w:start w:val="35"/>
    </w:lvl>
  </w:abstractNum>
  <w:abstractNum w:abstractNumId="16">
    <w:nsid w:val="4F97E3E4"/>
    <w:multiLevelType w:val="hybridMultilevel"/>
    <w:lvl w:ilvl="0">
      <w:lvlJc w:val="left"/>
      <w:lvlText w:val="%1)"/>
      <w:numFmt w:val="lowerLetter"/>
      <w:start w:val="2"/>
    </w:lvl>
    <w:lvl w:ilvl="1">
      <w:lvlJc w:val="left"/>
      <w:lvlText w:val="(%2)"/>
      <w:numFmt w:val="lowerLetter"/>
      <w:start w:val="1"/>
    </w:lvl>
  </w:abstractNum>
  <w:abstractNum w:abstractNumId="17">
    <w:nsid w:val="53B0A9E"/>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5"/>
    </w:lvl>
  </w:abstractNum>
  <w:abstractNum w:abstractNumId="18">
    <w:nsid w:val="34FD6B4F"/>
    <w:multiLevelType w:val="hybridMultilevel"/>
    <w:lvl w:ilvl="0">
      <w:lvlJc w:val="left"/>
      <w:lvlText w:val="%1."/>
      <w:numFmt w:val="lowerRoman"/>
      <w:start w:val="7"/>
    </w:lvl>
    <w:lvl w:ilvl="1">
      <w:lvlJc w:val="left"/>
      <w:lvlText w:val="%2"/>
      <w:numFmt w:val="lowerLetter"/>
      <w:start w:val="1"/>
    </w:lvl>
    <w:lvl w:ilvl="2">
      <w:lvlJc w:val="left"/>
      <w:lvlText w:val="%3"/>
      <w:numFmt w:val="lowerLetter"/>
      <w:start w:val="1"/>
    </w:lvl>
  </w:abstractNum>
  <w:abstractNum w:abstractNumId="19">
    <w:nsid w:val="5915FF32"/>
    <w:multiLevelType w:val="hybridMultilevel"/>
    <w:lvl w:ilvl="0">
      <w:lvlJc w:val="left"/>
      <w:lvlText w:val="%1."/>
      <w:numFmt w:val="lowerRoman"/>
      <w:start w:val="9"/>
    </w:lvl>
  </w:abstractNum>
  <w:abstractNum w:abstractNumId="20">
    <w:nsid w:val="56438D15"/>
    <w:multiLevelType w:val="hybridMultilevel"/>
    <w:lvl w:ilvl="0">
      <w:lvlJc w:val="left"/>
      <w:lvlText w:val="%1."/>
      <w:numFmt w:val="lowerRoman"/>
      <w:start w:val="11"/>
    </w:lvl>
  </w:abstractNum>
  <w:abstractNum w:abstractNumId="21">
    <w:nsid w:val="519E3149"/>
    <w:multiLevelType w:val="hybridMultilevel"/>
    <w:lvl w:ilvl="0">
      <w:lvlJc w:val="left"/>
      <w:lvlText w:val="%1"/>
      <w:numFmt w:val="lowerRoman"/>
      <w:start w:val="1"/>
    </w:lvl>
    <w:lvl w:ilvl="1">
      <w:lvlJc w:val="left"/>
      <w:lvlText w:val="(%2)"/>
      <w:numFmt w:val="lowerLetter"/>
      <w:start w:val="2"/>
    </w:lvl>
  </w:abstractNum>
  <w:abstractNum w:abstractNumId="22">
    <w:nsid w:val="2C6E4AFD"/>
    <w:multiLevelType w:val="hybridMultilevel"/>
    <w:lvl w:ilvl="0">
      <w:lvlJc w:val="left"/>
      <w:lvlText w:val="%1."/>
      <w:numFmt w:val="lowerRoman"/>
      <w:start w:val="12"/>
    </w:lvl>
    <w:lvl w:ilvl="1">
      <w:lvlJc w:val="left"/>
      <w:lvlText w:val="%2"/>
      <w:numFmt w:val="lowerLetter"/>
      <w:start w:val="1"/>
    </w:lvl>
  </w:abstractNum>
  <w:abstractNum w:abstractNumId="23">
    <w:nsid w:val="17A1B582"/>
    <w:multiLevelType w:val="hybridMultilevel"/>
    <w:lvl w:ilvl="0">
      <w:lvlJc w:val="left"/>
      <w:lvlText w:val="%1."/>
      <w:numFmt w:val="lowerRoman"/>
      <w:start w:val="14"/>
    </w:lvl>
    <w:lvl w:ilvl="1">
      <w:lvlJc w:val="left"/>
      <w:lvlText w:val="(%2)"/>
      <w:numFmt w:val="lowerLetter"/>
      <w:start w:val="4"/>
    </w:lvl>
  </w:abstractNum>
  <w:abstractNum w:abstractNumId="24">
    <w:nsid w:val="4DF72E4E"/>
    <w:multiLevelType w:val="hybridMultilevel"/>
    <w:lvl w:ilvl="0">
      <w:lvlJc w:val="left"/>
      <w:lvlText w:val="%1."/>
      <w:numFmt w:val="lowerRoman"/>
      <w:start w:val="16"/>
    </w:lvl>
    <w:lvl w:ilvl="1">
      <w:lvlJc w:val="left"/>
      <w:lvlText w:val="(%2)"/>
      <w:numFmt w:val="lowerRoman"/>
      <w:start w:val="1"/>
    </w:lvl>
  </w:abstractNum>
  <w:abstractNum w:abstractNumId="25">
    <w:nsid w:val="5046B5A9"/>
    <w:multiLevelType w:val="hybridMultilevel"/>
    <w:lvl w:ilvl="0">
      <w:lvlJc w:val="left"/>
      <w:lvlText w:val="%1."/>
      <w:numFmt w:val="lowerRoman"/>
      <w:start w:val="18"/>
    </w:lvl>
  </w:abstractNum>
  <w:abstractNum w:abstractNumId="26">
    <w:nsid w:val="5D888A08"/>
    <w:multiLevelType w:val="hybridMultilevel"/>
    <w:lvl w:ilvl="0">
      <w:lvlJc w:val="left"/>
      <w:lvlText w:val="%1."/>
      <w:numFmt w:val="lowerLetter"/>
      <w:start w:val="2"/>
    </w:lvl>
  </w:abstractNum>
  <w:abstractNum w:abstractNumId="27">
    <w:nsid w:val="2A082C70"/>
    <w:multiLevelType w:val="hybridMultilevel"/>
    <w:lvl w:ilvl="0">
      <w:lvlJc w:val="left"/>
      <w:lvlText w:val="%1."/>
      <w:numFmt w:val="lowerLetter"/>
      <w:start w:val="3"/>
    </w:lvl>
  </w:abstractNum>
  <w:abstractNum w:abstractNumId="28">
    <w:nsid w:val="5EC6AFD4"/>
    <w:multiLevelType w:val="hybridMultilevel"/>
    <w:lvl w:ilvl="0">
      <w:lvlJc w:val="left"/>
      <w:lvlText w:val="%1."/>
      <w:numFmt w:val="lowerLetter"/>
      <w:start w:val="4"/>
    </w:lvl>
    <w:lvl w:ilvl="1">
      <w:lvlJc w:val="left"/>
      <w:lvlText w:val="(%2)"/>
      <w:numFmt w:val="lowerLetter"/>
      <w:start w:val="7"/>
    </w:lvl>
  </w:abstractNum>
  <w:abstractNum w:abstractNumId="29">
    <w:nsid w:val="19E21BB2"/>
    <w:multiLevelType w:val="hybridMultilevel"/>
    <w:lvl w:ilvl="0">
      <w:lvlJc w:val="left"/>
      <w:lvlText w:val="(%1)"/>
      <w:numFmt w:val="lowerLetter"/>
      <w:start w:val="1"/>
    </w:lvl>
  </w:abstractNum>
  <w:abstractNum w:abstractNumId="30">
    <w:nsid w:val="75E0858A"/>
    <w:multiLevelType w:val="hybridMultilevel"/>
    <w:lvl w:ilvl="0">
      <w:lvlJc w:val="left"/>
      <w:lvlText w:val="%1"/>
      <w:numFmt w:val="lowerLetter"/>
      <w:start w:val="1"/>
    </w:lvl>
    <w:lvl w:ilvl="1">
      <w:lvlJc w:val="left"/>
      <w:lvlText w:val="(%2)"/>
      <w:numFmt w:val="lowerLetter"/>
      <w:start w:val="2"/>
    </w:lvl>
  </w:abstractNum>
  <w:abstractNum w:abstractNumId="31">
    <w:nsid w:val="57A61A29"/>
    <w:multiLevelType w:val="hybridMultilevel"/>
    <w:lvl w:ilvl="0">
      <w:lvlJc w:val="left"/>
      <w:lvlText w:val="%1."/>
      <w:numFmt w:val="lowerLetter"/>
      <w:start w:val="7"/>
    </w:lvl>
    <w:lvl w:ilvl="1">
      <w:lvlJc w:val="left"/>
      <w:lvlText w:val="(%2)"/>
      <w:numFmt w:val="lowerLetter"/>
      <w:start w:val="3"/>
    </w:lvl>
  </w:abstractNum>
  <w:abstractNum w:abstractNumId="32">
    <w:nsid w:val="5399C654"/>
    <w:multiLevelType w:val="hybridMultilevel"/>
    <w:lvl w:ilvl="0">
      <w:lvlJc w:val="left"/>
      <w:lvlText w:val="%1."/>
      <w:numFmt w:val="lowerLetter"/>
      <w:start w:val="10"/>
    </w:lvl>
    <w:lvl w:ilvl="1">
      <w:lvlJc w:val="left"/>
      <w:lvlText w:val="(%2)"/>
      <w:numFmt w:val="lowerRoman"/>
      <w:start w:val="1"/>
    </w:lvl>
  </w:abstractNum>
  <w:abstractNum w:abstractNumId="33">
    <w:nsid w:val="20EE1348"/>
    <w:multiLevelType w:val="hybridMultilevel"/>
    <w:lvl w:ilvl="0">
      <w:lvlJc w:val="left"/>
      <w:lvlText w:val="%1"/>
      <w:numFmt w:val="lowerLetter"/>
      <w:start w:val="1"/>
    </w:lvl>
    <w:lvl w:ilvl="1">
      <w:lvlJc w:val="left"/>
      <w:lvlText w:val="(%2)"/>
      <w:numFmt w:val="lowerLetter"/>
      <w:start w:val="3"/>
    </w:lvl>
  </w:abstractNum>
  <w:abstractNum w:abstractNumId="34">
    <w:nsid w:val="4427069A"/>
    <w:multiLevelType w:val="hybridMultilevel"/>
    <w:lvl w:ilvl="0">
      <w:lvlJc w:val="left"/>
      <w:lvlText w:val="%1."/>
      <w:numFmt w:val="lowerLetter"/>
      <w:start w:val="12"/>
    </w:lvl>
    <w:lvl w:ilvl="1">
      <w:lvlJc w:val="left"/>
      <w:lvlText w:val="%2"/>
      <w:numFmt w:val="lowerLetter"/>
      <w:start w:val="1"/>
    </w:lvl>
  </w:abstractNum>
  <w:abstractNum w:abstractNumId="35">
    <w:nsid w:val="B37E80A"/>
    <w:multiLevelType w:val="hybridMultilevel"/>
    <w:lvl w:ilvl="0">
      <w:lvlJc w:val="left"/>
      <w:lvlText w:val="%1."/>
      <w:numFmt w:val="lowerLetter"/>
      <w:start w:val="13"/>
    </w:lvl>
  </w:abstractNum>
  <w:abstractNum w:abstractNumId="36">
    <w:nsid w:val="2157F6BC"/>
    <w:multiLevelType w:val="hybridMultilevel"/>
    <w:lvl w:ilvl="0">
      <w:lvlJc w:val="left"/>
      <w:lvlText w:val="%1."/>
      <w:numFmt w:val="lowerLetter"/>
      <w:start w:val="15"/>
    </w:lvl>
    <w:lvl w:ilvl="1">
      <w:lvlJc w:val="left"/>
      <w:lvlText w:val="(%2)"/>
      <w:numFmt w:val="lowerLetter"/>
      <w:start w:val="13"/>
    </w:lvl>
  </w:abstractNum>
  <w:abstractNum w:abstractNumId="37">
    <w:nsid w:val="704E1DD5"/>
    <w:multiLevelType w:val="hybridMultilevel"/>
    <w:lvl w:ilvl="0">
      <w:lvlJc w:val="left"/>
      <w:lvlText w:val="%1"/>
      <w:numFmt w:val="decimal"/>
      <w:start w:val="1"/>
    </w:lvl>
    <w:lvl w:ilvl="1">
      <w:lvlJc w:val="left"/>
      <w:lvlText w:val="%2."/>
      <w:numFmt w:val="lowerLetter"/>
      <w:start w:val="18"/>
    </w:lvl>
  </w:abstractNum>
  <w:abstractNum w:abstractNumId="38">
    <w:nsid w:val="57D2F10E"/>
    <w:multiLevelType w:val="hybridMultilevel"/>
    <w:lvl w:ilvl="0">
      <w:lvlJc w:val="left"/>
      <w:lvlText w:val="%1."/>
      <w:numFmt w:val="decimal"/>
      <w:start w:val="5"/>
    </w:lvl>
    <w:lvl w:ilvl="1">
      <w:lvlJc w:val="left"/>
      <w:lvlText w:val="%2."/>
      <w:numFmt w:val="lowerLetter"/>
      <w:start w:val="1"/>
    </w:lvl>
  </w:abstractNum>
  <w:abstractNum w:abstractNumId="39">
    <w:nsid w:val="BFFAE18"/>
    <w:multiLevelType w:val="hybridMultilevel"/>
    <w:lvl w:ilvl="0">
      <w:lvlJc w:val="left"/>
      <w:lvlText w:val="%1"/>
      <w:numFmt w:val="decimal"/>
      <w:start w:val="1"/>
    </w:lvl>
    <w:lvl w:ilvl="1">
      <w:lvlJc w:val="left"/>
      <w:lvlText w:val="%2."/>
      <w:numFmt w:val="lowerLetter"/>
      <w:start w:val="4"/>
    </w:lvl>
  </w:abstractNum>
  <w:abstractNum w:abstractNumId="40">
    <w:nsid w:val="E3E47A8"/>
    <w:multiLevelType w:val="hybridMultilevel"/>
    <w:lvl w:ilvl="0">
      <w:lvlJc w:val="left"/>
      <w:lvlText w:val="%1."/>
      <w:numFmt w:val="decimal"/>
      <w:start w:val="6"/>
    </w:lvl>
    <w:lvl w:ilvl="1">
      <w:lvlJc w:val="left"/>
      <w:lvlText w:val="%2"/>
      <w:numFmt w:val="lowerLetter"/>
      <w:start w:val="1"/>
    </w:lvl>
  </w:abstractNum>
  <w:abstractNum w:abstractNumId="41">
    <w:nsid w:val="2E48F044"/>
    <w:multiLevelType w:val="hybridMultilevel"/>
    <w:lvl w:ilvl="0">
      <w:lvlJc w:val="left"/>
      <w:lvlText w:val="(%1)"/>
      <w:numFmt w:val="decimal"/>
      <w:start w:val="1"/>
    </w:lvl>
  </w:abstractNum>
  <w:abstractNum w:abstractNumId="42">
    <w:nsid w:val="49D0FEAC"/>
    <w:multiLevelType w:val="hybridMultilevel"/>
    <w:lvl w:ilvl="0">
      <w:lvlJc w:val="left"/>
      <w:lvlText w:val="***"/>
      <w:numFmt w:val="bullet"/>
      <w:start w:val="1"/>
    </w:lvl>
  </w:abstractNum>
  <w:abstractNum w:abstractNumId="43">
    <w:nsid w:val="4BEE5A5B"/>
    <w:multiLevelType w:val="hybridMultilevel"/>
    <w:lvl w:ilvl="0">
      <w:lvlJc w:val="left"/>
      <w:lvlText w:val="(%1)"/>
      <w:numFmt w:val="lowerLetter"/>
      <w:start w:val="1"/>
    </w:lvl>
  </w:abstractNum>
  <w:abstractNum w:abstractNumId="44">
    <w:nsid w:val="5551B9F3"/>
    <w:multiLevelType w:val="hybridMultilevel"/>
    <w:lvl w:ilvl="0">
      <w:lvlJc w:val="left"/>
      <w:lvlText w:val="(%1)"/>
      <w:numFmt w:val="lowerLetter"/>
      <w:start w:val="3"/>
    </w:lvl>
  </w:abstractNum>
  <w:abstractNum w:abstractNumId="45">
    <w:nsid w:val="24F6AB8E"/>
    <w:multiLevelType w:val="hybridMultilevel"/>
    <w:lvl w:ilvl="0">
      <w:lvlJc w:val="left"/>
      <w:lvlText w:val="(%1)"/>
      <w:numFmt w:val="lowerLetter"/>
      <w:start w:val="4"/>
    </w:lvl>
  </w:abstractNum>
  <w:abstractNum w:abstractNumId="46">
    <w:nsid w:val="634C574C"/>
    <w:multiLevelType w:val="hybridMultilevel"/>
    <w:lvl w:ilvl="0">
      <w:lvlJc w:val="left"/>
      <w:lvlText w:val="(%1)"/>
      <w:numFmt w:val="lowerLetter"/>
      <w:start w:val="5"/>
    </w:lvl>
  </w:abstractNum>
  <w:abstractNum w:abstractNumId="47">
    <w:nsid w:val="24E99DD7"/>
    <w:multiLevelType w:val="hybridMultilevel"/>
    <w:lvl w:ilvl="0">
      <w:lvlJc w:val="left"/>
      <w:lvlText w:val="(%1)"/>
      <w:numFmt w:val="lowerLetter"/>
      <w:start w:val="1"/>
    </w:lvl>
  </w:abstractNum>
  <w:abstractNum w:abstractNumId="48">
    <w:nsid w:val="2A31B62D"/>
    <w:multiLevelType w:val="hybridMultilevel"/>
    <w:lvl w:ilvl="0">
      <w:lvlJc w:val="left"/>
      <w:lvlText w:val="(%1)"/>
      <w:numFmt w:val="lowerLetter"/>
      <w:start w:val="1"/>
    </w:lvl>
  </w:abstractNum>
  <w:abstractNum w:abstractNumId="49">
    <w:nsid w:val="1849C29B"/>
    <w:multiLevelType w:val="hybridMultilevel"/>
    <w:lvl w:ilvl="0">
      <w:lvlJc w:val="left"/>
      <w:lvlText w:val="(%1)"/>
      <w:numFmt w:val="lowerLetter"/>
      <w:start w:val="2"/>
    </w:lvl>
  </w:abstractNum>
  <w:abstractNum w:abstractNumId="50">
    <w:nsid w:val="7DFF9D09"/>
    <w:multiLevelType w:val="hybridMultilevel"/>
    <w:lvl w:ilvl="0">
      <w:lvlJc w:val="left"/>
      <w:lvlText w:val="(%1)"/>
      <w:numFmt w:val="lowerLetter"/>
      <w:start w:val="2"/>
    </w:lvl>
  </w:abstractNum>
  <w:abstractNum w:abstractNumId="51">
    <w:nsid w:val="754342"/>
    <w:multiLevelType w:val="hybridMultilevel"/>
    <w:lvl w:ilvl="0">
      <w:lvlJc w:val="left"/>
      <w:lvlText w:val="(%1)"/>
      <w:numFmt w:val="lowerLetter"/>
      <w:start w:val="1"/>
    </w:lvl>
    <w:lvl w:ilvl="1">
      <w:lvlJc w:val="left"/>
      <w:lvlText w:val="-"/>
      <w:numFmt w:val="bullet"/>
      <w:start w:val="1"/>
    </w:lvl>
  </w:abstractNum>
  <w:abstractNum w:abstractNumId="52">
    <w:nsid w:val="69E7F3E5"/>
    <w:multiLevelType w:val="hybridMultilevel"/>
    <w:lvl w:ilvl="0">
      <w:lvlJc w:val="left"/>
      <w:lvlText w:val="%1"/>
      <w:numFmt w:val="lowerLetter"/>
      <w:start w:val="1"/>
    </w:lvl>
    <w:lvl w:ilvl="1">
      <w:lvlJc w:val="left"/>
      <w:lvlText w:val="(%2)"/>
      <w:numFmt w:val="lowerLetter"/>
      <w:start w:val="1"/>
    </w:lvl>
  </w:abstractNum>
  <w:abstractNum w:abstractNumId="53">
    <w:nsid w:val="2A6DE806"/>
    <w:multiLevelType w:val="hybridMultilevel"/>
    <w:lvl w:ilvl="0">
      <w:lvlJc w:val="left"/>
      <w:lvlText w:val="(%1)"/>
      <w:numFmt w:val="lowerLetter"/>
      <w:start w:val="35"/>
    </w:lvl>
    <w:lvl w:ilvl="1">
      <w:lvlJc w:val="left"/>
      <w:lvlText w:val="%2"/>
      <w:numFmt w:val="lowerLetter"/>
      <w:start w:val="1"/>
    </w:lvl>
  </w:abstractNum>
  <w:abstractNum w:abstractNumId="54">
    <w:nsid w:val="1816F8C4"/>
    <w:multiLevelType w:val="hybridMultilevel"/>
    <w:lvl w:ilvl="0">
      <w:lvlJc w:val="left"/>
      <w:lvlText w:val="(%1)"/>
      <w:numFmt w:val="lowerLetter"/>
      <w:start w:val="1"/>
    </w:lvl>
  </w:abstractNum>
  <w:abstractNum w:abstractNumId="55">
    <w:nsid w:val="37DF2233"/>
    <w:multiLevelType w:val="hybridMultilevel"/>
    <w:lvl w:ilvl="0">
      <w:lvlJc w:val="left"/>
      <w:lvlText w:val="(%1)"/>
      <w:numFmt w:val="lowerLetter"/>
      <w:start w:val="1"/>
    </w:lvl>
    <w:lvl w:ilvl="1">
      <w:lvlJc w:val="left"/>
      <w:lvlText w:val="-"/>
      <w:numFmt w:val="bullet"/>
      <w:start w:val="1"/>
    </w:lvl>
  </w:abstractNum>
  <w:abstractNum w:abstractNumId="56">
    <w:nsid w:val="7AB49DAF"/>
    <w:multiLevelType w:val="hybridMultilevel"/>
    <w:lvl w:ilvl="0">
      <w:lvlJc w:val="left"/>
      <w:lvlText w:val="(%1)"/>
      <w:numFmt w:val="lowerLetter"/>
      <w:start w:val="3"/>
    </w:lvl>
  </w:abstractNum>
  <w:abstractNum w:abstractNumId="57">
    <w:nsid w:val="759F82CD"/>
    <w:multiLevelType w:val="hybridMultilevel"/>
    <w:lvl w:ilvl="0">
      <w:lvlJc w:val="left"/>
      <w:lvlText w:val="(%1)"/>
      <w:numFmt w:val="lowerLetter"/>
      <w:start w:val="1"/>
    </w:lvl>
  </w:abstractNum>
  <w:abstractNum w:abstractNumId="58">
    <w:nsid w:val="61E74EA3"/>
    <w:multiLevelType w:val="hybridMultilevel"/>
    <w:lvl w:ilvl="0">
      <w:lvlJc w:val="left"/>
      <w:lvlText w:val="(%1)"/>
      <w:numFmt w:val="lowerLetter"/>
      <w:start w:val="1"/>
    </w:lvl>
    <w:lvl w:ilvl="1">
      <w:lvlJc w:val="left"/>
      <w:lvlText w:val="-"/>
      <w:numFmt w:val="bullet"/>
      <w:start w:val="1"/>
    </w:lvl>
  </w:abstractNum>
  <w:abstractNum w:abstractNumId="59">
    <w:nsid w:val="597B4D84"/>
    <w:multiLevelType w:val="hybridMultilevel"/>
    <w:lvl w:ilvl="0">
      <w:lvlJc w:val="left"/>
      <w:lvlText w:val="(%1)"/>
      <w:numFmt w:val="lowerLetter"/>
      <w:start w:val="2"/>
    </w:lvl>
  </w:abstractNum>
  <w:abstractNum w:abstractNumId="60">
    <w:nsid w:val="F819E7F"/>
    <w:multiLevelType w:val="hybridMultilevel"/>
    <w:lvl w:ilvl="0">
      <w:lvlJc w:val="left"/>
      <w:lvlText w:val="(%1)"/>
      <w:numFmt w:val="lowerLetter"/>
      <w:start w:val="1"/>
    </w:lvl>
  </w:abstractNum>
  <w:abstractNum w:abstractNumId="61">
    <w:nsid w:val="57C7D42D"/>
    <w:multiLevelType w:val="hybridMultilevel"/>
    <w:lvl w:ilvl="0">
      <w:lvlJc w:val="left"/>
      <w:lvlText w:val="(%1)"/>
      <w:numFmt w:val="lowerLetter"/>
      <w:start w:val="1"/>
    </w:lvl>
    <w:lvl w:ilvl="1">
      <w:lvlJc w:val="left"/>
      <w:lvlText w:val="-"/>
      <w:numFmt w:val="bullet"/>
      <w:start w:val="1"/>
    </w:lvl>
  </w:abstractNum>
  <w:abstractNum w:abstractNumId="62">
    <w:nsid w:val="312167AD"/>
    <w:multiLevelType w:val="hybridMultilevel"/>
    <w:lvl w:ilvl="0">
      <w:lvlJc w:val="left"/>
      <w:lvlText w:val="(%1)"/>
      <w:numFmt w:val="lowerLetter"/>
      <w:start w:val="1"/>
    </w:lvl>
  </w:abstractNum>
  <w:abstractNum w:abstractNumId="63">
    <w:nsid w:val="631B64D4"/>
    <w:multiLevelType w:val="hybridMultilevel"/>
    <w:lvl w:ilvl="0">
      <w:lvlJc w:val="left"/>
      <w:lvlText w:val="(%1)"/>
      <w:numFmt w:val="lowerLetter"/>
      <w:start w:val="25"/>
    </w:lvl>
  </w:abstractNum>
  <w:abstractNum w:abstractNumId="64">
    <w:nsid w:val="78B5E776"/>
    <w:multiLevelType w:val="hybridMultilevel"/>
    <w:lvl w:ilvl="0">
      <w:lvlJc w:val="left"/>
      <w:lvlText w:val="(%1)"/>
      <w:numFmt w:val="lowerRoman"/>
      <w:start w:val="1"/>
    </w:lvl>
  </w:abstractNum>
  <w:abstractNum w:abstractNumId="65">
    <w:nsid w:val="75486E47"/>
    <w:multiLevelType w:val="hybridMultilevel"/>
    <w:lvl w:ilvl="0">
      <w:lvlJc w:val="left"/>
      <w:lvlText w:val="%1"/>
      <w:numFmt w:val="decimal"/>
      <w:start w:val="1"/>
    </w:lvl>
    <w:lvl w:ilvl="1">
      <w:lvlJc w:val="left"/>
      <w:lvlText w:val="(%2)"/>
      <w:numFmt w:val="lowerLetter"/>
      <w:start w:val="1"/>
    </w:lvl>
  </w:abstractNum>
  <w:abstractNum w:abstractNumId="66">
    <w:nsid w:val="6E534CDE"/>
    <w:multiLevelType w:val="hybridMultilevel"/>
    <w:lvl w:ilvl="0">
      <w:lvlJc w:val="left"/>
      <w:lvlText w:val="(%1)"/>
      <w:numFmt w:val="decimal"/>
      <w:start w:val="6"/>
    </w:lvl>
    <w:lvl w:ilvl="1">
      <w:lvlJc w:val="left"/>
      <w:lvlText w:val="%2"/>
      <w:numFmt w:val="lowerLetter"/>
      <w:start w:val="1"/>
    </w:lvl>
  </w:abstractNum>
  <w:abstractNum w:abstractNumId="67">
    <w:nsid w:val="1A0DDE32"/>
    <w:multiLevelType w:val="hybridMultilevel"/>
    <w:lvl w:ilvl="0">
      <w:lvlJc w:val="left"/>
      <w:lvlText w:val="(%1)"/>
      <w:numFmt w:val="lowerRoman"/>
      <w:start w:val="1"/>
    </w:lvl>
  </w:abstractNum>
  <w:abstractNum w:abstractNumId="68">
    <w:nsid w:val="65968C1C"/>
    <w:multiLevelType w:val="hybridMultilevel"/>
    <w:lvl w:ilvl="0">
      <w:lvlJc w:val="left"/>
      <w:lvlText w:val="(%1)"/>
      <w:numFmt w:val="lowerLetter"/>
      <w:start w:val="1"/>
    </w:lvl>
    <w:lvl w:ilvl="1">
      <w:lvlJc w:val="left"/>
      <w:lvlText w:val="-"/>
      <w:numFmt w:val="bullet"/>
      <w:start w:val="1"/>
    </w:lvl>
  </w:abstractNum>
  <w:abstractNum w:abstractNumId="69">
    <w:nsid w:val="46263DEC"/>
    <w:multiLevelType w:val="hybridMultilevel"/>
    <w:lvl w:ilvl="0">
      <w:lvlJc w:val="left"/>
      <w:lvlText w:val="(%1)"/>
      <w:numFmt w:val="lowerLetter"/>
      <w:start w:val="1"/>
    </w:lvl>
  </w:abstractNum>
  <w:abstractNum w:abstractNumId="70">
    <w:nsid w:val="260D8C4A"/>
    <w:multiLevelType w:val="hybridMultilevel"/>
    <w:lvl w:ilvl="0">
      <w:lvlJc w:val="left"/>
      <w:lvlText w:val="(%1)"/>
      <w:numFmt w:val="lowerLetter"/>
      <w:start w:val="1"/>
    </w:lvl>
    <w:lvl w:ilvl="1">
      <w:lvlJc w:val="left"/>
      <w:lvlText w:val="-"/>
      <w:numFmt w:val="bullet"/>
      <w:start w:val="1"/>
    </w:lvl>
  </w:abstractNum>
  <w:abstractNum w:abstractNumId="71">
    <w:nsid w:val="73D4D3C4"/>
    <w:multiLevelType w:val="hybridMultilevel"/>
    <w:lvl w:ilvl="0">
      <w:lvlJc w:val="left"/>
      <w:lvlText w:val="(%1)"/>
      <w:numFmt w:val="lowerLetter"/>
      <w:start w:val="1"/>
    </w:lvl>
  </w:abstractNum>
  <w:abstractNum w:abstractNumId="72">
    <w:nsid w:val="746F2E3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3">
    <w:nsid w:val="6FDE8AF6"/>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74">
    <w:nsid w:val="3FC32E20"/>
    <w:multiLevelType w:val="hybridMultilevel"/>
    <w:lvl w:ilvl="0">
      <w:lvlJc w:val="left"/>
      <w:lvlText w:val="(%1)"/>
      <w:numFmt w:val="lowerLetter"/>
      <w:start w:val="8"/>
    </w:lvl>
  </w:abstractNum>
  <w:abstractNum w:abstractNumId="75">
    <w:nsid w:val="49C0E823"/>
    <w:multiLevelType w:val="hybridMultilevel"/>
    <w:lvl w:ilvl="0">
      <w:lvlJc w:val="left"/>
      <w:lvlText w:val="(%1)"/>
      <w:numFmt w:val="upperLetter"/>
      <w:start w:val="2"/>
    </w:lvl>
  </w:abstractNum>
  <w:abstractNum w:abstractNumId="76">
    <w:nsid w:val="14D53685"/>
    <w:multiLevelType w:val="hybridMultilevel"/>
    <w:lvl w:ilvl="0">
      <w:lvlJc w:val="left"/>
      <w:lvlText w:val="(%1)"/>
      <w:numFmt w:val="lowerLetter"/>
      <w:start w:val="1"/>
    </w:lvl>
    <w:lvl w:ilvl="1">
      <w:lvlJc w:val="left"/>
      <w:lvlText w:val="(%2)"/>
      <w:numFmt w:val="lowerRoman"/>
      <w:start w:val="1"/>
    </w:lvl>
  </w:abstractNum>
  <w:abstractNum w:abstractNumId="77">
    <w:nsid w:val="230F856C"/>
    <w:multiLevelType w:val="hybridMultilevel"/>
    <w:lvl w:ilvl="0">
      <w:lvlJc w:val="left"/>
      <w:lvlText w:val="(%1)"/>
      <w:numFmt w:val="lowerLetter"/>
      <w:start w:val="1"/>
    </w:lvl>
    <w:lvl w:ilvl="1">
      <w:lvlJc w:val="left"/>
      <w:lvlText w:val="(%2)"/>
      <w:numFmt w:val="lowerRoman"/>
      <w:start w:val="1"/>
    </w:lvl>
  </w:abstractNum>
  <w:abstractNum w:abstractNumId="78">
    <w:nsid w:val="6EAA85FB"/>
    <w:multiLevelType w:val="hybridMultilevel"/>
    <w:lvl w:ilvl="0">
      <w:lvlJc w:val="left"/>
      <w:lvlText w:val="(%1)"/>
      <w:numFmt w:val="lowerLetter"/>
      <w:start w:val="1"/>
    </w:lvl>
    <w:lvl w:ilvl="1">
      <w:lvlJc w:val="left"/>
      <w:lvlText w:val="-"/>
      <w:numFmt w:val="bullet"/>
      <w:start w:val="1"/>
    </w:lvl>
  </w:abstractNum>
  <w:abstractNum w:abstractNumId="79">
    <w:nsid w:val="3F06ECB2"/>
    <w:multiLevelType w:val="hybridMultilevel"/>
    <w:lvl w:ilvl="0">
      <w:lvlJc w:val="left"/>
      <w:lvlText w:val="(%1)"/>
      <w:numFmt w:val="lowerLetter"/>
      <w:start w:val="2"/>
    </w:lvl>
  </w:abstractNum>
  <w:abstractNum w:abstractNumId="80">
    <w:nsid w:val="3B594807"/>
    <w:multiLevelType w:val="hybridMultilevel"/>
    <w:lvl w:ilvl="0">
      <w:lvlJc w:val="left"/>
      <w:lvlText w:val="(%1)"/>
      <w:numFmt w:val="lowerLetter"/>
      <w:start w:val="1"/>
    </w:lvl>
    <w:lvl w:ilvl="1">
      <w:lvlJc w:val="left"/>
      <w:lvlText w:val="(%2)"/>
      <w:numFmt w:val="lowerRoman"/>
      <w:start w:val="1"/>
    </w:lvl>
  </w:abstractNum>
  <w:abstractNum w:abstractNumId="81">
    <w:nsid w:val="6CAA2304"/>
    <w:multiLevelType w:val="hybridMultilevel"/>
    <w:lvl w:ilvl="0">
      <w:lvlJc w:val="left"/>
      <w:lvlText w:val="(%1)"/>
      <w:numFmt w:val="lowerLetter"/>
      <w:start w:val="1"/>
    </w:lvl>
    <w:lvl w:ilvl="1">
      <w:lvlJc w:val="left"/>
      <w:lvlText w:val="(%2)"/>
      <w:numFmt w:val="lowerRoman"/>
      <w:start w:val="1"/>
    </w:lvl>
  </w:abstractNum>
  <w:abstractNum w:abstractNumId="82">
    <w:nsid w:val="3F7C2FF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3">
    <w:nsid w:val="25413BEC"/>
    <w:multiLevelType w:val="hybridMultilevel"/>
    <w:lvl w:ilvl="0">
      <w:lvlJc w:val="left"/>
      <w:lvlText w:val="(%1)"/>
      <w:numFmt w:val="lowerLetter"/>
      <w:start w:val="1"/>
    </w:lvl>
  </w:abstractNum>
  <w:abstractNum w:abstractNumId="84">
    <w:nsid w:val="17180B0B"/>
    <w:multiLevelType w:val="hybridMultilevel"/>
    <w:lvl w:ilvl="0">
      <w:lvlJc w:val="left"/>
      <w:lvlText w:val="(%1)"/>
      <w:numFmt w:val="lowerLetter"/>
      <w:start w:val="1"/>
    </w:lvl>
    <w:lvl w:ilvl="1">
      <w:lvlJc w:val="left"/>
      <w:lvlText w:val="(%2)"/>
      <w:numFmt w:val="lowerRoman"/>
      <w:start w:val="1"/>
    </w:lvl>
  </w:abstractNum>
  <w:abstractNum w:abstractNumId="85">
    <w:nsid w:val="579328B9"/>
    <w:multiLevelType w:val="hybridMultilevel"/>
    <w:lvl w:ilvl="0">
      <w:lvlJc w:val="left"/>
      <w:lvlText w:val="(%1)"/>
      <w:numFmt w:val="lowerLetter"/>
      <w:start w:val="1"/>
    </w:lvl>
    <w:lvl w:ilvl="1">
      <w:lvlJc w:val="left"/>
      <w:lvlText w:val="-"/>
      <w:numFmt w:val="bullet"/>
      <w:start w:val="1"/>
    </w:lvl>
  </w:abstractNum>
  <w:abstractNum w:abstractNumId="86">
    <w:nsid w:val="5D205E20"/>
    <w:multiLevelType w:val="hybridMultilevel"/>
    <w:lvl w:ilvl="0">
      <w:lvlJc w:val="left"/>
      <w:lvlText w:val="(%1)"/>
      <w:numFmt w:val="lowerRoman"/>
      <w:start w:val="1"/>
    </w:lvl>
  </w:abstractNum>
  <w:abstractNum w:abstractNumId="87">
    <w:nsid w:val="11CCA8BA"/>
    <w:multiLevelType w:val="hybridMultilevel"/>
    <w:lvl w:ilvl="0">
      <w:lvlJc w:val="left"/>
      <w:lvlText w:val="(%1)"/>
      <w:numFmt w:val="lowerRoman"/>
      <w:start w:val="5"/>
    </w:lvl>
    <w:lvl w:ilvl="1">
      <w:lvlJc w:val="left"/>
      <w:lvlText w:val="(%2)"/>
      <w:numFmt w:val="upperLetter"/>
      <w:start w:val="1"/>
    </w:lvl>
    <w:lvl w:ilvl="2">
      <w:lvlJc w:val="left"/>
      <w:lvlText w:val="-"/>
      <w:numFmt w:val="bullet"/>
      <w:start w:val="1"/>
    </w:lvl>
  </w:abstractNum>
  <w:abstractNum w:abstractNumId="88">
    <w:nsid w:val="4D32AB86"/>
    <w:multiLevelType w:val="hybridMultilevel"/>
    <w:lvl w:ilvl="0">
      <w:lvlJc w:val="left"/>
      <w:lvlText w:val="%1"/>
      <w:numFmt w:val="lowerLetter"/>
      <w:start w:val="1"/>
    </w:lvl>
    <w:lvl w:ilvl="1">
      <w:lvlJc w:val="left"/>
      <w:lvlText w:val="(%2)"/>
      <w:numFmt w:val="lowerRoman"/>
      <w:start w:val="12"/>
    </w:lvl>
    <w:lvl w:ilvl="2">
      <w:lvlJc w:val="left"/>
      <w:lvlText w:val="-"/>
      <w:numFmt w:val="bullet"/>
      <w:start w:val="1"/>
    </w:lvl>
  </w:abstractNum>
  <w:abstractNum w:abstractNumId="89">
    <w:nsid w:val="3F07ACC3"/>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0">
    <w:nsid w:val="6B47F63E"/>
    <w:multiLevelType w:val="hybridMultilevel"/>
    <w:lvl w:ilvl="0">
      <w:lvlJc w:val="left"/>
      <w:lvlText w:val="(%1)"/>
      <w:numFmt w:val="lowerLetter"/>
      <w:start w:val="12"/>
    </w:lvl>
  </w:abstractNum>
  <w:abstractNum w:abstractNumId="91">
    <w:nsid w:val="5CB44A0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2">
    <w:nsid w:val="16CF80F1"/>
    <w:multiLevelType w:val="hybridMultilevel"/>
    <w:lvl w:ilvl="0">
      <w:lvlJc w:val="left"/>
      <w:lvlText w:val="%1"/>
      <w:numFmt w:val="lowerLetter"/>
      <w:start w:val="1"/>
    </w:lvl>
    <w:lvl w:ilvl="1">
      <w:lvlJc w:val="left"/>
      <w:lvlText w:val="(%2)"/>
      <w:numFmt w:val="lowerRoman"/>
      <w:start w:val="2"/>
    </w:lvl>
  </w:abstractNum>
  <w:abstractNum w:abstractNumId="93">
    <w:nsid w:val="1C695DEC"/>
    <w:multiLevelType w:val="hybridMultilevel"/>
    <w:lvl w:ilvl="0">
      <w:lvlJc w:val="left"/>
      <w:lvlText w:val="(%1)"/>
      <w:numFmt w:val="lowerLetter"/>
      <w:start w:val="7"/>
    </w:lvl>
    <w:lvl w:ilvl="1">
      <w:lvlJc w:val="left"/>
      <w:lvlText w:val="%2"/>
      <w:numFmt w:val="lowerRoman"/>
      <w:start w:val="1"/>
    </w:lvl>
  </w:abstractNum>
  <w:abstractNum w:abstractNumId="94">
    <w:nsid w:val="3FCFAED9"/>
    <w:multiLevelType w:val="hybridMultilevel"/>
    <w:lvl w:ilvl="0">
      <w:lvlJc w:val="left"/>
      <w:lvlText w:val="(%1)"/>
      <w:numFmt w:val="lowerLetter"/>
      <w:start w:val="1"/>
    </w:lvl>
    <w:lvl w:ilvl="1">
      <w:lvlJc w:val="left"/>
      <w:lvlText w:val="(%2)"/>
      <w:numFmt w:val="lowerRoman"/>
      <w:start w:val="1"/>
    </w:lvl>
  </w:abstractNum>
  <w:abstractNum w:abstractNumId="95">
    <w:nsid w:val="F856867"/>
    <w:multiLevelType w:val="hybridMultilevel"/>
    <w:lvl w:ilvl="0">
      <w:lvlJc w:val="left"/>
      <w:lvlText w:val="(%1)"/>
      <w:numFmt w:val="lowerLetter"/>
      <w:start w:val="1"/>
    </w:lvl>
  </w:abstractNum>
  <w:abstractNum w:abstractNumId="96">
    <w:nsid w:val="11B1CC3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7">
    <w:nsid w:val="2E22FBB7"/>
    <w:multiLevelType w:val="hybridMultilevel"/>
    <w:lvl w:ilvl="0">
      <w:lvlJc w:val="left"/>
      <w:lvlText w:val="(%1)"/>
      <w:numFmt w:val="lowerLetter"/>
      <w:start w:val="2"/>
    </w:lvl>
    <w:lvl w:ilvl="1">
      <w:lvlJc w:val="left"/>
      <w:lvlText w:val="(%2)"/>
      <w:numFmt w:val="lowerRoman"/>
      <w:start w:val="1"/>
    </w:lvl>
  </w:abstractNum>
  <w:abstractNum w:abstractNumId="98">
    <w:nsid w:val="29934699"/>
    <w:multiLevelType w:val="hybridMultilevel"/>
    <w:lvl w:ilvl="0">
      <w:lvlJc w:val="left"/>
      <w:lvlText w:val="(%1)"/>
      <w:numFmt w:val="lowerLetter"/>
      <w:start w:val="1"/>
    </w:lvl>
  </w:abstractNum>
  <w:abstractNum w:abstractNumId="99">
    <w:nsid w:val="7748585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0">
    <w:nsid w:val="744939A3"/>
    <w:multiLevelType w:val="hybridMultilevel"/>
    <w:lvl w:ilvl="0">
      <w:lvlJc w:val="left"/>
      <w:lvlText w:val="(%1)"/>
      <w:numFmt w:val="lowerLetter"/>
      <w:start w:val="1"/>
    </w:lvl>
    <w:lvl w:ilvl="1">
      <w:lvlJc w:val="left"/>
      <w:lvlText w:val="(%2)"/>
      <w:numFmt w:val="lowerRoman"/>
      <w:start w:val="1"/>
    </w:lvl>
  </w:abstractNum>
  <w:abstractNum w:abstractNumId="101">
    <w:nsid w:val="4FA0D2E3"/>
    <w:multiLevelType w:val="hybridMultilevel"/>
    <w:lvl w:ilvl="0">
      <w:lvlJc w:val="left"/>
      <w:lvlText w:val="(%1)"/>
      <w:numFmt w:val="lowerLetter"/>
      <w:start w:val="1"/>
    </w:lvl>
  </w:abstractNum>
  <w:abstractNum w:abstractNumId="102">
    <w:nsid w:val="6B1D2C14"/>
    <w:multiLevelType w:val="hybridMultilevel"/>
    <w:lvl w:ilvl="0">
      <w:lvlJc w:val="left"/>
      <w:lvlText w:val="(%1)"/>
      <w:numFmt w:val="lowerLetter"/>
      <w:start w:val="1"/>
    </w:lvl>
    <w:lvl w:ilvl="1">
      <w:lvlJc w:val="left"/>
      <w:lvlText w:val="(%2)"/>
      <w:numFmt w:val="lowerRoman"/>
      <w:start w:val="1"/>
    </w:lvl>
  </w:abstractNum>
  <w:abstractNum w:abstractNumId="103">
    <w:nsid w:val="68B867D3"/>
    <w:multiLevelType w:val="hybridMultilevel"/>
    <w:lvl w:ilvl="0">
      <w:lvlJc w:val="left"/>
      <w:lvlText w:val="(%1)"/>
      <w:numFmt w:val="lowerLetter"/>
      <w:start w:val="1"/>
    </w:lvl>
    <w:lvl w:ilvl="1">
      <w:lvlJc w:val="left"/>
      <w:lvlText w:val="-"/>
      <w:numFmt w:val="bullet"/>
      <w:start w:val="1"/>
    </w:lvl>
  </w:abstractNum>
  <w:abstractNum w:abstractNumId="104">
    <w:nsid w:val="3F7F5DD9"/>
    <w:multiLevelType w:val="hybridMultilevel"/>
    <w:lvl w:ilvl="0">
      <w:lvlJc w:val="left"/>
      <w:lvlText w:val="(%1)"/>
      <w:numFmt w:val="lowerLetter"/>
      <w:start w:val="4"/>
    </w:lvl>
    <w:lvl w:ilvl="1">
      <w:lvlJc w:val="left"/>
      <w:lvlText w:val="(%2)"/>
      <w:numFmt w:val="lowerRoman"/>
      <w:start w:val="1"/>
    </w:lvl>
  </w:abstractNum>
  <w:abstractNum w:abstractNumId="105">
    <w:nsid w:val="2AE05A34"/>
    <w:multiLevelType w:val="hybridMultilevel"/>
    <w:lvl w:ilvl="0">
      <w:lvlJc w:val="left"/>
      <w:lvlText w:val="(%1)"/>
      <w:numFmt w:val="lowerLetter"/>
      <w:start w:val="1"/>
    </w:lvl>
  </w:abstractNum>
  <w:abstractNum w:abstractNumId="106">
    <w:nsid w:val="32794FF7"/>
    <w:multiLevelType w:val="hybridMultilevel"/>
    <w:lvl w:ilvl="0">
      <w:lvlJc w:val="left"/>
      <w:lvlText w:val="(%1)"/>
      <w:numFmt w:val="lowerLetter"/>
      <w:start w:val="1"/>
    </w:lvl>
  </w:abstractNum>
  <w:abstractNum w:abstractNumId="107">
    <w:nsid w:val="5454945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8">
    <w:nsid w:val="4DEFDFA0"/>
    <w:multiLevelType w:val="hybridMultilevel"/>
    <w:lvl w:ilvl="0">
      <w:lvlJc w:val="left"/>
      <w:lvlText w:val="%1"/>
      <w:numFmt w:val="lowerLetter"/>
      <w:start w:val="1"/>
    </w:lvl>
    <w:lvl w:ilvl="1">
      <w:lvlJc w:val="left"/>
      <w:lvlText w:val="(%2)"/>
      <w:numFmt w:val="lowerRoman"/>
      <w:start w:val="4"/>
    </w:lvl>
  </w:abstractNum>
  <w:abstractNum w:abstractNumId="109">
    <w:nsid w:val="2123D5F2"/>
    <w:multiLevelType w:val="hybridMultilevel"/>
    <w:lvl w:ilvl="0">
      <w:lvlJc w:val="left"/>
      <w:lvlText w:val="(%1)"/>
      <w:numFmt w:val="lowerLetter"/>
      <w:start w:val="2"/>
    </w:lvl>
    <w:lvl w:ilvl="1">
      <w:lvlJc w:val="left"/>
      <w:lvlText w:val="%2"/>
      <w:numFmt w:val="lowerRoman"/>
      <w:start w:val="1"/>
    </w:lvl>
  </w:abstractNum>
  <w:abstractNum w:abstractNumId="110">
    <w:nsid w:val="135B8110"/>
    <w:multiLevelType w:val="hybridMultilevel"/>
    <w:lvl w:ilvl="0">
      <w:lvlJc w:val="left"/>
      <w:lvlText w:val="(%1)"/>
      <w:numFmt w:val="lowerLetter"/>
      <w:start w:val="1"/>
    </w:lvl>
  </w:abstractNum>
  <w:abstractNum w:abstractNumId="111">
    <w:nsid w:val="94927A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2">
    <w:nsid w:val="DCDF8F6"/>
    <w:multiLevelType w:val="hybridMultilevel"/>
    <w:lvl w:ilvl="0">
      <w:lvlJc w:val="left"/>
      <w:lvlText w:val="(%1)"/>
      <w:numFmt w:val="lowerLetter"/>
      <w:start w:val="4"/>
    </w:lvl>
  </w:abstractNum>
  <w:abstractNum w:abstractNumId="113">
    <w:nsid w:val="52D7B105"/>
    <w:multiLevelType w:val="hybridMultilevel"/>
    <w:lvl w:ilvl="0">
      <w:lvlJc w:val="left"/>
      <w:lvlText w:val="(%1)"/>
      <w:numFmt w:val="lowerLetter"/>
      <w:start w:val="1"/>
    </w:lvl>
  </w:abstractNum>
  <w:abstractNum w:abstractNumId="114">
    <w:nsid w:val="2E8A6394"/>
    <w:multiLevelType w:val="hybridMultilevel"/>
    <w:lvl w:ilvl="0">
      <w:lvlJc w:val="left"/>
      <w:lvlText w:val="(%1)"/>
      <w:numFmt w:val="lowerLetter"/>
      <w:start w:val="1"/>
    </w:lvl>
    <w:lvl w:ilvl="1">
      <w:lvlJc w:val="left"/>
      <w:lvlText w:val="-"/>
      <w:numFmt w:val="bullet"/>
      <w:start w:val="1"/>
    </w:lvl>
  </w:abstractNum>
  <w:abstractNum w:abstractNumId="115">
    <w:nsid w:val="24E60401"/>
    <w:multiLevelType w:val="hybridMultilevel"/>
    <w:lvl w:ilvl="0">
      <w:lvlJc w:val="left"/>
      <w:lvlText w:val="(%1)"/>
      <w:numFmt w:val="lowerLetter"/>
      <w:start w:val="1"/>
    </w:lvl>
    <w:lvl w:ilvl="1">
      <w:lvlJc w:val="left"/>
      <w:lvlText w:val="(%2)"/>
      <w:numFmt w:val="lowerRoman"/>
      <w:start w:val="1"/>
    </w:lvl>
  </w:abstractNum>
  <w:abstractNum w:abstractNumId="116">
    <w:nsid w:val="2A6AD9BE"/>
    <w:multiLevelType w:val="hybridMultilevel"/>
    <w:lvl w:ilvl="0">
      <w:lvlJc w:val="left"/>
      <w:lvlText w:val="(%1)"/>
      <w:numFmt w:val="lowerLetter"/>
      <w:start w:val="1"/>
    </w:lvl>
    <w:lvl w:ilvl="1">
      <w:lvlJc w:val="left"/>
      <w:lvlText w:val="(%2)"/>
      <w:numFmt w:val="lowerRoman"/>
      <w:start w:val="1"/>
    </w:lvl>
  </w:abstractNum>
  <w:abstractNum w:abstractNumId="117">
    <w:nsid w:val="BAAC1B4"/>
    <w:multiLevelType w:val="hybridMultilevel"/>
    <w:lvl w:ilvl="0">
      <w:lvlJc w:val="left"/>
      <w:lvlText w:val="(%1)"/>
      <w:numFmt w:val="lowerLetter"/>
      <w:start w:val="1"/>
    </w:lvl>
  </w:abstractNum>
  <w:abstractNum w:abstractNumId="118">
    <w:nsid w:val="36B2ACBC"/>
    <w:multiLevelType w:val="hybridMultilevel"/>
    <w:lvl w:ilvl="0">
      <w:lvlJc w:val="left"/>
      <w:lvlText w:val="(%1)"/>
      <w:numFmt w:val="lowerLetter"/>
      <w:start w:val="1"/>
    </w:lvl>
    <w:lvl w:ilvl="1">
      <w:lvlJc w:val="left"/>
      <w:lvlText w:val="-"/>
      <w:numFmt w:val="bullet"/>
      <w:start w:val="1"/>
    </w:lvl>
  </w:abstractNum>
  <w:abstractNum w:abstractNumId="119">
    <w:nsid w:val="779D8544"/>
    <w:multiLevelType w:val="hybridMultilevel"/>
    <w:lvl w:ilvl="0">
      <w:lvlJc w:val="left"/>
      <w:lvlText w:val="(%1)"/>
      <w:numFmt w:val="lowerLetter"/>
      <w:start w:val="2"/>
    </w:lvl>
  </w:abstractNum>
  <w:abstractNum w:abstractNumId="120">
    <w:nsid w:val="4AB26E78"/>
    <w:multiLevelType w:val="hybridMultilevel"/>
    <w:lvl w:ilvl="0">
      <w:lvlJc w:val="left"/>
      <w:lvlText w:val="(%1)"/>
      <w:numFmt w:val="lowerLetter"/>
      <w:start w:val="1"/>
    </w:lvl>
  </w:abstractNum>
  <w:abstractNum w:abstractNumId="121">
    <w:nsid w:val="21FAA2FA"/>
    <w:multiLevelType w:val="hybridMultilevel"/>
    <w:lvl w:ilvl="0">
      <w:lvlJc w:val="left"/>
      <w:lvlText w:val="(%1)"/>
      <w:numFmt w:val="lowerLetter"/>
      <w:start w:val="1"/>
    </w:lvl>
    <w:lvl w:ilvl="1">
      <w:lvlJc w:val="left"/>
      <w:lvlText w:val="-"/>
      <w:numFmt w:val="bullet"/>
      <w:start w:val="1"/>
    </w:lvl>
  </w:abstractNum>
  <w:abstractNum w:abstractNumId="122">
    <w:nsid w:val="5451CF49"/>
    <w:multiLevelType w:val="hybridMultilevel"/>
    <w:lvl w:ilvl="0">
      <w:lvlJc w:val="left"/>
      <w:lvlText w:val="(%1)"/>
      <w:numFmt w:val="lowerLetter"/>
      <w:start w:val="1"/>
    </w:lvl>
  </w:abstractNum>
  <w:abstractNum w:abstractNumId="123">
    <w:nsid w:val="6181EF6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4">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5">
    <w:nsid w:val="14217E2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5"/>
    </w:lvl>
  </w:abstractNum>
  <w:abstractNum w:abstractNumId="126">
    <w:nsid w:val="710757D0"/>
    <w:multiLevelType w:val="hybridMultilevel"/>
    <w:lvl w:ilvl="0">
      <w:lvlJc w:val="left"/>
      <w:lvlText w:val="(%1)"/>
      <w:numFmt w:val="lowerLetter"/>
      <w:start w:val="1"/>
    </w:lvl>
  </w:abstractNum>
  <w:abstractNum w:abstractNumId="127">
    <w:nsid w:val="5015CD1A"/>
    <w:multiLevelType w:val="hybridMultilevel"/>
    <w:lvl w:ilvl="0">
      <w:lvlJc w:val="left"/>
      <w:lvlText w:val="(%1)"/>
      <w:numFmt w:val="lowerLetter"/>
      <w:start w:val="1"/>
    </w:lvl>
  </w:abstractNum>
  <w:abstractNum w:abstractNumId="128">
    <w:nsid w:val="424479D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9">
    <w:nsid w:val="1A9A9E69"/>
    <w:multiLevelType w:val="hybridMultilevel"/>
    <w:lvl w:ilvl="0">
      <w:lvlJc w:val="left"/>
      <w:lvlText w:val="(%1)"/>
      <w:numFmt w:val="lowerLetter"/>
      <w:start w:val="1"/>
    </w:lvl>
    <w:lvl w:ilvl="1">
      <w:lvlJc w:val="left"/>
      <w:lvlText w:val="(%2)"/>
      <w:numFmt w:val="lowerRoman"/>
      <w:start w:val="1"/>
    </w:lvl>
  </w:abstractNum>
  <w:abstractNum w:abstractNumId="130">
    <w:nsid w:val="475E256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1">
    <w:nsid w:val="368DB37E"/>
    <w:multiLevelType w:val="hybridMultilevel"/>
    <w:lvl w:ilvl="0">
      <w:lvlJc w:val="left"/>
      <w:lvlText w:val="(%1)"/>
      <w:numFmt w:val="lowerLetter"/>
      <w:start w:val="3"/>
    </w:lvl>
  </w:abstractNum>
  <w:abstractNum w:abstractNumId="132">
    <w:nsid w:val="6A3B714C"/>
    <w:multiLevelType w:val="hybridMultilevel"/>
    <w:lvl w:ilvl="0">
      <w:lvlJc w:val="left"/>
      <w:lvlText w:val="(%1)"/>
      <w:numFmt w:val="lowerLetter"/>
      <w:start w:val="1"/>
    </w:lvl>
  </w:abstractNum>
  <w:abstractNum w:abstractNumId="133">
    <w:nsid w:val="327B517E"/>
    <w:multiLevelType w:val="hybridMultilevel"/>
    <w:lvl w:ilvl="0">
      <w:lvlJc w:val="left"/>
      <w:lvlText w:val="(%1)"/>
      <w:numFmt w:val="lowerLetter"/>
      <w:start w:val="1"/>
    </w:lvl>
    <w:lvl w:ilvl="1">
      <w:lvlJc w:val="left"/>
      <w:lvlText w:val="(%2)"/>
      <w:numFmt w:val="lowerRoman"/>
      <w:start w:val="1"/>
    </w:lvl>
  </w:abstractNum>
  <w:abstractNum w:abstractNumId="134">
    <w:nsid w:val="1F461B51"/>
    <w:multiLevelType w:val="hybridMultilevel"/>
    <w:lvl w:ilvl="0">
      <w:lvlJc w:val="left"/>
      <w:lvlText w:val="(%1)"/>
      <w:numFmt w:val="lowerLetter"/>
      <w:start w:val="1"/>
    </w:lvl>
    <w:lvl w:ilvl="1">
      <w:lvlJc w:val="left"/>
      <w:lvlText w:val="-"/>
      <w:numFmt w:val="bullet"/>
      <w:start w:val="1"/>
    </w:lvl>
  </w:abstractNum>
  <w:abstractNum w:abstractNumId="135">
    <w:nsid w:val="29BACF25"/>
    <w:multiLevelType w:val="hybridMultilevel"/>
    <w:lvl w:ilvl="0">
      <w:lvlJc w:val="left"/>
      <w:lvlText w:val="(%1)"/>
      <w:numFmt w:val="lowerLetter"/>
      <w:start w:val="1"/>
    </w:lvl>
  </w:abstractNum>
  <w:abstractNum w:abstractNumId="136">
    <w:nsid w:val="5D5BABB3"/>
    <w:multiLevelType w:val="hybridMultilevel"/>
    <w:lvl w:ilvl="0">
      <w:lvlJc w:val="left"/>
      <w:lvlText w:val="(%1)"/>
      <w:numFmt w:val="lowerLetter"/>
      <w:start w:val="1"/>
    </w:lvl>
    <w:lvl w:ilvl="1">
      <w:lvlJc w:val="left"/>
      <w:lvlText w:val="(%2)"/>
      <w:numFmt w:val="lowerRoman"/>
      <w:start w:val="1"/>
    </w:lvl>
  </w:abstractNum>
  <w:abstractNum w:abstractNumId="137">
    <w:nsid w:val="51BF6B4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8">
    <w:nsid w:val="7E0F6384"/>
    <w:multiLevelType w:val="hybridMultilevel"/>
    <w:lvl w:ilvl="0">
      <w:lvlJc w:val="left"/>
      <w:lvlText w:val="(%1)"/>
      <w:numFmt w:val="lowerLetter"/>
      <w:start w:val="3"/>
    </w:lvl>
  </w:abstractNum>
  <w:abstractNum w:abstractNumId="139">
    <w:nsid w:val="2B4B8B53"/>
    <w:multiLevelType w:val="hybridMultilevel"/>
    <w:lvl w:ilvl="0">
      <w:lvlJc w:val="left"/>
      <w:lvlText w:val="(%1)"/>
      <w:numFmt w:val="lowerLetter"/>
      <w:start w:val="1"/>
    </w:lvl>
    <w:lvl w:ilvl="1">
      <w:lvlJc w:val="left"/>
      <w:lvlText w:val="(%2)"/>
      <w:numFmt w:val="lowerRoman"/>
      <w:start w:val="1"/>
    </w:lvl>
  </w:abstractNum>
  <w:abstractNum w:abstractNumId="140">
    <w:nsid w:val="72E3413A"/>
    <w:multiLevelType w:val="hybridMultilevel"/>
    <w:lvl w:ilvl="0">
      <w:lvlJc w:val="left"/>
      <w:lvlText w:val="(%1)"/>
      <w:numFmt w:val="lowerLetter"/>
      <w:start w:val="1"/>
    </w:lvl>
  </w:abstractNum>
  <w:abstractNum w:abstractNumId="141">
    <w:nsid w:val="116AE494"/>
    <w:multiLevelType w:val="hybridMultilevel"/>
    <w:lvl w:ilvl="0">
      <w:lvlJc w:val="left"/>
      <w:lvlText w:val="(%1)"/>
      <w:numFmt w:val="lowerLetter"/>
      <w:start w:val="1"/>
    </w:lvl>
    <w:lvl w:ilvl="1">
      <w:lvlJc w:val="left"/>
      <w:lvlText w:val="-"/>
      <w:numFmt w:val="bullet"/>
      <w:start w:val="1"/>
    </w:lvl>
  </w:abstractNum>
  <w:abstractNum w:abstractNumId="142">
    <w:nsid w:val="3494B2FB"/>
    <w:multiLevelType w:val="hybridMultilevel"/>
    <w:lvl w:ilvl="0">
      <w:lvlJc w:val="left"/>
      <w:lvlText w:val="(%1)"/>
      <w:numFmt w:val="lowerLetter"/>
      <w:start w:val="3"/>
    </w:lvl>
  </w:abstractNum>
  <w:abstractNum w:abstractNumId="143">
    <w:nsid w:val="B13A31"/>
    <w:multiLevelType w:val="hybridMultilevel"/>
    <w:lvl w:ilvl="0">
      <w:lvlJc w:val="left"/>
      <w:lvlText w:val="(%1)"/>
      <w:numFmt w:val="lowerLetter"/>
      <w:start w:val="1"/>
    </w:lvl>
  </w:abstractNum>
  <w:abstractNum w:abstractNumId="144">
    <w:nsid w:val="64429599"/>
    <w:multiLevelType w:val="hybridMultilevel"/>
    <w:lvl w:ilvl="0">
      <w:lvlJc w:val="left"/>
      <w:lvlText w:val="(%1)"/>
      <w:numFmt w:val="lowerLetter"/>
      <w:start w:val="1"/>
    </w:lvl>
  </w:abstractNum>
  <w:abstractNum w:abstractNumId="145">
    <w:nsid w:val="631F1690"/>
    <w:multiLevelType w:val="hybridMultilevel"/>
    <w:lvl w:ilvl="0">
      <w:lvlJc w:val="left"/>
      <w:lvlText w:val="(%1)"/>
      <w:numFmt w:val="lowerLetter"/>
      <w:start w:val="1"/>
    </w:lvl>
  </w:abstractNum>
  <w:abstractNum w:abstractNumId="146">
    <w:nsid w:val="25973E32"/>
    <w:multiLevelType w:val="hybridMultilevel"/>
    <w:lvl w:ilvl="0">
      <w:lvlJc w:val="left"/>
      <w:lvlText w:val="(%1)"/>
      <w:numFmt w:val="lowerLetter"/>
      <w:start w:val="1"/>
    </w:lvl>
    <w:lvl w:ilvl="1">
      <w:lvlJc w:val="left"/>
      <w:lvlText w:val="-"/>
      <w:numFmt w:val="bullet"/>
      <w:start w:val="1"/>
    </w:lvl>
  </w:abstractNum>
  <w:abstractNum w:abstractNumId="147">
    <w:nsid w:val="EAD6F57"/>
    <w:multiLevelType w:val="hybridMultilevel"/>
    <w:lvl w:ilvl="0">
      <w:lvlJc w:val="left"/>
      <w:lvlText w:val="(%1)"/>
      <w:numFmt w:val="lowerLetter"/>
      <w:start w:val="5"/>
    </w:lvl>
  </w:abstractNum>
  <w:abstractNum w:abstractNumId="148">
    <w:nsid w:val="6EC9D844"/>
    <w:multiLevelType w:val="hybridMultilevel"/>
    <w:lvl w:ilvl="0">
      <w:lvlJc w:val="left"/>
      <w:lvlText w:val="(%1)"/>
      <w:numFmt w:val="lowerLetter"/>
      <w:start w:val="1"/>
    </w:lvl>
    <w:lvl w:ilvl="1">
      <w:lvlJc w:val="left"/>
      <w:lvlText w:val="-"/>
      <w:numFmt w:val="bullet"/>
      <w:start w:val="1"/>
    </w:lvl>
  </w:abstractNum>
  <w:abstractNum w:abstractNumId="149">
    <w:nsid w:val="5C49EAEE"/>
    <w:multiLevelType w:val="hybridMultilevel"/>
    <w:lvl w:ilvl="0">
      <w:lvlJc w:val="left"/>
      <w:lvlText w:val="(%1)"/>
      <w:numFmt w:val="lowerLetter"/>
      <w:start w:val="1"/>
    </w:lvl>
  </w:abstractNum>
  <w:abstractNum w:abstractNumId="150">
    <w:nsid w:val="64AF49B"/>
    <w:multiLevelType w:val="hybridMultilevel"/>
    <w:lvl w:ilvl="0">
      <w:lvlJc w:val="left"/>
      <w:lvlText w:val="(%1)"/>
      <w:numFmt w:val="lowerLetter"/>
      <w:start w:val="1"/>
    </w:lvl>
  </w:abstractNum>
  <w:abstractNum w:abstractNumId="151">
    <w:nsid w:val="397C46BC"/>
    <w:multiLevelType w:val="hybridMultilevel"/>
    <w:lvl w:ilvl="0">
      <w:lvlJc w:val="left"/>
      <w:lvlText w:val="(%1)"/>
      <w:numFmt w:val="lowerLetter"/>
      <w:start w:val="1"/>
    </w:lvl>
  </w:abstractNum>
  <w:abstractNum w:abstractNumId="152">
    <w:nsid w:val="7E448DE9"/>
    <w:multiLevelType w:val="hybridMultilevel"/>
    <w:lvl w:ilvl="0">
      <w:lvlJc w:val="left"/>
      <w:lvlText w:val="(%1)"/>
      <w:numFmt w:val="lowerLetter"/>
      <w:start w:val="1"/>
    </w:lvl>
  </w:abstractNum>
  <w:abstractNum w:abstractNumId="153">
    <w:nsid w:val="5A9CC3E5"/>
    <w:multiLevelType w:val="hybridMultilevel"/>
    <w:lvl w:ilvl="0">
      <w:lvlJc w:val="left"/>
      <w:lvlText w:val="(%1)"/>
      <w:numFmt w:val="lowerLetter"/>
      <w:start w:val="1"/>
    </w:lvl>
  </w:abstractNum>
  <w:abstractNum w:abstractNumId="154">
    <w:nsid w:val="1AFE362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5">
    <w:nsid w:val="3CA88ECF"/>
    <w:multiLevelType w:val="hybridMultilevel"/>
    <w:lvl w:ilvl="0">
      <w:lvlJc w:val="left"/>
      <w:lvlText w:val="(%1)"/>
      <w:numFmt w:val="lowerLetter"/>
      <w:start w:val="1"/>
    </w:lvl>
    <w:lvl w:ilvl="1">
      <w:lvlJc w:val="left"/>
      <w:lvlText w:val="(%2)"/>
      <w:numFmt w:val="lowerRoman"/>
      <w:start w:val="1"/>
    </w:lvl>
  </w:abstractNum>
  <w:abstractNum w:abstractNumId="156">
    <w:nsid w:val="6EBE4208"/>
    <w:multiLevelType w:val="hybridMultilevel"/>
    <w:lvl w:ilvl="0">
      <w:lvlJc w:val="left"/>
      <w:lvlText w:val="(%1)"/>
      <w:numFmt w:val="lowerLetter"/>
      <w:start w:val="1"/>
    </w:lvl>
    <w:lvl w:ilvl="1">
      <w:lvlJc w:val="left"/>
      <w:lvlText w:val="-"/>
      <w:numFmt w:val="bullet"/>
      <w:start w:val="1"/>
    </w:lvl>
  </w:abstractNum>
  <w:abstractNum w:abstractNumId="157">
    <w:nsid w:val="C058DF5"/>
    <w:multiLevelType w:val="hybridMultilevel"/>
    <w:lvl w:ilvl="0">
      <w:lvlJc w:val="left"/>
      <w:lvlText w:val="(%1)"/>
      <w:numFmt w:val="lowerLetter"/>
      <w:start w:val="4"/>
    </w:lvl>
  </w:abstractNum>
  <w:abstractNum w:abstractNumId="158">
    <w:nsid w:val="CBE5BE9"/>
    <w:multiLevelType w:val="hybridMultilevel"/>
    <w:lvl w:ilvl="0">
      <w:lvlJc w:val="left"/>
      <w:lvlText w:val="(%1)"/>
      <w:numFmt w:val="lowerLetter"/>
      <w:start w:val="1"/>
    </w:lvl>
  </w:abstractNum>
  <w:abstractNum w:abstractNumId="159">
    <w:nsid w:val="3102BBE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0">
    <w:nsid w:val="26A02C5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1">
    <w:nsid w:val="541C8153"/>
    <w:multiLevelType w:val="hybridMultilevel"/>
    <w:lvl w:ilvl="0">
      <w:lvlJc w:val="left"/>
      <w:lvlText w:val="(%1)"/>
      <w:numFmt w:val="lowerLetter"/>
      <w:start w:val="1"/>
    </w:lvl>
    <w:lvl w:ilvl="1">
      <w:lvlJc w:val="left"/>
      <w:lvlText w:val="(%2)"/>
      <w:numFmt w:val="lowerRoman"/>
      <w:start w:val="1"/>
    </w:lvl>
  </w:abstractNum>
  <w:abstractNum w:abstractNumId="162">
    <w:nsid w:val="67906F60"/>
    <w:multiLevelType w:val="hybridMultilevel"/>
    <w:lvl w:ilvl="0">
      <w:lvlJc w:val="left"/>
      <w:lvlText w:val="(%1)"/>
      <w:numFmt w:val="lowerLetter"/>
      <w:start w:val="1"/>
    </w:lvl>
    <w:lvl w:ilvl="1">
      <w:lvlJc w:val="left"/>
      <w:lvlText w:val="-"/>
      <w:numFmt w:val="bullet"/>
      <w:start w:val="1"/>
    </w:lvl>
  </w:abstractNum>
  <w:abstractNum w:abstractNumId="163">
    <w:nsid w:val="10DB9DAA"/>
    <w:multiLevelType w:val="hybridMultilevel"/>
    <w:lvl w:ilvl="0">
      <w:lvlJc w:val="left"/>
      <w:lvlText w:val="(%1)"/>
      <w:numFmt w:val="lowerLetter"/>
      <w:start w:val="2"/>
    </w:lvl>
  </w:abstractNum>
  <w:abstractNum w:abstractNumId="164">
    <w:nsid w:val="697D2D2"/>
    <w:multiLevelType w:val="hybridMultilevel"/>
    <w:lvl w:ilvl="0">
      <w:lvlJc w:val="left"/>
      <w:lvlText w:val="(%1)"/>
      <w:numFmt w:val="lowerLetter"/>
      <w:start w:val="3"/>
    </w:lvl>
  </w:abstractNum>
  <w:abstractNum w:abstractNumId="165">
    <w:nsid w:val="6D68AB2"/>
    <w:multiLevelType w:val="hybridMultilevel"/>
    <w:lvl w:ilvl="0">
      <w:lvlJc w:val="left"/>
      <w:lvlText w:val="(%1)"/>
      <w:numFmt w:val="lowerLetter"/>
      <w:start w:val="1"/>
    </w:lvl>
  </w:abstractNum>
  <w:abstractNum w:abstractNumId="166">
    <w:nsid w:val="3A966CD0"/>
    <w:multiLevelType w:val="hybridMultilevel"/>
    <w:lvl w:ilvl="0">
      <w:lvlJc w:val="left"/>
      <w:lvlText w:val="(%1)"/>
      <w:numFmt w:val="lowerLetter"/>
      <w:start w:val="1"/>
    </w:lvl>
    <w:lvl w:ilvl="1">
      <w:lvlJc w:val="left"/>
      <w:lvlText w:val="-"/>
      <w:numFmt w:val="bullet"/>
      <w:start w:val="1"/>
    </w:lvl>
  </w:abstractNum>
  <w:abstractNum w:abstractNumId="167">
    <w:nsid w:val="63F37E85"/>
    <w:multiLevelType w:val="hybridMultilevel"/>
    <w:lvl w:ilvl="0">
      <w:lvlJc w:val="left"/>
      <w:lvlText w:val="(%1)"/>
      <w:numFmt w:val="lowerLetter"/>
      <w:start w:val="1"/>
    </w:lvl>
  </w:abstractNum>
  <w:abstractNum w:abstractNumId="168">
    <w:nsid w:val="5895F5F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9">
    <w:nsid w:val="38A5D054"/>
    <w:multiLevelType w:val="hybridMultilevel"/>
    <w:lvl w:ilvl="0">
      <w:lvlJc w:val="left"/>
      <w:lvlText w:val="%1"/>
      <w:numFmt w:val="lowerLetter"/>
      <w:start w:val="1"/>
    </w:lvl>
    <w:lvl w:ilvl="1">
      <w:lvlJc w:val="left"/>
      <w:lvlText w:val="(%2)"/>
      <w:numFmt w:val="lowerLetter"/>
      <w:start w:val="35"/>
    </w:lvl>
  </w:abstractNum>
  <w:abstractNum w:abstractNumId="170">
    <w:nsid w:val="F3F09D8"/>
    <w:multiLevelType w:val="hybridMultilevel"/>
    <w:lvl w:ilvl="0">
      <w:lvlJc w:val="left"/>
      <w:lvlText w:val="(%1)"/>
      <w:numFmt w:val="lowerLetter"/>
      <w:start w:val="3"/>
    </w:lvl>
    <w:lvl w:ilvl="1">
      <w:lvlJc w:val="left"/>
      <w:lvlText w:val="%2"/>
      <w:numFmt w:val="lowerLetter"/>
      <w:start w:val="1"/>
    </w:lvl>
  </w:abstractNum>
  <w:abstractNum w:abstractNumId="171">
    <w:nsid w:val="4B793735"/>
    <w:multiLevelType w:val="hybridMultilevel"/>
    <w:lvl w:ilvl="0">
      <w:lvlJc w:val="left"/>
      <w:lvlText w:val="(%1)"/>
      <w:numFmt w:val="lowerLetter"/>
      <w:start w:val="1"/>
    </w:lvl>
  </w:abstractNum>
  <w:abstractNum w:abstractNumId="172">
    <w:nsid w:val="4A10B4E8"/>
    <w:multiLevelType w:val="hybridMultilevel"/>
    <w:lvl w:ilvl="0">
      <w:lvlJc w:val="left"/>
      <w:lvlText w:val="(%1)"/>
      <w:numFmt w:val="lowerLetter"/>
      <w:start w:val="1"/>
    </w:lvl>
    <w:lvl w:ilvl="1">
      <w:lvlJc w:val="left"/>
      <w:lvlText w:val="(%2)"/>
      <w:numFmt w:val="lowerRoman"/>
      <w:start w:val="1"/>
    </w:lvl>
  </w:abstractNum>
  <w:abstractNum w:abstractNumId="173">
    <w:nsid w:val="43D3BCD4"/>
    <w:multiLevelType w:val="hybridMultilevel"/>
    <w:lvl w:ilvl="0">
      <w:lvlJc w:val="left"/>
      <w:lvlText w:val="(%1)"/>
      <w:numFmt w:val="lowerLetter"/>
      <w:start w:val="1"/>
    </w:lvl>
  </w:abstractNum>
  <w:abstractNum w:abstractNumId="174">
    <w:nsid w:val="4C2A7166"/>
    <w:multiLevelType w:val="hybridMultilevel"/>
    <w:lvl w:ilvl="0">
      <w:lvlJc w:val="left"/>
      <w:lvlText w:val="(%1)"/>
      <w:numFmt w:val="lowerLetter"/>
      <w:start w:val="1"/>
    </w:lvl>
  </w:abstractNum>
  <w:abstractNum w:abstractNumId="175">
    <w:nsid w:val="2E534A8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76">
    <w:nsid w:val="26F2D364"/>
    <w:multiLevelType w:val="hybridMultilevel"/>
    <w:lvl w:ilvl="0">
      <w:lvlJc w:val="left"/>
      <w:lvlText w:val="%1"/>
      <w:numFmt w:val="lowerLetter"/>
      <w:start w:val="1"/>
    </w:lvl>
    <w:lvl w:ilvl="1">
      <w:lvlJc w:val="left"/>
      <w:lvlText w:val="(%2)"/>
      <w:numFmt w:val="lowerRoman"/>
      <w:start w:val="2"/>
    </w:lvl>
  </w:abstractNum>
  <w:abstractNum w:abstractNumId="177">
    <w:nsid w:val="71C1AF98"/>
    <w:multiLevelType w:val="hybridMultilevel"/>
    <w:lvl w:ilvl="0">
      <w:lvlJc w:val="left"/>
      <w:lvlText w:val="(%1)"/>
      <w:numFmt w:val="lowerLetter"/>
      <w:start w:val="2"/>
    </w:lvl>
    <w:lvl w:ilvl="1">
      <w:lvlJc w:val="left"/>
      <w:lvlText w:val="%2"/>
      <w:numFmt w:val="lowerRoman"/>
      <w:start w:val="1"/>
    </w:lvl>
  </w:abstractNum>
  <w:abstractNum w:abstractNumId="178">
    <w:nsid w:val="3D00B9D9"/>
    <w:multiLevelType w:val="hybridMultilevel"/>
    <w:lvl w:ilvl="0">
      <w:lvlJc w:val="left"/>
      <w:lvlText w:val="%1"/>
      <w:numFmt w:val="lowerLetter"/>
      <w:start w:val="1"/>
    </w:lvl>
    <w:lvl w:ilvl="1">
      <w:lvlJc w:val="left"/>
      <w:lvlText w:val="(%2)"/>
      <w:numFmt w:val="lowerRoman"/>
      <w:start w:val="1"/>
    </w:lvl>
  </w:abstractNum>
  <w:abstractNum w:abstractNumId="179">
    <w:nsid w:val="15BCABA8"/>
    <w:multiLevelType w:val="hybridMultilevel"/>
    <w:lvl w:ilvl="0">
      <w:lvlJc w:val="left"/>
      <w:lvlText w:val="(%1)"/>
      <w:numFmt w:val="lowerLetter"/>
      <w:start w:val="2"/>
    </w:lvl>
    <w:lvl w:ilvl="1">
      <w:lvlJc w:val="left"/>
      <w:lvlText w:val="%2"/>
      <w:numFmt w:val="lowerRoman"/>
      <w:start w:val="1"/>
    </w:lvl>
  </w:abstractNum>
  <w:abstractNum w:abstractNumId="180">
    <w:nsid w:val="4E0B9A8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1">
    <w:nsid w:val="434BAE75"/>
    <w:multiLevelType w:val="hybridMultilevel"/>
    <w:lvl w:ilvl="0">
      <w:lvlJc w:val="left"/>
      <w:lvlText w:val="%1"/>
      <w:numFmt w:val="lowerLetter"/>
      <w:start w:val="1"/>
    </w:lvl>
    <w:lvl w:ilvl="1">
      <w:lvlJc w:val="left"/>
      <w:lvlText w:val="(%2)"/>
      <w:numFmt w:val="lowerRoman"/>
      <w:start w:val="3"/>
    </w:lvl>
  </w:abstractNum>
  <w:abstractNum w:abstractNumId="182">
    <w:nsid w:val="4F38F265"/>
    <w:multiLevelType w:val="hybridMultilevel"/>
    <w:lvl w:ilvl="0">
      <w:lvlJc w:val="left"/>
      <w:lvlText w:val="(%1)"/>
      <w:numFmt w:val="lowerLetter"/>
      <w:start w:val="2"/>
    </w:lvl>
    <w:lvl w:ilvl="1">
      <w:lvlJc w:val="left"/>
      <w:lvlText w:val="%2"/>
      <w:numFmt w:val="lowerRoman"/>
      <w:start w:val="1"/>
    </w:lvl>
  </w:abstractNum>
  <w:abstractNum w:abstractNumId="183">
    <w:nsid w:val="4C502870"/>
    <w:multiLevelType w:val="hybridMultilevel"/>
    <w:lvl w:ilvl="0">
      <w:lvlJc w:val="left"/>
      <w:lvlText w:val="(%1)"/>
      <w:numFmt w:val="lowerLetter"/>
      <w:start w:val="1"/>
    </w:lvl>
    <w:lvl w:ilvl="1">
      <w:lvlJc w:val="left"/>
      <w:lvlText w:val="-"/>
      <w:numFmt w:val="bullet"/>
      <w:start w:val="1"/>
    </w:lvl>
  </w:abstractNum>
  <w:abstractNum w:abstractNumId="184">
    <w:nsid w:val="1DE8725A"/>
    <w:multiLevelType w:val="hybridMultilevel"/>
    <w:lvl w:ilvl="0">
      <w:lvlJc w:val="left"/>
      <w:lvlText w:val="(%1)"/>
      <w:numFmt w:val="lowerRoman"/>
      <w:start w:val="1"/>
    </w:lvl>
  </w:abstractNum>
  <w:abstractNum w:abstractNumId="185">
    <w:nsid w:val="6A37288A"/>
    <w:multiLevelType w:val="hybridMultilevel"/>
    <w:lvl w:ilvl="0">
      <w:lvlJc w:val="left"/>
      <w:lvlText w:val="(%1)"/>
      <w:numFmt w:val="lowerLetter"/>
      <w:start w:val="2"/>
    </w:lvl>
  </w:abstractNum>
  <w:abstractNum w:abstractNumId="186">
    <w:nsid w:val="8F8B73F"/>
    <w:multiLevelType w:val="hybridMultilevel"/>
    <w:lvl w:ilvl="0">
      <w:lvlJc w:val="left"/>
      <w:lvlText w:val="(%1)"/>
      <w:numFmt w:val="lowerLetter"/>
      <w:start w:val="1"/>
    </w:lvl>
    <w:lvl w:ilvl="1">
      <w:lvlJc w:val="left"/>
      <w:lvlText w:val="-"/>
      <w:numFmt w:val="bullet"/>
      <w:start w:val="1"/>
    </w:lvl>
  </w:abstractNum>
  <w:abstractNum w:abstractNumId="187">
    <w:nsid w:val="CA6B462"/>
    <w:multiLevelType w:val="hybridMultilevel"/>
    <w:lvl w:ilvl="0">
      <w:lvlJc w:val="left"/>
      <w:lvlText w:val="(%1)"/>
      <w:numFmt w:val="lowerLetter"/>
      <w:start w:val="3"/>
    </w:lvl>
  </w:abstractNum>
  <w:abstractNum w:abstractNumId="188">
    <w:nsid w:val="763CB680"/>
    <w:multiLevelType w:val="hybridMultilevel"/>
    <w:lvl w:ilvl="0">
      <w:lvlJc w:val="left"/>
      <w:lvlText w:val="(%1)"/>
      <w:numFmt w:val="lowerLetter"/>
      <w:start w:val="1"/>
    </w:lvl>
    <w:lvl w:ilvl="1">
      <w:lvlJc w:val="left"/>
      <w:lvlText w:val="-"/>
      <w:numFmt w:val="bullet"/>
      <w:start w:val="1"/>
    </w:lvl>
  </w:abstractNum>
  <w:abstractNum w:abstractNumId="189">
    <w:nsid w:val="15B71329"/>
    <w:multiLevelType w:val="hybridMultilevel"/>
    <w:lvl w:ilvl="0">
      <w:lvlJc w:val="left"/>
      <w:lvlText w:val="(%1)"/>
      <w:numFmt w:val="lowerLetter"/>
      <w:start w:val="4"/>
    </w:lvl>
    <w:lvl w:ilvl="1">
      <w:lvlJc w:val="left"/>
      <w:lvlText w:val="(%2)"/>
      <w:numFmt w:val="lowerRoman"/>
      <w:start w:val="1"/>
    </w:lvl>
  </w:abstractNum>
  <w:abstractNum w:abstractNumId="190">
    <w:nsid w:val="3DA97044"/>
    <w:multiLevelType w:val="hybridMultilevel"/>
    <w:lvl w:ilvl="0">
      <w:lvlJc w:val="left"/>
      <w:lvlText w:val="(%1)"/>
      <w:numFmt w:val="lowerLetter"/>
      <w:start w:val="1"/>
    </w:lvl>
    <w:lvl w:ilvl="1">
      <w:lvlJc w:val="left"/>
      <w:lvlText w:val="-"/>
      <w:numFmt w:val="bullet"/>
      <w:start w:val="1"/>
    </w:lvl>
  </w:abstractNum>
  <w:abstractNum w:abstractNumId="191">
    <w:nsid w:val="1CDCE2D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2">
    <w:nsid w:val="69D3947C"/>
    <w:multiLevelType w:val="hybridMultilevel"/>
    <w:lvl w:ilvl="0">
      <w:lvlJc w:val="left"/>
      <w:lvlText w:val="(%1)"/>
      <w:numFmt w:val="lowerLetter"/>
      <w:start w:val="1"/>
    </w:lvl>
  </w:abstractNum>
  <w:abstractNum w:abstractNumId="193">
    <w:nsid w:val="2539DFA5"/>
    <w:multiLevelType w:val="hybridMultilevel"/>
    <w:lvl w:ilvl="0">
      <w:lvlJc w:val="left"/>
      <w:lvlText w:val="*"/>
      <w:numFmt w:val="bullet"/>
      <w:start w:val="1"/>
    </w:lvl>
  </w:abstractNum>
  <w:abstractNum w:abstractNumId="194">
    <w:nsid w:val="2DB88089"/>
    <w:multiLevelType w:val="hybridMultilevel"/>
    <w:lvl w:ilvl="0">
      <w:lvlJc w:val="left"/>
      <w:lvlText w:val="(%1)"/>
      <w:numFmt w:val="decimal"/>
      <w:start w:val="1"/>
    </w:lvl>
  </w:abstractNum>
  <w:abstractNum w:abstractNumId="195">
    <w:nsid w:val="706B674E"/>
    <w:multiLevelType w:val="hybridMultilevel"/>
    <w:lvl w:ilvl="0">
      <w:lvlJc w:val="left"/>
      <w:lvlText w:val="(%1)"/>
      <w:numFmt w:val="decimal"/>
      <w:start w:val="1"/>
    </w:lvl>
  </w:abstractNum>
  <w:abstractNum w:abstractNumId="196">
    <w:nsid w:val="2C106A57"/>
    <w:multiLevelType w:val="hybridMultilevel"/>
    <w:lvl w:ilvl="0">
      <w:lvlJc w:val="left"/>
      <w:lvlText w:val="***"/>
      <w:numFmt w:val="bullet"/>
      <w:start w:val="1"/>
    </w:lvl>
  </w:abstractNum>
  <w:abstractNum w:abstractNumId="197">
    <w:nsid w:val="684EED59"/>
    <w:multiLevelType w:val="hybridMultilevel"/>
    <w:lvl w:ilvl="0">
      <w:lvlJc w:val="left"/>
      <w:lvlText w:val="***"/>
      <w:numFmt w:val="bullet"/>
      <w:start w:val="1"/>
    </w:lvl>
  </w:abstractNum>
  <w:abstractNum w:abstractNumId="198">
    <w:nsid w:val="545EE5D3"/>
    <w:multiLevelType w:val="hybridMultilevel"/>
    <w:lvl w:ilvl="0">
      <w:lvlJc w:val="left"/>
      <w:lvlText w:val="***"/>
      <w:numFmt w:val="bullet"/>
      <w:start w:val="1"/>
    </w:lvl>
  </w:abstractNum>
  <w:abstractNum w:abstractNumId="199">
    <w:nsid w:val="4A66051"/>
    <w:multiLevelType w:val="hybridMultilevel"/>
    <w:lvl w:ilvl="0">
      <w:lvlJc w:val="left"/>
      <w:lvlText w:val="***"/>
      <w:numFmt w:val="bullet"/>
      <w:start w:val="1"/>
    </w:lvl>
  </w:abstractNum>
  <w:abstractNum w:abstractNumId="200">
    <w:nsid w:val="20F4BDAD"/>
    <w:multiLevelType w:val="hybridMultilevel"/>
    <w:lvl w:ilvl="0">
      <w:lvlJc w:val="left"/>
      <w:lvlText w:val="***"/>
      <w:numFmt w:val="bullet"/>
      <w:start w:val="1"/>
    </w:lvl>
    <w:lvl w:ilvl="1">
      <w:lvlJc w:val="left"/>
      <w:lvlText w:val="*"/>
      <w:numFmt w:val="bullet"/>
      <w:start w:val="1"/>
    </w:lvl>
  </w:abstractNum>
  <w:abstractNum w:abstractNumId="201">
    <w:nsid w:val="639DEFAC"/>
    <w:multiLevelType w:val="hybridMultilevel"/>
    <w:lvl w:ilvl="0">
      <w:lvlJc w:val="left"/>
      <w:lvlText w:val="***"/>
      <w:numFmt w:val="bullet"/>
      <w:start w:val="1"/>
    </w:lvl>
  </w:abstractNum>
  <w:abstractNum w:abstractNumId="202">
    <w:nsid w:val="501F9786"/>
    <w:multiLevelType w:val="hybridMultilevel"/>
    <w:lvl w:ilvl="0">
      <w:lvlJc w:val="left"/>
      <w:lvlText w:val="***"/>
      <w:numFmt w:val="bullet"/>
      <w:start w:val="1"/>
    </w:lvl>
  </w:abstractNum>
  <w:abstractNum w:abstractNumId="203">
    <w:nsid w:val="6B057295"/>
    <w:multiLevelType w:val="hybridMultilevel"/>
    <w:lvl w:ilvl="0">
      <w:lvlJc w:val="left"/>
      <w:lvlText w:val="***"/>
      <w:numFmt w:val="bullet"/>
      <w:start w:val="1"/>
    </w:lvl>
  </w:abstractNum>
  <w:abstractNum w:abstractNumId="204">
    <w:nsid w:val="2771AC80"/>
    <w:multiLevelType w:val="hybridMultilevel"/>
    <w:lvl w:ilvl="0">
      <w:lvlJc w:val="left"/>
      <w:lvlText w:val="***"/>
      <w:numFmt w:val="bullet"/>
      <w:start w:val="1"/>
    </w:lvl>
  </w:abstractNum>
  <w:abstractNum w:abstractNumId="205">
    <w:nsid w:val="1C4A08EC"/>
    <w:multiLevelType w:val="hybridMultilevel"/>
    <w:lvl w:ilvl="0">
      <w:lvlJc w:val="left"/>
      <w:lvlText w:val="***"/>
      <w:numFmt w:val="bullet"/>
      <w:start w:val="1"/>
    </w:lvl>
  </w:abstractNum>
  <w:abstractNum w:abstractNumId="206">
    <w:nsid w:val="1958BD17"/>
    <w:multiLevelType w:val="hybridMultilevel"/>
    <w:lvl w:ilvl="0">
      <w:lvlJc w:val="left"/>
      <w:lvlText w:val="***"/>
      <w:numFmt w:val="bullet"/>
      <w:start w:val="1"/>
    </w:lvl>
  </w:abstractNum>
  <w:abstractNum w:abstractNumId="207">
    <w:nsid w:val="4E647FE4"/>
    <w:multiLevelType w:val="hybridMultilevel"/>
    <w:lvl w:ilvl="0">
      <w:lvlJc w:val="left"/>
      <w:lvlText w:val="***"/>
      <w:numFmt w:val="bullet"/>
      <w:start w:val="1"/>
    </w:lvl>
  </w:abstractNum>
  <w:abstractNum w:abstractNumId="208">
    <w:nsid w:val="E0BB885"/>
    <w:multiLevelType w:val="hybridMultilevel"/>
    <w:lvl w:ilvl="0">
      <w:lvlJc w:val="left"/>
      <w:lvlText w:val="(%1)"/>
      <w:numFmt w:val="lowerLetter"/>
      <w:start w:val="1"/>
    </w:lvl>
  </w:abstractNum>
  <w:abstractNum w:abstractNumId="209">
    <w:nsid w:val="565976F1"/>
    <w:multiLevelType w:val="hybridMultilevel"/>
    <w:lvl w:ilvl="0">
      <w:lvlJc w:val="left"/>
      <w:lvlText w:val="(%1)"/>
      <w:numFmt w:val="lowerLetter"/>
      <w:start w:val="3"/>
    </w:lvl>
  </w:abstractNum>
  <w:abstractNum w:abstractNumId="210">
    <w:nsid w:val="64212B8C"/>
    <w:multiLevelType w:val="hybridMultilevel"/>
    <w:lvl w:ilvl="0">
      <w:lvlJc w:val="left"/>
      <w:lvlText w:val="(%1)"/>
      <w:numFmt w:val="lowerLetter"/>
      <w:start w:val="4"/>
    </w:lvl>
  </w:abstractNum>
  <w:abstractNum w:abstractNumId="211">
    <w:nsid w:val="5C17530C"/>
    <w:multiLevelType w:val="hybridMultilevel"/>
    <w:lvl w:ilvl="0">
      <w:lvlJc w:val="left"/>
      <w:lvlText w:val="(%1)"/>
      <w:numFmt w:val="lowerLetter"/>
      <w:start w:val="5"/>
    </w:lvl>
  </w:abstractNum>
  <w:abstractNum w:abstractNumId="212">
    <w:nsid w:val="19A52566"/>
    <w:multiLevelType w:val="hybridMultilevel"/>
    <w:lvl w:ilvl="0">
      <w:lvlJc w:val="left"/>
      <w:lvlText w:val="***"/>
      <w:numFmt w:val="bullet"/>
      <w:start w:val="1"/>
    </w:lvl>
  </w:abstractNum>
  <w:abstractNum w:abstractNumId="213">
    <w:nsid w:val="335A1DF1"/>
    <w:multiLevelType w:val="hybridMultilevel"/>
    <w:lvl w:ilvl="0">
      <w:lvlJc w:val="left"/>
      <w:lvlText w:val="***"/>
      <w:numFmt w:val="bullet"/>
      <w:start w:val="1"/>
    </w:lvl>
  </w:abstractNum>
  <w:abstractNum w:abstractNumId="214">
    <w:nsid w:val="28677B7C"/>
    <w:multiLevelType w:val="hybridMultilevel"/>
    <w:lvl w:ilvl="0">
      <w:lvlJc w:val="left"/>
      <w:lvlText w:val="***"/>
      <w:numFmt w:val="bullet"/>
      <w:start w:val="1"/>
    </w:lvl>
  </w:abstractNum>
  <w:abstractNum w:abstractNumId="215">
    <w:nsid w:val="378D97C0"/>
    <w:multiLevelType w:val="hybridMultilevel"/>
    <w:lvl w:ilvl="0">
      <w:lvlJc w:val="left"/>
      <w:lvlText w:val="***"/>
      <w:numFmt w:val="bullet"/>
      <w:start w:val="1"/>
    </w:lvl>
  </w:abstractNum>
  <w:abstractNum w:abstractNumId="216">
    <w:nsid w:val="1D91467C"/>
    <w:multiLevelType w:val="hybridMultilevel"/>
    <w:lvl w:ilvl="0">
      <w:lvlJc w:val="left"/>
      <w:lvlText w:val="***"/>
      <w:numFmt w:val="bullet"/>
      <w:start w:val="1"/>
    </w:lvl>
  </w:abstractNum>
  <w:abstractNum w:abstractNumId="217">
    <w:nsid w:val="316032BB"/>
    <w:multiLevelType w:val="hybridMultilevel"/>
    <w:lvl w:ilvl="0">
      <w:lvlJc w:val="left"/>
      <w:lvlText w:val="·"/>
      <w:numFmt w:val="bullet"/>
      <w:start w:val="1"/>
    </w:lvl>
  </w:abstractNum>
  <w:abstractNum w:abstractNumId="218">
    <w:nsid w:val="44344C22"/>
    <w:multiLevelType w:val="hybridMultilevel"/>
    <w:lvl w:ilvl="0">
      <w:lvlJc w:val="left"/>
      <w:lvlText w:val="%1."/>
      <w:numFmt w:val="decimal"/>
      <w:start w:val="1"/>
    </w:lvl>
  </w:abstractNum>
  <w:abstractNum w:abstractNumId="219">
    <w:nsid w:val="13CDFCFC"/>
    <w:multiLevelType w:val="hybridMultilevel"/>
    <w:lvl w:ilvl="0">
      <w:lvlJc w:val="left"/>
      <w:lvlText w:val="%1."/>
      <w:numFmt w:val="decimal"/>
      <w:start w:val="2"/>
    </w:lvl>
    <w:lvl w:ilvl="1">
      <w:lvlJc w:val="left"/>
      <w:lvlText w:val="(%2)"/>
      <w:numFmt w:val="lowerLetter"/>
      <w:start w:val="1"/>
    </w:lvl>
  </w:abstractNum>
  <w:abstractNum w:abstractNumId="220">
    <w:nsid w:val="471745E4"/>
    <w:multiLevelType w:val="hybridMultilevel"/>
    <w:lvl w:ilvl="0">
      <w:lvlJc w:val="left"/>
      <w:lvlText w:val="%1."/>
      <w:numFmt w:val="decimal"/>
      <w:start w:val="4"/>
    </w:lvl>
  </w:abstractNum>
  <w:abstractNum w:abstractNumId="221">
    <w:nsid w:val="1DDBC66"/>
    <w:multiLevelType w:val="hybridMultilevel"/>
    <w:lvl w:ilvl="0">
      <w:lvlJc w:val="left"/>
      <w:lvlText w:val="(%1)"/>
      <w:numFmt w:val="lowerLetter"/>
      <w:start w:val="2"/>
    </w:lvl>
  </w:abstractNum>
  <w:abstractNum w:abstractNumId="222">
    <w:nsid w:val="30AADFDA"/>
    <w:multiLevelType w:val="hybridMultilevel"/>
    <w:lvl w:ilvl="0">
      <w:lvlJc w:val="left"/>
      <w:lvlText w:val="%1"/>
      <w:numFmt w:val="decimal"/>
      <w:start w:val="1"/>
    </w:lvl>
    <w:lvl w:ilvl="1">
      <w:lvlJc w:val="left"/>
      <w:lvlText w:val="(%2)"/>
      <w:numFmt w:val="lowerLetter"/>
      <w:start w:val="3"/>
    </w:lvl>
  </w:abstractNum>
  <w:abstractNum w:abstractNumId="223">
    <w:nsid w:val="30EADA61"/>
    <w:multiLevelType w:val="hybridMultilevel"/>
    <w:lvl w:ilvl="0">
      <w:lvlJc w:val="left"/>
      <w:lvlText w:val="%1."/>
      <w:numFmt w:val="decimal"/>
      <w:start w:val="5"/>
    </w:lvl>
    <w:lvl w:ilvl="1">
      <w:lvlJc w:val="left"/>
      <w:lvlText w:val="(%2)"/>
      <w:numFmt w:val="lowerLetter"/>
      <w:start w:val="1"/>
    </w:lvl>
  </w:abstractNum>
  <w:abstractNum w:abstractNumId="224">
    <w:nsid w:val="27179C0B"/>
    <w:multiLevelType w:val="hybridMultilevel"/>
    <w:lvl w:ilvl="0">
      <w:lvlJc w:val="left"/>
      <w:lvlText w:val="%1"/>
      <w:numFmt w:val="decimal"/>
      <w:start w:val="1"/>
    </w:lvl>
    <w:lvl w:ilvl="1">
      <w:lvlJc w:val="left"/>
      <w:lvlText w:val="(%2)"/>
      <w:numFmt w:val="lowerLetter"/>
      <w:start w:val="3"/>
    </w:lvl>
  </w:abstractNum>
  <w:abstractNum w:abstractNumId="225">
    <w:nsid w:val="5E636063"/>
    <w:multiLevelType w:val="hybridMultilevel"/>
    <w:lvl w:ilvl="0">
      <w:lvlJc w:val="left"/>
      <w:lvlText w:val="%1."/>
      <w:numFmt w:val="decimal"/>
      <w:start w:val="6"/>
    </w:lvl>
    <w:lvl w:ilvl="1">
      <w:lvlJc w:val="left"/>
      <w:lvlText w:val="(%2)"/>
      <w:numFmt w:val="lowerLetter"/>
      <w:start w:val="1"/>
    </w:lvl>
  </w:abstractNum>
  <w:abstractNum w:abstractNumId="226">
    <w:nsid w:val="215641AF"/>
    <w:multiLevelType w:val="hybridMultilevel"/>
    <w:lvl w:ilvl="0">
      <w:lvlJc w:val="left"/>
      <w:lvlText w:val="%1."/>
      <w:numFmt w:val="decimal"/>
      <w:start w:val="1"/>
    </w:lvl>
    <w:lvl w:ilvl="1">
      <w:lvlJc w:val="left"/>
      <w:lvlText w:val="%2)"/>
      <w:numFmt w:val="lowerLetter"/>
      <w:start w:val="1"/>
    </w:lvl>
  </w:abstractNum>
  <w:abstractNum w:abstractNumId="227">
    <w:nsid w:val="53280662"/>
    <w:multiLevelType w:val="hybridMultilevel"/>
    <w:lvl w:ilvl="0">
      <w:lvlJc w:val="left"/>
      <w:lvlText w:val="%1."/>
      <w:numFmt w:val="decimal"/>
      <w:start w:val="1"/>
    </w:lvl>
    <w:lvl w:ilvl="1">
      <w:lvlJc w:val="left"/>
      <w:lvlText w:val="%2)"/>
      <w:numFmt w:val="lowerLetter"/>
      <w:start w:val="1"/>
    </w:lvl>
  </w:abstractNum>
  <w:abstractNum w:abstractNumId="228">
    <w:nsid w:val="46B24DBC"/>
    <w:multiLevelType w:val="hybridMultilevel"/>
    <w:lvl w:ilvl="0">
      <w:lvlJc w:val="left"/>
      <w:lvlText w:val="(%1)"/>
      <w:numFmt w:val="decimal"/>
      <w:start w:val="1"/>
    </w:lvl>
  </w:abstractNum>
  <w:abstractNum w:abstractNumId="229">
    <w:nsid w:val="75B527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2019-12-05T23:51:45Z</dcterms:created>
  <dcterms:modified xsi:type="dcterms:W3CDTF">2019-12-05T23:51:45Z</dcterms:modified>
</cp:coreProperties>
</file>