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207"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8"/>
          <w:szCs w:val="18"/>
          <w:color w:val="auto"/>
        </w:rPr>
        <w:t>(12/31/97)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Cusip # 25057L102</w:t>
      </w:r>
    </w:p>
    <w:p>
      <w:pPr>
        <w:spacing w:after="0"/>
        <w:rPr>
          <w:sz w:val="20"/>
          <w:szCs w:val="20"/>
          <w:color w:val="auto"/>
        </w:rPr>
      </w:pPr>
      <w:r>
        <w:rPr>
          <w:rFonts w:ascii="Courier New" w:cs="Courier New" w:eastAsia="Courier New" w:hAnsi="Courier New"/>
          <w:sz w:val="18"/>
          <w:szCs w:val="18"/>
          <w:color w:val="auto"/>
        </w:rPr>
        <w:t>Amendment</w:t>
      </w:r>
    </w:p>
    <w:p>
      <w:pPr>
        <w:spacing w:after="0" w:line="200"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25057L102</w:t>
      </w:r>
    </w:p>
    <w:p>
      <w:pPr>
        <w:spacing w:after="0" w:line="201" w:lineRule="exact"/>
        <w:rPr>
          <w:sz w:val="24"/>
          <w:szCs w:val="24"/>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8"/>
          <w:szCs w:val="18"/>
          <w:color w:val="auto"/>
        </w:rPr>
        <w:t>Item</w:t>
        <w:tab/>
        <w:t>1:</w:t>
      </w:r>
      <w:r>
        <w:rPr>
          <w:sz w:val="20"/>
          <w:szCs w:val="20"/>
          <w:color w:val="auto"/>
        </w:rPr>
        <w:tab/>
      </w:r>
      <w:r>
        <w:rPr>
          <w:rFonts w:ascii="Courier New" w:cs="Courier New" w:eastAsia="Courier New" w:hAnsi="Courier New"/>
          <w:sz w:val="16"/>
          <w:szCs w:val="16"/>
          <w:color w:val="auto"/>
        </w:rPr>
        <w:t>REPORTING PERSONS</w:t>
      </w:r>
    </w:p>
    <w:p>
      <w:pPr>
        <w:ind w:left="1280"/>
        <w:spacing w:after="0" w:line="238" w:lineRule="auto"/>
        <w:rPr>
          <w:sz w:val="20"/>
          <w:szCs w:val="20"/>
          <w:color w:val="auto"/>
        </w:rPr>
      </w:pPr>
      <w:r>
        <w:rPr>
          <w:rFonts w:ascii="Courier New" w:cs="Courier New" w:eastAsia="Courier New" w:hAnsi="Courier New"/>
          <w:sz w:val="18"/>
          <w:szCs w:val="18"/>
          <w:color w:val="auto"/>
        </w:rPr>
        <w:t>Dimensional Fund Advisors Inc. (Tax ID: 22-2370029)</w:t>
      </w:r>
    </w:p>
    <w:p>
      <w:pPr>
        <w:spacing w:after="0" w:line="202" w:lineRule="exact"/>
        <w:rPr>
          <w:sz w:val="24"/>
          <w:szCs w:val="24"/>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8"/>
          <w:szCs w:val="18"/>
          <w:color w:val="auto"/>
        </w:rPr>
        <w:t>Item</w:t>
        <w:tab/>
        <w:t>4:</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Delaware Corporation</w:t>
      </w:r>
    </w:p>
    <w:p>
      <w:pPr>
        <w:spacing w:after="0" w:line="202" w:lineRule="exact"/>
        <w:rPr>
          <w:sz w:val="24"/>
          <w:szCs w:val="24"/>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8"/>
          <w:szCs w:val="18"/>
          <w:color w:val="auto"/>
        </w:rPr>
        <w:t>Item</w:t>
        <w:tab/>
        <w:t>5:</w:t>
      </w:r>
      <w:r>
        <w:rPr>
          <w:sz w:val="20"/>
          <w:szCs w:val="20"/>
          <w:color w:val="auto"/>
        </w:rPr>
        <w:tab/>
      </w:r>
      <w:r>
        <w:rPr>
          <w:rFonts w:ascii="Courier New" w:cs="Courier New" w:eastAsia="Courier New" w:hAnsi="Courier New"/>
          <w:sz w:val="16"/>
          <w:szCs w:val="16"/>
          <w:color w:val="auto"/>
        </w:rPr>
        <w:t>SOLE VOTING POWER</w:t>
      </w:r>
    </w:p>
    <w:p>
      <w:pPr>
        <w:ind w:left="1280"/>
        <w:spacing w:after="0" w:line="238" w:lineRule="auto"/>
        <w:tabs>
          <w:tab w:leader="none" w:pos="2300" w:val="left"/>
        </w:tabs>
        <w:rPr>
          <w:sz w:val="20"/>
          <w:szCs w:val="20"/>
          <w:color w:val="auto"/>
        </w:rPr>
      </w:pPr>
      <w:r>
        <w:rPr>
          <w:rFonts w:ascii="Courier New" w:cs="Courier New" w:eastAsia="Courier New" w:hAnsi="Courier New"/>
          <w:sz w:val="18"/>
          <w:szCs w:val="18"/>
          <w:color w:val="auto"/>
        </w:rPr>
        <w:t>588,900</w:t>
      </w:r>
      <w:r>
        <w:rPr>
          <w:sz w:val="20"/>
          <w:szCs w:val="20"/>
          <w:color w:val="auto"/>
        </w:rPr>
        <w:tab/>
      </w:r>
      <w:r>
        <w:rPr>
          <w:rFonts w:ascii="Courier New" w:cs="Courier New" w:eastAsia="Courier New" w:hAnsi="Courier New"/>
          <w:sz w:val="18"/>
          <w:szCs w:val="18"/>
          <w:color w:val="auto"/>
        </w:rPr>
        <w:t>(See Note 1)*</w:t>
      </w:r>
    </w:p>
    <w:p>
      <w:pPr>
        <w:spacing w:after="0" w:line="5" w:lineRule="exact"/>
        <w:rPr>
          <w:sz w:val="24"/>
          <w:szCs w:val="24"/>
          <w:color w:val="auto"/>
        </w:rPr>
      </w:pPr>
    </w:p>
    <w:p>
      <w:pPr>
        <w:ind w:left="1480" w:right="2839" w:firstLine="3"/>
        <w:spacing w:after="0" w:line="237" w:lineRule="auto"/>
        <w:tabs>
          <w:tab w:leader="none" w:pos="169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who are officers of Dimensional Fund Advisors Inc. also serve as officers of DFA Investment Dimensions Group Inc., (the "Fund") and The DFA Investment Trust Company (the "Trust"), each an open-end management investment company registered under the Investment Company Act of 1940. In their capacities as officers of the Fund and the Trust, these persons vote 130,900 additional shares which are owned by the Fund and 190,500 shares which are owned by the Trust. (Included in Item 7 of this page of this Schedule)</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45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w:t>
            </w:r>
          </w:p>
        </w:tc>
        <w:tc>
          <w:tcPr>
            <w:tcW w:w="33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45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SOLE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910,300</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(See Note 1)</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45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33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AGGREGATE</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AMOUNT BENEFICIALLY OWNED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910,300</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(See Note 1)</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45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PERCENT OF CLASS REPRESENTED BY LINE 9 --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5.80  (See Note 1)</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45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TYPE OF REPORTING PERSON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3320" w:type="dxa"/>
            <w:vAlign w:val="bottom"/>
          </w:tcPr>
          <w:p>
            <w:pPr>
              <w:spacing w:after="0"/>
              <w:rPr>
                <w:sz w:val="17"/>
                <w:szCs w:val="17"/>
                <w:color w:val="auto"/>
              </w:rPr>
            </w:pPr>
          </w:p>
        </w:tc>
      </w:tr>
    </w:tbl>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66 B Street</w:t>
      </w:r>
    </w:p>
    <w:p>
      <w:pPr>
        <w:ind w:left="1280"/>
        <w:spacing w:after="0" w:line="238" w:lineRule="auto"/>
        <w:tabs>
          <w:tab w:leader="none" w:pos="2200" w:val="left"/>
          <w:tab w:leader="none" w:pos="2720" w:val="left"/>
        </w:tabs>
        <w:rPr>
          <w:sz w:val="20"/>
          <w:szCs w:val="20"/>
          <w:color w:val="auto"/>
        </w:rPr>
      </w:pPr>
      <w:r>
        <w:rPr>
          <w:rFonts w:ascii="Courier New" w:cs="Courier New" w:eastAsia="Courier New" w:hAnsi="Courier New"/>
          <w:sz w:val="18"/>
          <w:szCs w:val="18"/>
          <w:color w:val="auto"/>
        </w:rPr>
        <w:t>Needham</w:t>
        <w:tab/>
        <w:t>MA</w:t>
        <w:tab/>
        <w:t>02194</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503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ectPr>
          <w:pgSz w:w="11900" w:h="16855" w:orient="portrait"/>
          <w:cols w:equalWidth="0" w:num="1">
            <w:col w:w="10219"/>
          </w:cols>
          <w:pgMar w:left="240" w:top="447" w:right="1440" w:bottom="0" w:gutter="0" w:footer="0" w:header="0"/>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25057L102</w:t>
      </w:r>
    </w:p>
    <w:p>
      <w:pPr>
        <w:spacing w:after="0" w:line="207" w:lineRule="exact"/>
        <w:rPr>
          <w:sz w:val="20"/>
          <w:szCs w:val="20"/>
          <w:color w:val="auto"/>
        </w:rPr>
      </w:pPr>
    </w:p>
    <w:p>
      <w:pPr>
        <w:ind w:left="1280" w:right="303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4</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tabs>
          <w:tab w:leader="none" w:pos="1260" w:val="left"/>
        </w:tabs>
        <w:rPr>
          <w:sz w:val="20"/>
          <w:szCs w:val="20"/>
          <w:color w:val="auto"/>
        </w:rPr>
      </w:pPr>
      <w:r>
        <w:rPr>
          <w:rFonts w:ascii="Courier New" w:cs="Courier New" w:eastAsia="Courier New" w:hAnsi="Courier New"/>
          <w:sz w:val="18"/>
          <w:szCs w:val="18"/>
          <w:color w:val="auto"/>
        </w:rPr>
        <w:t>ITEM 4(a).</w:t>
      </w:r>
      <w:r>
        <w:rPr>
          <w:sz w:val="20"/>
          <w:szCs w:val="20"/>
          <w:color w:val="auto"/>
        </w:rPr>
        <w:tab/>
      </w:r>
      <w:r>
        <w:rPr>
          <w:rFonts w:ascii="Courier New" w:cs="Courier New" w:eastAsia="Courier New" w:hAnsi="Courier New"/>
          <w:sz w:val="16"/>
          <w:szCs w:val="16"/>
          <w:color w:val="auto"/>
        </w:rPr>
        <w:t>AMOUNT BENEFICIALLY OWNED</w:t>
      </w:r>
    </w:p>
    <w:p>
      <w:pPr>
        <w:ind w:left="1280"/>
        <w:spacing w:after="0"/>
        <w:rPr>
          <w:sz w:val="20"/>
          <w:szCs w:val="20"/>
          <w:color w:val="auto"/>
        </w:rPr>
      </w:pPr>
      <w:r>
        <w:rPr>
          <w:rFonts w:ascii="Courier New" w:cs="Courier New" w:eastAsia="Courier New" w:hAnsi="Courier New"/>
          <w:sz w:val="18"/>
          <w:szCs w:val="18"/>
          <w:color w:val="auto"/>
        </w:rPr>
        <w:t>See Page 2, Item No. 9</w:t>
      </w:r>
    </w:p>
    <w:p>
      <w:pPr>
        <w:spacing w:after="0"/>
        <w:tabs>
          <w:tab w:leader="none" w:pos="1260" w:val="left"/>
        </w:tabs>
        <w:rPr>
          <w:sz w:val="20"/>
          <w:szCs w:val="20"/>
          <w:color w:val="auto"/>
        </w:rPr>
      </w:pPr>
      <w:r>
        <w:rPr>
          <w:rFonts w:ascii="Courier New" w:cs="Courier New" w:eastAsia="Courier New" w:hAnsi="Courier New"/>
          <w:sz w:val="18"/>
          <w:szCs w:val="18"/>
          <w:color w:val="auto"/>
        </w:rPr>
        <w:t>ITEM 4(b).</w:t>
      </w:r>
      <w:r>
        <w:rPr>
          <w:sz w:val="20"/>
          <w:szCs w:val="20"/>
          <w:color w:val="auto"/>
        </w:rPr>
        <w:tab/>
      </w:r>
      <w:r>
        <w:rPr>
          <w:rFonts w:ascii="Courier New" w:cs="Courier New" w:eastAsia="Courier New" w:hAnsi="Courier New"/>
          <w:sz w:val="16"/>
          <w:szCs w:val="16"/>
          <w:color w:val="auto"/>
        </w:rPr>
        <w:t>PERCENT OF CLASS</w:t>
      </w:r>
    </w:p>
    <w:p>
      <w:pPr>
        <w:ind w:left="1280"/>
        <w:spacing w:after="0" w:line="238" w:lineRule="auto"/>
        <w:rPr>
          <w:sz w:val="20"/>
          <w:szCs w:val="20"/>
          <w:color w:val="auto"/>
        </w:rPr>
      </w:pPr>
      <w:r>
        <w:rPr>
          <w:rFonts w:ascii="Courier New" w:cs="Courier New" w:eastAsia="Courier New" w:hAnsi="Courier New"/>
          <w:sz w:val="18"/>
          <w:szCs w:val="18"/>
          <w:color w:val="auto"/>
        </w:rPr>
        <w:t>See Page 2, Item No. 11</w:t>
      </w:r>
    </w:p>
    <w:p>
      <w:pPr>
        <w:spacing w:after="0"/>
        <w:tabs>
          <w:tab w:leader="none" w:pos="1260" w:val="left"/>
        </w:tabs>
        <w:rPr>
          <w:sz w:val="20"/>
          <w:szCs w:val="20"/>
          <w:color w:val="auto"/>
        </w:rPr>
      </w:pPr>
      <w:r>
        <w:rPr>
          <w:rFonts w:ascii="Courier New" w:cs="Courier New" w:eastAsia="Courier New" w:hAnsi="Courier New"/>
          <w:sz w:val="18"/>
          <w:szCs w:val="18"/>
          <w:color w:val="auto"/>
        </w:rPr>
        <w:t>ITEM 4(c).</w:t>
      </w:r>
      <w:r>
        <w:rPr>
          <w:sz w:val="20"/>
          <w:szCs w:val="20"/>
          <w:color w:val="auto"/>
        </w:rPr>
        <w:tab/>
      </w:r>
      <w:r>
        <w:rPr>
          <w:rFonts w:ascii="Courier New" w:cs="Courier New" w:eastAsia="Courier New" w:hAnsi="Courier New"/>
          <w:sz w:val="16"/>
          <w:szCs w:val="16"/>
          <w:color w:val="auto"/>
        </w:rPr>
        <w:t>NUMBER OF SHARE AS TO WHICH SUCH PERSON HAS:</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DIRECT THE VOTE --</w:t>
      </w:r>
    </w:p>
    <w:p>
      <w:pPr>
        <w:ind w:left="1280"/>
        <w:spacing w:after="0"/>
        <w:rPr>
          <w:sz w:val="20"/>
          <w:szCs w:val="20"/>
          <w:color w:val="auto"/>
        </w:rPr>
      </w:pPr>
      <w:r>
        <w:rPr>
          <w:rFonts w:ascii="Courier New" w:cs="Courier New" w:eastAsia="Courier New" w:hAnsi="Courier New"/>
          <w:sz w:val="18"/>
          <w:szCs w:val="18"/>
          <w:color w:val="auto"/>
        </w:rPr>
        <w:t>See Page 2, Item No. 5</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w:t>
      </w:r>
    </w:p>
    <w:p>
      <w:pPr>
        <w:ind w:left="1280"/>
        <w:spacing w:after="0"/>
        <w:rPr>
          <w:sz w:val="20"/>
          <w:szCs w:val="20"/>
          <w:color w:val="auto"/>
        </w:rPr>
      </w:pPr>
      <w:r>
        <w:rPr>
          <w:rFonts w:ascii="Courier New" w:cs="Courier New" w:eastAsia="Courier New" w:hAnsi="Courier New"/>
          <w:sz w:val="18"/>
          <w:szCs w:val="18"/>
          <w:color w:val="auto"/>
        </w:rPr>
        <w:t>None</w:t>
      </w:r>
    </w:p>
    <w:p>
      <w:pPr>
        <w:ind w:left="420"/>
        <w:spacing w:after="0"/>
        <w:tabs>
          <w:tab w:leader="none" w:pos="1260" w:val="left"/>
        </w:tabs>
        <w:rPr>
          <w:sz w:val="20"/>
          <w:szCs w:val="20"/>
          <w:color w:val="auto"/>
        </w:rPr>
      </w:pPr>
      <w:r>
        <w:rPr>
          <w:rFonts w:ascii="Courier New" w:cs="Courier New" w:eastAsia="Courier New" w:hAnsi="Courier New"/>
          <w:sz w:val="18"/>
          <w:szCs w:val="18"/>
          <w:color w:val="auto"/>
        </w:rPr>
        <w:t>(iii).</w:t>
      </w:r>
      <w:r>
        <w:rPr>
          <w:sz w:val="20"/>
          <w:szCs w:val="20"/>
          <w:color w:val="auto"/>
        </w:rPr>
        <w:tab/>
      </w:r>
      <w:r>
        <w:rPr>
          <w:rFonts w:ascii="Courier New" w:cs="Courier New" w:eastAsia="Courier New" w:hAnsi="Courier New"/>
          <w:sz w:val="16"/>
          <w:szCs w:val="16"/>
          <w:color w:val="auto"/>
        </w:rPr>
        <w:t>SOLE POWER TO DISPOSE OR TO DIRECT DISPOSITION OF --</w:t>
      </w:r>
    </w:p>
    <w:p>
      <w:pPr>
        <w:ind w:left="1280"/>
        <w:spacing w:after="0" w:line="238" w:lineRule="auto"/>
        <w:rPr>
          <w:sz w:val="20"/>
          <w:szCs w:val="20"/>
          <w:color w:val="auto"/>
        </w:rPr>
      </w:pPr>
      <w:r>
        <w:rPr>
          <w:rFonts w:ascii="Courier New" w:cs="Courier New" w:eastAsia="Courier New" w:hAnsi="Courier New"/>
          <w:sz w:val="18"/>
          <w:szCs w:val="18"/>
          <w:color w:val="auto"/>
        </w:rPr>
        <w:t>See Page 2, Item No. 9</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SHARE POWER TO DISPOSE OR TO DIRECT DISPOSISTION OF --</w:t>
      </w:r>
    </w:p>
    <w:p>
      <w:pPr>
        <w:ind w:left="1280"/>
        <w:spacing w:after="0" w:line="237" w:lineRule="auto"/>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339" w:right="1440" w:bottom="131"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FIVE PERCENT OR LESS OF A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12/31/97 the reporting person has ceased to be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 of more than five percent of the class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securities, check the following: [ ]</w:t>
      </w:r>
    </w:p>
    <w:p>
      <w:pPr>
        <w:spacing w:after="0" w:line="200" w:lineRule="exact"/>
        <w:rPr>
          <w:sz w:val="20"/>
          <w:szCs w:val="20"/>
          <w:color w:val="auto"/>
        </w:rPr>
      </w:pPr>
    </w:p>
    <w:p>
      <w:pPr>
        <w:sectPr>
          <w:pgSz w:w="11900" w:h="16838" w:orient="portrait"/>
          <w:cols w:equalWidth="0" w:num="2">
            <w:col w:w="740" w:space="540"/>
            <w:col w:w="8939"/>
          </w:cols>
          <w:pgMar w:left="240" w:top="339" w:right="1440" w:bottom="13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MORE THAN FIVE PERCENT ON BEHALF OF</w:t>
      </w:r>
    </w:p>
    <w:p>
      <w:pPr>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rPr>
          <w:sz w:val="20"/>
          <w:szCs w:val="20"/>
          <w:color w:val="auto"/>
        </w:rPr>
      </w:pPr>
      <w:r>
        <w:rPr>
          <w:rFonts w:ascii="Courier New" w:cs="Courier New" w:eastAsia="Courier New" w:hAnsi="Courier New"/>
          <w:sz w:val="18"/>
          <w:szCs w:val="18"/>
          <w:color w:val="auto"/>
        </w:rPr>
        <w:t>All Securities reported in this schedule are onwed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advisory clients of Dimensional Fund Advisors Inc., no one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which to the knowledge of Dimensional Fund Advisors Inc.</w:t>
      </w:r>
    </w:p>
    <w:p>
      <w:pPr>
        <w:spacing w:after="0" w:line="16"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8"/>
          <w:szCs w:val="18"/>
          <w:color w:val="auto"/>
        </w:rPr>
        <w:t>owns more than 5% of the class.</w:t>
      </w:r>
      <w:r>
        <w:rPr>
          <w:sz w:val="20"/>
          <w:szCs w:val="20"/>
          <w:color w:val="auto"/>
        </w:rPr>
        <w:tab/>
      </w:r>
      <w:r>
        <w:rPr>
          <w:rFonts w:ascii="Courier New" w:cs="Courier New" w:eastAsia="Courier New" w:hAnsi="Courier New"/>
          <w:sz w:val="16"/>
          <w:szCs w:val="16"/>
          <w:color w:val="auto"/>
        </w:rPr>
        <w:t>Dimensional Fund Advisors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disclaims beneficial ownership of all such securities.</w:t>
      </w:r>
    </w:p>
    <w:p>
      <w:pPr>
        <w:spacing w:after="0" w:line="200" w:lineRule="exact"/>
        <w:rPr>
          <w:sz w:val="20"/>
          <w:szCs w:val="20"/>
          <w:color w:val="auto"/>
        </w:rPr>
      </w:pPr>
    </w:p>
    <w:p>
      <w:pPr>
        <w:sectPr>
          <w:pgSz w:w="11900" w:h="16838" w:orient="portrait"/>
          <w:cols w:equalWidth="0" w:num="2">
            <w:col w:w="740" w:space="540"/>
            <w:col w:w="8939"/>
          </w:cols>
          <w:pgMar w:left="240" w:top="339" w:right="1440" w:bottom="131"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IDENTIFICATION AND CLASSIFICATION OF THE SUBSIDIARY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THE SECURITY BEING REPORTED ON BY THE PARENT HOLDING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740" w:space="540"/>
            <w:col w:w="8939"/>
          </w:cols>
          <w:pgMar w:left="240" w:top="339" w:right="1440" w:bottom="13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ind w:right="2939"/>
        <w:spacing w:after="0" w:line="235" w:lineRule="auto"/>
        <w:rPr>
          <w:sz w:val="20"/>
          <w:szCs w:val="20"/>
          <w:color w:val="auto"/>
        </w:rPr>
      </w:pPr>
      <w:r>
        <w:rPr>
          <w:rFonts w:ascii="Courier New" w:cs="Courier New" w:eastAsia="Courier New" w:hAnsi="Courier New"/>
          <w:sz w:val="18"/>
          <w:szCs w:val="18"/>
          <w:color w:val="auto"/>
        </w:rPr>
        <w:t>IDENTIFICATION AND CLASSIFICATION OF MEMBERS OF THE GROUP Not Applicable</w:t>
      </w:r>
    </w:p>
    <w:p>
      <w:pPr>
        <w:spacing w:after="0" w:line="200" w:lineRule="exact"/>
        <w:rPr>
          <w:sz w:val="20"/>
          <w:szCs w:val="20"/>
          <w:color w:val="auto"/>
        </w:rPr>
      </w:pPr>
    </w:p>
    <w:p>
      <w:pPr>
        <w:sectPr>
          <w:pgSz w:w="11900" w:h="16838" w:orient="portrait"/>
          <w:cols w:equalWidth="0" w:num="2">
            <w:col w:w="740" w:space="540"/>
            <w:col w:w="8939"/>
          </w:cols>
          <w:pgMar w:left="240" w:top="339" w:right="1440" w:bottom="13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740" w:space="540"/>
            <w:col w:w="8939"/>
          </w:cols>
          <w:pgMar w:left="240" w:top="339" w:right="1440" w:bottom="13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CERTIFICATION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signing below I certify that, to the best of my knowledge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belief, the securities referred to above were acquired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ordinary course of business and were not acquired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purpose of and do not have the effect of changing or</w:t>
      </w:r>
    </w:p>
    <w:p>
      <w:pPr>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were not acquired in connection with or as a participant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0" w:lineRule="exact"/>
        <w:rPr>
          <w:sz w:val="20"/>
          <w:szCs w:val="20"/>
          <w:color w:val="auto"/>
        </w:rPr>
      </w:pPr>
    </w:p>
    <w:p>
      <w:pPr>
        <w:sectPr>
          <w:pgSz w:w="11900" w:h="16838" w:orient="portrait"/>
          <w:cols w:equalWidth="0" w:num="2">
            <w:col w:w="860" w:space="420"/>
            <w:col w:w="8939"/>
          </w:cols>
          <w:pgMar w:left="240" w:top="339" w:right="1440" w:bottom="131" w:gutter="0" w:footer="0" w:header="0"/>
          <w:type w:val="continuous"/>
        </w:sectPr>
      </w:pPr>
    </w:p>
    <w:p>
      <w:pPr>
        <w:spacing w:after="0" w:line="7" w:lineRule="exact"/>
        <w:rPr>
          <w:sz w:val="20"/>
          <w:szCs w:val="20"/>
          <w:color w:val="auto"/>
        </w:rPr>
      </w:pPr>
    </w:p>
    <w:p>
      <w:pPr>
        <w:ind w:left="1060" w:right="2739" w:hanging="1052"/>
        <w:spacing w:after="0" w:line="237" w:lineRule="auto"/>
        <w:rPr>
          <w:sz w:val="20"/>
          <w:szCs w:val="20"/>
          <w:color w:val="auto"/>
        </w:rPr>
      </w:pPr>
      <w:r>
        <w:rPr>
          <w:rFonts w:ascii="Courier New" w:cs="Courier New" w:eastAsia="Courier New" w:hAnsi="Courier New"/>
          <w:sz w:val="18"/>
          <w:szCs w:val="18"/>
          <w:color w:val="auto"/>
        </w:rPr>
        <w:t>(Note 1): All securities reported on the schedule are owned by advisory clients of Dimensional Fund Advisors Inc. Dimensional Fund Advisors Inc. disclaims beneficial ownership of all such securities.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Monday, February 6, 1997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ind w:left="320"/>
        <w:spacing w:after="0" w:line="238" w:lineRule="auto"/>
        <w:rPr>
          <w:sz w:val="20"/>
          <w:szCs w:val="20"/>
          <w:color w:val="auto"/>
        </w:rPr>
      </w:pPr>
      <w:r>
        <w:rPr>
          <w:rFonts w:ascii="Courier New" w:cs="Courier New" w:eastAsia="Courier New" w:hAnsi="Courier New"/>
          <w:sz w:val="18"/>
          <w:szCs w:val="18"/>
          <w:color w:val="auto"/>
        </w:rPr>
        <w:t>Vice President and Chief Finacial Officer</w:t>
      </w:r>
    </w:p>
    <w:p>
      <w:pPr>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339" w:right="1440" w:bottom="131"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2019-12-19T21:24:56Z</dcterms:created>
  <dcterms:modified xsi:type="dcterms:W3CDTF">2019-12-19T21:24:56Z</dcterms:modified>
</cp:coreProperties>
</file>