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157480</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185420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May 2, 2015</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170180</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DESTINATION XL GROUP, INC.</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166370</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540" w:type="dxa"/>
        <w:tblCellMar>
          <w:top w:w="0" w:type="dxa"/>
          <w:left w:w="0" w:type="dxa"/>
          <w:bottom w:w="0" w:type="dxa"/>
          <w:right w:w="0" w:type="dxa"/>
        </w:tblCellMar>
      </w:tblPr>
      <w:tr>
        <w:trPr>
          <w:trHeight w:val="211"/>
        </w:trPr>
        <w:tc>
          <w:tcPr>
            <w:tcW w:w="292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42"/>
              <w:spacing w:after="0"/>
              <w:rPr>
                <w:sz w:val="20"/>
                <w:szCs w:val="20"/>
                <w:color w:val="auto"/>
              </w:rPr>
            </w:pPr>
            <w:r>
              <w:rPr>
                <w:rFonts w:ascii="Arial" w:cs="Arial" w:eastAsia="Arial" w:hAnsi="Arial"/>
                <w:sz w:val="18"/>
                <w:szCs w:val="18"/>
                <w:b w:val="1"/>
                <w:bCs w:val="1"/>
                <w:color w:val="auto"/>
              </w:rPr>
              <w:t>04-2623104</w:t>
            </w:r>
          </w:p>
        </w:tc>
      </w:tr>
      <w:tr>
        <w:trPr>
          <w:trHeight w:val="148"/>
        </w:trPr>
        <w:tc>
          <w:tcPr>
            <w:tcW w:w="2920" w:type="dxa"/>
            <w:vAlign w:val="bottom"/>
          </w:tcPr>
          <w:p>
            <w:pPr>
              <w:jc w:val="center"/>
              <w:ind w:right="281"/>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4700" w:type="dxa"/>
            <w:vAlign w:val="bottom"/>
          </w:tcPr>
          <w:p>
            <w:pPr>
              <w:jc w:val="center"/>
              <w:ind w:left="3502"/>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2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700" w:type="dxa"/>
            <w:vAlign w:val="bottom"/>
          </w:tcPr>
          <w:p>
            <w:pPr>
              <w:jc w:val="center"/>
              <w:ind w:left="3502"/>
              <w:spacing w:after="0"/>
              <w:rPr>
                <w:sz w:val="20"/>
                <w:szCs w:val="20"/>
                <w:color w:val="auto"/>
              </w:rPr>
            </w:pPr>
            <w:r>
              <w:rPr>
                <w:rFonts w:ascii="Arial" w:cs="Arial" w:eastAsia="Arial" w:hAnsi="Arial"/>
                <w:sz w:val="14"/>
                <w:szCs w:val="14"/>
                <w:b w:val="1"/>
                <w:bCs w:val="1"/>
                <w:color w:val="auto"/>
                <w:w w:val="94"/>
              </w:rPr>
              <w:t>Identification No.)</w:t>
            </w:r>
          </w:p>
        </w:tc>
      </w:tr>
      <w:tr>
        <w:trPr>
          <w:trHeight w:val="392"/>
        </w:trPr>
        <w:tc>
          <w:tcPr>
            <w:tcW w:w="292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555 Turnpike Street, Canton, MA</w:t>
            </w:r>
          </w:p>
        </w:tc>
        <w:tc>
          <w:tcPr>
            <w:tcW w:w="4700" w:type="dxa"/>
            <w:vAlign w:val="bottom"/>
          </w:tcPr>
          <w:p>
            <w:pPr>
              <w:jc w:val="right"/>
              <w:ind w:right="262"/>
              <w:spacing w:after="0"/>
              <w:rPr>
                <w:sz w:val="20"/>
                <w:szCs w:val="20"/>
                <w:color w:val="auto"/>
              </w:rPr>
            </w:pPr>
            <w:r>
              <w:rPr>
                <w:rFonts w:ascii="Arial" w:cs="Arial" w:eastAsia="Arial" w:hAnsi="Arial"/>
                <w:sz w:val="18"/>
                <w:szCs w:val="18"/>
                <w:b w:val="1"/>
                <w:bCs w:val="1"/>
                <w:color w:val="auto"/>
              </w:rPr>
              <w:t>02021</w:t>
            </w:r>
          </w:p>
        </w:tc>
      </w:tr>
      <w:tr>
        <w:trPr>
          <w:trHeight w:val="186"/>
        </w:trPr>
        <w:tc>
          <w:tcPr>
            <w:tcW w:w="2920" w:type="dxa"/>
            <w:vAlign w:val="bottom"/>
          </w:tcPr>
          <w:p>
            <w:pPr>
              <w:jc w:val="center"/>
              <w:ind w:right="281"/>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4700" w:type="dxa"/>
            <w:vAlign w:val="bottom"/>
          </w:tcPr>
          <w:p>
            <w:pPr>
              <w:jc w:val="center"/>
              <w:ind w:left="3522"/>
              <w:spacing w:after="0"/>
              <w:rPr>
                <w:sz w:val="20"/>
                <w:szCs w:val="20"/>
                <w:color w:val="auto"/>
              </w:rPr>
            </w:pPr>
            <w:r>
              <w:rPr>
                <w:rFonts w:ascii="Arial" w:cs="Arial" w:eastAsia="Arial" w:hAnsi="Arial"/>
                <w:sz w:val="14"/>
                <w:szCs w:val="14"/>
                <w:b w:val="1"/>
                <w:bCs w:val="1"/>
                <w:color w:val="auto"/>
                <w:w w:val="95"/>
              </w:rPr>
              <w:t>(Zip Code)</w:t>
            </w:r>
          </w:p>
        </w:tc>
      </w:tr>
      <w:tr>
        <w:trPr>
          <w:trHeight w:val="392"/>
        </w:trPr>
        <w:tc>
          <w:tcPr>
            <w:tcW w:w="2920" w:type="dxa"/>
            <w:vAlign w:val="bottom"/>
          </w:tcPr>
          <w:p>
            <w:pPr>
              <w:spacing w:after="0"/>
              <w:rPr>
                <w:sz w:val="24"/>
                <w:szCs w:val="24"/>
                <w:color w:val="auto"/>
              </w:rPr>
            </w:pPr>
          </w:p>
        </w:tc>
        <w:tc>
          <w:tcPr>
            <w:tcW w:w="4700" w:type="dxa"/>
            <w:vAlign w:val="bottom"/>
          </w:tcPr>
          <w:p>
            <w:pPr>
              <w:jc w:val="center"/>
              <w:ind w:right="2102"/>
              <w:spacing w:after="0"/>
              <w:rPr>
                <w:sz w:val="20"/>
                <w:szCs w:val="20"/>
                <w:color w:val="auto"/>
              </w:rPr>
            </w:pPr>
            <w:r>
              <w:rPr>
                <w:rFonts w:ascii="Arial" w:cs="Arial" w:eastAsia="Arial" w:hAnsi="Arial"/>
                <w:sz w:val="18"/>
                <w:szCs w:val="18"/>
                <w:b w:val="1"/>
                <w:bCs w:val="1"/>
                <w:color w:val="auto"/>
                <w:w w:val="90"/>
              </w:rPr>
              <w:t>(781) 828-9300</w:t>
            </w:r>
          </w:p>
        </w:tc>
      </w:tr>
      <w:tr>
        <w:trPr>
          <w:trHeight w:val="148"/>
        </w:trPr>
        <w:tc>
          <w:tcPr>
            <w:tcW w:w="2920" w:type="dxa"/>
            <w:vAlign w:val="bottom"/>
          </w:tcPr>
          <w:p>
            <w:pPr>
              <w:spacing w:after="0"/>
              <w:rPr>
                <w:sz w:val="12"/>
                <w:szCs w:val="12"/>
                <w:color w:val="auto"/>
              </w:rPr>
            </w:pPr>
          </w:p>
        </w:tc>
        <w:tc>
          <w:tcPr>
            <w:tcW w:w="4700" w:type="dxa"/>
            <w:vAlign w:val="bottom"/>
          </w:tcPr>
          <w:p>
            <w:pPr>
              <w:jc w:val="center"/>
              <w:ind w:right="2122"/>
              <w:spacing w:after="0" w:line="148" w:lineRule="exact"/>
              <w:rPr>
                <w:sz w:val="20"/>
                <w:szCs w:val="20"/>
                <w:color w:val="auto"/>
              </w:rPr>
            </w:pPr>
            <w:r>
              <w:rPr>
                <w:rFonts w:ascii="Arial" w:cs="Arial" w:eastAsia="Arial" w:hAnsi="Arial"/>
                <w:sz w:val="14"/>
                <w:szCs w:val="14"/>
                <w:b w:val="1"/>
                <w:bCs w:val="1"/>
                <w:color w:val="auto"/>
                <w:w w:val="91"/>
              </w:rPr>
              <w:t>(Registrant’s telephone</w:t>
            </w:r>
          </w:p>
        </w:tc>
      </w:tr>
      <w:tr>
        <w:trPr>
          <w:trHeight w:val="186"/>
        </w:trPr>
        <w:tc>
          <w:tcPr>
            <w:tcW w:w="2920" w:type="dxa"/>
            <w:vAlign w:val="bottom"/>
          </w:tcPr>
          <w:p>
            <w:pPr>
              <w:spacing w:after="0"/>
              <w:rPr>
                <w:sz w:val="16"/>
                <w:szCs w:val="16"/>
                <w:color w:val="auto"/>
              </w:rPr>
            </w:pPr>
          </w:p>
        </w:tc>
        <w:tc>
          <w:tcPr>
            <w:tcW w:w="4700" w:type="dxa"/>
            <w:vAlign w:val="bottom"/>
          </w:tcPr>
          <w:p>
            <w:pPr>
              <w:jc w:val="center"/>
              <w:ind w:right="2122"/>
              <w:spacing w:after="0"/>
              <w:rPr>
                <w:sz w:val="20"/>
                <w:szCs w:val="20"/>
                <w:color w:val="auto"/>
              </w:rPr>
            </w:pPr>
            <w:r>
              <w:rPr>
                <w:rFonts w:ascii="Arial" w:cs="Arial" w:eastAsia="Arial" w:hAnsi="Arial"/>
                <w:sz w:val="14"/>
                <w:szCs w:val="14"/>
                <w:b w:val="1"/>
                <w:bCs w:val="1"/>
                <w:color w:val="auto"/>
                <w:w w:val="91"/>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152400</wp:posOffset>
            </wp:positionV>
            <wp:extent cx="1442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42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7" w:right="299" w:bottom="1440" w:gutter="0" w:footer="0" w:header="0"/>
        </w:sectPr>
      </w:pP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5" w:lineRule="exact"/>
        <w:rPr>
          <w:sz w:val="24"/>
          <w:szCs w:val="24"/>
          <w:color w:val="auto"/>
        </w:rPr>
      </w:pPr>
    </w:p>
    <w:p>
      <w:pPr>
        <w:sectPr>
          <w:pgSz w:w="11900" w:h="16838" w:orient="portrait"/>
          <w:cols w:equalWidth="0" w:num="4">
            <w:col w:w="1800" w:space="720"/>
            <w:col w:w="4860" w:space="720"/>
            <w:col w:w="2340" w:space="720"/>
            <w:col w:w="200"/>
          </w:cols>
          <w:pgMar w:left="240" w:top="367"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00" w:space="720"/>
            <w:col w:w="160" w:space="100"/>
            <w:col w:w="4600" w:space="720"/>
            <w:col w:w="2340" w:space="720"/>
            <w:col w:w="200"/>
          </w:cols>
          <w:pgMar w:left="240" w:top="367" w:right="299" w:bottom="1440" w:gutter="0" w:footer="0" w:header="0"/>
          <w:type w:val="continuous"/>
        </w:sectPr>
      </w:pPr>
    </w:p>
    <w:p>
      <w:pPr>
        <w:spacing w:after="0" w:line="14" w:lineRule="exact"/>
        <w:rPr>
          <w:sz w:val="24"/>
          <w:szCs w:val="24"/>
          <w:color w:val="auto"/>
        </w:rPr>
      </w:pPr>
    </w:p>
    <w:p>
      <w:pPr>
        <w:spacing w:after="0" w:line="196" w:lineRule="exact"/>
        <w:tabs>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0"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40" w:space="180"/>
            <w:col w:w="2340"/>
          </w:cols>
          <w:pgMar w:left="240" w:top="367" w:right="299" w:bottom="1440" w:gutter="0" w:footer="0" w:header="0"/>
          <w:type w:val="continuous"/>
        </w:sectPr>
      </w:pP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20, 2015 was 50,746,448.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367"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color w:val="auto"/>
              </w:rPr>
              <w:t>May 2, 2015</w:t>
            </w:r>
          </w:p>
        </w:tc>
        <w:tc>
          <w:tcPr>
            <w:tcW w:w="16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January 31, 2015</w:t>
            </w:r>
          </w:p>
        </w:tc>
      </w:tr>
      <w:tr>
        <w:trPr>
          <w:trHeight w:val="167"/>
        </w:trPr>
        <w:tc>
          <w:tcPr>
            <w:tcW w:w="6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2014)</w:t>
            </w:r>
          </w:p>
        </w:tc>
      </w:tr>
      <w:tr>
        <w:trPr>
          <w:trHeight w:val="155"/>
        </w:trPr>
        <w:tc>
          <w:tcPr>
            <w:tcW w:w="60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3,619</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Borders>
              <w:bottom w:val="single" w:sz="8" w:color="CFF0FC"/>
            </w:tcBorders>
          </w:tcPr>
          <w:p>
            <w:pPr>
              <w:spacing w:after="0"/>
              <w:rPr>
                <w:sz w:val="19"/>
                <w:szCs w:val="19"/>
                <w:color w:val="auto"/>
              </w:rPr>
            </w:pPr>
          </w:p>
        </w:tc>
      </w:tr>
      <w:tr>
        <w:trPr>
          <w:trHeight w:val="222"/>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132,338</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Property and equipment, net of accumulated depreciation and amortization</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FF0FC"/>
          </w:tcPr>
          <w:p>
            <w:pPr>
              <w:spacing w:after="0"/>
              <w:rPr>
                <w:sz w:val="19"/>
                <w:szCs w:val="19"/>
                <w:color w:val="auto"/>
              </w:rPr>
            </w:pPr>
          </w:p>
        </w:tc>
      </w:tr>
      <w:tr>
        <w:trPr>
          <w:trHeight w:val="262"/>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277,374</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80" w:type="dxa"/>
            <w:vAlign w:val="bottom"/>
            <w:tcBorders>
              <w:bottom w:val="single" w:sz="8" w:color="CFF0FC"/>
            </w:tcBorders>
          </w:tcPr>
          <w:p>
            <w:pPr>
              <w:spacing w:after="0"/>
              <w:rPr>
                <w:sz w:val="22"/>
                <w:szCs w:val="22"/>
                <w:color w:val="auto"/>
              </w:rPr>
            </w:pPr>
          </w:p>
        </w:tc>
      </w:tr>
      <w:tr>
        <w:trPr>
          <w:trHeight w:val="209"/>
        </w:trPr>
        <w:tc>
          <w:tcPr>
            <w:tcW w:w="60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7,385</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7,335</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gain on sale-leaseback</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29,979</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31,972</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Borrowings under credit facility</w:t>
            </w:r>
          </w:p>
        </w:tc>
        <w:tc>
          <w:tcPr>
            <w:tcW w:w="2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w:t>
            </w:r>
          </w:p>
        </w:tc>
        <w:tc>
          <w:tcPr>
            <w:tcW w:w="80" w:type="dxa"/>
            <w:vAlign w:val="bottom"/>
            <w:tcBorders>
              <w:bottom w:val="single" w:sz="8" w:color="CFF0FC"/>
            </w:tcBorders>
          </w:tcPr>
          <w:p>
            <w:pPr>
              <w:spacing w:after="0"/>
              <w:rPr>
                <w:sz w:val="19"/>
                <w:szCs w:val="19"/>
                <w:color w:val="auto"/>
              </w:rPr>
            </w:pPr>
          </w:p>
        </w:tc>
      </w:tr>
      <w:tr>
        <w:trPr>
          <w:trHeight w:val="222"/>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108,866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80" w:type="dxa"/>
            <w:vAlign w:val="bottom"/>
            <w:shd w:val="clear" w:color="auto" w:fill="CFF0FC"/>
          </w:tcPr>
          <w:p>
            <w:pPr>
              <w:spacing w:after="0"/>
              <w:rPr>
                <w:sz w:val="19"/>
                <w:szCs w:val="19"/>
                <w:color w:val="auto"/>
              </w:rPr>
            </w:pPr>
          </w:p>
        </w:tc>
      </w:tr>
      <w:tr>
        <w:trPr>
          <w:trHeight w:val="222"/>
        </w:trPr>
        <w:tc>
          <w:tcPr>
            <w:tcW w:w="6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Long-term debt, net of current portion</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and lease incentives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Deferred gain on sale-leaseback, net of current portion</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14,654</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80" w:type="dxa"/>
            <w:vAlign w:val="bottom"/>
            <w:tcBorders>
              <w:bottom w:val="single" w:sz="8" w:color="CFF0FC"/>
            </w:tcBorders>
          </w:tcPr>
          <w:p>
            <w:pPr>
              <w:spacing w:after="0"/>
              <w:rPr>
                <w:sz w:val="19"/>
                <w:szCs w:val="19"/>
                <w:color w:val="auto"/>
              </w:rPr>
            </w:pPr>
          </w:p>
        </w:tc>
      </w:tr>
      <w:tr>
        <w:trPr>
          <w:trHeight w:val="222"/>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2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77,923</w:t>
            </w:r>
          </w:p>
        </w:tc>
        <w:tc>
          <w:tcPr>
            <w:tcW w:w="80" w:type="dxa"/>
            <w:vAlign w:val="bottom"/>
            <w:shd w:val="clear" w:color="auto" w:fill="CFF0FC"/>
          </w:tcPr>
          <w:p>
            <w:pPr>
              <w:spacing w:after="0"/>
              <w:rPr>
                <w:sz w:val="19"/>
                <w:szCs w:val="19"/>
                <w:color w:val="auto"/>
              </w:rPr>
            </w:pPr>
          </w:p>
        </w:tc>
      </w:tr>
      <w:tr>
        <w:trPr>
          <w:trHeight w:val="222"/>
        </w:trPr>
        <w:tc>
          <w:tcPr>
            <w:tcW w:w="6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w w:val="96"/>
              </w:rPr>
              <w:t>Preferred stock, $0.01 par value, 1,000,000 shares authorized, none issued</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Common stock, $0.01 par value, 100,000,000 shares authorized, 61,593,147 and</w:t>
            </w:r>
          </w:p>
        </w:tc>
        <w:tc>
          <w:tcPr>
            <w:tcW w:w="236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88"/>
              </w:rPr>
              <w:t>61,560,544 shares issued</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May 2, 2015 and January 31, 2015, respectively</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300,681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299,892</w:t>
            </w:r>
          </w:p>
        </w:tc>
        <w:tc>
          <w:tcPr>
            <w:tcW w:w="8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Treasury stock at cost, 10,877,439 shares at May 2, 2015 and January 31, 2015</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(87,977)</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(87,977)</w:t>
            </w: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(112,477)</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(111,903)</w:t>
            </w: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(7,979)</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(8,238)</w:t>
            </w:r>
          </w:p>
        </w:tc>
      </w:tr>
      <w:tr>
        <w:trPr>
          <w:trHeight w:val="222"/>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92,864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80" w:type="dxa"/>
            <w:vAlign w:val="bottom"/>
            <w:tcBorders>
              <w:bottom w:val="single" w:sz="8" w:color="CFF0FC"/>
            </w:tcBorders>
          </w:tcPr>
          <w:p>
            <w:pPr>
              <w:spacing w:after="0"/>
              <w:rPr>
                <w:sz w:val="19"/>
                <w:szCs w:val="19"/>
                <w:color w:val="auto"/>
              </w:rPr>
            </w:pPr>
          </w:p>
        </w:tc>
      </w:tr>
      <w:tr>
        <w:trPr>
          <w:trHeight w:val="222"/>
        </w:trPr>
        <w:tc>
          <w:tcPr>
            <w:tcW w:w="6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277,374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5"/>
          </w:tcPr>
          <w:p>
            <w:pPr>
              <w:jc w:val="right"/>
              <w:ind w:right="1000"/>
              <w:spacing w:after="0"/>
              <w:rPr>
                <w:sz w:val="20"/>
                <w:szCs w:val="20"/>
                <w:color w:val="auto"/>
              </w:rPr>
            </w:pPr>
            <w:r>
              <w:rPr>
                <w:rFonts w:ascii="Arial" w:cs="Arial" w:eastAsia="Arial" w:hAnsi="Arial"/>
                <w:sz w:val="14"/>
                <w:szCs w:val="14"/>
                <w:color w:val="auto"/>
              </w:rPr>
              <w:t>For the three months ended</w:t>
            </w:r>
          </w:p>
        </w:tc>
      </w:t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color w:val="auto"/>
              </w:rPr>
              <w:t>May 2, 2015</w:t>
            </w:r>
          </w:p>
        </w:tc>
        <w:tc>
          <w:tcPr>
            <w:tcW w:w="2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color w:val="auto"/>
              </w:rPr>
              <w:t>May 3, 2014</w:t>
            </w:r>
          </w:p>
        </w:tc>
      </w:tr>
      <w:tr>
        <w:trPr>
          <w:trHeight w:val="167"/>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2015)</w:t>
            </w:r>
          </w:p>
        </w:tc>
        <w:tc>
          <w:tcPr>
            <w:tcW w:w="24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2014)</w:t>
            </w:r>
          </w:p>
        </w:tc>
      </w:tr>
      <w:tr>
        <w:trPr>
          <w:trHeight w:val="155"/>
        </w:trPr>
        <w:tc>
          <w:tcPr>
            <w:tcW w:w="80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96,659</w:t>
            </w: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52,721</w:t>
            </w:r>
          </w:p>
        </w:tc>
        <w:tc>
          <w:tcPr>
            <w:tcW w:w="120" w:type="dxa"/>
            <w:vAlign w:val="bottom"/>
            <w:tcBorders>
              <w:bottom w:val="single" w:sz="8" w:color="CFF0FC"/>
            </w:tcBorders>
          </w:tcPr>
          <w:p>
            <w:pPr>
              <w:spacing w:after="0"/>
              <w:rPr>
                <w:sz w:val="19"/>
                <w:szCs w:val="19"/>
                <w:color w:val="auto"/>
              </w:rPr>
            </w:pPr>
          </w:p>
        </w:tc>
      </w:tr>
      <w:tr>
        <w:trPr>
          <w:trHeight w:val="222"/>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43,938</w:t>
            </w: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41,447</w:t>
            </w: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w:t>
            </w:r>
          </w:p>
        </w:tc>
        <w:tc>
          <w:tcPr>
            <w:tcW w:w="120" w:type="dxa"/>
            <w:vAlign w:val="bottom"/>
            <w:shd w:val="clear" w:color="auto" w:fill="CFF0FC"/>
          </w:tcPr>
          <w:p>
            <w:pPr>
              <w:spacing w:after="0"/>
              <w:rPr>
                <w:sz w:val="19"/>
                <w:szCs w:val="19"/>
                <w:color w:val="auto"/>
              </w:rPr>
            </w:pPr>
          </w:p>
        </w:tc>
      </w:tr>
      <w:tr>
        <w:trPr>
          <w:trHeight w:val="222"/>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w:t>
            </w:r>
          </w:p>
        </w:tc>
        <w:tc>
          <w:tcPr>
            <w:tcW w:w="120" w:type="dxa"/>
            <w:vAlign w:val="bottom"/>
            <w:tcBorders>
              <w:bottom w:val="single" w:sz="8" w:color="CFF0FC"/>
            </w:tcBorders>
          </w:tcPr>
          <w:p>
            <w:pPr>
              <w:spacing w:after="0"/>
              <w:rPr>
                <w:sz w:val="19"/>
                <w:szCs w:val="19"/>
                <w:color w:val="auto"/>
              </w:rPr>
            </w:pPr>
          </w:p>
        </w:tc>
      </w:tr>
      <w:tr>
        <w:trPr>
          <w:trHeight w:val="222"/>
        </w:trPr>
        <w:tc>
          <w:tcPr>
            <w:tcW w:w="8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(2,939)</w:t>
            </w:r>
          </w:p>
        </w:tc>
      </w:tr>
      <w:tr>
        <w:trPr>
          <w:trHeight w:val="229"/>
        </w:trPr>
        <w:tc>
          <w:tcPr>
            <w:tcW w:w="8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22"/>
        </w:trPr>
        <w:tc>
          <w:tcPr>
            <w:tcW w:w="8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income taxes</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(3,350)</w:t>
            </w: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22"/>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(3,397)</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22"/>
        </w:trPr>
        <w:tc>
          <w:tcPr>
            <w:tcW w:w="8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69"/>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(3,536)</w:t>
            </w:r>
          </w:p>
        </w:tc>
      </w:tr>
      <w:tr>
        <w:trPr>
          <w:trHeight w:val="209"/>
        </w:trPr>
        <w:tc>
          <w:tcPr>
            <w:tcW w:w="80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000" w:type="dxa"/>
            <w:vAlign w:val="bottom"/>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48,656</w:t>
            </w:r>
          </w:p>
        </w:tc>
        <w:tc>
          <w:tcPr>
            <w:tcW w:w="120" w:type="dxa"/>
            <w:vAlign w:val="bottom"/>
          </w:tcPr>
          <w:p>
            <w:pPr>
              <w:spacing w:after="0"/>
              <w:rPr>
                <w:sz w:val="19"/>
                <w:szCs w:val="19"/>
                <w:color w:val="auto"/>
              </w:rPr>
            </w:pPr>
          </w:p>
        </w:tc>
      </w:tr>
      <w:tr>
        <w:trPr>
          <w:trHeight w:val="229"/>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48,656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3300" w:type="dxa"/>
            <w:vAlign w:val="bottom"/>
            <w:gridSpan w:val="4"/>
          </w:tcPr>
          <w:p>
            <w:pPr>
              <w:jc w:val="right"/>
              <w:ind w:right="539"/>
              <w:spacing w:after="0"/>
              <w:rPr>
                <w:sz w:val="20"/>
                <w:szCs w:val="20"/>
                <w:color w:val="auto"/>
              </w:rPr>
            </w:pPr>
            <w:r>
              <w:rPr>
                <w:rFonts w:ascii="Arial" w:cs="Arial" w:eastAsia="Arial" w:hAnsi="Arial"/>
                <w:sz w:val="14"/>
                <w:szCs w:val="14"/>
                <w:color w:val="auto"/>
              </w:rPr>
              <w:t>For the three months ended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736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Arial" w:cs="Arial" w:eastAsia="Arial" w:hAnsi="Arial"/>
                <w:sz w:val="14"/>
                <w:szCs w:val="14"/>
                <w:color w:val="auto"/>
              </w:rPr>
              <w:t>May 2, 2015</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May 3, 2014</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7"/>
        </w:trPr>
        <w:tc>
          <w:tcPr>
            <w:tcW w:w="73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(Fiscal 2015)</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2014)</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r>
      <w:tr>
        <w:trPr>
          <w:trHeight w:val="222"/>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ind w:right="116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(574)</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(3,536)</w:t>
            </w:r>
          </w:p>
        </w:tc>
        <w:tc>
          <w:tcPr>
            <w:tcW w:w="26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plan</w:t>
            </w:r>
          </w:p>
        </w:tc>
        <w:tc>
          <w:tcPr>
            <w:tcW w:w="1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r>
      <w:tr>
        <w:trPr>
          <w:trHeight w:val="222"/>
        </w:trPr>
        <w:tc>
          <w:tcPr>
            <w:tcW w:w="736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taxes</w:t>
            </w: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related to items of other comprehensive income (loss)</w:t>
            </w:r>
          </w:p>
        </w:tc>
        <w:tc>
          <w:tcPr>
            <w:tcW w:w="1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CFF0FC"/>
            </w:tcBorders>
          </w:tcPr>
          <w:p>
            <w:pPr>
              <w:spacing w:after="0"/>
              <w:rPr>
                <w:sz w:val="19"/>
                <w:szCs w:val="19"/>
                <w:color w:val="auto"/>
              </w:rPr>
            </w:pPr>
          </w:p>
        </w:tc>
      </w:tr>
      <w:tr>
        <w:trPr>
          <w:trHeight w:val="222"/>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40" w:type="dxa"/>
            <w:vAlign w:val="bottom"/>
            <w:tcBorders>
              <w:bottom w:val="single" w:sz="8" w:color="auto"/>
            </w:tcBorders>
            <w:shd w:val="clear" w:color="auto" w:fill="CFF0FC"/>
          </w:tcPr>
          <w:p>
            <w:pPr>
              <w:jc w:val="right"/>
              <w:ind w:right="11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(315)</w:t>
            </w: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(3,305)</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Paid-in</w:t>
            </w:r>
          </w:p>
        </w:tc>
        <w:tc>
          <w:tcPr>
            <w:tcW w:w="1800" w:type="dxa"/>
            <w:vAlign w:val="bottom"/>
            <w:gridSpan w:val="4"/>
          </w:tcPr>
          <w:p>
            <w:pPr>
              <w:jc w:val="right"/>
              <w:ind w:right="502"/>
              <w:spacing w:after="0"/>
              <w:rPr>
                <w:sz w:val="20"/>
                <w:szCs w:val="20"/>
                <w:color w:val="auto"/>
              </w:rPr>
            </w:pPr>
            <w:r>
              <w:rPr>
                <w:rFonts w:ascii="Arial" w:cs="Arial" w:eastAsia="Arial" w:hAnsi="Arial"/>
                <w:sz w:val="14"/>
                <w:szCs w:val="14"/>
                <w:color w:val="auto"/>
              </w:rPr>
              <w:t>Treasury Stock</w:t>
            </w:r>
          </w:p>
        </w:tc>
        <w:tc>
          <w:tcPr>
            <w:tcW w:w="1000" w:type="dxa"/>
            <w:vAlign w:val="bottom"/>
            <w:gridSpan w:val="2"/>
          </w:tcPr>
          <w:p>
            <w:pPr>
              <w:jc w:val="right"/>
              <w:ind w:right="162"/>
              <w:spacing w:after="0"/>
              <w:rPr>
                <w:sz w:val="20"/>
                <w:szCs w:val="20"/>
                <w:color w:val="auto"/>
              </w:rPr>
            </w:pPr>
            <w:r>
              <w:rPr>
                <w:rFonts w:ascii="Arial" w:cs="Arial" w:eastAsia="Arial" w:hAnsi="Arial"/>
                <w:sz w:val="14"/>
                <w:szCs w:val="14"/>
                <w:color w:val="auto"/>
                <w:w w:val="91"/>
              </w:rPr>
              <w:t>Accumulated</w:t>
            </w:r>
          </w:p>
        </w:tc>
        <w:tc>
          <w:tcPr>
            <w:tcW w:w="110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384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Amounts</w:t>
            </w: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Amounts</w:t>
            </w:r>
          </w:p>
        </w:tc>
        <w:tc>
          <w:tcPr>
            <w:tcW w:w="1000" w:type="dxa"/>
            <w:vAlign w:val="bottom"/>
            <w:gridSpan w:val="2"/>
          </w:tcPr>
          <w:p>
            <w:pPr>
              <w:jc w:val="right"/>
              <w:ind w:right="342"/>
              <w:spacing w:after="0"/>
              <w:rPr>
                <w:sz w:val="20"/>
                <w:szCs w:val="20"/>
                <w:color w:val="auto"/>
              </w:rPr>
            </w:pPr>
            <w:r>
              <w:rPr>
                <w:rFonts w:ascii="Arial" w:cs="Arial" w:eastAsia="Arial" w:hAnsi="Arial"/>
                <w:sz w:val="14"/>
                <w:szCs w:val="14"/>
                <w:color w:val="auto"/>
              </w:rPr>
              <w:t>Deficit</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222"/>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31, 2015</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$ 299,892</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0"/>
              </w:rPr>
              <w:t>$ (87,977)</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(111,903)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$ 92,390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Board of Directors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w w:val="96"/>
              </w:rPr>
              <w:t>Accumulated other comprehensive income (loss):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Unrecognized gain associated with Pension</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ind w:left="260"/>
              <w:spacing w:after="0"/>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Balance at May 2, 2015</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$ 300,681</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(10,877)</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 (87,977</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(112,477</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$ 92,864</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5"/>
          </w:tcPr>
          <w:p>
            <w:pPr>
              <w:jc w:val="right"/>
              <w:ind w:right="100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color w:val="auto"/>
              </w:rPr>
              <w:t>May 2, 2015</w:t>
            </w:r>
          </w:p>
        </w:tc>
        <w:tc>
          <w:tcPr>
            <w:tcW w:w="2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color w:val="auto"/>
              </w:rPr>
              <w:t>May 3, 2014</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2015)</w:t>
            </w:r>
          </w:p>
        </w:tc>
        <w:tc>
          <w:tcPr>
            <w:tcW w:w="24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22"/>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(574)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for operating activities: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Amortization of deferred gain on sale leaseback</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(366)</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Issuance of common stock to Board of Directors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 :</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(2,040)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(8,552)</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(8,598)</w:t>
            </w: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(1,602)</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(7,851)</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operating activities</w:t>
            </w: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(7,951)</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(13,898)</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(9,568)</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(11,086)</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(9,568)</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(11,086)</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the issuance of long-term debt</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(1,862)</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Costs associated with debt issuances</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80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borrowings under credit facility</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21,295</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19,486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2015 included in the Company’s Annual Report on Form 10-K, which was filed with the Securities and Exchange Commission on March 25, 2015.</w:t>
      </w:r>
    </w:p>
    <w:p>
      <w:pPr>
        <w:spacing w:after="0" w:line="16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2015 and fiscal 2014 are 52-week periods ending January 30, 2016 and January 31, 2015,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ShoesXL</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historically presented deferred debt issuance costs, or fees related to directly issuing debt, as assets on the consolidated balance sheets. During the first quarter of fiscal 2015, the Company elected early adoption of ASU 2015−03, “</w:t>
      </w:r>
      <w:r>
        <w:rPr>
          <w:rFonts w:ascii="Arial" w:cs="Arial" w:eastAsia="Arial" w:hAnsi="Arial"/>
          <w:sz w:val="17"/>
          <w:szCs w:val="17"/>
          <w:i w:val="1"/>
          <w:iCs w:val="1"/>
          <w:color w:val="auto"/>
        </w:rPr>
        <w:t>Interest − Imputation of Interest (Subtopic 835−30),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of Debt Issuance Costs”. </w:t>
      </w:r>
      <w:r>
        <w:rPr>
          <w:rFonts w:ascii="Arial" w:cs="Arial" w:eastAsia="Arial" w:hAnsi="Arial"/>
          <w:sz w:val="17"/>
          <w:szCs w:val="17"/>
          <w:color w:val="auto"/>
        </w:rPr>
        <w:t>The guidance simplifies the presentation of debt issuance costs by requiring debt issuance costs to be presented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corresponding liability, consistent with debt discounts. The recognition and measurement guidance for debt issuance costs is not affected. Therefore, these costs will continue to be amortized as interest expense over the term of the corresponding debt issuance. The Company applied the new guidance retrospectively to all prior periods presented in the financial statements.</w:t>
      </w:r>
    </w:p>
    <w:p>
      <w:pPr>
        <w:spacing w:after="0" w:line="6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reclassification did not impact net income (loss) previously reported or any prior amounts reported on the Consolidated Statements of Operations. The following table presents the effect of the retrospective application of this change in accounting principle on the Company’s Consolidated Balance Sheets as of January 31, 2015:</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(in thousands)</w:t>
            </w:r>
          </w:p>
        </w:tc>
        <w:tc>
          <w:tcPr>
            <w:tcW w:w="16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As Reported</w:t>
            </w:r>
          </w:p>
        </w:tc>
        <w:tc>
          <w:tcPr>
            <w:tcW w:w="10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Effect of Change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After Change in</w:t>
            </w:r>
          </w:p>
        </w:tc>
        <w:tc>
          <w:tcPr>
            <w:tcW w:w="0" w:type="dxa"/>
            <w:vAlign w:val="bottom"/>
          </w:tcPr>
          <w:p>
            <w:pPr>
              <w:spacing w:after="0"/>
              <w:rPr>
                <w:sz w:val="1"/>
                <w:szCs w:val="1"/>
                <w:color w:val="auto"/>
              </w:rPr>
            </w:pPr>
          </w:p>
        </w:tc>
      </w:tr>
      <w:tr>
        <w:trPr>
          <w:trHeight w:val="213"/>
        </w:trPr>
        <w:tc>
          <w:tcPr>
            <w:tcW w:w="6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January 31, 2015</w:t>
            </w:r>
          </w:p>
        </w:tc>
        <w:tc>
          <w:tcPr>
            <w:tcW w:w="1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Accounting Principle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Accounting Principle</w:t>
            </w:r>
          </w:p>
        </w:tc>
        <w:tc>
          <w:tcPr>
            <w:tcW w:w="0" w:type="dxa"/>
            <w:vAlign w:val="bottom"/>
          </w:tcPr>
          <w:p>
            <w:pPr>
              <w:spacing w:after="0"/>
              <w:rPr>
                <w:sz w:val="1"/>
                <w:szCs w:val="1"/>
                <w:color w:val="auto"/>
              </w:rPr>
            </w:pPr>
          </w:p>
        </w:tc>
      </w:tr>
      <w:tr>
        <w:trPr>
          <w:trHeight w:val="222"/>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Borrowings under credit facility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16"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color w:val="auto"/>
        </w:rPr>
        <w:t>As a result of the Company adopting ASU 2015-03, for the first three months ended May 3, 2014, the Company has reclassed $38,000 from “Change in Other Assets” to “Amortization of Deferred Debt Issuance Costs” in the Consolidated Statement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6" w:lineRule="exact"/>
        <w:rPr>
          <w:sz w:val="20"/>
          <w:szCs w:val="20"/>
          <w:color w:val="auto"/>
        </w:rPr>
      </w:pPr>
    </w:p>
    <w:p>
      <w:pPr>
        <w:ind w:right="400"/>
        <w:spacing w:after="0" w:line="340" w:lineRule="auto"/>
        <w:rPr>
          <w:sz w:val="20"/>
          <w:szCs w:val="20"/>
          <w:color w:val="auto"/>
        </w:rPr>
      </w:pPr>
      <w:r>
        <w:rPr>
          <w:rFonts w:ascii="Arial" w:cs="Arial" w:eastAsia="Arial" w:hAnsi="Arial"/>
          <w:sz w:val="16"/>
          <w:szCs w:val="16"/>
          <w:color w:val="auto"/>
        </w:rPr>
        <w:t>At May 2, 2015, the “Casual Male” trademark had a carrying value of $1.3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three months ended May 2, 2015, no event or circumstance occurred which would cause a reduction in the fair value of the Company’s reporting units, requiring interim testing of the Company’s “Rochester” trademark.</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6" w:lineRule="exact"/>
        <w:rPr>
          <w:sz w:val="20"/>
          <w:szCs w:val="20"/>
          <w:color w:val="auto"/>
        </w:rPr>
      </w:pPr>
    </w:p>
    <w:p>
      <w:pPr>
        <w:ind w:right="320"/>
        <w:spacing w:after="0" w:line="340"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660"/>
        <w:spacing w:after="0" w:line="340"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6" w:lineRule="exact"/>
        <w:rPr>
          <w:sz w:val="20"/>
          <w:szCs w:val="20"/>
          <w:color w:val="auto"/>
        </w:rPr>
      </w:pPr>
    </w:p>
    <w:p>
      <w:pPr>
        <w:ind w:left="260" w:right="300"/>
        <w:spacing w:after="0" w:line="340"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fair value of long-term debt is classified within Level 2 of the valuation hierarchy. At May 2, 2015, the fair value approximates the carrying amount based upon terms available to the Company for borrowings with similar arrangements and remaining maturities.</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520"/>
          </w:cols>
          <w:pgMar w:left="240" w:top="201" w:right="139" w:bottom="1440" w:gutter="0" w:footer="0" w:header="0"/>
        </w:sectPr>
      </w:pPr>
    </w:p>
    <w:bookmarkStart w:id="8" w:name="page9"/>
    <w:bookmarkEnd w:id="8"/>
    <w:p>
      <w:pPr>
        <w:ind w:right="420"/>
        <w:spacing w:after="0" w:line="275"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May 2, 2015 and May 3, 2014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40" w:type="dxa"/>
            <w:vAlign w:val="bottom"/>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May 2, 2015</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May 3, 2014</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5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662"/>
              <w:spacing w:after="0" w:line="149"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2"/>
              <w:spacing w:after="0" w:line="148" w:lineRule="exact"/>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8" w:lineRule="exact"/>
              <w:rPr>
                <w:sz w:val="20"/>
                <w:szCs w:val="20"/>
                <w:color w:val="auto"/>
              </w:rPr>
            </w:pPr>
            <w:r>
              <w:rPr>
                <w:rFonts w:ascii="Arial" w:cs="Arial" w:eastAsia="Arial" w:hAnsi="Arial"/>
                <w:sz w:val="14"/>
                <w:szCs w:val="14"/>
                <w:color w:val="auto"/>
                <w:w w:val="96"/>
              </w:rPr>
              <w:t>Foreign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2"/>
              <w:spacing w:after="0" w:line="148"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color w:val="auto"/>
                <w:w w:val="96"/>
              </w:rPr>
              <w:t>Foreign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vMerge w:val="restart"/>
          </w:tcPr>
          <w:p>
            <w:pPr>
              <w:spacing w:after="0"/>
              <w:rPr>
                <w:sz w:val="20"/>
                <w:szCs w:val="20"/>
                <w:color w:val="auto"/>
              </w:rPr>
            </w:pPr>
            <w:r>
              <w:rPr>
                <w:rFonts w:ascii="Arial" w:cs="Arial" w:eastAsia="Arial" w:hAnsi="Arial"/>
                <w:sz w:val="18"/>
                <w:szCs w:val="18"/>
                <w:color w:val="auto"/>
              </w:rPr>
              <w:t>Balance at beginning of the year</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22"/>
              <w:spacing w:after="0"/>
              <w:rPr>
                <w:sz w:val="20"/>
                <w:szCs w:val="20"/>
                <w:color w:val="auto"/>
              </w:rPr>
            </w:pPr>
            <w:r>
              <w:rPr>
                <w:rFonts w:ascii="Arial" w:cs="Arial" w:eastAsia="Arial" w:hAnsi="Arial"/>
                <w:sz w:val="14"/>
                <w:szCs w:val="14"/>
                <w:color w:val="auto"/>
                <w:w w:val="91"/>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60" w:type="dxa"/>
            <w:vAlign w:val="bottom"/>
          </w:tcPr>
          <w:p>
            <w:pPr>
              <w:spacing w:after="0"/>
              <w:rPr>
                <w:sz w:val="14"/>
                <w:szCs w:val="14"/>
                <w:color w:val="auto"/>
              </w:rPr>
            </w:pPr>
          </w:p>
        </w:tc>
        <w:tc>
          <w:tcPr>
            <w:tcW w:w="840" w:type="dxa"/>
            <w:vAlign w:val="bottom"/>
            <w:gridSpan w:val="2"/>
          </w:tcPr>
          <w:p>
            <w:pPr>
              <w:jc w:val="right"/>
              <w:ind w:right="402"/>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860" w:type="dxa"/>
            <w:vAlign w:val="bottom"/>
            <w:gridSpan w:val="2"/>
          </w:tcPr>
          <w:p>
            <w:pPr>
              <w:jc w:val="center"/>
              <w:ind w:right="282"/>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Currency</w:t>
            </w:r>
          </w:p>
        </w:tc>
        <w:tc>
          <w:tcPr>
            <w:tcW w:w="160" w:type="dxa"/>
            <w:vAlign w:val="bottom"/>
          </w:tcPr>
          <w:p>
            <w:pPr>
              <w:spacing w:after="0"/>
              <w:rPr>
                <w:sz w:val="14"/>
                <w:szCs w:val="14"/>
                <w:color w:val="auto"/>
              </w:rPr>
            </w:pPr>
          </w:p>
        </w:tc>
        <w:tc>
          <w:tcPr>
            <w:tcW w:w="700" w:type="dxa"/>
            <w:vAlign w:val="bottom"/>
            <w:gridSpan w:val="2"/>
          </w:tcPr>
          <w:p>
            <w:pPr>
              <w:jc w:val="right"/>
              <w:ind w:right="26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reclassifications, net of taxes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 xml:space="preserve">comprehensive income (loss), net of taxes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Balance at end of quarter</w:t>
            </w:r>
          </w:p>
        </w:tc>
        <w:tc>
          <w:tcPr>
            <w:tcW w:w="9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left="1020" w:right="20" w:hanging="494"/>
        <w:spacing w:after="0" w:line="310"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$139,000 and $57,000 for the three months ended May 2, 2015 and May 3, 2014, respectively. There was no tax benefit for either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 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Advertising Costs</w:t>
      </w:r>
      <w:r>
        <w:rPr>
          <w:rFonts w:ascii="Arial" w:cs="Arial" w:eastAsia="Arial" w:hAnsi="Arial"/>
          <w:sz w:val="16"/>
          <w:szCs w:val="16"/>
          <w:color w:val="auto"/>
        </w:rPr>
        <w:t>”. The core principle of ASU 2014-09 is that an entity should recognize revenue in a way that depicts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ASU 2014-09 is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original effective date). The Company does not believe that there will be any material impact of ASU 2014-09 on its Consolidated Financial Statements upon adoption.</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Company does not believe that there will be any material impact of ASU 2014-12 on its Consolidated Financial Statements upon adoption.</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January 2015, the FASB issued ASU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ASU 2015-01 eliminates the concept of extraordinary items from GAAP, which requires an entity to separately classify, present, and disclose extraordinary events and transactions. ASU 2015-01 is effective for annual reporting periods beginning after December 15, 2015, and for annual periods and interim periods thereafter. Early application is permitted. The adoption of ASU 2015-01 is not expected to have an impact on the Company’s financial position or results of operations.</w:t>
      </w:r>
    </w:p>
    <w:p>
      <w:pPr>
        <w:spacing w:after="0" w:line="15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May 2015, the FASB issued ASU 2015-05, “</w:t>
      </w:r>
      <w:r>
        <w:rPr>
          <w:rFonts w:ascii="Arial" w:cs="Arial" w:eastAsia="Arial" w:hAnsi="Arial"/>
          <w:sz w:val="18"/>
          <w:szCs w:val="18"/>
          <w:i w:val="1"/>
          <w:iCs w:val="1"/>
          <w:color w:val="auto"/>
        </w:rPr>
        <w:t>Intangibles- Goodwill and Other - Internal -Use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 in a Cloud Computing Arrangement”. </w:t>
      </w:r>
      <w:r>
        <w:rPr>
          <w:rFonts w:ascii="Arial" w:cs="Arial" w:eastAsia="Arial" w:hAnsi="Arial"/>
          <w:sz w:val="18"/>
          <w:szCs w:val="18"/>
          <w:color w:val="auto"/>
        </w:rPr>
        <w:t>ASU 2015-05 provides accounting guidance on how customers should treat cloud computing arrangements. If a</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annual reporting periods beginning after December 15, 2015 and interim periods within those reporting periods. An entity can elect to adopt the amendments either (1) prospectively to all arrangements entered into or materially modified after the effective date or (2) retrospectively. The adoption of ASU 2015-05 is not expected to have a material impact on the Company’s financial position or results of operations.</w:t>
      </w:r>
    </w:p>
    <w:p>
      <w:pPr>
        <w:spacing w:after="0" w:line="19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No other new accounting pronouncements, issued or effective during the first quarter of fiscal 2015, have had or are expected to have a significant impact on the Company’s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and (ii) intellectual property.</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At May 2, 2015, the Company had outstanding borrowings under the Credit Facility of $40.7 million, before unamortized debt issuance costs of $0.6 million. Outstanding standby letters of credit were $2.2 million and documentary letters of credit were $0.4 million. Unused excess availability at May 2, 2015 was $68.3 million. Average monthly borrowings outstanding under the Credit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10" w:name="page11"/>
    <w:bookmarkEnd w:id="10"/>
    <w:p>
      <w:pPr>
        <w:ind w:right="20"/>
        <w:spacing w:after="0" w:line="292" w:lineRule="auto"/>
        <w:rPr>
          <w:sz w:val="20"/>
          <w:szCs w:val="20"/>
          <w:color w:val="auto"/>
        </w:rPr>
      </w:pPr>
      <w:r>
        <w:rPr>
          <w:rFonts w:ascii="Arial" w:cs="Arial" w:eastAsia="Arial" w:hAnsi="Arial"/>
          <w:sz w:val="16"/>
          <w:szCs w:val="16"/>
          <w:color w:val="auto"/>
        </w:rPr>
        <w:t>Facility during the first three months of fiscal 2015 were $37.4 million, resulting in an average unused excess availability of approximately $71.1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May 2, 2015, the Company’s prime-based interest rate was 3.75%. At May 2, 2015, the Company had approximately $36.0 million of its outstanding borrowings in a LIBOR-based contract with an interest rate of 1.64%. The LIBOR-based contract expired on May 4, 2015. When a LIBOR-based borrowing expires, the borrowings revert back to prime-based borrowings unless the Company enters into a new LIBOR-based borrowing arrangement.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May 2, 2015 approximated the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7"/>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May 2, 2015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January 31, 2015</w:t>
            </w:r>
          </w:p>
        </w:tc>
      </w:tr>
      <w:tr>
        <w:trPr>
          <w:trHeight w:val="222"/>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17,778</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6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14,750</w:t>
            </w:r>
          </w:p>
        </w:tc>
        <w:tc>
          <w:tcPr>
            <w:tcW w:w="8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debt issuance costs (1)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(634)</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80" w:type="dxa"/>
            <w:vAlign w:val="bottom"/>
          </w:tcPr>
          <w:p>
            <w:pPr>
              <w:spacing w:after="0"/>
              <w:rPr>
                <w:sz w:val="19"/>
                <w:szCs w:val="19"/>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FF0FC"/>
          </w:tcPr>
          <w:p>
            <w:pPr>
              <w:spacing w:after="0"/>
              <w:rPr>
                <w:sz w:val="19"/>
                <w:szCs w:val="19"/>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r>
    </w:tbl>
    <w:p>
      <w:pPr>
        <w:spacing w:after="0" w:line="92" w:lineRule="exact"/>
        <w:rPr>
          <w:sz w:val="20"/>
          <w:szCs w:val="20"/>
          <w:color w:val="auto"/>
        </w:rPr>
      </w:pPr>
    </w:p>
    <w:p>
      <w:pPr>
        <w:ind w:left="760" w:right="360" w:hanging="372"/>
        <w:spacing w:after="0" w:line="27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reclassification of debt issuance costs of $0.1 million from Prepaid and other current assets and $0.5 million from “Other assets” at January 31, 2015 as a result of the Company adopting ASU 2015-03, see Note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has entered into twelve equipment security notes (in aggregate, the “Notes”), whereby the Company borrowed an aggregate of $26.4 million. The Notes are for a term of 48 months and accrue interest at fixed rates ranging from 3.07% and 3.50%. Principal and interest are paid monthly, in arrears.</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commencing the first business day of January 2015, in an aggregate principal amount equal to $250,000, subject to adjustment, with the balance payable on the termination 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0" w:right="2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2013-2016 Destination XL Group, Inc. Long-Term Incentive Plan (the “2013-2016 LTIP”) was approved in the second quarter of fiscal</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9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will vest at the end of fiscal 2015 and the remaining 40% will vest at the end of fiscal 2016.</w:t>
      </w:r>
    </w:p>
    <w:p>
      <w:pPr>
        <w:spacing w:after="0" w:line="20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18"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May 2, 2015, would be approximately $19.4 million. Approximately half of the compensation expense relates to the time-vested awards, which is being expensed over forty-four months, based on the respective vesting dates. As the performance targets were not deemed probable at May 2, 2015, no expense for the performance-based awards has been recognized through the end of the first quarter of fiscal 2015.</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Long-Term Incentive Wrap-Around Plan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fourth quarter of fiscal 2014, the Company’s Compensation Committee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ind w:right="40"/>
        <w:spacing w:after="0" w:line="262"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50% payout in restricted shares will be increased by 20% and if the stock price is $7.25 or higher, the 50% payout in restricted shares will be increased by 30%. In any event, the most that can be achieved is the 100% payout level. All awards granted pursuant to the Wrap-Around Plan will not vest until the last day of the second quarter of fiscal 2017</w:t>
      </w:r>
      <w:r>
        <w:rPr>
          <w:rFonts w:ascii="Arial" w:cs="Arial" w:eastAsia="Arial" w:hAnsi="Arial"/>
          <w:sz w:val="21"/>
          <w:szCs w:val="21"/>
          <w:color w:val="auto"/>
        </w:rPr>
        <w:t>.</w:t>
      </w:r>
    </w:p>
    <w:p>
      <w:pPr>
        <w:spacing w:after="0" w:line="181" w:lineRule="exact"/>
        <w:rPr>
          <w:sz w:val="20"/>
          <w:szCs w:val="20"/>
          <w:color w:val="auto"/>
        </w:rPr>
      </w:pPr>
    </w:p>
    <w:p>
      <w:pPr>
        <w:jc w:val="both"/>
        <w:ind w:right="320"/>
        <w:spacing w:after="0" w:line="300" w:lineRule="auto"/>
        <w:rPr>
          <w:sz w:val="20"/>
          <w:szCs w:val="20"/>
          <w:color w:val="auto"/>
        </w:rPr>
      </w:pPr>
      <w:r>
        <w:rPr>
          <w:rFonts w:ascii="Arial" w:cs="Arial" w:eastAsia="Arial" w:hAnsi="Arial"/>
          <w:sz w:val="16"/>
          <w:szCs w:val="16"/>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$8.7 million. However, because the performance targets under the Wrap-Around Plan were not deemed probable at May 2, 2015, no compensation expense for the performance-based awards has been recognized through the end of first quarter of fiscal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223"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and restricted share activity under the 2006 Plan for the first three months of fiscal 2015:</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color w:val="auto"/>
                <w:w w:val="90"/>
              </w:rPr>
              <w:t>Weighted-average</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0"/>
              </w:rPr>
              <w:t>Weighted-average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0" w:type="dxa"/>
            <w:vAlign w:val="bottom"/>
            <w:gridSpan w:val="2"/>
          </w:tcPr>
          <w:p>
            <w:pPr>
              <w:jc w:val="right"/>
              <w:ind w:right="360"/>
              <w:spacing w:after="0" w:line="148"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8" w:lineRule="exact"/>
              <w:rPr>
                <w:sz w:val="20"/>
                <w:szCs w:val="20"/>
                <w:color w:val="auto"/>
              </w:rPr>
            </w:pPr>
            <w:r>
              <w:rPr>
                <w:rFonts w:ascii="Arial" w:cs="Arial" w:eastAsia="Arial" w:hAnsi="Arial"/>
                <w:sz w:val="14"/>
                <w:szCs w:val="14"/>
                <w:color w:val="auto"/>
                <w:w w:val="92"/>
              </w:rPr>
              <w:t>exercise price</w:t>
            </w:r>
          </w:p>
        </w:tc>
        <w:tc>
          <w:tcPr>
            <w:tcW w:w="118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7"/>
              </w:rPr>
              <w:t>remaining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00"/>
              <w:spacing w:after="0" w:line="148" w:lineRule="exact"/>
              <w:rPr>
                <w:sz w:val="20"/>
                <w:szCs w:val="20"/>
                <w:color w:val="auto"/>
              </w:rPr>
            </w:pPr>
            <w:r>
              <w:rPr>
                <w:rFonts w:ascii="Arial" w:cs="Arial" w:eastAsia="Arial" w:hAnsi="Arial"/>
                <w:sz w:val="14"/>
                <w:szCs w:val="14"/>
                <w:color w:val="auto"/>
              </w:rPr>
              <w:t>Aggregate</w:t>
            </w:r>
          </w:p>
        </w:tc>
      </w:tr>
      <w:tr>
        <w:trPr>
          <w:trHeight w:val="167"/>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color w:val="auto"/>
                <w:w w:val="93"/>
              </w:rPr>
              <w:t>per option</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1"/>
              </w:rPr>
              <w:t>contractual term</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intrinsic value</w:t>
            </w:r>
          </w:p>
        </w:tc>
      </w:tr>
      <w:tr>
        <w:trPr>
          <w:trHeight w:val="222"/>
        </w:trPr>
        <w:tc>
          <w:tcPr>
            <w:tcW w:w="60" w:type="dxa"/>
            <w:vAlign w:val="bottom"/>
          </w:tcPr>
          <w:p>
            <w:pPr>
              <w:spacing w:after="0"/>
              <w:rPr>
                <w:sz w:val="19"/>
                <w:szCs w:val="19"/>
                <w:color w:val="auto"/>
              </w:rPr>
            </w:pPr>
          </w:p>
        </w:tc>
        <w:tc>
          <w:tcPr>
            <w:tcW w:w="5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Outstanding options at beginning of year</w:t>
            </w:r>
          </w:p>
        </w:tc>
        <w:tc>
          <w:tcPr>
            <w:tcW w:w="1080" w:type="dxa"/>
            <w:vAlign w:val="bottom"/>
          </w:tcPr>
          <w:p>
            <w:pPr>
              <w:jc w:val="right"/>
              <w:spacing w:after="0"/>
              <w:rPr>
                <w:sz w:val="20"/>
                <w:szCs w:val="20"/>
                <w:color w:val="auto"/>
              </w:rPr>
            </w:pPr>
            <w:r>
              <w:rPr>
                <w:rFonts w:ascii="Arial" w:cs="Arial" w:eastAsia="Arial" w:hAnsi="Arial"/>
                <w:sz w:val="18"/>
                <w:szCs w:val="18"/>
                <w:color w:val="auto"/>
              </w:rPr>
              <w:t>2,747,802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Options 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(13,791)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(12,136)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Outstanding options at end of quarter</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2,721,875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FF0FC"/>
          </w:tcPr>
          <w:p>
            <w:pPr>
              <w:spacing w:after="0"/>
              <w:rPr>
                <w:sz w:val="19"/>
                <w:szCs w:val="19"/>
                <w:color w:val="auto"/>
              </w:rPr>
            </w:pPr>
          </w:p>
        </w:tc>
        <w:tc>
          <w:tcPr>
            <w:tcW w:w="13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7.7 years</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321,182</w:t>
            </w:r>
          </w:p>
        </w:tc>
        <w:tc>
          <w:tcPr>
            <w:tcW w:w="12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Options exercisable at end of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582,060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9"/>
                <w:szCs w:val="19"/>
                <w:color w:val="auto"/>
              </w:rPr>
            </w:pPr>
          </w:p>
        </w:tc>
        <w:tc>
          <w:tcPr>
            <w:tcW w:w="1320" w:type="dxa"/>
            <w:vAlign w:val="bottom"/>
            <w:gridSpan w:val="5"/>
          </w:tcPr>
          <w:p>
            <w:pPr>
              <w:jc w:val="right"/>
              <w:ind w:right="80"/>
              <w:spacing w:after="0"/>
              <w:rPr>
                <w:sz w:val="20"/>
                <w:szCs w:val="20"/>
                <w:color w:val="auto"/>
              </w:rPr>
            </w:pPr>
            <w:r>
              <w:rPr>
                <w:rFonts w:ascii="Arial" w:cs="Arial" w:eastAsia="Arial" w:hAnsi="Arial"/>
                <w:sz w:val="18"/>
                <w:szCs w:val="18"/>
                <w:color w:val="auto"/>
              </w:rPr>
              <w:t>6.1 years</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260,516</w:t>
            </w:r>
          </w:p>
        </w:tc>
        <w:tc>
          <w:tcPr>
            <w:tcW w:w="120" w:type="dxa"/>
            <w:vAlign w:val="bottom"/>
          </w:tcPr>
          <w:p>
            <w:pPr>
              <w:spacing w:after="0"/>
              <w:rPr>
                <w:sz w:val="19"/>
                <w:szCs w:val="19"/>
                <w:color w:val="auto"/>
              </w:rPr>
            </w:pPr>
          </w:p>
        </w:tc>
      </w:tr>
      <w:tr>
        <w:trPr>
          <w:trHeight w:val="429"/>
        </w:trPr>
        <w:tc>
          <w:tcPr>
            <w:tcW w:w="260" w:type="dxa"/>
            <w:vAlign w:val="bottom"/>
            <w:gridSpan w:val="2"/>
          </w:tcPr>
          <w:p>
            <w:pPr>
              <w:jc w:val="right"/>
              <w:spacing w:after="0"/>
              <w:rPr>
                <w:sz w:val="20"/>
                <w:szCs w:val="20"/>
                <w:color w:val="auto"/>
              </w:rPr>
            </w:pPr>
            <w:r>
              <w:rPr>
                <w:rFonts w:ascii="Arial" w:cs="Arial" w:eastAsia="Arial" w:hAnsi="Arial"/>
                <w:sz w:val="18"/>
                <w:szCs w:val="18"/>
                <w:color w:val="auto"/>
                <w:w w:val="90"/>
              </w:rPr>
              <w:t>(1)</w:t>
            </w:r>
          </w:p>
        </w:tc>
        <w:tc>
          <w:tcPr>
            <w:tcW w:w="4900" w:type="dxa"/>
            <w:vAlign w:val="bottom"/>
          </w:tcPr>
          <w:p>
            <w:pPr>
              <w:ind w:left="240"/>
              <w:spacing w:after="0"/>
              <w:rPr>
                <w:sz w:val="20"/>
                <w:szCs w:val="20"/>
                <w:color w:val="auto"/>
              </w:rPr>
            </w:pPr>
            <w:r>
              <w:rPr>
                <w:rFonts w:ascii="Arial" w:cs="Arial" w:eastAsia="Arial" w:hAnsi="Arial"/>
                <w:sz w:val="18"/>
                <w:szCs w:val="18"/>
                <w:color w:val="auto"/>
              </w:rPr>
              <w:t>The intrinsic value of options exercised was immaterial.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color w:val="auto"/>
              </w:rPr>
              <w:t>Weighted-average</w:t>
            </w:r>
          </w:p>
        </w:tc>
      </w:tr>
      <w:tr>
        <w:trPr>
          <w:trHeight w:val="148"/>
        </w:trPr>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8" w:lineRule="exact"/>
              <w:rPr>
                <w:sz w:val="20"/>
                <w:szCs w:val="20"/>
                <w:color w:val="auto"/>
              </w:rPr>
            </w:pPr>
            <w:r>
              <w:rPr>
                <w:rFonts w:ascii="Arial" w:cs="Arial" w:eastAsia="Arial" w:hAnsi="Arial"/>
                <w:sz w:val="14"/>
                <w:szCs w:val="14"/>
                <w:color w:val="auto"/>
              </w:rPr>
              <w:t>grant-date</w:t>
            </w:r>
          </w:p>
        </w:tc>
      </w:tr>
      <w:tr>
        <w:trPr>
          <w:trHeight w:val="167"/>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w w:val="98"/>
              </w:rPr>
              <w:t xml:space="preserve">fair value </w:t>
            </w:r>
            <w:r>
              <w:rPr>
                <w:rFonts w:ascii="Arial" w:cs="Arial" w:eastAsia="Arial" w:hAnsi="Arial"/>
                <w:sz w:val="12"/>
                <w:szCs w:val="12"/>
                <w:color w:val="auto"/>
                <w:w w:val="98"/>
              </w:rPr>
              <w:t>(1)</w:t>
            </w:r>
          </w:p>
        </w:tc>
      </w:tr>
      <w:tr>
        <w:trPr>
          <w:trHeight w:val="222"/>
        </w:trPr>
        <w:tc>
          <w:tcPr>
            <w:tcW w:w="60" w:type="dxa"/>
            <w:vAlign w:val="bottom"/>
          </w:tcPr>
          <w:p>
            <w:pPr>
              <w:spacing w:after="0"/>
              <w:rPr>
                <w:sz w:val="19"/>
                <w:szCs w:val="19"/>
                <w:color w:val="auto"/>
              </w:rPr>
            </w:pPr>
          </w:p>
        </w:tc>
        <w:tc>
          <w:tcPr>
            <w:tcW w:w="5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Restricted Shares</w:t>
            </w:r>
          </w:p>
        </w:tc>
        <w:tc>
          <w:tcPr>
            <w:tcW w:w="1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Restricted shares outstanding at beginning of year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1,696,528</w:t>
            </w:r>
          </w:p>
        </w:tc>
        <w:tc>
          <w:tcPr>
            <w:tcW w:w="16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xml:space="preserve">Shares granted </w:t>
            </w:r>
            <w:r>
              <w:rPr>
                <w:rFonts w:ascii="Arial" w:cs="Arial" w:eastAsia="Arial" w:hAnsi="Arial"/>
                <w:sz w:val="15"/>
                <w:szCs w:val="15"/>
                <w:color w:val="auto"/>
              </w:rPr>
              <w:t>(2)</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14,886</w:t>
            </w:r>
          </w:p>
        </w:tc>
        <w:tc>
          <w:tcPr>
            <w:tcW w:w="16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 xml:space="preserve">Deferred shares granted </w:t>
            </w:r>
            <w:r>
              <w:rPr>
                <w:rFonts w:ascii="Arial" w:cs="Arial" w:eastAsia="Arial" w:hAnsi="Arial"/>
                <w:sz w:val="15"/>
                <w:szCs w:val="15"/>
                <w:color w:val="auto"/>
              </w:rPr>
              <w:t>(3)</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16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Restricted shares vested and shares issued</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(16,553)</w:t>
            </w: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2"/>
        </w:trPr>
        <w:tc>
          <w:tcPr>
            <w:tcW w:w="60" w:type="dxa"/>
            <w:vAlign w:val="bottom"/>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Restricted and deferred shares outstanding at end of quarter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1,699,823</w:t>
            </w:r>
          </w:p>
        </w:tc>
        <w:tc>
          <w:tcPr>
            <w:tcW w:w="16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both a restricted share and a deferred share is equal to the Company’s closing stock price on the date of grant.</w:t>
      </w:r>
    </w:p>
    <w:p>
      <w:pPr>
        <w:spacing w:after="0" w:line="250" w:lineRule="exact"/>
        <w:rPr>
          <w:rFonts w:ascii="Arial" w:cs="Arial" w:eastAsia="Arial" w:hAnsi="Arial"/>
          <w:sz w:val="18"/>
          <w:szCs w:val="18"/>
          <w:color w:val="auto"/>
        </w:rPr>
      </w:pPr>
    </w:p>
    <w:p>
      <w:pPr>
        <w:jc w:val="both"/>
        <w:ind w:left="1020" w:hanging="494"/>
        <w:spacing w:after="0" w:line="300"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first three months of fiscal 2015, the Company granted 14,886 shares of stock, with a fair value of approximately $76,663 to certain directors as compensation in lieu of cash, in accordance with their irrevocable elections. Beginning in fiscal 2015, directors are required to elect 50% of their quarterly retainer in equity. All shares paid to directors to satisfy this election are issued from the Company’s 2006 Stock Incentive Plan. Any shares in excess of the minimum required election will be issued from the Company’s Non-Employee Director Stock Purchase Plan.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40" w:right="279" w:bottom="1440" w:gutter="0" w:footer="0" w:header="0"/>
        </w:sectPr>
      </w:pPr>
    </w:p>
    <w:bookmarkStart w:id="13" w:name="page14"/>
    <w:bookmarkEnd w:id="13"/>
    <w:p>
      <w:pPr>
        <w:ind w:left="1020" w:right="80" w:hanging="494"/>
        <w:spacing w:after="0" w:line="28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three months of fiscal 2015, the Company granted 4,962 shares of deferred stock, with a fair value of approximately $25,554 to certain directors as compensation in lieu of cash, in accordance with their irrevocable elections. The shares of deferred stock will vest three years from the date of grant or at separation of service, based on the irrevocable election of each director.</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1992 Stock Incentive Plan (the “1992 Plan”)—Stock Option Activity</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stock option activity under the 1992 Plan for the first three months of fiscal 2015: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Weighted-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5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w w:val="90"/>
              </w:rPr>
              <w:t>average</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w w:val="90"/>
              </w:rPr>
              <w:t>Weighted-average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140" w:type="dxa"/>
            <w:vAlign w:val="bottom"/>
            <w:gridSpan w:val="2"/>
          </w:tcPr>
          <w:p>
            <w:pPr>
              <w:jc w:val="right"/>
              <w:ind w:right="340"/>
              <w:spacing w:after="0" w:line="148"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w w:val="90"/>
              </w:rPr>
              <w:t>exercise price</w:t>
            </w: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4"/>
              </w:rPr>
              <w:t>remaining</w:t>
            </w:r>
          </w:p>
        </w:tc>
        <w:tc>
          <w:tcPr>
            <w:tcW w:w="1160" w:type="dxa"/>
            <w:vAlign w:val="bottom"/>
            <w:gridSpan w:val="2"/>
          </w:tcPr>
          <w:p>
            <w:pPr>
              <w:jc w:val="center"/>
              <w:ind w:right="140"/>
              <w:spacing w:after="0" w:line="148" w:lineRule="exact"/>
              <w:rPr>
                <w:sz w:val="20"/>
                <w:szCs w:val="20"/>
                <w:color w:val="auto"/>
              </w:rPr>
            </w:pPr>
            <w:r>
              <w:rPr>
                <w:rFonts w:ascii="Arial" w:cs="Arial" w:eastAsia="Arial" w:hAnsi="Arial"/>
                <w:sz w:val="14"/>
                <w:szCs w:val="14"/>
                <w:color w:val="auto"/>
                <w:w w:val="89"/>
              </w:rPr>
              <w:t>Aggregate</w:t>
            </w:r>
          </w:p>
        </w:tc>
      </w:tr>
      <w:tr>
        <w:trPr>
          <w:trHeight w:val="167"/>
        </w:trPr>
        <w:tc>
          <w:tcPr>
            <w:tcW w:w="54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per option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contractual term</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 xml:space="preserve">intrinsic value </w:t>
            </w:r>
            <w:r>
              <w:rPr>
                <w:rFonts w:ascii="Arial" w:cs="Arial" w:eastAsia="Arial" w:hAnsi="Arial"/>
                <w:sz w:val="12"/>
                <w:szCs w:val="12"/>
                <w:color w:val="auto"/>
                <w:w w:val="94"/>
              </w:rPr>
              <w:t>(1)</w:t>
            </w:r>
          </w:p>
        </w:tc>
      </w:tr>
      <w:tr>
        <w:trPr>
          <w:trHeight w:val="222"/>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217,500</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5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quarter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216,500</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99"/>
              </w:rPr>
              <w:t>0.1 years</w:t>
            </w: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Options exercisable at end of quarter</w:t>
            </w:r>
          </w:p>
        </w:tc>
        <w:tc>
          <w:tcPr>
            <w:tcW w:w="1020" w:type="dxa"/>
            <w:vAlign w:val="bottom"/>
          </w:tcPr>
          <w:p>
            <w:pPr>
              <w:jc w:val="right"/>
              <w:spacing w:after="0"/>
              <w:rPr>
                <w:sz w:val="20"/>
                <w:szCs w:val="20"/>
                <w:color w:val="auto"/>
              </w:rPr>
            </w:pPr>
            <w:r>
              <w:rPr>
                <w:rFonts w:ascii="Arial" w:cs="Arial" w:eastAsia="Arial" w:hAnsi="Arial"/>
                <w:sz w:val="18"/>
                <w:szCs w:val="18"/>
                <w:color w:val="auto"/>
              </w:rPr>
              <w:t>216,500</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w w:val="99"/>
              </w:rPr>
              <w:t>0.1 years</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left="1000" w:hanging="47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intrinsic value of the options outstanding at May 2, 2015 was immaterial.</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At May 2, 2015, the Company had 1,116,570 shares available for future grant under the 2006 Plan, of which 1,009,229 remain available under the sublimit for awards other than options and stock appreciation rights. No further grants can be made under the 1992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 granted 5,581 shares of common stock, with a fair value of approximately $28,562, to certain of its non-employee directors as compensation in lieu of cash in the first three months of fiscal 2015.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 and Restricted Stock</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For the first three months of fiscal 2015, the Company granted 4,962 shares of deferred stock. For the first three months of fiscal 2014, the Company granted 5,000 shares of restricted stock and 2,751 shares of deferred stock.</w:t>
      </w:r>
    </w:p>
    <w:p>
      <w:pPr>
        <w:spacing w:after="0" w:line="6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fair value of each option granted is estimated on the date of grant using the Black-Scholes option-pricing model and the following assumptions: expected volatility, expected term and risk-free interest rate. 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 For the first three months of fiscal 2015 and fiscal 2014, there were no grants of stock options.</w:t>
      </w:r>
    </w:p>
    <w:p>
      <w:pPr>
        <w:spacing w:after="0" w:line="17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For the first quarter of fiscal 2015 and fiscal 2014, the Company recognized total stock-based compensation expense of $0.6 million and $0.7 million, respectively. The total compensation cost related to time-vested stock options and time-based restricted stock awards not yet recognized as of May 2, 2015 is approximately $2.3 million, net of estimated forfeitures, which will be expensed over a weighted average remaining life of 16.5 months. At May 2, 2015, the Company had $7.1 million of unrecognized compensation expense, net of estimated forfeitures, related to its performance-based stock options and restricted stock. As discussed above, the Company will begin recognizing compensation if, and when, achievement of the performance targets becomes probable.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Earnings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780" w:type="dxa"/>
            <w:vAlign w:val="bottom"/>
            <w:gridSpan w:val="4"/>
          </w:tcPr>
          <w:p>
            <w:pPr>
              <w:ind w:left="96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65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860" w:type="dxa"/>
            <w:vAlign w:val="bottom"/>
            <w:gridSpan w:val="2"/>
          </w:tcPr>
          <w:p>
            <w:pPr>
              <w:ind w:left="440"/>
              <w:spacing w:after="0"/>
              <w:rPr>
                <w:sz w:val="20"/>
                <w:szCs w:val="20"/>
                <w:color w:val="auto"/>
              </w:rPr>
            </w:pPr>
            <w:r>
              <w:rPr>
                <w:rFonts w:ascii="Arial" w:cs="Arial" w:eastAsia="Arial" w:hAnsi="Arial"/>
                <w:sz w:val="14"/>
                <w:szCs w:val="14"/>
                <w:color w:val="auto"/>
              </w:rPr>
              <w:t>May 2, 2015</w:t>
            </w:r>
          </w:p>
        </w:tc>
        <w:tc>
          <w:tcPr>
            <w:tcW w:w="1920" w:type="dxa"/>
            <w:vAlign w:val="bottom"/>
            <w:gridSpan w:val="2"/>
          </w:tcPr>
          <w:p>
            <w:pPr>
              <w:ind w:left="460"/>
              <w:spacing w:after="0"/>
              <w:rPr>
                <w:sz w:val="20"/>
                <w:szCs w:val="20"/>
                <w:color w:val="auto"/>
              </w:rPr>
            </w:pPr>
            <w:r>
              <w:rPr>
                <w:rFonts w:ascii="Arial" w:cs="Arial" w:eastAsia="Arial" w:hAnsi="Arial"/>
                <w:sz w:val="14"/>
                <w:szCs w:val="14"/>
                <w:color w:val="auto"/>
              </w:rPr>
              <w:t>May 3, 2014</w:t>
            </w:r>
          </w:p>
        </w:tc>
        <w:tc>
          <w:tcPr>
            <w:tcW w:w="0" w:type="dxa"/>
            <w:vAlign w:val="bottom"/>
          </w:tcPr>
          <w:p>
            <w:pPr>
              <w:spacing w:after="0"/>
              <w:rPr>
                <w:sz w:val="1"/>
                <w:szCs w:val="1"/>
                <w:color w:val="auto"/>
              </w:rPr>
            </w:pPr>
          </w:p>
        </w:tc>
      </w:tr>
      <w:tr>
        <w:trPr>
          <w:trHeight w:val="155"/>
        </w:trPr>
        <w:tc>
          <w:tcPr>
            <w:tcW w:w="6500" w:type="dxa"/>
            <w:vAlign w:val="bottom"/>
            <w:vMerge w:val="continue"/>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49,019</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48,656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equivalents – stock options and restricted stock </w:t>
            </w:r>
            <w:r>
              <w:rPr>
                <w:rFonts w:ascii="Arial" w:cs="Arial" w:eastAsia="Arial" w:hAnsi="Arial"/>
                <w:sz w:val="15"/>
                <w:szCs w:val="15"/>
                <w:color w:val="auto"/>
              </w:rPr>
              <w:t>(1)</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49,019</w:t>
            </w: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020" w:right="40" w:hanging="494"/>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 equivalents of 483 and 565 shares for the three months ended May 2, 2015 and May 3, 2014, respectively, were excluded due to the net loss.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180" w:type="dxa"/>
            <w:vAlign w:val="bottom"/>
            <w:gridSpan w:val="4"/>
          </w:tcPr>
          <w:p>
            <w:pPr>
              <w:ind w:left="680"/>
              <w:spacing w:after="0"/>
              <w:rPr>
                <w:sz w:val="20"/>
                <w:szCs w:val="20"/>
                <w:color w:val="auto"/>
              </w:rPr>
            </w:pPr>
            <w:r>
              <w:rPr>
                <w:rFonts w:ascii="Arial" w:cs="Arial" w:eastAsia="Arial" w:hAnsi="Arial"/>
                <w:sz w:val="14"/>
                <w:szCs w:val="14"/>
                <w:color w:val="auto"/>
              </w:rPr>
              <w:t>For the three months ended</w:t>
            </w:r>
          </w:p>
        </w:tc>
      </w:tr>
      <w:tr>
        <w:trPr>
          <w:trHeight w:val="167"/>
        </w:trPr>
        <w:tc>
          <w:tcPr>
            <w:tcW w:w="7100" w:type="dxa"/>
            <w:vAlign w:val="bottom"/>
          </w:tcPr>
          <w:p>
            <w:pPr>
              <w:spacing w:after="0"/>
              <w:rPr>
                <w:sz w:val="14"/>
                <w:szCs w:val="14"/>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color w:val="auto"/>
              </w:rPr>
              <w:t>May 2, 2015</w:t>
            </w:r>
          </w:p>
        </w:tc>
        <w:tc>
          <w:tcPr>
            <w:tcW w:w="1620" w:type="dxa"/>
            <w:vAlign w:val="bottom"/>
            <w:gridSpan w:val="2"/>
          </w:tcPr>
          <w:p>
            <w:pPr>
              <w:ind w:left="320"/>
              <w:spacing w:after="0"/>
              <w:rPr>
                <w:sz w:val="20"/>
                <w:szCs w:val="20"/>
                <w:color w:val="auto"/>
              </w:rPr>
            </w:pPr>
            <w:r>
              <w:rPr>
                <w:rFonts w:ascii="Arial" w:cs="Arial" w:eastAsia="Arial" w:hAnsi="Arial"/>
                <w:sz w:val="14"/>
                <w:szCs w:val="14"/>
                <w:color w:val="auto"/>
              </w:rPr>
              <w:t>May 3, 2014</w:t>
            </w:r>
          </w:p>
        </w:tc>
      </w:tr>
      <w:tr>
        <w:trPr>
          <w:trHeight w:val="168"/>
        </w:trPr>
        <w:tc>
          <w:tcPr>
            <w:tcW w:w="710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3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$4.91 - $7.52</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$4.96 - $7.52</w:t>
            </w:r>
          </w:p>
        </w:tc>
        <w:tc>
          <w:tcPr>
            <w:tcW w:w="220" w:type="dxa"/>
            <w:vAlign w:val="bottom"/>
            <w:shd w:val="clear" w:color="auto" w:fill="CFF0FC"/>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May 2, 2015, expire from May 9, 2015 to November 10, 2024.</w:t>
      </w:r>
    </w:p>
    <w:p>
      <w:pPr>
        <w:spacing w:after="0" w:line="2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Excluded from the Company’s computation of basic and diluted earnings per share for the first quarter of fiscal 2015 were 933,486 shares of unvested performance-based restricted stock and 1,162,047 performance-based stock options. For the first three months of fiscal 2014, 901,715 shares of unvested performance-based restricted stock and 1,117,547 performance-based stock options were excluded from the Company’s computation of basic and diluted earnings per share. Performance-based awards will be included in the computation of basic and diluted earnings per share if, and when, the respective performance targets are achieved. In addition, shares of unvested time-based restricted stock of 766,337 and 901,715 were excluded from the computation of basic earnings per share for the first quarter of fiscal 2015 and fiscal 2014, respectively, until such shares vest. See Note 3, Stock-Based Compensation, for a discussion of the Company’s 2013-2016 LTIP and the respective performance targets.</w:t>
      </w:r>
    </w:p>
    <w:p>
      <w:pPr>
        <w:spacing w:after="0" w:line="176"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1,683,623 shares of restricted stock outstanding at May 2, 2015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At May 2, 2015, the Company had total deferred tax assets of approximately $80.2 million, total deferred tax liabilities of $19.7 million and a corresponding valuation allowance of $60.6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three-year loss to increase as of the end of fiscal 2014. Management determined that this represented significant negative evidence at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February 1, 2014. While the Company has projected it will return to profitability, generate taxable income and ultimately emerge from a three-year cumulative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loss, based on a consideration of all positive and negative evidence as of February 1, 2014, the Company established a full allowance against its net deferred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tax assets. Based on the Company’s forecast for fiscal 2015, the Company believes that a full allowance remains appropriate at this time.</w:t>
      </w:r>
    </w:p>
    <w:p>
      <w:pPr>
        <w:spacing w:after="0" w:line="20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May 2, 2015, the Company had net operating loss carryforwards of $134.4 million for federal income tax purposes and $72.0 million for state income tax purposes that are available to offset future taxable income through fiscal year 2035. Additionally, the Company has alternative minimum tax credit carryforwards of $2.3 million, which are available to further reduce income taxes over an indefinite period. Additionally, the Company has $0.1 million and $2.4 million of net operating loss for tax purposes related to the Company’s operations in Hong Kong and Canada, respectively, though both are expected to expire largely unutilized. Included in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ind w:right="540"/>
        <w:spacing w:after="0" w:line="275" w:lineRule="auto"/>
        <w:rPr>
          <w:sz w:val="20"/>
          <w:szCs w:val="20"/>
          <w:color w:val="auto"/>
        </w:rPr>
      </w:pPr>
      <w:r>
        <w:rPr>
          <w:rFonts w:ascii="Arial" w:cs="Arial" w:eastAsia="Arial" w:hAnsi="Arial"/>
          <w:sz w:val="18"/>
          <w:szCs w:val="18"/>
          <w:color w:val="auto"/>
        </w:rPr>
        <w:t>net operating loss carryforwards for both federal and state income tax is approximately $15.0 million relating to stock compensation deductions, the tax benefit from which, if realized, will be credited to additional paid-in capital.</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The Company’s tax provision for the first quarter of fiscal 2015 and fiscal 2014 represents an increase in our deferred tax liability for indefinite-lived intangibles as well as current state margin tax and foreign income tax.</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liability for unrecognized tax benefits at May 2, 2015 was $3.0 million. This amount is directly associated with a prior year tax position related to exiting the European direct business. The amount of unrecognized tax benefit has been presented as a reduction in the reported amounts of its federal and state NOL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w:t>
      </w:r>
    </w:p>
    <w:p>
      <w:pPr>
        <w:spacing w:after="0"/>
        <w:rPr>
          <w:sz w:val="20"/>
          <w:szCs w:val="20"/>
          <w:color w:val="auto"/>
        </w:rPr>
      </w:pPr>
      <w:r>
        <w:rPr>
          <w:rFonts w:ascii="Arial" w:cs="Arial" w:eastAsia="Arial" w:hAnsi="Arial"/>
          <w:sz w:val="16"/>
          <w:szCs w:val="16"/>
          <w:color w:val="auto"/>
        </w:rPr>
        <w:t>2014. Accordingly, the results of operations for the first quarter of fiscal 2014 have been reclassified to reflect the operating results as discontinued operations.</w:t>
      </w:r>
    </w:p>
    <w:p>
      <w:pPr>
        <w:spacing w:after="0" w:line="30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For the three months ended:</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May 3, 2014</w:t>
            </w:r>
          </w:p>
        </w:tc>
        <w:tc>
          <w:tcPr>
            <w:tcW w:w="80" w:type="dxa"/>
            <w:vAlign w:val="bottom"/>
            <w:tcBorders>
              <w:bottom w:val="single" w:sz="8" w:color="CFF0FC"/>
            </w:tcBorders>
          </w:tcPr>
          <w:p>
            <w:pPr>
              <w:spacing w:after="0"/>
              <w:rPr>
                <w:sz w:val="14"/>
                <w:szCs w:val="14"/>
                <w:color w:val="auto"/>
              </w:rPr>
            </w:pPr>
          </w:p>
        </w:tc>
      </w:tr>
      <w:tr>
        <w:trPr>
          <w:trHeight w:val="222"/>
        </w:trPr>
        <w:tc>
          <w:tcPr>
            <w:tcW w:w="5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i w:val="1"/>
                <w:iCs w:val="1"/>
                <w:color w:val="auto"/>
              </w:rPr>
              <w:t>(in thousands)</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Provision (benefit) from income taxes</w:t>
            </w:r>
          </w:p>
        </w:tc>
        <w:tc>
          <w:tcPr>
            <w:tcW w:w="3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taxes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2015 and beyond, the expected benefit of marketing initiatives and the anticipated pace and number of store openings in fiscal 2015.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the Quarterly Report on Form 10-Q and our audited consolidated financial statement for the year ended January 31, 2015, included in our Annual Report on Form 10-K, for the year ended January 31, 2015, as filed with the Securities and Exchange Commission on March 25, 2015.</w:t>
      </w:r>
    </w:p>
    <w:p>
      <w:pPr>
        <w:spacing w:after="0" w:line="77"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We encourage readers to refer to the “Risk Factors” section in Part I, Item 1A of our Annual Report on Form 10-K for the fiscal year ended January 31, 2015, that sets forth certain risks and uncertainties that may have an impact on future results and direction of our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5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4"/>
          <w:szCs w:val="24"/>
          <w:color w:val="auto"/>
          <w:vertAlign w:val="superscript"/>
        </w:rPr>
        <w:t>®</w:t>
      </w:r>
      <w:r>
        <w:rPr>
          <w:rFonts w:ascii="Arial" w:cs="Arial" w:eastAsia="Arial" w:hAnsi="Arial"/>
          <w:sz w:val="17"/>
          <w:szCs w:val="17"/>
          <w:color w:val="auto"/>
        </w:rPr>
        <w:t>, DXL</w:t>
      </w:r>
      <w:r>
        <w:rPr>
          <w:rFonts w:ascii="Arial" w:cs="Arial" w:eastAsia="Arial" w:hAnsi="Arial"/>
          <w:sz w:val="24"/>
          <w:szCs w:val="24"/>
          <w:color w:val="auto"/>
          <w:vertAlign w:val="superscript"/>
        </w:rPr>
        <w:t>®</w:t>
      </w:r>
      <w:r>
        <w:rPr>
          <w:rFonts w:ascii="Arial" w:cs="Arial" w:eastAsia="Arial" w:hAnsi="Arial"/>
          <w:sz w:val="17"/>
          <w:szCs w:val="17"/>
          <w:color w:val="auto"/>
        </w:rPr>
        <w:t>, DXL Outlets, Casual Male XL</w:t>
      </w:r>
      <w:r>
        <w:rPr>
          <w:rFonts w:ascii="Arial" w:cs="Arial" w:eastAsia="Arial" w:hAnsi="Arial"/>
          <w:sz w:val="24"/>
          <w:szCs w:val="24"/>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LivingXL</w:t>
      </w:r>
      <w:r>
        <w:rPr>
          <w:rFonts w:ascii="Arial" w:cs="Arial" w:eastAsia="Arial" w:hAnsi="Arial"/>
          <w:sz w:val="24"/>
          <w:szCs w:val="24"/>
          <w:color w:val="auto"/>
          <w:vertAlign w:val="superscript"/>
        </w:rPr>
        <w:t>®</w:t>
      </w:r>
      <w:r>
        <w:rPr>
          <w:rFonts w:ascii="Arial" w:cs="Arial" w:eastAsia="Arial" w:hAnsi="Arial"/>
          <w:sz w:val="17"/>
          <w:szCs w:val="17"/>
          <w:color w:val="auto"/>
        </w:rPr>
        <w:t>. At May 2, 2015, we operated 149 Destination XL stores, 152 Casual Male XL retail stores, 4 DXL outlet stores, 44 Casual Male XL outlet stores and 8 Rochester Clothing stores. Our direct business includes our DestinationXL.com and bigandtall.com e-commerce sites which support our stores, brands and product extensions.</w:t>
      </w:r>
    </w:p>
    <w:p>
      <w:pPr>
        <w:spacing w:after="0" w:line="20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30, 2016 and January 31, 2015 as “fiscal 2015” and “fiscal 2014,” respectively. Both fiscal years are 52-week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83"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During fiscal 2014, as part of our omni-channel initiatives, more than 300 of our retail stores now have the capability of fulfilling online orders if merchandise is not available in the warehouse. As a result, we are seeing more transactions that begin online but are ultimately completed at the store level. Similarly, if a customer visits a store and the item is out of stock, the associate can order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6" w:right="259" w:bottom="1440" w:gutter="0" w:footer="0" w:header="0"/>
        </w:sectPr>
      </w:pPr>
    </w:p>
    <w:bookmarkStart w:id="17" w:name="page18"/>
    <w:bookmarkEnd w:id="17"/>
    <w:p>
      <w:pPr>
        <w:ind w:right="20"/>
        <w:spacing w:after="0" w:line="258" w:lineRule="auto"/>
        <w:rPr>
          <w:sz w:val="20"/>
          <w:szCs w:val="20"/>
          <w:color w:val="auto"/>
        </w:rPr>
      </w:pPr>
      <w:r>
        <w:rPr>
          <w:rFonts w:ascii="Arial" w:cs="Arial" w:eastAsia="Arial" w:hAnsi="Arial"/>
          <w:sz w:val="18"/>
          <w:szCs w:val="18"/>
          <w:color w:val="auto"/>
        </w:rPr>
        <w:t>item through our website.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first quarter of fiscal 2015, we elected early adoption of ASU 2015-03 “</w:t>
      </w:r>
      <w:r>
        <w:rPr>
          <w:rFonts w:ascii="Arial" w:cs="Arial" w:eastAsia="Arial" w:hAnsi="Arial"/>
          <w:sz w:val="16"/>
          <w:szCs w:val="16"/>
          <w:i w:val="1"/>
          <w:iCs w:val="1"/>
          <w:color w:val="auto"/>
        </w:rPr>
        <w:t>Interest-Imputation of Interest (Subtopic 835-30), Simplifying the 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Debt Issuance Costs.</w:t>
      </w:r>
      <w:r>
        <w:rPr>
          <w:rFonts w:ascii="Arial" w:cs="Arial" w:eastAsia="Arial" w:hAnsi="Arial"/>
          <w:sz w:val="16"/>
          <w:szCs w:val="16"/>
          <w:color w:val="auto"/>
        </w:rPr>
        <w:t>” Historically, we presented deferred debt issuance costs, or fees, directly related to issuing debt, as assets on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With the adoption of ASU 2015-03, these costs are now shown as a deduction from the corresponding liability, consistent with debt</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discounts. Accordingly, we have applied the new guidance retrospectively to all prior periods presented and treated the adoption as a change in accounting principle. The reclassification did not impact any amounts reported on the Consolidated Statements of Operations. See Note 1 to the Consolidated Financial Statements for a full description.</w:t>
      </w:r>
    </w:p>
    <w:p>
      <w:pPr>
        <w:spacing w:after="0" w:line="8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In the fourth quarter of fiscal 2014, we ended our business relationship with Sears Canada and, as a result, the operating results for this business were reclassified to discontinued operations for the first quarter of fiscal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results for the first quarter of fiscal 2015, including EBITDA from continuing operations and adjusted net loss, which are non-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6"/>
          </w:tcPr>
          <w:p>
            <w:pPr>
              <w:spacing w:after="0"/>
              <w:rPr>
                <w:sz w:val="20"/>
                <w:szCs w:val="20"/>
                <w:color w:val="auto"/>
              </w:rPr>
            </w:pPr>
            <w:r>
              <w:rPr>
                <w:rFonts w:ascii="Arial" w:cs="Arial" w:eastAsia="Arial" w:hAnsi="Arial"/>
                <w:sz w:val="18"/>
                <w:szCs w:val="18"/>
                <w:color w:val="auto"/>
                <w:w w:val="96"/>
              </w:rPr>
              <w:t xml:space="preserve">GAAP measures </w:t>
            </w:r>
            <w:r>
              <w:rPr>
                <w:rFonts w:ascii="Arial" w:cs="Arial" w:eastAsia="Arial" w:hAnsi="Arial"/>
                <w:sz w:val="18"/>
                <w:szCs w:val="18"/>
                <w:i w:val="1"/>
                <w:iCs w:val="1"/>
                <w:color w:val="auto"/>
                <w:w w:val="96"/>
              </w:rPr>
              <w:t>(Certain columns may not foot due to rounding)</w:t>
            </w:r>
            <w:r>
              <w:rPr>
                <w:rFonts w:ascii="Arial" w:cs="Arial" w:eastAsia="Arial" w:hAnsi="Arial"/>
                <w:sz w:val="18"/>
                <w:szCs w:val="18"/>
                <w:color w:val="auto"/>
                <w:w w:val="96"/>
              </w:rPr>
              <w:t>. Please see “Presentation of Non-GAAP Measures” below.</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6"/>
          </w:tcPr>
          <w:p>
            <w:pPr>
              <w:jc w:val="right"/>
              <w:ind w:right="900"/>
              <w:spacing w:after="0"/>
              <w:rPr>
                <w:sz w:val="20"/>
                <w:szCs w:val="20"/>
                <w:color w:val="auto"/>
              </w:rPr>
            </w:pPr>
            <w:r>
              <w:rPr>
                <w:rFonts w:ascii="Arial" w:cs="Arial" w:eastAsia="Arial" w:hAnsi="Arial"/>
                <w:sz w:val="18"/>
                <w:szCs w:val="18"/>
                <w:color w:val="auto"/>
              </w:rPr>
              <w:t>For the three months ended</w:t>
            </w:r>
          </w:p>
        </w:tc>
      </w:tr>
      <w:tr>
        <w:trPr>
          <w:trHeight w:val="229"/>
        </w:trPr>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May 2, 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May 3, 2014</w:t>
            </w:r>
          </w:p>
        </w:tc>
      </w:tr>
      <w:tr>
        <w:trPr>
          <w:trHeight w:val="202"/>
        </w:trPr>
        <w:tc>
          <w:tcPr>
            <w:tcW w:w="252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i w:val="1"/>
                <w:iCs w:val="1"/>
                <w:color w:val="auto"/>
                <w:w w:val="90"/>
              </w:rPr>
              <w:t>(in millions, except per share data)</w:t>
            </w:r>
          </w:p>
        </w:tc>
        <w:tc>
          <w:tcPr>
            <w:tcW w:w="52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8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29"/>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 back: Depreciation and amortization expense</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r>
      <w:tr>
        <w:trPr>
          <w:trHeight w:val="222"/>
        </w:trPr>
        <w:tc>
          <w:tcPr>
            <w:tcW w:w="7800" w:type="dxa"/>
            <w:vAlign w:val="bottom"/>
            <w:gridSpan w:val="3"/>
          </w:tcPr>
          <w:p>
            <w:pPr>
              <w:spacing w:after="0"/>
              <w:rPr>
                <w:sz w:val="20"/>
                <w:szCs w:val="20"/>
                <w:color w:val="auto"/>
              </w:rPr>
            </w:pPr>
            <w:r>
              <w:rPr>
                <w:rFonts w:ascii="Arial" w:cs="Arial" w:eastAsia="Arial" w:hAnsi="Arial"/>
                <w:sz w:val="18"/>
                <w:szCs w:val="18"/>
                <w:color w:val="auto"/>
              </w:rPr>
              <w:t>EBITDA from continuing operations (Non-GAAP basis)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r>
      <w:tr>
        <w:trPr>
          <w:trHeight w:val="229"/>
        </w:trPr>
        <w:tc>
          <w:tcPr>
            <w:tcW w:w="16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8"/>
        </w:trPr>
        <w:tc>
          <w:tcPr>
            <w:tcW w:w="7800" w:type="dxa"/>
            <w:vAlign w:val="bottom"/>
            <w:gridSpan w:val="3"/>
          </w:tcPr>
          <w:p>
            <w:pPr>
              <w:spacing w:after="0" w:line="189" w:lineRule="exact"/>
              <w:rPr>
                <w:sz w:val="20"/>
                <w:szCs w:val="20"/>
                <w:color w:val="auto"/>
              </w:rPr>
            </w:pPr>
            <w:r>
              <w:rPr>
                <w:rFonts w:ascii="Arial" w:cs="Arial" w:eastAsia="Arial" w:hAnsi="Arial"/>
                <w:sz w:val="18"/>
                <w:szCs w:val="18"/>
                <w:color w:val="auto"/>
              </w:rPr>
              <w:t>Diluted loss per share:</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r>
      <w:tr>
        <w:trPr>
          <w:trHeight w:val="230"/>
        </w:trPr>
        <w:tc>
          <w:tcPr>
            <w:tcW w:w="7800" w:type="dxa"/>
            <w:vAlign w:val="bottom"/>
            <w:gridSpan w:val="3"/>
          </w:tcPr>
          <w:p>
            <w:pPr>
              <w:spacing w:after="0"/>
              <w:rPr>
                <w:sz w:val="20"/>
                <w:szCs w:val="20"/>
                <w:color w:val="auto"/>
              </w:rPr>
            </w:pPr>
            <w:r>
              <w:rPr>
                <w:rFonts w:ascii="Arial" w:cs="Arial" w:eastAsia="Arial" w:hAnsi="Arial"/>
                <w:sz w:val="18"/>
                <w:szCs w:val="18"/>
                <w:color w:val="auto"/>
              </w:rPr>
              <w:t>Adjusted net loss (Non-GAAP basis)</w:t>
            </w:r>
            <w:r>
              <w:rPr>
                <w:rFonts w:ascii="Arial" w:cs="Arial" w:eastAsia="Arial" w:hAnsi="Arial"/>
                <w:sz w:val="15"/>
                <w:szCs w:val="15"/>
                <w:color w:val="auto"/>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97" w:lineRule="exact"/>
        <w:rPr>
          <w:sz w:val="20"/>
          <w:szCs w:val="20"/>
          <w:color w:val="auto"/>
        </w:rPr>
      </w:pPr>
    </w:p>
    <w:p>
      <w:pPr>
        <w:ind w:left="760" w:hanging="372"/>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a normalized tax rate of 40% for the three months ended May 2, 2015 and May 3, 2014.</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1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business performed very well during the first quarter of fiscal 2015. Our net loss for the first quarter of fiscal 2015 was $(0.01) per diluted share as compared to a net loss of $(0.07) per diluted share for the first quarter of fiscal 2014. On a non-GAAP basis, assuming a normalized tax rate of 40% for both periods, our net loss was $(0.01) per diluted share for the first quarter of fiscal 2015 as compared to a net loss of $(0.04) per diluted share for the first quarter of fiscal 2014.</w:t>
      </w:r>
    </w:p>
    <w:p>
      <w:pPr>
        <w:spacing w:after="0" w:line="7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Despite the numerous snow storms and the delayed arrival of spring in the northeast, our total sales for the first quarter of fiscal 2015 increased 8.0%, driven by a comparable sales increase from our DXL retail stores of 8.7%. We continue to see positive results from many of our DXL store metrics. For the first quarter of fiscal 2015, our total number of transactions increased 6.6% as compared to the first quarter of fiscal 2014. This increase is due to a combination of increased store traffic and conversion of traffic to sales. For the first quarter of fiscal 2015, sales from our DXL retail stores, on a rolling 12-month basis, were $168 per square foot as compared to $153 per square foot for the first quarter of fiscal 2014. This top line growth resulted in a $3.1 million improvement in operating income and a $4.3 million improvement in EBITDA from continuing operations for the first quarter of fiscal 2015 as compared to fiscal 2014.</w:t>
      </w:r>
    </w:p>
    <w:p>
      <w:pPr>
        <w:spacing w:after="0" w:line="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gross margin for the first quarter of fiscal 2015 increased 70 basis points as compared to the prior year’s first quarter, driven by occupancy costs which, as a percentage of sales, were favorable due to change in lease exit accruals. Our merchandise margins for the first quarter of fiscal 2015 were relatively flat as compared to the prior year’s first quarter due to a slightly higher sell through of clearance merchandise. In the first quarter of fiscal 2014, we enhanced our website functionality to showcase all store inventories online. Now, direct orders can be fulfilled from the store level. This capability has resulted in incremental sales and it is also helping to reduce clearance merchandise at the store level. The result is a very strong inventory position at the end of the first quarter of fiscal 2015, with 8.2% of merchandise in clearance.</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During the first quarter of fiscal 2015, we opened 11 DXL stores and closed 5 Casual Male XL retail stores. In addition, we opened two DXL outlets during the first quarter. We expect that we will open another 21 DXL retail stores and 6 DXL outlets through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3" w:right="239" w:bottom="1440" w:gutter="0" w:footer="0" w:header="0"/>
        </w:sectPr>
      </w:pPr>
    </w:p>
    <w:bookmarkStart w:id="18" w:name="page19"/>
    <w:bookmarkEnd w:id="18"/>
    <w:p>
      <w:pPr>
        <w:ind w:right="200"/>
        <w:spacing w:after="0" w:line="258" w:lineRule="auto"/>
        <w:rPr>
          <w:sz w:val="20"/>
          <w:szCs w:val="20"/>
          <w:color w:val="auto"/>
        </w:rPr>
      </w:pPr>
      <w:r>
        <w:rPr>
          <w:rFonts w:ascii="Arial" w:cs="Arial" w:eastAsia="Arial" w:hAnsi="Arial"/>
          <w:sz w:val="18"/>
          <w:szCs w:val="18"/>
          <w:color w:val="auto"/>
        </w:rPr>
        <w:t>remainder of fiscal 2015. Many of our 2014 initiatives that we implemented will be continued into fiscal 2015, including opening our new stores prior to the fourth quarter and opening a number of smaller DXL stores. Of the 11 DXL retail stores opened in the first quarter, 5 were our smaller store format (than 6,500 square feet). The success of this concept in smaller markets will provide us with increased opportunities for continued store growth beyond our projected 230 DXL stores at the end of fiscal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end of the first quarter of fiscal 2015, we launched our spring advertising campaign, which includes television and radio commercials. We kicked off our spring campaign during the NFL draft and it will continue through June, with increased presence leading into Father’s Day. Our commercial will air on several major networks, including ESPN, CBS and FX, and is strategically placed around such programming as The Late Show, ESPN Monday Night Baseball and the NBA playoffs. For fiscal 2015, we are expecting to spend approximately 8% less than in fiscal 2014, as we fine-tune our advertising efforts and increase our digital marketing presence.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Outlook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current earnings guidance for fiscal 2015 is still within the original guidance we previously provided, however, as a result of tightening our expectations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SG&amp;A expenses, we have narrowed our EBITDA range and overall earnings guidance. Accordingly, our earnings guidance for fiscal 2015 is a net loss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$(0.20)-$(0.23) per diluted share (a change from our previously disclosed range of ($(0.20)-$(0.27) per diluted share). On an adjusted basis, we are expecting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net loss of $(0.12)-$(0.14) per diluted share (a change from our previous guidance or $(0.12)-$(0.16) per diluted share). We expect to continue providing 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full valuation allowance against our deferred tax assets; therefore, we will not recognize any income tax benefit in fiscal 2015. The adjusted net loss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$(0.12)-$(0.14) per diluted share, assumes a normal tax benefit of approximately 40%. This adjusted net loss was calculated by taking the 2015 forecasted net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loss of $(0.20)-$(0.23) and multiplying each by 40% to calculate an estimated income tax benefit of $0.08-$0.09 per diluted share, resulting in an adjusted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non-GAAP net loss of $(0.12)-$(0.14) per diluted share.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guidance for fiscal 2015 is as follows</w:t>
      </w:r>
    </w:p>
    <w:p>
      <w:pPr>
        <w:spacing w:after="0" w:line="223" w:lineRule="exact"/>
        <w:rPr>
          <w:sz w:val="20"/>
          <w:szCs w:val="20"/>
          <w:color w:val="auto"/>
        </w:rPr>
      </w:pPr>
    </w:p>
    <w:p>
      <w:pPr>
        <w:ind w:left="760" w:hanging="37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range of $438.0 million to $443.0 million (unchanged).</w:t>
      </w:r>
    </w:p>
    <w:p>
      <w:pPr>
        <w:spacing w:after="0" w:line="223" w:lineRule="exact"/>
        <w:rPr>
          <w:rFonts w:ascii="Arial" w:cs="Arial" w:eastAsia="Arial" w:hAnsi="Arial"/>
          <w:sz w:val="18"/>
          <w:szCs w:val="18"/>
          <w:color w:val="auto"/>
        </w:rPr>
      </w:pPr>
    </w:p>
    <w:p>
      <w:pPr>
        <w:ind w:left="760" w:right="620" w:hanging="372"/>
        <w:spacing w:after="0" w:line="306"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margin rate is expected to be 45.9% (unchanged), which is flat as compared to fiscal 2014. This rate is based on merchandise margins improving approximately 30 basis points, offset by occupancy costs increasing 30 basis points from fiscal 2014.</w:t>
      </w:r>
    </w:p>
    <w:p>
      <w:pPr>
        <w:spacing w:after="0" w:line="146" w:lineRule="exact"/>
        <w:rPr>
          <w:rFonts w:ascii="Arial" w:cs="Arial" w:eastAsia="Arial" w:hAnsi="Arial"/>
          <w:sz w:val="17"/>
          <w:szCs w:val="17"/>
          <w:color w:val="auto"/>
        </w:rPr>
      </w:pPr>
    </w:p>
    <w:p>
      <w:pPr>
        <w:ind w:left="760" w:right="60" w:hanging="372"/>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SG&amp;A costs are planned to increase to approximately $180.5 million (a decrease from previous guidance of $181.5 million), primarily related to an increase in operating costs associated with a greater number of DXL stores, including pre-opening costs and payroll (both store and support). As a percentage of sales, SG&amp;A expenses are expected to decrease by approximately 110 to 140 basis points (an increase from our previous guidance of 80 to 130 basis points).</w:t>
      </w:r>
    </w:p>
    <w:p>
      <w:pPr>
        <w:spacing w:after="0" w:line="185" w:lineRule="exact"/>
        <w:rPr>
          <w:rFonts w:ascii="Arial" w:cs="Arial" w:eastAsia="Arial" w:hAnsi="Arial"/>
          <w:sz w:val="18"/>
          <w:szCs w:val="18"/>
          <w:color w:val="auto"/>
        </w:rPr>
      </w:pPr>
    </w:p>
    <w:p>
      <w:pPr>
        <w:ind w:left="760" w:hanging="37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EBITDA from continuing operations is expected to be $21.0-$23.0 million (a change from our previous guidance of $19.0-$23.0 million).</w:t>
      </w:r>
    </w:p>
    <w:p>
      <w:pPr>
        <w:spacing w:after="0" w:line="234" w:lineRule="exact"/>
        <w:rPr>
          <w:rFonts w:ascii="Arial" w:cs="Arial" w:eastAsia="Arial" w:hAnsi="Arial"/>
          <w:sz w:val="17"/>
          <w:szCs w:val="17"/>
          <w:color w:val="auto"/>
        </w:rPr>
      </w:pPr>
    </w:p>
    <w:p>
      <w:pPr>
        <w:ind w:left="760" w:hanging="37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is expected to increase to $28.5 million, as a result of new store growth (unchanged).</w:t>
      </w:r>
    </w:p>
    <w:p>
      <w:pPr>
        <w:spacing w:after="0" w:line="223" w:lineRule="exact"/>
        <w:rPr>
          <w:rFonts w:ascii="Arial" w:cs="Arial" w:eastAsia="Arial" w:hAnsi="Arial"/>
          <w:sz w:val="18"/>
          <w:szCs w:val="18"/>
          <w:color w:val="auto"/>
        </w:rPr>
      </w:pPr>
    </w:p>
    <w:p>
      <w:pPr>
        <w:ind w:left="760" w:hanging="37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 is expected to be (1.2%)-(1.7%) (a change from our previous guidance of (1.2%)-(2.2%)).</w:t>
      </w:r>
    </w:p>
    <w:p>
      <w:pPr>
        <w:spacing w:after="0" w:line="223" w:lineRule="exact"/>
        <w:rPr>
          <w:rFonts w:ascii="Arial" w:cs="Arial" w:eastAsia="Arial" w:hAnsi="Arial"/>
          <w:sz w:val="18"/>
          <w:szCs w:val="18"/>
          <w:color w:val="auto"/>
        </w:rPr>
      </w:pPr>
    </w:p>
    <w:p>
      <w:pPr>
        <w:ind w:left="760" w:hanging="37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costs are expected to be approximately $3.8 million (unchanged).</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expect to spend approximately $36.0-$39.0 million in capital expenditures in fiscal 2015, which is a decrease from our original guidance of $38.0-$41.0 million. These capital expenditures are expected to be partially offset by approximately $6.0-$7.0 million in tenant allowances, primarily related to opening our DXL retail and outlet stores (a slight increase from our previously disclosed estimate of $5.0-$6.0 million). We expect to fund our capital expenditures primarily from our operating cash flow and our credit facility. Although we are decreasing our capital expenditures for fiscal 2015 by a range of $3.0 million, our expected total debt at the end of fiscal 2015 remains unchanged at approximately $72.0-$76.0 million, consisting of $13.8 million outstanding from a term loan, $12.9 million outstanding from equipment financing notes with the balance from our credit facility. The reason that our total expected debt levels remain unchanged is due to an anticipated increase in inventory levels at the end of fiscal 2015, as we plan to take early receipt of merchandise. From a liquidity perspective, we expect cash flow from operating activities of $16.5 million to $17.5 million (including tenant allowances), resulting in free cash flow (as defined below under “Presentation of Non-GAAP Measures”) of approximately $(18.5)-$(22.5)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6"/>
                <w:szCs w:val="16"/>
                <w:color w:val="auto"/>
              </w:rPr>
              <w:t>Sales</w:t>
            </w:r>
          </w:p>
        </w:tc>
      </w:tr>
      <w:tr>
        <w:trPr>
          <w:trHeight w:val="158"/>
        </w:trPr>
        <w:tc>
          <w:tcPr>
            <w:tcW w:w="9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2"/>
          </w:tcPr>
          <w:p>
            <w:pPr>
              <w:jc w:val="right"/>
              <w:ind w:right="700"/>
              <w:spacing w:after="0" w:line="158" w:lineRule="exact"/>
              <w:rPr>
                <w:sz w:val="20"/>
                <w:szCs w:val="20"/>
                <w:color w:val="auto"/>
              </w:rPr>
            </w:pPr>
            <w:r>
              <w:rPr>
                <w:rFonts w:ascii="Arial" w:cs="Arial" w:eastAsia="Arial" w:hAnsi="Arial"/>
                <w:sz w:val="14"/>
                <w:szCs w:val="14"/>
                <w:i w:val="1"/>
                <w:iCs w:val="1"/>
                <w:color w:val="auto"/>
              </w:rPr>
              <w:t>(in millions)</w:t>
            </w:r>
          </w:p>
        </w:tc>
      </w:tr>
      <w:tr>
        <w:trPr>
          <w:trHeight w:val="229"/>
        </w:trPr>
        <w:tc>
          <w:tcPr>
            <w:tcW w:w="9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first quarter of fiscal 2014</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96.7</w:t>
            </w:r>
          </w:p>
        </w:tc>
        <w:tc>
          <w:tcPr>
            <w:tcW w:w="220" w:type="dxa"/>
            <w:vAlign w:val="bottom"/>
            <w:shd w:val="clear" w:color="auto" w:fill="CFF0FC"/>
          </w:tcPr>
          <w:p>
            <w:pPr>
              <w:spacing w:after="0"/>
              <w:rPr>
                <w:sz w:val="19"/>
                <w:szCs w:val="19"/>
                <w:color w:val="auto"/>
              </w:rPr>
            </w:pPr>
          </w:p>
        </w:tc>
      </w:tr>
      <w:tr>
        <w:trPr>
          <w:trHeight w:val="229"/>
        </w:trPr>
        <w:tc>
          <w:tcPr>
            <w:tcW w:w="9300" w:type="dxa"/>
            <w:vAlign w:val="bottom"/>
          </w:tcPr>
          <w:p>
            <w:pPr>
              <w:spacing w:after="0"/>
              <w:rPr>
                <w:sz w:val="20"/>
                <w:szCs w:val="20"/>
                <w:color w:val="auto"/>
              </w:rPr>
            </w:pPr>
            <w:r>
              <w:rPr>
                <w:rFonts w:ascii="Arial" w:cs="Arial" w:eastAsia="Arial" w:hAnsi="Arial"/>
                <w:sz w:val="18"/>
                <w:szCs w:val="18"/>
                <w:color w:val="auto"/>
              </w:rPr>
              <w:t>Less 2014 sales for stores that have closed</w:t>
            </w:r>
          </w:p>
        </w:tc>
        <w:tc>
          <w:tcPr>
            <w:tcW w:w="4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r>
      <w:tr>
        <w:trPr>
          <w:trHeight w:val="222"/>
        </w:trPr>
        <w:tc>
          <w:tcPr>
            <w:tcW w:w="93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9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r>
      <w:tr>
        <w:trPr>
          <w:trHeight w:val="229"/>
        </w:trPr>
        <w:tc>
          <w:tcPr>
            <w:tcW w:w="930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r>
      <w:tr>
        <w:trPr>
          <w:trHeight w:val="229"/>
        </w:trPr>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r>
      <w:tr>
        <w:trPr>
          <w:trHeight w:val="222"/>
        </w:trPr>
        <w:tc>
          <w:tcPr>
            <w:tcW w:w="9300" w:type="dxa"/>
            <w:vAlign w:val="bottom"/>
          </w:tcPr>
          <w:p>
            <w:pPr>
              <w:spacing w:after="0"/>
              <w:rPr>
                <w:sz w:val="20"/>
                <w:szCs w:val="20"/>
                <w:color w:val="auto"/>
              </w:rPr>
            </w:pPr>
            <w:r>
              <w:rPr>
                <w:rFonts w:ascii="Arial" w:cs="Arial" w:eastAsia="Arial" w:hAnsi="Arial"/>
                <w:sz w:val="18"/>
                <w:szCs w:val="18"/>
                <w:b w:val="1"/>
                <w:bCs w:val="1"/>
                <w:color w:val="auto"/>
              </w:rPr>
              <w:t>Sales for the first quarter of fiscal 2015</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w:t>
            </w:r>
          </w:p>
        </w:tc>
        <w:tc>
          <w:tcPr>
            <w:tcW w:w="2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first quarter of fiscal 2015, total sales were $104.4 million as compared to $96.7 million for the first quarter of fiscal 2014. The increase of $7.7 million in total sales was primarily due to a 5.5% increase in comparable sales of $4.8 million and an increase in non-comparable store sales of $11.2 million, partially offset by $8.4 million in closed stores, and an increase of $0.1 million other revenue.</w:t>
      </w:r>
    </w:p>
    <w:p>
      <w:pPr>
        <w:spacing w:after="0" w:line="182"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For the first quarter of fiscal 2015, comparable sales from our 104 DXL retail stores continued to perform in the high single digits, with an increase of 8.7%, or $3.1 million, against a double-digit comparable increase of 12.8% for the first quarter of fiscal 2014. The increase in comparable sales of $3.1 million is primarily driven by an increase in the number of transactions, which increased 6.6% for the first quarter of fiscal 2015 as compared to fiscal 2014.</w:t>
      </w:r>
    </w:p>
    <w:p>
      <w:pPr>
        <w:spacing w:after="0" w:line="147" w:lineRule="exact"/>
        <w:rPr>
          <w:sz w:val="20"/>
          <w:szCs w:val="20"/>
          <w:color w:val="auto"/>
        </w:rPr>
      </w:pPr>
    </w:p>
    <w:p>
      <w:pPr>
        <w:ind w:right="1580"/>
        <w:spacing w:after="0" w:line="397" w:lineRule="auto"/>
        <w:rPr>
          <w:sz w:val="20"/>
          <w:szCs w:val="20"/>
          <w:color w:val="auto"/>
        </w:rPr>
      </w:pPr>
      <w:r>
        <w:rPr>
          <w:rFonts w:ascii="Arial" w:cs="Arial" w:eastAsia="Arial" w:hAnsi="Arial"/>
          <w:sz w:val="18"/>
          <w:szCs w:val="18"/>
          <w:color w:val="auto"/>
        </w:rPr>
        <w:t xml:space="preserve">For fiscal 2015, we are forecasting sales to be $438.0 million to $443.0 million, with a comparable sales increase of approximately 5.6%. </w:t>
      </w:r>
      <w:r>
        <w:rPr>
          <w:rFonts w:ascii="Arial" w:cs="Arial" w:eastAsia="Arial" w:hAnsi="Arial"/>
          <w:sz w:val="18"/>
          <w:szCs w:val="18"/>
          <w:i w:val="1"/>
          <w:iCs w:val="1"/>
          <w:color w:val="auto"/>
        </w:rPr>
        <w:t>Gross Profit Margin</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 the first quarter of fiscal 2015, our gross margin rate, inclusive of occupancy costs, was 46.2% as compared to a gross margin rate of 45.5% for the first quarter of fiscal 2014. The 70 basis point improvement for the first quarter of fiscal 2015 was due to occupancy costs, which, as a percentage of sales, improved 70 basis points. The improvement in occupancy costs is primarily due to a favorable change of approximately 60 basis points in lease exit accruals. On a dollar basis, occupancy costs for the first quarter of fiscal 2015 increased 2.9% over the prior year first quarter. Merchandise margins for the first quarter of fiscal 2015 were flat to the first quarter of fiscal 2014.</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fiscal 2015, we are expecting that our occupancy costs, on a dollar-basis, will increase approximately $5.3-$5.9 million over fiscal 2014. We anticipate that approximately half of the increased costs will be the result of adding approximately 40 DXL retail and outlet stores to our store count in fiscal 2015 and the remainder of the anticipated increase reflects $2.5 million that we received in fiscal 2014 for exiting a lease prior to the end of the lease term, which resulted in lower occupancy costs in the fourth quarter of last year. As a percentage of sales, we anticipate occupancy costs will be approximately 30 basis points higher than fiscal 2014. We are expecting that our merchandise margins will improve by approximately 30 basis points. Accordingly, for fiscal 2015, we are expecting that gross margin will be 45.9% of sales and will be flat as compared to fiscal 2014.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percentage of sales, SG&amp;A expenses for the first quarter of fiscal 2015 decreased to 39.7% as compared to 42.9% for the first quarter of fiscal 2014. On a dollar basis, SG&amp;A expenses were relatively flat as compared to the first quarter of fiscal 2014. Increases in store payroll and supporting expense for the first quarter of fiscal 2015 were offset by a $1.7 million decrease in marketing costs due to the later start to the spring marketing campaign. Pre-opening payroll, training and other incremental costs to support our DXL store openings were $1.1 million for the first quarter of fiscal 2015, as compared to $0.9 million in the prior year first quarter.</w:t>
      </w:r>
    </w:p>
    <w:p>
      <w:pPr>
        <w:spacing w:after="0" w:line="191"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For fiscal 2015, we are expecting that our SG&amp;A expenses will be approximately $180.5 million as we continue to grow our DXL concept. The approximate $5.7 million increase is primarily related to increases in store payroll, payroll-related costs and other costs to support our growing DXL stores, partially offset by a decrease of $2.0 million in marketing costs. Overall, we expect to limit our SG&amp;A growth rates, except where necessary to support our growth activities or where there are unanticipated costs that are necessary to support our overall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Depreciation and amortization for the first three months of fiscal 2015 increased $1.1 million to $6.5 million as compared to $5.4 million for the first three months of fiscal 2014, due to the continued store growth associated with our rollout of the DXL store concept.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Net interest expense was $0.8 million for the first quarter of fiscal 2015 as compared to $0.4 million for the first quarter of fiscal 2014. With our continued planned store growth in fiscal 2015, we expect interest costs to increase as we fund a portion of our store growth with borrowings under our credit facility. See “Liquidity and Capital Resources” for more discussion regarding our current credit facility, long-term debt and future liquidity needs.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At May 2, 2015, we had total deferred tax assets of $80.2 million, total deferred tax liabilities of $19.7 million and a corresponding valuation allowance of</w:t>
      </w:r>
    </w:p>
    <w:p>
      <w:pPr>
        <w:spacing w:after="0" w:line="3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$60.6 million. The deferred tax assets include approximately $47.3 million of net operating loss carryforwards and approximately $6.1 million of deferred gain on our sale-leaseback and, to a lesser extent, other book/tax timing differences.</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2015, we believe that a full valuation allowance remains appropriate at this time.</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Our tax provision, for the first quarter of fiscal 2015 and fiscal 2014, represents an increase in our deferred tax liability for indefinite-lived intangibles as well as current state margin tax and foreign income tax.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6"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For the first quarter of fiscal 2015, we had a net loss of $(0.6) million, or $(0.01) per diluted share, compared with a net loss of $(3.5) million, or $(0.07) per diluted share, for the first quarter of fiscal 2014. On a non-GAAP basis, assuming a normalized tax rate for both periods, the net loss for the first quarter of fiscal 2015 was $(0.01) per diluted share as compared to $(0.04) per diluted share for the first quarter of fiscal 2014.</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net loss for the first quarter of fiscal 2014 includes a loss from discontinued operations of $0.1 million, related to the discontinuation of our direct business with Sears Canada, which occurred in the fourth quarter of fiscal 2014.</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At May 2, 2015, total inventory was $123.8 million compared to $115.2 million at January 31, 2015 and $114.2 million at May 3, 2014. The increase of $9.6 million from the prior year first quarter is primarily due to an increase in our selling square footage, as well as, a greater mix of higher cost branded apparel. Clearance merchandise is down 9.0% as compared to the first quarter of the prior year, with clearance merchandise representing 8.2% of our total inventory at the end of the first quarter of fiscal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which was most recently amended in October 2014, with Bank of America, N.A. (“Credit Facility”) and our term loan. Our current cash needs are primarily for working capital (essentially inventory requirements), capital expenditures and growth initiatives. As discussed below, our capital expenditures for fiscal 2015 are expected to be $36.0-$39.0 million, primarily related to the planned opening of approximately 32 new DXL stores and 8 DXL outlet stores and information technology projects. However, we expect to receive approximately $6.0-$7.0 million in tenant allowances to offset these capital expenditures. We expect to fund our store growth in fiscal 2015 primarily through earnings and borrowings from our Credit Facility. We expect that our total debt at the end of fiscal 2015 will be approximately $72.0-$76.0 million.</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currently believe that our existing cash generated by operations together with our Credit Facility will be sufficient within current forecasts for us to meet our foreseeable liquidity requirements. As discussed below, during the third quarter of fiscal 2014, we entered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8" w:right="239" w:bottom="1440" w:gutter="0" w:footer="0" w:header="0"/>
        </w:sectPr>
      </w:pPr>
    </w:p>
    <w:bookmarkStart w:id="21" w:name="page22"/>
    <w:bookmarkEnd w:id="21"/>
    <w:p>
      <w:pPr>
        <w:ind w:right="200"/>
        <w:spacing w:after="0" w:line="262" w:lineRule="auto"/>
        <w:rPr>
          <w:sz w:val="20"/>
          <w:szCs w:val="20"/>
          <w:color w:val="auto"/>
        </w:rPr>
      </w:pPr>
      <w:r>
        <w:rPr>
          <w:rFonts w:ascii="Arial" w:cs="Arial" w:eastAsia="Arial" w:hAnsi="Arial"/>
          <w:sz w:val="18"/>
          <w:szCs w:val="18"/>
          <w:color w:val="auto"/>
        </w:rPr>
        <w:t>into a $15.0 million 5-year term loan facility and also amended our current Credit Facility, increasing our maximum borrowing levels by $25.0 million. The primary purpose for amending our Credit Facility and entering into this 5-year term loan was to increase our current availability and provide additional borrowing capacity as we continue to complete our DXL store roll-out.</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the first three months of fiscal 2015, free cash flow, which we define as cash flow from operating activities, less capital expenditures and discretionary store asset acquisitions, if any, improved by $7.5 million to $(17.5) million from $(25.0) million for the first three months of fiscal 2014. This improvement in free cash flow was primarily due to the improvement in operating results, changes in working capital and also lower capital expenditures as compared to fiscal 2014. See “Presentation of Non-GAAP Measure” below regarding non-GAAP free cash flow.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May 2, 2015 with the associated unamortized debt issuance costs: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Less Debt Issuance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Net Debt</w:t>
            </w:r>
          </w:p>
        </w:tc>
      </w:tr>
      <w:tr>
        <w:trPr>
          <w:trHeight w:val="167"/>
        </w:trPr>
        <w:tc>
          <w:tcPr>
            <w:tcW w:w="6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w w:val="90"/>
              </w:rPr>
              <w:t>Gross Debt 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Outstanding</w:t>
            </w:r>
          </w:p>
        </w:tc>
      </w:tr>
      <w:tr>
        <w:trPr>
          <w:trHeight w:val="222"/>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17,651</w:t>
            </w:r>
          </w:p>
        </w:tc>
        <w:tc>
          <w:tcPr>
            <w:tcW w:w="120" w:type="dxa"/>
            <w:vAlign w:val="bottom"/>
          </w:tcPr>
          <w:p>
            <w:pPr>
              <w:spacing w:after="0"/>
              <w:rPr>
                <w:sz w:val="19"/>
                <w:szCs w:val="19"/>
                <w:color w:val="auto"/>
              </w:rPr>
            </w:pPr>
          </w:p>
        </w:tc>
      </w:tr>
      <w:tr>
        <w:trPr>
          <w:trHeight w:val="229"/>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14,024</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72,975</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71,818</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Effective October 29, 2014, we amended our credit facility with Bank of America, N.A, by executing the Second Amendment to the Sixth Amended and Restated Loan and Security Agreement (as amended, the “Credit Facility”). The Credit Facility provides for a maximum committed borrowing of $125.0 million (an increase from $100.0 million), which, pursuant to an accordion feature, may be increased to $175.0 million upon our request and the agreement of the lender(s) participating in the increase. The Credit Facility continues to include a sublimit of $20.0 million for commercial and standby letters of credit and a sublimit of up to $15.0 million for swingline loans. The maturity date of the Credit Facility is October 29, 2019. Our Credit Facility is described in more detail in Note 2 to the Notes to the Consolidated Financial Statements included in this report.</w:t>
      </w:r>
    </w:p>
    <w:p>
      <w:pPr>
        <w:spacing w:after="0" w:line="176"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4"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had outstanding borrowings of $40.7 million under the Credit Facility at May 2, 2015. Outstanding standby letters of credit were $2.2 million and outstanding documentary letters of credit were $0.4 million. The average monthly borrowing outstanding under the Credit Facility during the three months ended May 2, 2015 was approximately $37.4 million, resulting in an average unused excess availability of approximately $71.1 million. Unused excess availability at May 2, 2015 was $68.3 million. Our obligations under the Credit Facility are secured by a lien on substantially all of our assets, excluding (i) a first priority lien held by the lenders of the Term Loan Facility described below on certain of our equipment and (ii) intellectual property.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entered into twelve Equipment Security Notes (the “Notes”), whereby we borrowed an aggregate of $26.4 million. The Notes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We are subject to a prepayment penalty equal to 1% of the prepaid principal of the Notes until the first anniversary, 0.5% of the prepaid principal from the first anniversary until the second anniversary and no prepayment penalty thereafter. At May 2, 2015, the outstanding balance of Notes was $17.8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Notes were used to fund partially the capital expenditures associated with our DXL store rollout.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During the third quarter of fiscal 2014, we entered into a term loan agreement, with respect to a new $15.0 million senior secured term loan facility with Wells Fargo Bank, National Association as administrative and collateral agent (the “Term Loan Facility”). The proceeds from the Term Loan Facility were used to repay borrowings under the Credit Facility. At May 2, 2015, the outstanding balance of the Term Loan Facility was $14.5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0" w:right="239" w:bottom="1440" w:gutter="0" w:footer="0" w:header="0"/>
        </w:sectPr>
      </w:pPr>
    </w:p>
    <w:bookmarkStart w:id="22" w:name="page23"/>
    <w:bookmarkEnd w:id="22"/>
    <w:p>
      <w:pPr>
        <w:spacing w:after="0" w:line="274" w:lineRule="auto"/>
        <w:rPr>
          <w:sz w:val="20"/>
          <w:szCs w:val="20"/>
          <w:color w:val="auto"/>
        </w:rPr>
      </w:pPr>
      <w:r>
        <w:rPr>
          <w:rFonts w:ascii="Arial" w:cs="Arial" w:eastAsia="Arial" w:hAnsi="Arial"/>
          <w:sz w:val="17"/>
          <w:szCs w:val="17"/>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 The Term Loan Facility matures on October 29, 2019.</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It is secured by a first priority lien on certain of our equipment, and a second priority lien on substantially all of our remaining assets, excluding intellectual property.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May 2, 2015 and May 3, 2014, respectively: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ind w:left="880"/>
              <w:spacing w:after="0"/>
              <w:rPr>
                <w:sz w:val="20"/>
                <w:szCs w:val="20"/>
                <w:color w:val="auto"/>
              </w:rPr>
            </w:pPr>
            <w:r>
              <w:rPr>
                <w:rFonts w:ascii="Arial" w:cs="Arial" w:eastAsia="Arial" w:hAnsi="Arial"/>
                <w:sz w:val="14"/>
                <w:szCs w:val="14"/>
                <w:color w:val="auto"/>
                <w:w w:val="98"/>
              </w:rPr>
              <w:t>May 2, 2015</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ind w:left="920"/>
              <w:spacing w:after="0"/>
              <w:rPr>
                <w:sz w:val="20"/>
                <w:szCs w:val="20"/>
                <w:color w:val="auto"/>
              </w:rPr>
            </w:pPr>
            <w:r>
              <w:rPr>
                <w:rFonts w:ascii="Arial" w:cs="Arial" w:eastAsia="Arial" w:hAnsi="Arial"/>
                <w:sz w:val="14"/>
                <w:szCs w:val="14"/>
                <w:color w:val="auto"/>
                <w:w w:val="98"/>
              </w:rPr>
              <w:t>May 3, 2014</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ind w:left="260"/>
              <w:spacing w:after="0" w:line="148" w:lineRule="exact"/>
              <w:rPr>
                <w:sz w:val="20"/>
                <w:szCs w:val="20"/>
                <w:color w:val="auto"/>
              </w:rPr>
            </w:pPr>
            <w:r>
              <w:rPr>
                <w:rFonts w:ascii="Arial" w:cs="Arial" w:eastAsia="Arial" w:hAnsi="Arial"/>
                <w:sz w:val="14"/>
                <w:szCs w:val="14"/>
                <w:color w:val="auto"/>
              </w:rPr>
              <w:t>Number of</w:t>
            </w:r>
          </w:p>
        </w:tc>
        <w:tc>
          <w:tcPr>
            <w:tcW w:w="10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Square</w:t>
            </w:r>
          </w:p>
        </w:tc>
        <w:tc>
          <w:tcPr>
            <w:tcW w:w="1700" w:type="dxa"/>
            <w:vAlign w:val="bottom"/>
            <w:gridSpan w:val="3"/>
          </w:tcPr>
          <w:p>
            <w:pPr>
              <w:ind w:left="260"/>
              <w:spacing w:after="0" w:line="148" w:lineRule="exact"/>
              <w:rPr>
                <w:sz w:val="20"/>
                <w:szCs w:val="20"/>
                <w:color w:val="auto"/>
              </w:rPr>
            </w:pPr>
            <w:r>
              <w:rPr>
                <w:rFonts w:ascii="Arial" w:cs="Arial" w:eastAsia="Arial" w:hAnsi="Arial"/>
                <w:sz w:val="14"/>
                <w:szCs w:val="14"/>
                <w:color w:val="auto"/>
              </w:rPr>
              <w:t>Number of</w:t>
            </w:r>
          </w:p>
        </w:tc>
        <w:tc>
          <w:tcPr>
            <w:tcW w:w="100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Square</w:t>
            </w:r>
          </w:p>
        </w:tc>
      </w:tr>
      <w:tr>
        <w:trPr>
          <w:trHeight w:val="167"/>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Store Concept</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Stores</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w w:val="93"/>
              </w:rPr>
              <w:t>Footage</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w w:val="93"/>
              </w:rPr>
              <w:t>Footage</w:t>
            </w:r>
          </w:p>
        </w:tc>
        <w:tc>
          <w:tcPr>
            <w:tcW w:w="120" w:type="dxa"/>
            <w:vAlign w:val="bottom"/>
          </w:tcPr>
          <w:p>
            <w:pPr>
              <w:spacing w:after="0"/>
              <w:rPr>
                <w:sz w:val="14"/>
                <w:szCs w:val="14"/>
                <w:color w:val="auto"/>
              </w:rPr>
            </w:pPr>
          </w:p>
        </w:tc>
      </w:tr>
      <w:tr>
        <w:trPr>
          <w:trHeight w:val="197"/>
        </w:trPr>
        <w:tc>
          <w:tcPr>
            <w:tcW w:w="5980" w:type="dxa"/>
            <w:vAlign w:val="bottom"/>
            <w:gridSpan w:val="2"/>
          </w:tcPr>
          <w:p>
            <w:pPr>
              <w:spacing w:after="0"/>
              <w:rPr>
                <w:sz w:val="20"/>
                <w:szCs w:val="20"/>
                <w:color w:val="auto"/>
              </w:rPr>
            </w:pPr>
            <w:r>
              <w:rPr>
                <w:rFonts w:ascii="Arial" w:cs="Arial" w:eastAsia="Arial" w:hAnsi="Arial"/>
                <w:sz w:val="14"/>
                <w:szCs w:val="14"/>
                <w:i w:val="1"/>
                <w:iCs w:val="1"/>
                <w:color w:val="auto"/>
              </w:rPr>
              <w:t>(square footage in thousands)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r>
      <w:tr>
        <w:trPr>
          <w:trHeight w:val="229"/>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January 31, 2015 to May 2,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Casual Male</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Casual Male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Rochester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040" w:type="dxa"/>
            <w:vAlign w:val="bottom"/>
            <w:gridSpan w:val="2"/>
          </w:tcPr>
          <w:p>
            <w:pPr>
              <w:spacing w:after="0"/>
              <w:rPr>
                <w:sz w:val="20"/>
                <w:szCs w:val="20"/>
                <w:color w:val="auto"/>
              </w:rPr>
            </w:pPr>
            <w:r>
              <w:rPr>
                <w:rFonts w:ascii="Arial" w:cs="Arial" w:eastAsia="Arial" w:hAnsi="Arial"/>
                <w:sz w:val="14"/>
                <w:szCs w:val="14"/>
                <w:color w:val="auto"/>
              </w:rPr>
              <w:t>Number of Stores:</w:t>
            </w:r>
          </w:p>
        </w:tc>
        <w:tc>
          <w:tcPr>
            <w:tcW w:w="1060" w:type="dxa"/>
            <w:vAlign w:val="bottom"/>
            <w:gridSpan w:val="2"/>
          </w:tcPr>
          <w:p>
            <w:pPr>
              <w:ind w:left="280"/>
              <w:spacing w:after="0"/>
              <w:rPr>
                <w:sz w:val="20"/>
                <w:szCs w:val="20"/>
                <w:color w:val="auto"/>
              </w:rPr>
            </w:pPr>
            <w:r>
              <w:rPr>
                <w:rFonts w:ascii="Arial" w:cs="Arial" w:eastAsia="Arial" w:hAnsi="Arial"/>
                <w:sz w:val="14"/>
                <w:szCs w:val="14"/>
                <w:color w:val="auto"/>
              </w:rPr>
              <w:t>DXL</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DXL Outlets</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XL Retail</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XL Outlets</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rPr>
              <w:t>Clothing</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Total Stores</w:t>
            </w:r>
          </w:p>
        </w:tc>
      </w:tr>
      <w:tr>
        <w:trPr>
          <w:trHeight w:val="222"/>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31, 2015</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2"/>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May 2, 2015</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93"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opening of new DXL stores represents DXL stores opened in new markets.</w:t>
      </w:r>
    </w:p>
    <w:p>
      <w:pPr>
        <w:spacing w:after="0" w:line="22" w:lineRule="exact"/>
        <w:rPr>
          <w:rFonts w:ascii="Arial" w:cs="Arial" w:eastAsia="Arial" w:hAnsi="Arial"/>
          <w:sz w:val="18"/>
          <w:szCs w:val="18"/>
          <w:color w:val="auto"/>
        </w:rPr>
      </w:pPr>
    </w:p>
    <w:p>
      <w:pPr>
        <w:ind w:left="540" w:right="40" w:hanging="532"/>
        <w:spacing w:after="0" w:line="24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capital expenditures for the first three months of fiscal 2015 were $9.6 million as compared to $11.1 million for the first three months of fiscal 2014. The $1.5 million decrease is primarily related to the decrease in average square footage of the new DXL stores opening in fiscal 2015 as compared to the prior year.</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fiscal 2015, our capital expenditures are expected to be approximately $36.0-$39.0 million and we expect to receive approximately $6.0-$7.0 million in tenant allowances to offset these expenditures. The forecast includes approximately $25.7 million, excluding any allowance, related to the opening of 32 DXL stores and 8 DXL outlets and approximately $9.2 million for continued information technology projects, including the addition of in-store pick up, POS purchases and increased credit card security measures, with the remainder for general overhead projects and improving our distribution center’s capacity. In addition, we expect to close approximately 42 existing Casual Male XL stores and 3 Rochester Clothing stores, most of which are in connection with the opening of our new DXL stores in the same geographic market.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31, 2015, as filed with the Securities and Exchange Commission on March 25, 2015. See Note 1 to the Consolidated Financial Statements included in this report for information on recent accounting pronouncements and changes in accounting principles.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Presentation of Non-GAAP Measures</w:t>
      </w:r>
    </w:p>
    <w:p>
      <w:pPr>
        <w:spacing w:after="0" w:line="2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Adjusted net loss, adjusted net loss per diluted share, free cash flow and EBITDA from continuing operations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report may not be comparable to similar measures used by other companies. We believe that inclusion of these non-GAAP measures helps investors gain a better understanding of our cash flow performance, especially when comparing such results to previous periods. Reconciliations of these non-GAAP measures are presented in following tables:</w:t>
      </w:r>
    </w:p>
    <w:p>
      <w:pPr>
        <w:spacing w:after="0" w:line="2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Adjusted net loss and adjusted net loss per diluted share</w:t>
      </w:r>
      <w:r>
        <w:rPr>
          <w:rFonts w:ascii="Arial" w:cs="Arial" w:eastAsia="Arial" w:hAnsi="Arial"/>
          <w:sz w:val="17"/>
          <w:szCs w:val="17"/>
          <w:color w:val="auto"/>
        </w:rPr>
        <w:t>. The above discussion includes an adjusted net loss for the first quarter of fiscal 2015 and fiscal 2014,</w:t>
      </w:r>
      <w:r>
        <w:rPr>
          <w:rFonts w:ascii="Arial" w:cs="Arial" w:eastAsia="Arial" w:hAnsi="Arial"/>
          <w:sz w:val="17"/>
          <w:szCs w:val="17"/>
          <w:i w:val="1"/>
          <w:iCs w:val="1"/>
          <w:color w:val="auto"/>
        </w:rPr>
        <w:t xml:space="preserve"> </w:t>
      </w:r>
      <w:r>
        <w:rPr>
          <w:rFonts w:ascii="Arial" w:cs="Arial" w:eastAsia="Arial" w:hAnsi="Arial"/>
          <w:sz w:val="17"/>
          <w:szCs w:val="17"/>
          <w:color w:val="auto"/>
        </w:rPr>
        <w:t>on a non-GAAP basis, of $(0.01) per diluted share and $(0.04) per diluted share, respectively. For fiscal 2015, we expect to continue to provide a full valuation allowance against our deferred tax assets; therefore, we will not recognize any income tax benefit in fiscal 2015.</w:t>
      </w:r>
    </w:p>
    <w:p>
      <w:pPr>
        <w:spacing w:after="0" w:line="164"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For comparison purposes, the following is a reconciliation of net loss to adjusted net loss, assuming a normal tax benefit of 40% for the first quarter of fiscal 2015 and fiscal 2014:</w:t>
      </w:r>
    </w:p>
    <w:tbl>
      <w:tblPr>
        <w:tblLayout w:type="fixed"/>
        <w:tblInd w:w="4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color w:val="auto"/>
                <w:w w:val="90"/>
              </w:rPr>
              <w:t>For the 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color w:val="auto"/>
              </w:rPr>
              <w:t>May 2, 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color w:val="auto"/>
              </w:rPr>
              <w:t>May 3, 2014</w:t>
            </w:r>
          </w:p>
        </w:tc>
        <w:tc>
          <w:tcPr>
            <w:tcW w:w="20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Per diluted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w w:val="98"/>
              </w:rPr>
              <w:t>Per diluted</w:t>
            </w: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share</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share</w:t>
            </w:r>
          </w:p>
        </w:tc>
      </w:tr>
      <w:tr>
        <w:trPr>
          <w:trHeight w:val="155"/>
        </w:trPr>
        <w:tc>
          <w:tcPr>
            <w:tcW w:w="21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i w:val="1"/>
                <w:iCs w:val="1"/>
                <w:color w:val="auto"/>
                <w:w w:val="91"/>
              </w:rPr>
              <w:t>(in thousands, except per share data)</w:t>
            </w:r>
          </w:p>
        </w:tc>
        <w:tc>
          <w:tcPr>
            <w:tcW w:w="2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Net loss, GAAP basis</w:t>
            </w:r>
          </w:p>
        </w:tc>
        <w:tc>
          <w:tcPr>
            <w:tcW w:w="1280" w:type="dxa"/>
            <w:vAlign w:val="bottom"/>
            <w:gridSpan w:val="2"/>
            <w:shd w:val="clear" w:color="auto" w:fill="CFF0FC"/>
          </w:tcPr>
          <w:p>
            <w:pPr>
              <w:jc w:val="right"/>
              <w:ind w:right="5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(0.01)</w:t>
            </w:r>
          </w:p>
        </w:tc>
        <w:tc>
          <w:tcPr>
            <w:tcW w:w="760" w:type="dxa"/>
            <w:vAlign w:val="bottom"/>
            <w:gridSpan w:val="2"/>
            <w:shd w:val="clear" w:color="auto" w:fill="CFF0FC"/>
          </w:tcPr>
          <w:p>
            <w:pPr>
              <w:jc w:val="right"/>
              <w:ind w:right="6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4"/>
              </w:rPr>
              <w:t>(3,536)</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(0.07)</w:t>
            </w:r>
          </w:p>
        </w:tc>
      </w:tr>
      <w:tr>
        <w:trPr>
          <w:trHeight w:val="188"/>
        </w:trPr>
        <w:tc>
          <w:tcPr>
            <w:tcW w:w="2140" w:type="dxa"/>
            <w:vAlign w:val="bottom"/>
            <w:gridSpan w:val="2"/>
          </w:tcPr>
          <w:p>
            <w:pPr>
              <w:spacing w:after="0"/>
              <w:rPr>
                <w:sz w:val="16"/>
                <w:szCs w:val="16"/>
                <w:color w:val="auto"/>
              </w:rPr>
            </w:pPr>
          </w:p>
        </w:tc>
        <w:tc>
          <w:tcPr>
            <w:tcW w:w="2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6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tcPr>
          <w:p>
            <w:pPr>
              <w:ind w:left="240"/>
              <w:spacing w:after="0"/>
              <w:rPr>
                <w:sz w:val="20"/>
                <w:szCs w:val="20"/>
                <w:color w:val="auto"/>
              </w:rPr>
            </w:pPr>
            <w:r>
              <w:rPr>
                <w:rFonts w:ascii="Arial" w:cs="Arial" w:eastAsia="Arial" w:hAnsi="Arial"/>
                <w:sz w:val="14"/>
                <w:szCs w:val="14"/>
                <w:color w:val="auto"/>
              </w:rPr>
              <w:t>Income tax benefit, assuming normal tax rate of 40%</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2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168"/>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Adjusted net loss, non-GAAP basis</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(308)</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(0.01)</w:t>
            </w:r>
          </w:p>
        </w:tc>
        <w:tc>
          <w:tcPr>
            <w:tcW w:w="7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(2,093)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(0.04)</w:t>
            </w: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2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217"/>
        </w:trPr>
        <w:tc>
          <w:tcPr>
            <w:tcW w:w="4980" w:type="dxa"/>
            <w:vAlign w:val="bottom"/>
            <w:gridSpan w:val="3"/>
          </w:tcPr>
          <w:p>
            <w:pPr>
              <w:spacing w:after="0"/>
              <w:rPr>
                <w:sz w:val="20"/>
                <w:szCs w:val="20"/>
                <w:color w:val="auto"/>
              </w:rPr>
            </w:pPr>
            <w:r>
              <w:rPr>
                <w:rFonts w:ascii="Arial" w:cs="Arial" w:eastAsia="Arial" w:hAnsi="Arial"/>
                <w:sz w:val="14"/>
                <w:szCs w:val="14"/>
                <w:color w:val="auto"/>
              </w:rPr>
              <w:t>Weighted average number of common shares outstanding on a diluted basis</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48,656</w:t>
            </w:r>
          </w:p>
        </w:tc>
        <w:tc>
          <w:tcPr>
            <w:tcW w:w="2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The following table reconciles our free cash flow measure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ectPr>
          <w:pgSz w:w="11900" w:h="16838" w:orient="portrait"/>
          <w:cols w:equalWidth="0" w:num="1">
            <w:col w:w="11400"/>
          </w:cols>
          <w:pgMar w:left="240" w:top="336"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operating activities (GAAP basis)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Less: Capital expenditures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Less: Store acquisitions, if applicable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(non-GAAP basis)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4"/>
          </w:tcPr>
          <w:p>
            <w:pPr>
              <w:jc w:val="right"/>
              <w:ind w:right="628"/>
              <w:spacing w:after="0"/>
              <w:rPr>
                <w:sz w:val="20"/>
                <w:szCs w:val="20"/>
                <w:color w:val="auto"/>
              </w:rPr>
            </w:pPr>
            <w:r>
              <w:rPr>
                <w:rFonts w:ascii="Arial" w:cs="Arial" w:eastAsia="Arial" w:hAnsi="Arial"/>
                <w:sz w:val="14"/>
                <w:szCs w:val="14"/>
                <w:color w:val="auto"/>
              </w:rPr>
              <w:t>For the three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Projected</w:t>
            </w:r>
          </w:p>
        </w:tc>
        <w:tc>
          <w:tcPr>
            <w:tcW w:w="260" w:type="dxa"/>
            <w:vAlign w:val="bottom"/>
          </w:tcPr>
          <w:p>
            <w:pPr>
              <w:spacing w:after="0"/>
              <w:rPr>
                <w:sz w:val="14"/>
                <w:szCs w:val="14"/>
                <w:color w:val="auto"/>
              </w:rPr>
            </w:pPr>
          </w:p>
        </w:tc>
      </w:tr>
      <w:tr>
        <w:trPr>
          <w:trHeight w:val="167"/>
        </w:trPr>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May 2, 2015</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May 3, 2014</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Fiscal 2015</w:t>
            </w:r>
          </w:p>
        </w:tc>
        <w:tc>
          <w:tcPr>
            <w:tcW w:w="260" w:type="dxa"/>
            <w:vAlign w:val="bottom"/>
          </w:tcPr>
          <w:p>
            <w:pPr>
              <w:spacing w:after="0"/>
              <w:rPr>
                <w:sz w:val="14"/>
                <w:szCs w:val="14"/>
                <w:color w:val="auto"/>
              </w:rPr>
            </w:pPr>
          </w:p>
        </w:tc>
      </w:tr>
      <w:tr>
        <w:trPr>
          <w:trHeight w:val="212"/>
        </w:trPr>
        <w:tc>
          <w:tcPr>
            <w:tcW w:w="1340" w:type="dxa"/>
            <w:vAlign w:val="bottom"/>
          </w:tcPr>
          <w:p>
            <w:pPr>
              <w:jc w:val="right"/>
              <w:ind w:right="121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(8.0)</w:t>
            </w:r>
          </w:p>
        </w:tc>
        <w:tc>
          <w:tcPr>
            <w:tcW w:w="1420" w:type="dxa"/>
            <w:vAlign w:val="bottom"/>
          </w:tcPr>
          <w:p>
            <w:pPr>
              <w:jc w:val="right"/>
              <w:ind w:right="126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$16.5-$17.5</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6"/>
        </w:trPr>
        <w:tc>
          <w:tcPr>
            <w:tcW w:w="13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(9.6)</w:t>
            </w:r>
          </w:p>
        </w:tc>
        <w:tc>
          <w:tcPr>
            <w:tcW w:w="14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(11.1)</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$(36.0)-$39.0)</w:t>
            </w:r>
          </w:p>
        </w:tc>
        <w:tc>
          <w:tcPr>
            <w:tcW w:w="260" w:type="dxa"/>
            <w:vAlign w:val="bottom"/>
          </w:tcPr>
          <w:p>
            <w:pPr>
              <w:spacing w:after="0"/>
              <w:rPr>
                <w:sz w:val="17"/>
                <w:szCs w:val="17"/>
                <w:color w:val="auto"/>
              </w:rPr>
            </w:pPr>
          </w:p>
        </w:tc>
      </w:tr>
      <w:tr>
        <w:trPr>
          <w:trHeight w:val="167"/>
        </w:trPr>
        <w:tc>
          <w:tcPr>
            <w:tcW w:w="1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7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r>
      <w:tr>
        <w:trPr>
          <w:trHeight w:val="209"/>
        </w:trPr>
        <w:tc>
          <w:tcPr>
            <w:tcW w:w="1340" w:type="dxa"/>
            <w:vAlign w:val="bottom"/>
          </w:tcPr>
          <w:p>
            <w:pPr>
              <w:jc w:val="right"/>
              <w:ind w:right="121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(17.5)</w:t>
            </w:r>
          </w:p>
        </w:tc>
        <w:tc>
          <w:tcPr>
            <w:tcW w:w="1420" w:type="dxa"/>
            <w:vAlign w:val="bottom"/>
          </w:tcPr>
          <w:p>
            <w:pPr>
              <w:jc w:val="right"/>
              <w:ind w:right="126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(25.0)</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$(18.5)-$(22.5)</w:t>
            </w:r>
          </w:p>
        </w:tc>
        <w:tc>
          <w:tcPr>
            <w:tcW w:w="260" w:type="dxa"/>
            <w:vAlign w:val="bottom"/>
          </w:tcPr>
          <w:p>
            <w:pPr>
              <w:spacing w:after="0"/>
              <w:rPr>
                <w:sz w:val="18"/>
                <w:szCs w:val="18"/>
                <w:color w:val="auto"/>
              </w:rPr>
            </w:pP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-554355</wp:posOffset>
            </wp:positionV>
            <wp:extent cx="724725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-272415</wp:posOffset>
            </wp:positionV>
            <wp:extent cx="7247255" cy="102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02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20"/>
          </w:cols>
          <w:pgMar w:left="240" w:top="336" w:right="259" w:bottom="1440" w:gutter="0" w:footer="0" w:header="0"/>
          <w:type w:val="continuous"/>
        </w:sectPr>
      </w:pPr>
    </w:p>
    <w:p>
      <w:pPr>
        <w:spacing w:after="0" w:line="1" w:lineRule="exact"/>
        <w:rPr>
          <w:sz w:val="20"/>
          <w:szCs w:val="20"/>
          <w:color w:val="auto"/>
        </w:rPr>
      </w:pPr>
    </w:p>
    <w:p>
      <w:pPr>
        <w:ind w:left="5620" w:right="2400" w:hanging="5612"/>
        <w:spacing w:after="0" w:line="525" w:lineRule="auto"/>
        <w:tabs>
          <w:tab w:leader="none" w:pos="3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2015 includes an estimated $6.0-$7.0 million in lease incentives. 24</w:t>
      </w:r>
    </w:p>
    <w:p>
      <w:pPr>
        <w:sectPr>
          <w:pgSz w:w="11900" w:h="16838" w:orient="portrait"/>
          <w:cols w:equalWidth="0" w:num="1">
            <w:col w:w="11400"/>
          </w:cols>
          <w:pgMar w:left="240" w:top="336" w:right="259" w:bottom="1440" w:gutter="0" w:footer="0" w:header="0"/>
          <w:type w:val="continuous"/>
        </w:sectPr>
      </w:pPr>
    </w:p>
    <w:bookmarkStart w:id="24" w:name="page25"/>
    <w:bookmarkEnd w:id="24"/>
    <w:p>
      <w:pPr>
        <w:ind w:right="280"/>
        <w:spacing w:after="0" w:line="267" w:lineRule="auto"/>
        <w:rPr>
          <w:sz w:val="20"/>
          <w:szCs w:val="20"/>
          <w:color w:val="auto"/>
        </w:rPr>
      </w:pPr>
      <w:r>
        <w:rPr>
          <w:rFonts w:ascii="Arial" w:cs="Arial" w:eastAsia="Arial" w:hAnsi="Arial"/>
          <w:sz w:val="18"/>
          <w:szCs w:val="18"/>
          <w:i w:val="1"/>
          <w:iCs w:val="1"/>
          <w:color w:val="auto"/>
        </w:rPr>
        <w:t xml:space="preserve">EBITDA from continuing operations. </w:t>
      </w:r>
      <w:r>
        <w:rPr>
          <w:rFonts w:ascii="Arial" w:cs="Arial" w:eastAsia="Arial" w:hAnsi="Arial"/>
          <w:sz w:val="18"/>
          <w:szCs w:val="18"/>
          <w:color w:val="auto"/>
        </w:rPr>
        <w:t>The following table is a reconciliation of net loss to EBITDA from continuing operations for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fiscal 2014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For the first quarter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Arial" w:cs="Arial" w:eastAsia="Arial" w:hAnsi="Arial"/>
                <w:sz w:val="14"/>
                <w:szCs w:val="14"/>
                <w:color w:val="auto"/>
              </w:rPr>
              <w:t>Fiscal 2015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2014</w:t>
            </w:r>
          </w:p>
        </w:tc>
      </w:tr>
      <w:tr>
        <w:trPr>
          <w:trHeight w:val="168"/>
        </w:trPr>
        <w:tc>
          <w:tcPr>
            <w:tcW w:w="7800" w:type="dxa"/>
            <w:vAlign w:val="bottom"/>
            <w:gridSpan w:val="2"/>
          </w:tcPr>
          <w:p>
            <w:pPr>
              <w:spacing w:after="0" w:line="168" w:lineRule="exact"/>
              <w:rPr>
                <w:sz w:val="20"/>
                <w:szCs w:val="20"/>
                <w:color w:val="auto"/>
              </w:rPr>
            </w:pPr>
            <w:r>
              <w:rPr>
                <w:rFonts w:ascii="Arial" w:cs="Arial" w:eastAsia="Arial" w:hAnsi="Arial"/>
                <w:sz w:val="16"/>
                <w:szCs w:val="16"/>
                <w:i w:val="1"/>
                <w:iCs w:val="1"/>
                <w:color w:val="auto"/>
              </w:rPr>
              <w:t>(in millions)</w:t>
            </w:r>
          </w:p>
        </w:tc>
        <w:tc>
          <w:tcPr>
            <w:tcW w:w="1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(GAAP basis )</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r>
      <w:tr>
        <w:trPr>
          <w:trHeight w:val="212"/>
        </w:trPr>
        <w:tc>
          <w:tcPr>
            <w:tcW w:w="7800" w:type="dxa"/>
            <w:vAlign w:val="bottom"/>
            <w:gridSpan w:val="2"/>
          </w:tcPr>
          <w:p>
            <w:pPr>
              <w:spacing w:after="0"/>
              <w:rPr>
                <w:sz w:val="20"/>
                <w:szCs w:val="20"/>
                <w:color w:val="auto"/>
              </w:rPr>
            </w:pPr>
            <w:r>
              <w:rPr>
                <w:rFonts w:ascii="Arial" w:cs="Arial" w:eastAsia="Arial" w:hAnsi="Arial"/>
                <w:sz w:val="16"/>
                <w:szCs w:val="16"/>
                <w:color w:val="auto"/>
              </w:rPr>
              <w:t>Add back:</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2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8"/>
                <w:szCs w:val="18"/>
                <w:color w:val="auto"/>
              </w:rPr>
            </w:pPr>
          </w:p>
        </w:tc>
      </w:tr>
      <w:tr>
        <w:trPr>
          <w:trHeight w:val="212"/>
        </w:trPr>
        <w:tc>
          <w:tcPr>
            <w:tcW w:w="78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r>
      <w:tr>
        <w:trPr>
          <w:trHeight w:val="218"/>
        </w:trPr>
        <w:tc>
          <w:tcPr>
            <w:tcW w:w="7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8"/>
                <w:szCs w:val="18"/>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EBITDA (non-GAAP basis)</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r>
      <w:tr>
        <w:trPr>
          <w:trHeight w:val="229"/>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EBITDA from continuing operations (non-GAAP basis)</w:t>
            </w:r>
          </w:p>
        </w:tc>
        <w:tc>
          <w:tcPr>
            <w:tcW w:w="1240" w:type="dxa"/>
            <w:vAlign w:val="bottom"/>
            <w:tcBorders>
              <w:top w:val="single" w:sz="8" w:color="auto"/>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May 2, 2015, the interest rate on our prime based borrowings was 3.75%. Approximately $36.0 million of our outstanding borrowings were in LIBOR contracts with an interest rate of 1.64%. We also have $14.5 million outstanding under a term loan, which bear interest at a variable rate based one-month Libor rates plus 6.5%.</w:t>
      </w:r>
    </w:p>
    <w:p>
      <w:pPr>
        <w:spacing w:after="0" w:line="6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Based upon a sensitivity analysis as of May 2, 2015, assuming average outstanding borrowing during the first three months of fiscal 2015 of $37.4 million under our Credit Facility and $14.5 million outstanding under our term loan, a 50 basis point increase in interest rates would have resulted in a potential increase in interest expense of approximately $259,500 on an annualized basis.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6"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any assets to U.S. dollars may decline. As of May 2, 2015,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2, 2015.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2, 2015, our disclosure controls and procedures were effective.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May 2,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48"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left="260" w:right="160"/>
        <w:spacing w:after="0" w:line="275" w:lineRule="auto"/>
        <w:rPr>
          <w:sz w:val="20"/>
          <w:szCs w:val="20"/>
          <w:color w:val="auto"/>
        </w:rPr>
      </w:pPr>
      <w:r>
        <w:rPr>
          <w:rFonts w:ascii="Arial" w:cs="Arial" w:eastAsia="Arial" w:hAnsi="Arial"/>
          <w:sz w:val="18"/>
          <w:szCs w:val="18"/>
          <w:color w:val="auto"/>
        </w:rPr>
        <w:t>There have been no material changes to the risk factors as previously disclosed in Part I, Item 1A of our Annual Report on Form 10-K for the year ended January 31, 2015, as filed with the Securities and Exchange Commission on March 25, 2015.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29" w:lineRule="exact"/>
        <w:rPr>
          <w:sz w:val="20"/>
          <w:szCs w:val="20"/>
          <w:color w:val="auto"/>
        </w:rPr>
      </w:pPr>
    </w:p>
    <w:p>
      <w:pPr>
        <w:ind w:left="580" w:right="20" w:hanging="572"/>
        <w:spacing w:after="0" w:line="25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May 2, 2015,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SIGNATURES</w:t>
      </w:r>
    </w:p>
    <w:p>
      <w:pPr>
        <w:spacing w:after="0" w:line="223" w:lineRule="exact"/>
        <w:rPr>
          <w:sz w:val="20"/>
          <w:szCs w:val="20"/>
          <w:color w:val="auto"/>
        </w:rPr>
      </w:pPr>
    </w:p>
    <w:p>
      <w:pPr>
        <w:ind w:right="860" w:firstLine="259"/>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7880" w:type="dxa"/>
            <w:vAlign w:val="bottom"/>
            <w:gridSpan w:val="2"/>
          </w:tcPr>
          <w:p>
            <w:pPr>
              <w:ind w:left="2940"/>
              <w:spacing w:after="0"/>
              <w:rPr>
                <w:sz w:val="20"/>
                <w:szCs w:val="20"/>
                <w:color w:val="auto"/>
              </w:rPr>
            </w:pPr>
            <w:r>
              <w:rPr>
                <w:rFonts w:ascii="Arial" w:cs="Arial" w:eastAsia="Arial" w:hAnsi="Arial"/>
                <w:sz w:val="18"/>
                <w:szCs w:val="18"/>
                <w:color w:val="auto"/>
              </w:rPr>
              <w:t>DESTINATION XL GROUP, INC.</w:t>
            </w:r>
          </w:p>
        </w:tc>
      </w:tr>
      <w:tr>
        <w:trPr>
          <w:trHeight w:val="457"/>
        </w:trPr>
        <w:tc>
          <w:tcPr>
            <w:tcW w:w="3540" w:type="dxa"/>
            <w:vAlign w:val="bottom"/>
          </w:tcPr>
          <w:p>
            <w:pPr>
              <w:spacing w:after="0"/>
              <w:rPr>
                <w:sz w:val="20"/>
                <w:szCs w:val="20"/>
                <w:color w:val="auto"/>
              </w:rPr>
            </w:pPr>
            <w:r>
              <w:rPr>
                <w:rFonts w:ascii="Arial" w:cs="Arial" w:eastAsia="Arial" w:hAnsi="Arial"/>
                <w:sz w:val="18"/>
                <w:szCs w:val="18"/>
                <w:color w:val="auto"/>
              </w:rPr>
              <w:t>Date: May 29, 2015</w:t>
            </w:r>
          </w:p>
        </w:tc>
        <w:tc>
          <w:tcPr>
            <w:tcW w:w="7880" w:type="dxa"/>
            <w:vAlign w:val="bottom"/>
            <w:gridSpan w:val="2"/>
          </w:tcPr>
          <w:p>
            <w:pPr>
              <w:ind w:left="2940"/>
              <w:spacing w:after="0"/>
              <w:rPr>
                <w:sz w:val="20"/>
                <w:szCs w:val="20"/>
                <w:color w:val="auto"/>
              </w:rPr>
            </w:pPr>
            <w:r>
              <w:rPr>
                <w:rFonts w:ascii="Arial" w:cs="Arial" w:eastAsia="Arial" w:hAnsi="Arial"/>
                <w:sz w:val="18"/>
                <w:szCs w:val="18"/>
                <w:color w:val="auto"/>
              </w:rPr>
              <w:t>By:  /S/ PETER H. STRATTON, JR.</w:t>
            </w:r>
          </w:p>
        </w:tc>
      </w:tr>
      <w:tr>
        <w:trPr>
          <w:trHeight w:val="194"/>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H. Stratton, Jr.</w:t>
            </w:r>
          </w:p>
        </w:tc>
      </w:tr>
      <w:tr>
        <w:trPr>
          <w:trHeight w:val="230"/>
        </w:trPr>
        <w:tc>
          <w:tcPr>
            <w:tcW w:w="35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60"/>
        </w:trPr>
        <w:tc>
          <w:tcPr>
            <w:tcW w:w="3540" w:type="dxa"/>
            <w:vAlign w:val="bottom"/>
          </w:tcPr>
          <w:p>
            <w:pPr>
              <w:spacing w:after="0"/>
              <w:rPr>
                <w:sz w:val="24"/>
                <w:szCs w:val="24"/>
                <w:color w:val="auto"/>
              </w:rPr>
            </w:pPr>
          </w:p>
        </w:tc>
        <w:tc>
          <w:tcPr>
            <w:tcW w:w="3320" w:type="dxa"/>
            <w:vAlign w:val="bottom"/>
          </w:tcPr>
          <w:p>
            <w:pPr>
              <w:jc w:val="right"/>
              <w:ind w:right="970"/>
              <w:spacing w:after="0"/>
              <w:rPr>
                <w:sz w:val="20"/>
                <w:szCs w:val="20"/>
                <w:color w:val="auto"/>
              </w:rPr>
            </w:pPr>
            <w:r>
              <w:rPr>
                <w:rFonts w:ascii="Arial" w:cs="Arial" w:eastAsia="Arial" w:hAnsi="Arial"/>
                <w:sz w:val="18"/>
                <w:szCs w:val="18"/>
                <w:color w:val="auto"/>
              </w:rPr>
              <w:t>28</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6"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5" w:lineRule="exact"/>
        <w:rPr>
          <w:rFonts w:ascii="Arial" w:cs="Arial" w:eastAsia="Arial" w:hAnsi="Arial"/>
          <w:sz w:val="18"/>
          <w:szCs w:val="18"/>
          <w:color w:val="auto"/>
        </w:rPr>
      </w:pPr>
    </w:p>
    <w:p>
      <w:pPr>
        <w:jc w:val="both"/>
        <w:ind w:left="540" w:right="460" w:hanging="532"/>
        <w:spacing w:after="0" w:line="262"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40" w:right="420" w:hanging="532"/>
        <w:spacing w:after="0" w:line="30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40" w:right="40" w:hanging="532"/>
        <w:spacing w:after="0" w:line="262"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40" w:hanging="494"/>
        <w:spacing w:after="0" w:line="26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540" w:hanging="494"/>
        <w:spacing w:after="0" w:line="26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720" w:hanging="494"/>
        <w:spacing w:after="0" w:line="340"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20" w:hanging="494"/>
        <w:spacing w:after="0" w:line="26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40" w:right="160" w:hanging="532"/>
        <w:spacing w:after="0" w:line="30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140" w:hanging="494"/>
        <w:spacing w:after="0" w:line="306" w:lineRule="auto"/>
        <w:tabs>
          <w:tab w:leader="none" w:pos="10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00" w:hanging="494"/>
        <w:spacing w:after="0" w:line="27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13970</wp:posOffset>
            </wp:positionV>
            <wp:extent cx="2740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David A. Levin</w:t>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6"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5" w:lineRule="exact"/>
        <w:rPr>
          <w:rFonts w:ascii="Arial" w:cs="Arial" w:eastAsia="Arial" w:hAnsi="Arial"/>
          <w:sz w:val="18"/>
          <w:szCs w:val="18"/>
          <w:color w:val="auto"/>
        </w:rPr>
      </w:pPr>
    </w:p>
    <w:p>
      <w:pPr>
        <w:jc w:val="both"/>
        <w:ind w:left="540" w:right="460" w:hanging="532"/>
        <w:spacing w:after="0" w:line="262"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40" w:right="420" w:hanging="532"/>
        <w:spacing w:after="0" w:line="30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40" w:right="40" w:hanging="532"/>
        <w:spacing w:after="0" w:line="262"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40" w:hanging="494"/>
        <w:spacing w:after="0" w:line="26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540" w:hanging="494"/>
        <w:spacing w:after="0" w:line="26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720" w:hanging="494"/>
        <w:spacing w:after="0" w:line="340"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20" w:hanging="494"/>
        <w:spacing w:after="0" w:line="26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40" w:right="160" w:hanging="532"/>
        <w:spacing w:after="0" w:line="30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140" w:hanging="494"/>
        <w:spacing w:after="0" w:line="306" w:lineRule="auto"/>
        <w:tabs>
          <w:tab w:leader="none" w:pos="10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00" w:hanging="494"/>
        <w:spacing w:after="0" w:line="275"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13970</wp:posOffset>
            </wp:positionV>
            <wp:extent cx="274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0" w:firstLine="518"/>
        <w:spacing w:after="0" w:line="262"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2, 2015, as filed with the Securities and Exchange Commission on the date hereof (the “Report”), I, David A. Levin, Chief Executive Officer of the Company, certify pursuant to 18 U.S.C. § 1350, as adopted pursuant to § 906 of the Sarbanes-Oxley Act of 2002, that:</w:t>
      </w:r>
    </w:p>
    <w:p>
      <w:pPr>
        <w:spacing w:after="0" w:line="75" w:lineRule="exact"/>
        <w:rPr>
          <w:sz w:val="20"/>
          <w:szCs w:val="20"/>
          <w:color w:val="auto"/>
        </w:rPr>
      </w:pPr>
    </w:p>
    <w:p>
      <w:pPr>
        <w:ind w:left="1420" w:right="680" w:hanging="330"/>
        <w:spacing w:after="0" w:line="275" w:lineRule="auto"/>
        <w:tabs>
          <w:tab w:leader="none" w:pos="13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3" w:lineRule="exact"/>
        <w:rPr>
          <w:rFonts w:ascii="Arial" w:cs="Arial" w:eastAsia="Arial" w:hAnsi="Arial"/>
          <w:sz w:val="18"/>
          <w:szCs w:val="18"/>
          <w:color w:val="auto"/>
        </w:rPr>
      </w:pPr>
    </w:p>
    <w:p>
      <w:pPr>
        <w:ind w:left="1420" w:right="460" w:hanging="330"/>
        <w:spacing w:after="0" w:line="275" w:lineRule="auto"/>
        <w:tabs>
          <w:tab w:leader="none" w:pos="13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 w:firstLine="518"/>
        <w:spacing w:after="0" w:line="300"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2"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13970</wp:posOffset>
            </wp:positionV>
            <wp:extent cx="2740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David A. Levin</w:t>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pacing w:after="0" w:line="194" w:lineRule="exact"/>
        <w:rPr>
          <w:sz w:val="20"/>
          <w:szCs w:val="20"/>
          <w:color w:val="auto"/>
        </w:rPr>
      </w:pPr>
    </w:p>
    <w:p>
      <w:pPr>
        <w:ind w:right="300" w:firstLine="518"/>
        <w:spacing w:after="0" w:line="285"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2, 2015,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5" w:lineRule="exact"/>
        <w:rPr>
          <w:sz w:val="20"/>
          <w:szCs w:val="20"/>
          <w:color w:val="auto"/>
        </w:rPr>
      </w:pPr>
    </w:p>
    <w:p>
      <w:pPr>
        <w:ind w:left="1420" w:right="680" w:hanging="330"/>
        <w:spacing w:after="0" w:line="275" w:lineRule="auto"/>
        <w:tabs>
          <w:tab w:leader="none" w:pos="1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3" w:lineRule="exact"/>
        <w:rPr>
          <w:rFonts w:ascii="Arial" w:cs="Arial" w:eastAsia="Arial" w:hAnsi="Arial"/>
          <w:sz w:val="18"/>
          <w:szCs w:val="18"/>
          <w:color w:val="auto"/>
        </w:rPr>
      </w:pPr>
    </w:p>
    <w:p>
      <w:pPr>
        <w:ind w:left="1420" w:right="460" w:hanging="330"/>
        <w:spacing w:after="0" w:line="275" w:lineRule="auto"/>
        <w:tabs>
          <w:tab w:leader="none" w:pos="1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 w:firstLine="518"/>
        <w:spacing w:after="0" w:line="300"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2"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13970</wp:posOffset>
            </wp:positionV>
            <wp:extent cx="2740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pacing w:after="0" w:line="194" w:lineRule="exact"/>
        <w:rPr>
          <w:sz w:val="20"/>
          <w:szCs w:val="20"/>
          <w:color w:val="auto"/>
        </w:rPr>
      </w:pPr>
    </w:p>
    <w:p>
      <w:pPr>
        <w:ind w:right="300" w:firstLine="518"/>
        <w:spacing w:after="0" w:line="285"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2019-12-06T01:21:27Z</dcterms:created>
  <dcterms:modified xsi:type="dcterms:W3CDTF">2019-12-06T01:21:27Z</dcterms:modified>
</cp:coreProperties>
</file>