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93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AWM Investment Company,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527 MADISON AVENUE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2600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DESTINATION XL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DXLG</w:t>
            </w:r>
          </w:p>
        </w:tc>
        <w:tc>
          <w:tcPr>
            <w:tcW w:w="170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rPr>
                <w:rFonts w:ascii="Times New Roman" w:cs="Times New Roman" w:eastAsia="Times New Roman" w:hAnsi="Times New Roman"/>
                <w:sz w:val="1"/>
                <w:szCs w:val="1"/>
                <w:color w:val="auto"/>
              </w:rPr>
            </w:pPr>
            <w:hyperlink r:id="rId13">
              <w:r>
                <w:rPr>
                  <w:rFonts w:ascii="Times New Roman" w:cs="Times New Roman" w:eastAsia="Times New Roman" w:hAnsi="Times New Roman"/>
                  <w:sz w:val="1"/>
                  <w:szCs w:val="1"/>
                  <w:color w:val="auto"/>
                </w:rPr>
                <w:t>]</w:t>
              </w:r>
            </w:hyperlink>
          </w:p>
        </w:tc>
        <w:tc>
          <w:tcPr>
            <w:tcW w:w="28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360" w:type="dxa"/>
            <w:vAlign w:val="bottom"/>
            <w:vMerge w:val="continue"/>
          </w:tcPr>
          <w:p>
            <w:pPr>
              <w:spacing w:after="0" w:line="20" w:lineRule="exact"/>
              <w:rPr>
                <w:sz w:val="1"/>
                <w:szCs w:val="1"/>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8"/>
                <w:szCs w:val="18"/>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3"/>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tcPr>
          <w:p>
            <w:pPr>
              <w:ind w:left="400"/>
              <w:spacing w:after="0" w:line="113" w:lineRule="exact"/>
              <w:rPr>
                <w:sz w:val="20"/>
                <w:szCs w:val="20"/>
                <w:color w:val="auto"/>
              </w:rPr>
            </w:pPr>
            <w:r>
              <w:rPr>
                <w:rFonts w:ascii="Arial" w:cs="Arial" w:eastAsia="Arial" w:hAnsi="Arial"/>
                <w:sz w:val="13"/>
                <w:szCs w:val="13"/>
                <w:color w:val="auto"/>
              </w:rPr>
              <w:t>below)</w:t>
            </w:r>
          </w:p>
        </w:tc>
        <w:tc>
          <w:tcPr>
            <w:tcW w:w="360" w:type="dxa"/>
            <w:vAlign w:val="bottom"/>
          </w:tcPr>
          <w:p>
            <w:pPr>
              <w:spacing w:after="0"/>
              <w:rPr>
                <w:sz w:val="9"/>
                <w:szCs w:val="9"/>
                <w:color w:val="auto"/>
              </w:rPr>
            </w:pPr>
          </w:p>
        </w:tc>
        <w:tc>
          <w:tcPr>
            <w:tcW w:w="1240" w:type="dxa"/>
            <w:vAlign w:val="bottom"/>
          </w:tcPr>
          <w:p>
            <w:pPr>
              <w:ind w:left="1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11/23/2022</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10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21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200" w:type="dxa"/>
            <w:vAlign w:val="bottom"/>
          </w:tcPr>
          <w:p>
            <w:pPr>
              <w:spacing w:after="0"/>
              <w:rPr>
                <w:sz w:val="13"/>
                <w:szCs w:val="13"/>
                <w:color w:val="auto"/>
              </w:rPr>
            </w:pP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20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00" w:type="dxa"/>
            <w:vAlign w:val="bottom"/>
          </w:tcPr>
          <w:p>
            <w:pPr>
              <w:spacing w:after="0"/>
              <w:rPr>
                <w:sz w:val="6"/>
                <w:szCs w:val="6"/>
                <w:color w:val="auto"/>
              </w:rPr>
            </w:pP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99"/>
              </w:rPr>
              <w:t>(A) or</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Price</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Transaction(s)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8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(Instr. 3 and 4)</w:t>
            </w:r>
          </w:p>
        </w:tc>
        <w:tc>
          <w:tcPr>
            <w:tcW w:w="2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11/23/2022</w:t>
            </w: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300" w:type="dxa"/>
            <w:vAlign w:val="bottom"/>
          </w:tcPr>
          <w:p>
            <w:pPr>
              <w:spacing w:after="0"/>
              <w:rPr>
                <w:sz w:val="21"/>
                <w:szCs w:val="21"/>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50,000</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7.1326</w:t>
            </w:r>
            <w:r>
              <w:rPr>
                <w:rFonts w:ascii="Times New Roman" w:cs="Times New Roman" w:eastAsia="Times New Roman" w:hAnsi="Times New Roman"/>
                <w:sz w:val="22"/>
                <w:szCs w:val="22"/>
                <w:color w:val="008000"/>
                <w:w w:val="95"/>
                <w:vertAlign w:val="superscript"/>
              </w:rPr>
              <w:t>(1)</w:t>
            </w:r>
          </w:p>
        </w:tc>
        <w:tc>
          <w:tcPr>
            <w:tcW w:w="60" w:type="dxa"/>
            <w:vAlign w:val="bottom"/>
          </w:tcPr>
          <w:p>
            <w:pPr>
              <w:spacing w:after="0"/>
              <w:rPr>
                <w:sz w:val="21"/>
                <w:szCs w:val="21"/>
                <w:color w:val="auto"/>
              </w:rPr>
            </w:pPr>
          </w:p>
        </w:tc>
        <w:tc>
          <w:tcPr>
            <w:tcW w:w="880" w:type="dxa"/>
            <w:vAlign w:val="bottom"/>
            <w:gridSpan w:val="2"/>
            <w:vMerge w:val="restart"/>
          </w:tcPr>
          <w:p>
            <w:pPr>
              <w:jc w:val="center"/>
              <w:ind w:left="92"/>
              <w:spacing w:after="0"/>
              <w:rPr>
                <w:sz w:val="20"/>
                <w:szCs w:val="20"/>
                <w:color w:val="auto"/>
              </w:rPr>
            </w:pPr>
            <w:r>
              <w:rPr>
                <w:rFonts w:ascii="Times New Roman" w:cs="Times New Roman" w:eastAsia="Times New Roman" w:hAnsi="Times New Roman"/>
                <w:sz w:val="17"/>
                <w:szCs w:val="17"/>
                <w:color w:val="0000FF"/>
                <w:w w:val="99"/>
              </w:rPr>
              <w:t>9,670,434</w:t>
            </w:r>
          </w:p>
        </w:tc>
        <w:tc>
          <w:tcPr>
            <w:tcW w:w="200" w:type="dxa"/>
            <w:vAlign w:val="bottom"/>
          </w:tcPr>
          <w:p>
            <w:pPr>
              <w:spacing w:after="0"/>
              <w:rPr>
                <w:sz w:val="21"/>
                <w:szCs w:val="21"/>
                <w:color w:val="auto"/>
              </w:rPr>
            </w:pPr>
          </w:p>
        </w:tc>
        <w:tc>
          <w:tcPr>
            <w:tcW w:w="720" w:type="dxa"/>
            <w:vAlign w:val="bottom"/>
            <w:vMerge w:val="restart"/>
          </w:tcPr>
          <w:p>
            <w:pPr>
              <w:jc w:val="center"/>
              <w:ind w:left="154"/>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Limited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Partnership</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11/25/2022</w:t>
            </w: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300" w:type="dxa"/>
            <w:vAlign w:val="bottom"/>
          </w:tcPr>
          <w:p>
            <w:pPr>
              <w:spacing w:after="0"/>
              <w:rPr>
                <w:sz w:val="21"/>
                <w:szCs w:val="21"/>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75,000</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7.1635</w:t>
            </w:r>
            <w:r>
              <w:rPr>
                <w:rFonts w:ascii="Times New Roman" w:cs="Times New Roman" w:eastAsia="Times New Roman" w:hAnsi="Times New Roman"/>
                <w:sz w:val="22"/>
                <w:szCs w:val="22"/>
                <w:color w:val="008000"/>
                <w:w w:val="95"/>
                <w:vertAlign w:val="superscript"/>
              </w:rPr>
              <w:t>(1)</w:t>
            </w:r>
          </w:p>
        </w:tc>
        <w:tc>
          <w:tcPr>
            <w:tcW w:w="60" w:type="dxa"/>
            <w:vAlign w:val="bottom"/>
          </w:tcPr>
          <w:p>
            <w:pPr>
              <w:spacing w:after="0"/>
              <w:rPr>
                <w:sz w:val="21"/>
                <w:szCs w:val="21"/>
                <w:color w:val="auto"/>
              </w:rPr>
            </w:pPr>
          </w:p>
        </w:tc>
        <w:tc>
          <w:tcPr>
            <w:tcW w:w="880" w:type="dxa"/>
            <w:vAlign w:val="bottom"/>
            <w:gridSpan w:val="2"/>
            <w:vMerge w:val="restart"/>
          </w:tcPr>
          <w:p>
            <w:pPr>
              <w:jc w:val="center"/>
              <w:ind w:left="92"/>
              <w:spacing w:after="0"/>
              <w:rPr>
                <w:sz w:val="20"/>
                <w:szCs w:val="20"/>
                <w:color w:val="auto"/>
              </w:rPr>
            </w:pPr>
            <w:r>
              <w:rPr>
                <w:rFonts w:ascii="Times New Roman" w:cs="Times New Roman" w:eastAsia="Times New Roman" w:hAnsi="Times New Roman"/>
                <w:sz w:val="17"/>
                <w:szCs w:val="17"/>
                <w:color w:val="0000FF"/>
                <w:w w:val="99"/>
              </w:rPr>
              <w:t>9,595,434</w:t>
            </w:r>
          </w:p>
        </w:tc>
        <w:tc>
          <w:tcPr>
            <w:tcW w:w="200" w:type="dxa"/>
            <w:vAlign w:val="bottom"/>
          </w:tcPr>
          <w:p>
            <w:pPr>
              <w:spacing w:after="0"/>
              <w:rPr>
                <w:sz w:val="21"/>
                <w:szCs w:val="21"/>
                <w:color w:val="auto"/>
              </w:rPr>
            </w:pPr>
          </w:p>
        </w:tc>
        <w:tc>
          <w:tcPr>
            <w:tcW w:w="720" w:type="dxa"/>
            <w:vAlign w:val="bottom"/>
            <w:vMerge w:val="restart"/>
          </w:tcPr>
          <w:p>
            <w:pPr>
              <w:jc w:val="center"/>
              <w:ind w:left="154"/>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Limited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Partnership</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11/28/2022</w:t>
            </w: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300" w:type="dxa"/>
            <w:vAlign w:val="bottom"/>
          </w:tcPr>
          <w:p>
            <w:pPr>
              <w:spacing w:after="0"/>
              <w:rPr>
                <w:sz w:val="21"/>
                <w:szCs w:val="21"/>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34"/>
                <w:szCs w:val="34"/>
                <w:color w:val="0000FF"/>
                <w:w w:val="86"/>
                <w:vertAlign w:val="subscript"/>
              </w:rPr>
              <w:t>8,804</w:t>
            </w:r>
            <w:r>
              <w:rPr>
                <w:rFonts w:ascii="Times New Roman" w:cs="Times New Roman" w:eastAsia="Times New Roman" w:hAnsi="Times New Roman"/>
                <w:sz w:val="11"/>
                <w:szCs w:val="11"/>
                <w:color w:val="008000"/>
                <w:w w:val="86"/>
              </w:rPr>
              <w:t>(2)(3)</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7.2112</w:t>
            </w:r>
          </w:p>
        </w:tc>
        <w:tc>
          <w:tcPr>
            <w:tcW w:w="60" w:type="dxa"/>
            <w:vAlign w:val="bottom"/>
          </w:tcPr>
          <w:p>
            <w:pPr>
              <w:spacing w:after="0"/>
              <w:rPr>
                <w:sz w:val="21"/>
                <w:szCs w:val="21"/>
                <w:color w:val="auto"/>
              </w:rPr>
            </w:pPr>
          </w:p>
        </w:tc>
        <w:tc>
          <w:tcPr>
            <w:tcW w:w="10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9,586,630</w:t>
            </w:r>
            <w:r>
              <w:rPr>
                <w:rFonts w:ascii="Times New Roman" w:cs="Times New Roman" w:eastAsia="Times New Roman" w:hAnsi="Times New Roman"/>
                <w:sz w:val="22"/>
                <w:szCs w:val="22"/>
                <w:color w:val="008000"/>
                <w:w w:val="93"/>
                <w:vertAlign w:val="superscript"/>
              </w:rPr>
              <w:t>(2)(3)</w:t>
            </w:r>
          </w:p>
        </w:tc>
        <w:tc>
          <w:tcPr>
            <w:tcW w:w="720" w:type="dxa"/>
            <w:vAlign w:val="bottom"/>
            <w:vMerge w:val="restart"/>
          </w:tcPr>
          <w:p>
            <w:pPr>
              <w:jc w:val="center"/>
              <w:ind w:left="134"/>
              <w:spacing w:after="0"/>
              <w:rPr>
                <w:sz w:val="20"/>
                <w:szCs w:val="20"/>
                <w:color w:val="auto"/>
              </w:rPr>
            </w:pPr>
            <w:r>
              <w:rPr>
                <w:rFonts w:ascii="Times New Roman" w:cs="Times New Roman" w:eastAsia="Times New Roman" w:hAnsi="Times New Roman"/>
                <w:sz w:val="34"/>
                <w:szCs w:val="34"/>
                <w:color w:val="0000FF"/>
                <w:w w:val="96"/>
                <w:vertAlign w:val="subscript"/>
              </w:rPr>
              <w:t>I</w:t>
            </w:r>
            <w:r>
              <w:rPr>
                <w:rFonts w:ascii="Times New Roman" w:cs="Times New Roman" w:eastAsia="Times New Roman" w:hAnsi="Times New Roman"/>
                <w:sz w:val="11"/>
                <w:szCs w:val="11"/>
                <w:color w:val="008000"/>
                <w:w w:val="96"/>
              </w:rPr>
              <w:t>(2)(3)</w:t>
            </w:r>
          </w:p>
        </w:tc>
        <w:tc>
          <w:tcPr>
            <w:tcW w:w="240" w:type="dxa"/>
            <w:vAlign w:val="bottom"/>
          </w:tcPr>
          <w:p>
            <w:pPr>
              <w:spacing w:after="0"/>
              <w:rPr>
                <w:sz w:val="21"/>
                <w:szCs w:val="21"/>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Limited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Partnership</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320" w:type="dxa"/>
            <w:vAlign w:val="bottom"/>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60" w:type="dxa"/>
            <w:vAlign w:val="bottom"/>
            <w:gridSpan w:val="14"/>
          </w:tcPr>
          <w:p>
            <w:pPr>
              <w:ind w:left="5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4.</w:t>
            </w: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Security (Instr.</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gridSpan w:val="2"/>
          </w:tcPr>
          <w:p>
            <w:pPr>
              <w:ind w:left="460"/>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90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(A)</w:t>
            </w:r>
          </w:p>
        </w:tc>
        <w:tc>
          <w:tcPr>
            <w:tcW w:w="440" w:type="dxa"/>
            <w:vAlign w:val="bottom"/>
          </w:tcPr>
          <w:p>
            <w:pPr>
              <w:ind w:left="1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2"/>
              </w:rPr>
              <w:t>Date</w:t>
            </w:r>
          </w:p>
        </w:tc>
        <w:tc>
          <w:tcPr>
            <w:tcW w:w="40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 weighted average price.</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AWM Investment Company, Inc., a Delaware corporation (AWM), is the investment adviser to Special Situations Fund III QP, L.P. (SSFQP), Special Situations Cayman Fund, L.P. (Cay) and Special Situations Private Equity Fund, L.P. (SSPE). (SSPE and together with SSFQP and Cay, the Funds). As the investment adviser to the Funds, AWM holds sole voting and investment power over 5,844,131 shares of Common Stock of the Issuer (the Shares) held by SSFQP, 1,835,668 Shares held by Cay and 1,906,831 Shares held by SSPE.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David M. Greenhouse (Greenhouse) and Adam C. Stettner (Stettner) are the controlling principals of AWM. The reporting person disclaims beneficial ownership of the Shares, except to the extent of its pecuniary interest therein. This report shall not be deemed an admission that the reporting person is the beneficial owner of the securities reported herein for purposes of Section 16 of the Securities Exchange Act of 1934, as amended, or for any other purpose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Adam Stettner</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11/28/2022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526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2022-11-28T15:56:50Z</dcterms:created>
  <dcterms:modified xsi:type="dcterms:W3CDTF">2022-11-28T15:56:50Z</dcterms:modified>
</cp:coreProperties>
</file>