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Jones Stacey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DESTINATION XL GROUP,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TURNPIKE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CANTON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DESTINATION XL GROUP, INC.</w:t>
              </w:r>
            </w:hyperlink>
            <w:r>
              <w:rPr/>
              <w:t xml:space="preserve"> [ </w:t>
            </w:r>
            <w:r>
              <w:rPr>
                <w:rFonts w:ascii="Times;serif" w:hAnsi="Times;serif"/>
                <w:color w:val="0000FF"/>
                <w:sz w:val="24"/>
                <w:shd w:fill="FFFFFF" w:val="clear"/>
              </w:rPr>
              <w:t>DXLG</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17,253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04/01/2034</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17,253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represent the time-based portion of the 2024-2026 Long-Term Incentive Plan award for the Reporting Person. The RSUs vest and become exercisable in four equal installments on April 1, 2025, April 1, 2026, April 1, 2027 and April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as defined in the Company's 2016 Incentive Compensation Plan, represents a contingent right to receive one share of DXLG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Stacey 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6467" TargetMode="External"/><Relationship Id="rId4" Type="http://schemas.openxmlformats.org/officeDocument/2006/relationships/hyperlink" Target="http://www.sec.gov/cgi-bin/browse-edgar?action=getcompany&amp;CIK=000081329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3441</Characters>
  <CharactersWithSpaces>4010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