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August 17, 2012</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35" w:lineRule="exact"/>
        <w:rPr>
          <w:sz w:val="24"/>
          <w:szCs w:val="24"/>
          <w:color w:val="auto"/>
        </w:rPr>
      </w:pPr>
    </w:p>
    <w:p>
      <w:pPr>
        <w:sectPr>
          <w:pgSz w:w="11900" w:h="16838" w:orient="portrait"/>
          <w:cols w:equalWidth="0" w:num="2">
            <w:col w:w="7500" w:space="720"/>
            <w:col w:w="2800"/>
          </w:cols>
          <w:pgMar w:left="240" w:top="314" w:right="639" w:bottom="1440" w:gutter="0" w:footer="0" w:header="0"/>
          <w:type w:val="continuous"/>
        </w:sectPr>
      </w:pPr>
    </w:p>
    <w:p>
      <w:pPr>
        <w:spacing w:after="0" w:line="9" w:lineRule="exact"/>
        <w:rPr>
          <w:sz w:val="24"/>
          <w:szCs w:val="24"/>
          <w:color w:val="auto"/>
        </w:rPr>
      </w:pPr>
    </w:p>
    <w:p>
      <w:pPr>
        <w:ind w:left="220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4"/>
          <w:szCs w:val="14"/>
          <w:b w:val="1"/>
          <w:bCs w:val="1"/>
          <w:color w:val="auto"/>
        </w:rPr>
        <w:t>(IRS Employer</w:t>
      </w:r>
    </w:p>
    <w:p>
      <w:pPr>
        <w:jc w:val="center"/>
        <w:ind w:right="1700"/>
        <w:spacing w:after="0"/>
        <w:rPr>
          <w:sz w:val="20"/>
          <w:szCs w:val="20"/>
          <w:color w:val="auto"/>
        </w:rPr>
      </w:pPr>
      <w:r>
        <w:rPr>
          <w:rFonts w:ascii="Arial" w:cs="Arial" w:eastAsia="Arial" w:hAnsi="Arial"/>
          <w:sz w:val="12"/>
          <w:szCs w:val="12"/>
          <w:b w:val="1"/>
          <w:bCs w:val="1"/>
          <w:color w:val="auto"/>
        </w:rPr>
        <w:t>Identification Number)</w:t>
      </w:r>
    </w:p>
    <w:p>
      <w:pPr>
        <w:spacing w:after="0" w:line="157" w:lineRule="exact"/>
        <w:rPr>
          <w:sz w:val="24"/>
          <w:szCs w:val="24"/>
          <w:color w:val="auto"/>
        </w:rPr>
      </w:pPr>
    </w:p>
    <w:p>
      <w:pPr>
        <w:sectPr>
          <w:pgSz w:w="11900" w:h="16838" w:orient="portrait"/>
          <w:cols w:equalWidth="0" w:num="2">
            <w:col w:w="7260" w:space="720"/>
            <w:col w:w="30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August 17, 2012, Casual Male Retail Group, Inc. (the “Company”) issued a press release announcing the Company’s operating results for the second quarter of fiscal 2012. The Company also provided revised guidance for fiscal 2012. A copy of this press release is attached hereto as Exhibit 99.1.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Exhibit No.</w:t>
            </w:r>
          </w:p>
        </w:tc>
        <w:tc>
          <w:tcPr>
            <w:tcW w:w="780" w:type="dxa"/>
            <w:vAlign w:val="bottom"/>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4940" w:type="dxa"/>
            <w:vAlign w:val="bottom"/>
          </w:tcPr>
          <w:p>
            <w:pPr>
              <w:spacing w:after="0"/>
              <w:rPr>
                <w:sz w:val="14"/>
                <w:szCs w:val="14"/>
                <w:color w:val="auto"/>
              </w:rPr>
            </w:pPr>
          </w:p>
        </w:tc>
      </w:tr>
      <w:tr>
        <w:trPr>
          <w:trHeight w:val="316"/>
        </w:trPr>
        <w:tc>
          <w:tcPr>
            <w:tcW w:w="680" w:type="dxa"/>
            <w:vAlign w:val="bottom"/>
          </w:tcPr>
          <w:p>
            <w:pPr>
              <w:jc w:val="right"/>
              <w:ind w:right="102"/>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86"/>
              </w:rPr>
              <w:t>Press release announcing operating results for the second quarter of fiscal 2012.</w:t>
            </w:r>
          </w:p>
        </w:tc>
      </w:tr>
    </w:tbl>
    <w:p>
      <w:pPr>
        <w:sectPr>
          <w:pgSz w:w="11900" w:h="16838" w:orient="portrait"/>
          <w:cols w:equalWidth="0" w:num="1">
            <w:col w:w="11260"/>
          </w:cols>
          <w:pgMar w:left="240" w:top="274" w:right="3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 August 17, 2012</w:t>
      </w:r>
    </w:p>
    <w:p>
      <w:pPr>
        <w:sectPr>
          <w:pgSz w:w="11900" w:h="16838" w:orient="portrait"/>
          <w:cols w:equalWidth="0" w:num="1">
            <w:col w:w="10980"/>
          </w:cols>
          <w:pgMar w:left="240" w:top="280"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1835150" cy="43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515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 482-9715</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Reports Second-Quarter 2012 Financial Results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Accelerates Roll Out of DestinationXL Concept</w:t>
      </w:r>
    </w:p>
    <w:p>
      <w:pPr>
        <w:spacing w:after="0" w:line="165"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 xml:space="preserve">CANTON, Mass., August 17, 2012 — </w:t>
      </w:r>
      <w:r>
        <w:rPr>
          <w:rFonts w:ascii="Arial" w:cs="Arial" w:eastAsia="Arial" w:hAnsi="Arial"/>
          <w:sz w:val="18"/>
          <w:szCs w:val="18"/>
          <w:b w:val="1"/>
          <w:bCs w:val="1"/>
          <w:u w:val="single" w:color="auto"/>
          <w:color w:val="auto"/>
        </w:rPr>
        <w:t>Casual Male Retail Group, Inc.</w:t>
      </w:r>
      <w:r>
        <w:rPr>
          <w:rFonts w:ascii="Arial" w:cs="Arial" w:eastAsia="Arial" w:hAnsi="Arial"/>
          <w:sz w:val="18"/>
          <w:szCs w:val="18"/>
          <w:color w:val="auto"/>
        </w:rPr>
        <w:t xml:space="preserve"> (NASDAQ: CMRG), the largest multi-channel specialty retailer of big &amp; tall men’s apparel and accessories, today reported operating results for the second quarter of fiscal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Highlights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Comparable sales increased 2.0% and total sales were essentially flat with the second quarter of fiscal 2011 at $100.5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was 46.4% compared with 48.4% for the prior-year quarter.</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Effective tax rate for fiscal 2012 of approximately 40.4% compared with 9.4% for fiscal 2011 as a result of the reversal of the Company’s valuation allowance in fiscal 2011.</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Income from continuing operations was $3.0 million, or $0.06 per diluted share, compared with $7.1 million, or $0.15 per diluted share, in the prior year. Assuming a normal tax rate of 40.0% for fiscal 2011, income from continuing operations for the second quarter of fiscal 2011 was $0.10 per diluted share.</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was $1.2 million, or $0.03 per diluted share, compared to net income of $6.6 million, or $0.14 per diluted share in the prior year’s second quarter. Assuming a normal tax rate of 40.0% for fiscal 2011, adjusted net income for the second quarter of fiscal 2011 was $0.09 per diluted share. See below for a reconciliation of these Non-GAAP measures.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Comments</w:t>
      </w:r>
    </w:p>
    <w:p>
      <w:pPr>
        <w:spacing w:after="0" w:line="9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“Based on the strong performance of our DestinationXL (DXL) stores, we are accelerating our roll-out strategy and more aggressively opening DXL stores and closing our traditional Casual Male XL locations,” said President and CEO David Levin. “We now plan to complete our roll out of 225 to 250 DXL stores by the end of fiscal 2015. To support the transition to DXL, we are undergoing a paradigm shift in our approach to improve awareness of DXL and fully capitalize on the concept. Of course, the accelerated investment in DXL will affect our bottom line and cash flow during this three year transition, but our projections, which are based on current economic conditions, suggest that this investment is expected to enhance revenues significantly and produce double digit operating margins for the longer term. Our financial modeling, based upon what has been learned to date, indicates that at the end of the three year accelerated investment period in the DXL concept, the Company’s sales in fiscal 2016 should exceed $600 million with operating margins in excess of 10%. In addition, we expect that the three-year $150 million investment in the DXL roll out will be funded completely from operating cash flow.”</w:t>
      </w:r>
    </w:p>
    <w:p>
      <w:pPr>
        <w:sectPr>
          <w:pgSz w:w="11900" w:h="16838" w:orient="portrait"/>
          <w:cols w:equalWidth="0" w:num="1">
            <w:col w:w="11420"/>
          </w:cols>
          <w:pgMar w:left="240" w:top="125" w:right="239" w:bottom="1440" w:gutter="0" w:footer="0" w:header="0"/>
        </w:sectPr>
      </w:pPr>
    </w:p>
    <w:bookmarkStart w:id="4" w:name="page5"/>
    <w:bookmarkEnd w:id="4"/>
    <w:p>
      <w:pPr>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year, we have opened 13 new DXL stores and are on schedule to have 51 DXL stores operating by year end,” said Levin. “The DXL concept is more attractive to a wider customer audience due to the expansive private label and name-brand apparel selection, a broader range of sizes for the end-of-rack customer, and an appealing shopping environment. Average dollars per transaction at DXL stores is currently 41% higher than the average Casual Male XL purchase, which provides us an opportunity to capture greater wallet share and improve operating margins. We look forward to capitalizing on this exciting opportunity.”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Second-Quarter Fiscal 2012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the second quarter of fiscal 2012, total sales were $100.5 million compared with $100.4 million in the second quarter of fiscal 2011. Comparable sales for the second quarter increased 2.0% when compared with the same period of the prior year. On a comparable basis, sales from the retail business increased 1.6% while the U.S. direct business increased 3.4%. The increase in the retail business of 1.6% was primarily driven by the new DXL stores. Same store DXL sales were 17.1% for the second quarter of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For the second quarter of fiscal 2012, gross margin, inclusive of occupancy costs, was 46.4% compared with gross margin of 48.4% for the second quarter of fiscal 2011. The decrease of 200 basis points was the result of a decrease of 120 basis points in merchandise margins plus an increase of 80 basis points in occupancy costs. Merchandise margin was negatively affected during the second quarter of fiscal 2012 by an increase in promotional activities incurred in connection with a May promotional event. On a dollar basis, occupancy costs for the second quarter of fiscal 2012 increased 5.3% over the prior year. This increase is largely due to the timing of the 13 DXL store openings and the associated pre-opening occupancy costs incurred.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SG&amp;A expenses for the second quarter of fiscal 2012 were 37.4% of sales compared with 37.5% of sales for the second quarter of fiscal 2011. On a dollar basis, SG&amp;A expenses of $37.6 million for the second quarter of fiscal 2012 were flat with the prior-year quarter.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Depreciation and amortization for the second quarter of fiscal 2012 grew to $3.7 million from $3.0 million for the second quarter of fiscal 2011 due to increased amortization of approximately $0.5 million for the Company’s “Casual Male” trademark.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As a result of its valuation allowance being substantially reversed in the fourth quarter of fiscal 2011, the Company has returned to a normal tax provision for fiscal 2012. Accordingly, for the six months of fiscal 2012, the effective tax rate was 40.4% compared with 9.4% for the six months of fiscal 2011. The effective tax rate for the second quarter of fiscal 2011 was reduced from the statutory rate due to the utilization of fully reserved NOL carryforwards.</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Discontinued Operations</w:t>
      </w:r>
    </w:p>
    <w:p>
      <w:pPr>
        <w:spacing w:after="0" w:line="9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second quarter of fiscal 2012, the Company completed the closure of its European Web stores, which was previously announced at the end of fiscal 2011, and paid an early termination fee of $1.1 million associated with exiting this business. The operating results for the European Direct business has been reclassified to discontinued operations for all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Cash flow from operations was $10.8 million for the first six months of fiscal 2012 compared with $18.2 million for the first six months of fiscal 2011. Free cash flow from operations (as defined below under Non-GAAP Measures) decreased by $14.1 million from $13.4 million for the first six months of fiscal 2011 to $(0.7) million for the first six months of fiscal 2012, largely due to the increase in capital expenditures associated with the 13 new DXL store openings.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&amp; Liquidity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At July 28, 2012, the Company had cash and cash equivalents of $9.8 million, no outstanding debt and full availability under its credit facility of $75 million.</w:t>
      </w:r>
    </w:p>
    <w:p>
      <w:pPr>
        <w:spacing w:after="0" w:line="19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At July 28, 2012, inventory was $103.6 million compared with $104.2 million at the end of fiscal 2011 and $95.0 million at the end of second quarter of fiscal 2011. While inventory dollars increased 9.1% from July 30, 2011 as a result of cost increases and shifting product mix, units decreased by 4%. Unit inventories in branded product have increased by approximately 35% over the prior year to support the DXL store product assortments.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Retail Store Information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420" w:type="dxa"/>
            <w:vAlign w:val="bottom"/>
            <w:gridSpan w:val="4"/>
          </w:tcPr>
          <w:p>
            <w:pPr>
              <w:jc w:val="right"/>
              <w:ind w:right="460"/>
              <w:spacing w:after="0"/>
              <w:rPr>
                <w:sz w:val="20"/>
                <w:szCs w:val="20"/>
                <w:color w:val="auto"/>
              </w:rPr>
            </w:pPr>
            <w:r>
              <w:rPr>
                <w:rFonts w:ascii="Arial" w:cs="Arial" w:eastAsia="Arial" w:hAnsi="Arial"/>
                <w:sz w:val="14"/>
                <w:szCs w:val="14"/>
                <w:color w:val="auto"/>
              </w:rPr>
              <w:t>Year End 2011</w:t>
            </w:r>
          </w:p>
        </w:tc>
        <w:tc>
          <w:tcPr>
            <w:tcW w:w="1420" w:type="dxa"/>
            <w:vAlign w:val="bottom"/>
            <w:gridSpan w:val="4"/>
          </w:tcPr>
          <w:p>
            <w:pPr>
              <w:jc w:val="right"/>
              <w:ind w:right="440"/>
              <w:spacing w:after="0"/>
              <w:rPr>
                <w:sz w:val="20"/>
                <w:szCs w:val="20"/>
                <w:color w:val="auto"/>
              </w:rPr>
            </w:pPr>
            <w:r>
              <w:rPr>
                <w:rFonts w:ascii="Arial" w:cs="Arial" w:eastAsia="Arial" w:hAnsi="Arial"/>
                <w:sz w:val="14"/>
                <w:szCs w:val="14"/>
                <w:color w:val="auto"/>
              </w:rPr>
              <w:t>First Half 2012</w:t>
            </w:r>
          </w:p>
        </w:tc>
        <w:tc>
          <w:tcPr>
            <w:tcW w:w="1220" w:type="dxa"/>
            <w:vAlign w:val="bottom"/>
            <w:gridSpan w:val="4"/>
          </w:tcPr>
          <w:p>
            <w:pPr>
              <w:ind w:left="120"/>
              <w:spacing w:after="0"/>
              <w:rPr>
                <w:sz w:val="20"/>
                <w:szCs w:val="20"/>
                <w:color w:val="auto"/>
              </w:rPr>
            </w:pPr>
            <w:r>
              <w:rPr>
                <w:rFonts w:ascii="Arial" w:cs="Arial" w:eastAsia="Arial" w:hAnsi="Arial"/>
                <w:sz w:val="14"/>
                <w:szCs w:val="14"/>
                <w:color w:val="auto"/>
              </w:rPr>
              <w:t>Year End 2012E</w:t>
            </w:r>
          </w:p>
        </w:tc>
      </w:tr>
      <w:tr>
        <w:trPr>
          <w:trHeight w:val="129"/>
        </w:trPr>
        <w:tc>
          <w:tcPr>
            <w:tcW w:w="7360" w:type="dxa"/>
            <w:vAlign w:val="bottom"/>
          </w:tcPr>
          <w:p>
            <w:pPr>
              <w:spacing w:after="0"/>
              <w:rPr>
                <w:sz w:val="11"/>
                <w:szCs w:val="11"/>
                <w:color w:val="auto"/>
              </w:rPr>
            </w:pPr>
          </w:p>
        </w:tc>
        <w:tc>
          <w:tcPr>
            <w:tcW w:w="68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 of</w:t>
            </w:r>
          </w:p>
        </w:tc>
        <w:tc>
          <w:tcPr>
            <w:tcW w:w="44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w w:val="97"/>
              </w:rPr>
              <w:t>Sq Ft.</w:t>
            </w:r>
          </w:p>
        </w:tc>
        <w:tc>
          <w:tcPr>
            <w:tcW w:w="300" w:type="dxa"/>
            <w:vAlign w:val="bottom"/>
          </w:tcPr>
          <w:p>
            <w:pPr>
              <w:spacing w:after="0"/>
              <w:rPr>
                <w:sz w:val="11"/>
                <w:szCs w:val="11"/>
                <w:color w:val="auto"/>
              </w:rPr>
            </w:pPr>
          </w:p>
        </w:tc>
        <w:tc>
          <w:tcPr>
            <w:tcW w:w="66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 of</w:t>
            </w:r>
          </w:p>
        </w:tc>
        <w:tc>
          <w:tcPr>
            <w:tcW w:w="46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7"/>
              </w:rPr>
              <w:t>Sq Ft.</w:t>
            </w:r>
          </w:p>
        </w:tc>
        <w:tc>
          <w:tcPr>
            <w:tcW w:w="30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 of</w:t>
            </w:r>
          </w:p>
        </w:tc>
        <w:tc>
          <w:tcPr>
            <w:tcW w:w="46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7"/>
              </w:rPr>
              <w:t>Sq Ft.</w:t>
            </w:r>
          </w:p>
        </w:tc>
        <w:tc>
          <w:tcPr>
            <w:tcW w:w="100" w:type="dxa"/>
            <w:vAlign w:val="bottom"/>
          </w:tcPr>
          <w:p>
            <w:pPr>
              <w:spacing w:after="0"/>
              <w:rPr>
                <w:sz w:val="11"/>
                <w:szCs w:val="11"/>
                <w:color w:val="auto"/>
              </w:rPr>
            </w:pPr>
          </w:p>
        </w:tc>
      </w:tr>
      <w:tr>
        <w:trPr>
          <w:trHeight w:val="161"/>
        </w:trPr>
        <w:tc>
          <w:tcPr>
            <w:tcW w:w="736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Stores</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(000’s)</w:t>
            </w:r>
          </w:p>
        </w:tc>
        <w:tc>
          <w:tcPr>
            <w:tcW w:w="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Stores</w:t>
            </w: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(000’s)</w:t>
            </w: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77"/>
              </w:rPr>
              <w:t>Stores</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(000’s)</w:t>
            </w:r>
          </w:p>
        </w:tc>
      </w:tr>
      <w:tr>
        <w:trPr>
          <w:trHeight w:val="210"/>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Casual Male XL</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1,496</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1,396</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b w:val="1"/>
                <w:bCs w:val="1"/>
                <w:color w:val="auto"/>
              </w:rPr>
              <w:t>DestinationXL</w:t>
            </w: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159</w:t>
            </w: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298</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46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Rochester Clothing</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r>
      <w:tr>
        <w:trPr>
          <w:trHeight w:val="228"/>
        </w:trPr>
        <w:tc>
          <w:tcPr>
            <w:tcW w:w="7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450</w:t>
            </w:r>
          </w:p>
        </w:tc>
        <w:tc>
          <w:tcPr>
            <w:tcW w:w="30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1,777</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441</w:t>
            </w:r>
          </w:p>
        </w:tc>
        <w:tc>
          <w:tcPr>
            <w:tcW w:w="28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1,812</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413</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1,843</w:t>
            </w:r>
          </w:p>
        </w:tc>
        <w:tc>
          <w:tcPr>
            <w:tcW w:w="100" w:type="dxa"/>
            <w:vAlign w:val="bottom"/>
          </w:tcPr>
          <w:p>
            <w:pPr>
              <w:spacing w:after="0"/>
              <w:rPr>
                <w:sz w:val="19"/>
                <w:szCs w:val="19"/>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2012 Outlook</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Due to the sluggish consumer spending environment and the sales erosion at Casual Male XL stores due to the new DXL stores, the Company has revised its guidance for the fiscal year ending February 2, 2013 as follows:</w:t>
      </w:r>
    </w:p>
    <w:p>
      <w:pPr>
        <w:spacing w:after="0" w:line="51"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Comparable sales increase of 3.0% to 4.0% and total sales of $405.5 million to $410.0 million.</w:t>
      </w:r>
    </w:p>
    <w:p>
      <w:pPr>
        <w:sectPr>
          <w:pgSz w:w="11900" w:h="16838" w:orient="portrait"/>
          <w:cols w:equalWidth="0" w:num="1">
            <w:col w:w="11420"/>
          </w:cols>
          <w:pgMar w:left="240" w:top="280" w:right="239" w:bottom="1440" w:gutter="0" w:footer="0" w:header="0"/>
        </w:sectPr>
      </w:pPr>
    </w:p>
    <w:bookmarkStart w:id="6" w:name="page7"/>
    <w:bookmarkEnd w:id="6"/>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Gross profit margin is expected to be flat to up by 75 basis points from 2011 to a range of 46.2% to 47%.</w:t>
      </w:r>
    </w:p>
    <w:p>
      <w:pPr>
        <w:spacing w:after="0" w:line="90" w:lineRule="exact"/>
        <w:rPr>
          <w:rFonts w:ascii="Arial" w:cs="Arial" w:eastAsia="Arial" w:hAnsi="Arial"/>
          <w:sz w:val="18"/>
          <w:szCs w:val="18"/>
          <w:color w:val="auto"/>
        </w:rPr>
      </w:pPr>
    </w:p>
    <w:p>
      <w:pPr>
        <w:ind w:left="900" w:right="100" w:hanging="446"/>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SG&amp;A costs are expected to increase by $2.2 million to $5.2 million to a range of $155 million to $158 million, primarily due to the additional store payroll and advertising costs associated with the planned DXL store openings and expected bonus accruals. Included in this increase is approximately $2.5 million for the additional 53rd week in fiscal 2012. As a percentage of sales, SG&amp;A expenses are expected to improve over last year by 10 to 40 basis points to between 38.0% and 38.3%.</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 provision to return to a normal tax rate of approximately 40.0%.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of $0.22-$0.25 from previous guidance of $0.22-$0.27.</w:t>
      </w:r>
    </w:p>
    <w:p>
      <w:pPr>
        <w:spacing w:after="0" w:line="9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of approximately $5.0 million, which is based on operating cash flow of approximately $40.0 million and capital expenditures of approximately $35.0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will hold a conference call to review its financial results and business highlights today, Friday, August 17, 2012 at 9:00 a.m. ET. Those who wish to listen to the live webcast should visit the “</w:t>
      </w:r>
      <w:r>
        <w:rPr>
          <w:rFonts w:ascii="Arial" w:cs="Arial" w:eastAsia="Arial" w:hAnsi="Arial"/>
          <w:sz w:val="18"/>
          <w:szCs w:val="18"/>
          <w:u w:val="single" w:color="auto"/>
          <w:color w:val="auto"/>
        </w:rPr>
        <w:t>Investors</w:t>
      </w:r>
      <w:r>
        <w:rPr>
          <w:rFonts w:ascii="Arial" w:cs="Arial" w:eastAsia="Arial" w:hAnsi="Arial"/>
          <w:sz w:val="18"/>
          <w:szCs w:val="18"/>
          <w:color w:val="auto"/>
        </w:rPr>
        <w:t>” section of the Company’s website. The live call also can be accessed by dialing: (888) 587-0612. For interested parties unable to participate live, an archived version of the webcast may be accessed by visiting the “Events &amp; Presentations” section of the Company’s website for up to one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addition to financial measures prepared in accordance with generally accepted accounting principles (GAAP), the above discussion refers to non-GAAP adjusted income from continuing operations per diluted share and adjusted diluted earnings per share (“non-GAAP” or “adjusted”). These measures should not be considered superior to or as a substitute for income from continuing operations per diluted share and diluted earnings per share derived in accordance with GAAP. The Company believes that these non-GAAP measures are useful as an additional means for investors to evaluate the Company’s operating results, when reviewed in conjunction with the Company’s GAAP financial statements. The Company believes the inclusion of these non-GAAP measures enhances an investor’s understanding of the underlying trends in the Company’s business and provide for better comparability between different periods in different years.</w:t>
      </w:r>
    </w:p>
    <w:p>
      <w:pPr>
        <w:spacing w:after="0" w:line="12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above discussion also refers to free cash flow, which also is a non-GAAP measure. The presentation of non-GAAP free cash flow is not a measure determined by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release may not be comparable to similar measures used by other companies. The Company calculates free cash flows as cash flow from operating activities less capital expenditures and less discretionary store asset acquisitions, if applicable.</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Below are tables showing the reconciliation of all GAAP measures to non-GAAP measures.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Casual Male Retail Group, Inc.</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Casual Male Retail Group, Inc. is the largest multi-channel specialty retailer of big &amp; tall men’s apparel with operations throughout the United States, Canada and Europe. The retailer operates DestinationXL</w:t>
      </w:r>
      <w:r>
        <w:rPr>
          <w:rFonts w:ascii="Arial" w:cs="Arial" w:eastAsia="Arial" w:hAnsi="Arial"/>
          <w:sz w:val="10"/>
          <w:szCs w:val="10"/>
          <w:color w:val="auto"/>
        </w:rPr>
        <w:t>®</w:t>
      </w:r>
      <w:r>
        <w:rPr>
          <w:rFonts w:ascii="Arial" w:cs="Arial" w:eastAsia="Arial" w:hAnsi="Arial"/>
          <w:sz w:val="16"/>
          <w:szCs w:val="16"/>
          <w:color w:val="auto"/>
        </w:rPr>
        <w:t xml:space="preserve">, Casual Male XL, Rochester Clothing, B&amp;T Factory Direct, ShoesXL and LivingXL. Several catalogs and e-commerce sites, including </w:t>
      </w:r>
      <w:r>
        <w:rPr>
          <w:rFonts w:ascii="Arial" w:cs="Arial" w:eastAsia="Arial" w:hAnsi="Arial"/>
          <w:sz w:val="16"/>
          <w:szCs w:val="16"/>
          <w:u w:val="single" w:color="auto"/>
          <w:color w:val="auto"/>
        </w:rPr>
        <w:t>www.destinationxl.com</w:t>
      </w:r>
      <w:r>
        <w:rPr>
          <w:rFonts w:ascii="Arial" w:cs="Arial" w:eastAsia="Arial" w:hAnsi="Arial"/>
          <w:sz w:val="16"/>
          <w:szCs w:val="16"/>
          <w:color w:val="auto"/>
        </w:rPr>
        <w:t xml:space="preserve">, make up the Company’s direct-to-consumer business. With more than 2,000 private label and name-brand styles to choose from,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6"/>
          <w:szCs w:val="16"/>
          <w:u w:val="single" w:color="auto"/>
          <w:color w:val="auto"/>
        </w:rPr>
        <w:t>http://investor.casualmale.com</w:t>
      </w:r>
      <w:r>
        <w:rPr>
          <w:rFonts w:ascii="Arial" w:cs="Arial" w:eastAsia="Arial" w:hAnsi="Arial"/>
          <w:sz w:val="16"/>
          <w:szCs w:val="16"/>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96" w:lineRule="exact"/>
        <w:rPr>
          <w:sz w:val="20"/>
          <w:szCs w:val="20"/>
          <w:color w:val="auto"/>
        </w:rPr>
      </w:pPr>
    </w:p>
    <w:p>
      <w:pPr>
        <w:jc w:val="both"/>
        <w:ind w:right="20"/>
        <w:spacing w:after="0" w:line="302" w:lineRule="auto"/>
        <w:rPr>
          <w:sz w:val="20"/>
          <w:szCs w:val="20"/>
          <w:color w:val="auto"/>
        </w:rPr>
      </w:pPr>
      <w:r>
        <w:rPr>
          <w:rFonts w:ascii="Arial" w:cs="Arial" w:eastAsia="Arial" w:hAnsi="Arial"/>
          <w:sz w:val="15"/>
          <w:szCs w:val="15"/>
          <w:i w:val="1"/>
          <w:iCs w:val="1"/>
          <w:color w:val="auto"/>
        </w:rPr>
        <w:t>Certain information contained in this press release, including cash flows, operating margins, store counts, earnings expectations for fiscal 2012 and estimates for fiscal 2016,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w:t>
      </w:r>
    </w:p>
    <w:p>
      <w:pPr>
        <w:spacing w:after="0" w:line="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The Company encourages readers of forward-looking information concerning the Company to refer to its prior filings with the Securities and Exchange Commission, including without limitation, its Annual Report on Form 10-K filed on March 16, 2012, that set forth certain risks and uncertainties that may have an impact on future results and direction of the Company.</w:t>
      </w:r>
    </w:p>
    <w:p>
      <w:pPr>
        <w:spacing w:after="0" w:line="144"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ectPr>
          <w:pgSz w:w="11900" w:h="16838" w:orient="portrait"/>
          <w:cols w:equalWidth="0" w:num="1">
            <w:col w:w="11400"/>
          </w:cols>
          <w:pgMar w:left="240" w:top="280"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EPS RECONCILIATION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w w:val="90"/>
              </w:rPr>
              <w:t>For the three months ended</w:t>
            </w: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July 28, 2012</w:t>
            </w:r>
          </w:p>
        </w:tc>
        <w:tc>
          <w:tcPr>
            <w:tcW w:w="26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7"/>
              </w:rPr>
              <w:t>July 30, 2011</w:t>
            </w: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GAAP basis</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2,994</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7,133</w:t>
            </w:r>
          </w:p>
        </w:tc>
        <w:tc>
          <w:tcPr>
            <w:tcW w:w="100" w:type="dxa"/>
            <w:vAlign w:val="bottom"/>
            <w:tcBorders>
              <w:top w:val="single" w:sz="8" w:color="CCEEFF"/>
            </w:tcBorders>
            <w:shd w:val="clear" w:color="auto" w:fill="CCEEFF"/>
          </w:tcPr>
          <w:p>
            <w:pPr>
              <w:spacing w:after="0"/>
              <w:rPr>
                <w:sz w:val="18"/>
                <w:szCs w:val="18"/>
                <w:color w:val="auto"/>
              </w:rPr>
            </w:pPr>
          </w:p>
        </w:tc>
      </w:tr>
      <w:tr>
        <w:trPr>
          <w:trHeight w:val="322"/>
        </w:trPr>
        <w:tc>
          <w:tcPr>
            <w:tcW w:w="7660" w:type="dxa"/>
            <w:vAlign w:val="bottom"/>
            <w:gridSpan w:val="2"/>
          </w:tcPr>
          <w:p>
            <w:pPr>
              <w:spacing w:after="0"/>
              <w:rPr>
                <w:sz w:val="20"/>
                <w:szCs w:val="20"/>
                <w:color w:val="auto"/>
              </w:rPr>
            </w:pPr>
            <w:r>
              <w:rPr>
                <w:rFonts w:ascii="Arial" w:cs="Arial" w:eastAsia="Arial" w:hAnsi="Arial"/>
                <w:sz w:val="18"/>
                <w:szCs w:val="18"/>
                <w:color w:val="auto"/>
              </w:rPr>
              <w:t>Add back: actual tax provision recorded at 9.4%</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Deduct: estimated income tax provision, assuming an effective rate of 40%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(3,148)</w:t>
            </w:r>
          </w:p>
        </w:tc>
      </w:tr>
      <w:tr>
        <w:trPr>
          <w:trHeight w:val="222"/>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Adjusted income from continuing operations, Non-GAAP</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2,994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4,723</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loss from discontinued operations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(1,756)</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(575)</w:t>
            </w: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 Non-GAAP</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GAAP</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r>
      <w:tr>
        <w:trPr>
          <w:trHeight w:val="322"/>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Adjusted income from continuing operations, Non-GAAP</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0.06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b w:val="1"/>
                <w:bCs w:val="1"/>
                <w:color w:val="auto"/>
                <w:w w:val="79"/>
              </w:rPr>
              <w:t>$</w:t>
            </w:r>
          </w:p>
        </w:tc>
        <w:tc>
          <w:tcPr>
            <w:tcW w:w="14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0.10</w:t>
            </w: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Less loss from discontinued operations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(0.03)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 Non-GAAP</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on a diluted basis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48,149</w:t>
            </w:r>
          </w:p>
        </w:tc>
      </w:tr>
      <w:tr>
        <w:trPr>
          <w:trHeight w:val="526"/>
        </w:trPr>
        <w:tc>
          <w:tcPr>
            <w:tcW w:w="20" w:type="dxa"/>
            <w:vAlign w:val="bottom"/>
          </w:tcPr>
          <w:p>
            <w:pPr>
              <w:spacing w:after="0"/>
              <w:rPr>
                <w:sz w:val="24"/>
                <w:szCs w:val="24"/>
                <w:color w:val="auto"/>
              </w:rPr>
            </w:pPr>
          </w:p>
        </w:tc>
        <w:tc>
          <w:tcPr>
            <w:tcW w:w="7640" w:type="dxa"/>
            <w:vAlign w:val="bottom"/>
          </w:tcPr>
          <w:p>
            <w:pPr>
              <w:ind w:left="4140"/>
              <w:spacing w:after="0"/>
              <w:rPr>
                <w:sz w:val="20"/>
                <w:szCs w:val="20"/>
                <w:color w:val="auto"/>
              </w:rPr>
            </w:pPr>
            <w:r>
              <w:rPr>
                <w:rFonts w:ascii="Arial" w:cs="Arial" w:eastAsia="Arial" w:hAnsi="Arial"/>
                <w:sz w:val="18"/>
                <w:szCs w:val="18"/>
                <w:b w:val="1"/>
                <w:bCs w:val="1"/>
                <w:color w:val="auto"/>
              </w:rPr>
              <w:t>CASUAL MALE RETAIL GROUP, INC.</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912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GAAP TO NON-GAAP FREE CASH FLOW RECONCILIATION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w w:val="89"/>
              </w:rPr>
              <w:t>For the first six months ended: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Projected</w:t>
            </w:r>
          </w:p>
        </w:tc>
      </w:tr>
      <w:tr>
        <w:trPr>
          <w:trHeight w:val="161"/>
        </w:trPr>
        <w:tc>
          <w:tcPr>
            <w:tcW w:w="76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28, 2012</w:t>
            </w:r>
          </w:p>
        </w:tc>
        <w:tc>
          <w:tcPr>
            <w:tcW w:w="20" w:type="dxa"/>
            <w:vAlign w:val="bottom"/>
          </w:tcPr>
          <w:p>
            <w:pPr>
              <w:spacing w:after="0"/>
              <w:rPr>
                <w:sz w:val="14"/>
                <w:szCs w:val="14"/>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July 30, 2011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8"/>
              </w:rPr>
              <w:t>Fiscal 2012</w:t>
            </w: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 (GAAP)</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322"/>
        </w:trPr>
        <w:tc>
          <w:tcPr>
            <w:tcW w:w="7660" w:type="dxa"/>
            <w:vAlign w:val="bottom"/>
            <w:gridSpan w:val="2"/>
          </w:tcPr>
          <w:p>
            <w:pPr>
              <w:spacing w:after="0"/>
              <w:rPr>
                <w:sz w:val="20"/>
                <w:szCs w:val="20"/>
                <w:color w:val="auto"/>
              </w:rPr>
            </w:pPr>
            <w:r>
              <w:rPr>
                <w:rFonts w:ascii="Arial" w:cs="Arial" w:eastAsia="Arial" w:hAnsi="Arial"/>
                <w:sz w:val="18"/>
                <w:szCs w:val="18"/>
                <w:color w:val="auto"/>
              </w:rPr>
              <w:t>Less: Capital expenditures</w:t>
            </w:r>
          </w:p>
        </w:tc>
        <w:tc>
          <w:tcPr>
            <w:tcW w:w="180" w:type="dxa"/>
            <w:vAlign w:val="bottom"/>
          </w:tcPr>
          <w:p>
            <w:pPr>
              <w:spacing w:after="0"/>
              <w:rPr>
                <w:sz w:val="24"/>
                <w:szCs w:val="2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Less: Store acquisitions, if applicable</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Free Cash Flow (Non-GAAP)</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(0.7)</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19"/>
                <w:szCs w:val="19"/>
                <w:color w:val="auto"/>
              </w:rPr>
            </w:pPr>
          </w:p>
        </w:tc>
        <w:tc>
          <w:tcPr>
            <w:tcW w:w="5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right"/>
              <w:ind w:right="440"/>
              <w:spacing w:after="0"/>
              <w:rPr>
                <w:sz w:val="20"/>
                <w:szCs w:val="20"/>
                <w:color w:val="auto"/>
              </w:rPr>
            </w:pPr>
            <w:r>
              <w:rPr>
                <w:rFonts w:ascii="Arial" w:cs="Arial" w:eastAsia="Arial" w:hAnsi="Arial"/>
                <w:sz w:val="14"/>
                <w:szCs w:val="14"/>
                <w:color w:val="auto"/>
                <w:w w:val="89"/>
              </w:rPr>
              <w:t>For the 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right"/>
              <w:ind w:right="380"/>
              <w:spacing w:after="0"/>
              <w:rPr>
                <w:sz w:val="20"/>
                <w:szCs w:val="20"/>
                <w:color w:val="auto"/>
              </w:rPr>
            </w:pPr>
            <w:r>
              <w:rPr>
                <w:rFonts w:ascii="Arial" w:cs="Arial" w:eastAsia="Arial" w:hAnsi="Arial"/>
                <w:sz w:val="14"/>
                <w:szCs w:val="14"/>
                <w:color w:val="auto"/>
                <w:w w:val="93"/>
              </w:rPr>
              <w:t>For the six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60" w:type="dxa"/>
            <w:vAlign w:val="bottom"/>
            <w:gridSpan w:val="3"/>
          </w:tcPr>
          <w:p>
            <w:pPr>
              <w:spacing w:after="0" w:line="159" w:lineRule="exact"/>
              <w:rPr>
                <w:sz w:val="20"/>
                <w:szCs w:val="20"/>
                <w:color w:val="auto"/>
              </w:rPr>
            </w:pPr>
            <w:r>
              <w:rPr>
                <w:rFonts w:ascii="Arial" w:cs="Arial" w:eastAsia="Arial" w:hAnsi="Arial"/>
                <w:sz w:val="14"/>
                <w:szCs w:val="14"/>
                <w:color w:val="auto"/>
              </w:rPr>
              <w:t>July 28, 2012</w:t>
            </w:r>
          </w:p>
        </w:tc>
        <w:tc>
          <w:tcPr>
            <w:tcW w:w="960" w:type="dxa"/>
            <w:vAlign w:val="bottom"/>
            <w:gridSpan w:val="3"/>
          </w:tcPr>
          <w:p>
            <w:pPr>
              <w:spacing w:after="0" w:line="159" w:lineRule="exact"/>
              <w:rPr>
                <w:sz w:val="20"/>
                <w:szCs w:val="20"/>
                <w:color w:val="auto"/>
              </w:rPr>
            </w:pPr>
            <w:r>
              <w:rPr>
                <w:rFonts w:ascii="Arial" w:cs="Arial" w:eastAsia="Arial" w:hAnsi="Arial"/>
                <w:sz w:val="14"/>
                <w:szCs w:val="14"/>
                <w:color w:val="auto"/>
              </w:rPr>
              <w:t>July 30, 2011</w:t>
            </w:r>
          </w:p>
        </w:tc>
        <w:tc>
          <w:tcPr>
            <w:tcW w:w="180" w:type="dxa"/>
            <w:vAlign w:val="bottom"/>
          </w:tcPr>
          <w:p>
            <w:pPr>
              <w:spacing w:after="0"/>
              <w:rPr>
                <w:sz w:val="13"/>
                <w:szCs w:val="13"/>
                <w:color w:val="auto"/>
              </w:rPr>
            </w:pPr>
          </w:p>
        </w:tc>
        <w:tc>
          <w:tcPr>
            <w:tcW w:w="10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July 28, 2012</w:t>
            </w:r>
          </w:p>
        </w:tc>
        <w:tc>
          <w:tcPr>
            <w:tcW w:w="180" w:type="dxa"/>
            <w:vAlign w:val="bottom"/>
          </w:tcPr>
          <w:p>
            <w:pPr>
              <w:spacing w:after="0"/>
              <w:rPr>
                <w:sz w:val="13"/>
                <w:szCs w:val="13"/>
                <w:color w:val="auto"/>
              </w:rPr>
            </w:pPr>
          </w:p>
        </w:tc>
        <w:tc>
          <w:tcPr>
            <w:tcW w:w="840" w:type="dxa"/>
            <w:vAlign w:val="bottom"/>
            <w:gridSpan w:val="3"/>
          </w:tcPr>
          <w:p>
            <w:pPr>
              <w:spacing w:after="0" w:line="159" w:lineRule="exact"/>
              <w:rPr>
                <w:sz w:val="20"/>
                <w:szCs w:val="20"/>
                <w:color w:val="auto"/>
              </w:rPr>
            </w:pPr>
            <w:r>
              <w:rPr>
                <w:rFonts w:ascii="Arial" w:cs="Arial" w:eastAsia="Arial" w:hAnsi="Arial"/>
                <w:sz w:val="14"/>
                <w:szCs w:val="14"/>
                <w:color w:val="auto"/>
                <w:w w:val="98"/>
              </w:rPr>
              <w:t>July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1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100,504</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100,445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196,043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195,802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Cost of goods sold including occupancy</w:t>
            </w:r>
          </w:p>
        </w:tc>
        <w:tc>
          <w:tcPr>
            <w:tcW w:w="1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53,867</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103,803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102,351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93,451</w:t>
            </w:r>
          </w:p>
        </w:tc>
        <w:tc>
          <w:tcPr>
            <w:tcW w:w="0" w:type="dxa"/>
            <w:vAlign w:val="bottom"/>
          </w:tcPr>
          <w:p>
            <w:pPr>
              <w:spacing w:after="0"/>
              <w:rPr>
                <w:sz w:val="1"/>
                <w:szCs w:val="1"/>
                <w:color w:val="auto"/>
              </w:rPr>
            </w:pPr>
          </w:p>
        </w:tc>
      </w:tr>
      <w:tr>
        <w:trPr>
          <w:trHeight w:val="323"/>
        </w:trPr>
        <w:tc>
          <w:tcPr>
            <w:tcW w:w="6000" w:type="dxa"/>
            <w:vAlign w:val="bottom"/>
            <w:gridSpan w:val="4"/>
          </w:tcPr>
          <w:p>
            <w:pPr>
              <w:spacing w:after="0"/>
              <w:rPr>
                <w:sz w:val="20"/>
                <w:szCs w:val="20"/>
                <w:color w:val="auto"/>
              </w:rPr>
            </w:pPr>
            <w:r>
              <w:rPr>
                <w:rFonts w:ascii="Arial" w:cs="Arial" w:eastAsia="Arial" w:hAnsi="Arial"/>
                <w:sz w:val="18"/>
                <w:szCs w:val="18"/>
                <w:color w:val="auto"/>
              </w:rPr>
              <w:t>Expenses: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3"/>
          </w:tcPr>
          <w:p>
            <w:pPr>
              <w:ind w:left="42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41,370</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00" w:type="dxa"/>
            <w:vAlign w:val="bottom"/>
            <w:gridSpan w:val="4"/>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5,267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13,181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1"/>
        </w:trPr>
        <w:tc>
          <w:tcPr>
            <w:tcW w:w="6000" w:type="dxa"/>
            <w:vAlign w:val="bottom"/>
            <w:gridSpan w:val="4"/>
          </w:tcPr>
          <w:p>
            <w:pPr>
              <w:spacing w:after="0"/>
              <w:rPr>
                <w:sz w:val="20"/>
                <w:szCs w:val="20"/>
                <w:color w:val="auto"/>
              </w:rPr>
            </w:pPr>
            <w:r>
              <w:rPr>
                <w:rFonts w:ascii="Arial" w:cs="Arial" w:eastAsia="Arial" w:hAnsi="Arial"/>
                <w:sz w:val="18"/>
                <w:szCs w:val="18"/>
                <w:color w:val="auto"/>
              </w:rPr>
              <w:t>Income from continuing operations before provision for income taxes</w:t>
            </w:r>
          </w:p>
        </w:tc>
        <w:tc>
          <w:tcPr>
            <w:tcW w:w="1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5,145</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00" w:type="dxa"/>
            <w:vAlign w:val="bottom"/>
            <w:gridSpan w:val="4"/>
          </w:tcPr>
          <w:p>
            <w:pPr>
              <w:spacing w:after="0"/>
              <w:rPr>
                <w:sz w:val="20"/>
                <w:szCs w:val="20"/>
                <w:color w:val="auto"/>
              </w:rPr>
            </w:pPr>
            <w:r>
              <w:rPr>
                <w:rFonts w:ascii="Arial" w:cs="Arial" w:eastAsia="Arial" w:hAnsi="Arial"/>
                <w:sz w:val="18"/>
                <w:szCs w:val="18"/>
                <w:color w:val="auto"/>
              </w:rPr>
              <w:t>Income from continuing operations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2,994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11,724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
        </w:trPr>
        <w:tc>
          <w:tcPr>
            <w:tcW w:w="6000" w:type="dxa"/>
            <w:vAlign w:val="bottom"/>
            <w:gridSpan w:val="4"/>
            <w:vMerge w:val="restart"/>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gridSpan w:val="4"/>
            <w:vMerge w:val="continue"/>
          </w:tcPr>
          <w:p>
            <w:pPr>
              <w:spacing w:after="0"/>
              <w:rPr>
                <w:sz w:val="19"/>
                <w:szCs w:val="19"/>
                <w:color w:val="auto"/>
              </w:rPr>
            </w:pP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1,238</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6,558</w:t>
            </w:r>
          </w:p>
        </w:tc>
        <w:tc>
          <w:tcPr>
            <w:tcW w:w="240" w:type="dxa"/>
            <w:vAlign w:val="bottom"/>
          </w:tcPr>
          <w:p>
            <w:pPr>
              <w:spacing w:after="0"/>
              <w:rPr>
                <w:sz w:val="19"/>
                <w:szCs w:val="19"/>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3,507</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0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6"/>
              </w:rPr>
              <w:t>Net income per share - basic</w:t>
            </w:r>
          </w:p>
        </w:tc>
        <w:tc>
          <w:tcPr>
            <w:tcW w:w="3980" w:type="dxa"/>
            <w:vAlign w:val="bottom"/>
            <w:tcBorders>
              <w:bottom w:val="single" w:sz="8" w:color="CCEEFF"/>
            </w:tcBorders>
            <w:gridSpan w:val="2"/>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ind w:left="420"/>
              <w:spacing w:after="0"/>
              <w:rPr>
                <w:sz w:val="20"/>
                <w:szCs w:val="20"/>
                <w:color w:val="auto"/>
              </w:rPr>
            </w:pPr>
            <w:r>
              <w:rPr>
                <w:rFonts w:ascii="Arial" w:cs="Arial" w:eastAsia="Arial" w:hAnsi="Arial"/>
                <w:sz w:val="18"/>
                <w:szCs w:val="18"/>
                <w:color w:val="auto"/>
              </w:rPr>
              <w:t>Income from continuing operations - basic</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0.06</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 - basic</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3"/>
          </w:tcPr>
          <w:p>
            <w:pPr>
              <w:ind w:left="420"/>
              <w:spacing w:after="0"/>
              <w:rPr>
                <w:sz w:val="20"/>
                <w:szCs w:val="20"/>
                <w:color w:val="auto"/>
              </w:rPr>
            </w:pPr>
            <w:r>
              <w:rPr>
                <w:rFonts w:ascii="Arial" w:cs="Arial" w:eastAsia="Arial" w:hAnsi="Arial"/>
                <w:sz w:val="18"/>
                <w:szCs w:val="18"/>
                <w:color w:val="auto"/>
              </w:rPr>
              <w:t>Net income - basic</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0.03</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Pr>
          <w:p>
            <w:pPr>
              <w:spacing w:after="0"/>
              <w:rPr>
                <w:sz w:val="19"/>
                <w:szCs w:val="19"/>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Net income per share - diluted</w:t>
            </w:r>
          </w:p>
        </w:tc>
        <w:tc>
          <w:tcPr>
            <w:tcW w:w="38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ind w:left="420"/>
              <w:spacing w:after="0"/>
              <w:rPr>
                <w:sz w:val="20"/>
                <w:szCs w:val="20"/>
                <w:color w:val="auto"/>
              </w:rPr>
            </w:pPr>
            <w:r>
              <w:rPr>
                <w:rFonts w:ascii="Arial" w:cs="Arial" w:eastAsia="Arial" w:hAnsi="Arial"/>
                <w:sz w:val="18"/>
                <w:szCs w:val="18"/>
                <w:color w:val="auto"/>
              </w:rPr>
              <w:t>Income from continuing operations - diluted</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0.06</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 - diluted</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3"/>
          </w:tcPr>
          <w:p>
            <w:pPr>
              <w:ind w:left="420"/>
              <w:spacing w:after="0"/>
              <w:rPr>
                <w:sz w:val="20"/>
                <w:szCs w:val="20"/>
                <w:color w:val="auto"/>
              </w:rPr>
            </w:pPr>
            <w:r>
              <w:rPr>
                <w:rFonts w:ascii="Arial" w:cs="Arial" w:eastAsia="Arial" w:hAnsi="Arial"/>
                <w:sz w:val="18"/>
                <w:szCs w:val="18"/>
                <w:color w:val="auto"/>
              </w:rPr>
              <w:t>Net income - diluted</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0.03</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Pr>
          <w:p>
            <w:pPr>
              <w:spacing w:after="0"/>
              <w:rPr>
                <w:sz w:val="19"/>
                <w:szCs w:val="19"/>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ind w:left="860"/>
              <w:spacing w:after="0"/>
              <w:rPr>
                <w:sz w:val="20"/>
                <w:szCs w:val="20"/>
                <w:color w:val="auto"/>
              </w:rPr>
            </w:pPr>
            <w:r>
              <w:rPr>
                <w:rFonts w:ascii="Arial" w:cs="Arial" w:eastAsia="Arial" w:hAnsi="Arial"/>
                <w:sz w:val="18"/>
                <w:szCs w:val="18"/>
                <w:color w:val="auto"/>
              </w:rPr>
              <w:t>Basic</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47,944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47,476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47,804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48,097</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28, 2012 and January 28,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July 28,</w:t>
            </w:r>
          </w:p>
        </w:tc>
        <w:tc>
          <w:tcPr>
            <w:tcW w:w="760" w:type="dxa"/>
            <w:vAlign w:val="bottom"/>
            <w:gridSpan w:val="3"/>
          </w:tcPr>
          <w:p>
            <w:pPr>
              <w:ind w:left="20"/>
              <w:spacing w:after="0"/>
              <w:rPr>
                <w:sz w:val="20"/>
                <w:szCs w:val="20"/>
                <w:color w:val="auto"/>
              </w:rPr>
            </w:pPr>
            <w:r>
              <w:rPr>
                <w:rFonts w:ascii="Arial" w:cs="Arial" w:eastAsia="Arial" w:hAnsi="Arial"/>
                <w:sz w:val="14"/>
                <w:szCs w:val="14"/>
                <w:color w:val="auto"/>
                <w:w w:val="98"/>
              </w:rPr>
              <w:t>January 28,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5"/>
              <w:spacing w:after="0" w:line="159" w:lineRule="exact"/>
              <w:rPr>
                <w:sz w:val="20"/>
                <w:szCs w:val="20"/>
                <w:color w:val="auto"/>
              </w:rPr>
            </w:pPr>
            <w:r>
              <w:rPr>
                <w:rFonts w:ascii="Arial" w:cs="Arial" w:eastAsia="Arial" w:hAnsi="Arial"/>
                <w:sz w:val="14"/>
                <w:szCs w:val="14"/>
                <w:color w:val="auto"/>
              </w:rPr>
              <w:t>2012</w:t>
            </w:r>
          </w:p>
        </w:tc>
        <w:tc>
          <w:tcPr>
            <w:tcW w:w="3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9660" w:type="dxa"/>
            <w:vAlign w:val="bottom"/>
            <w:gridSpan w:val="2"/>
          </w:tcPr>
          <w:p>
            <w:pPr>
              <w:spacing w:after="0"/>
              <w:rPr>
                <w:sz w:val="20"/>
                <w:szCs w:val="20"/>
                <w:color w:val="auto"/>
              </w:rPr>
            </w:pPr>
            <w:r>
              <w:rPr>
                <w:rFonts w:ascii="Arial" w:cs="Arial" w:eastAsia="Arial" w:hAnsi="Arial"/>
                <w:sz w:val="18"/>
                <w:szCs w:val="18"/>
                <w:color w:val="auto"/>
              </w:rPr>
              <w:t>Cash and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9,770</w:t>
            </w:r>
          </w:p>
        </w:tc>
        <w:tc>
          <w:tcPr>
            <w:tcW w:w="3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10,353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103,608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13,173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Intangibles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235,957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233,721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19,783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158,585</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154,358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235,957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233,721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2019-12-09T10:09:21Z</dcterms:created>
  <dcterms:modified xsi:type="dcterms:W3CDTF">2019-12-09T10:09:21Z</dcterms:modified>
</cp:coreProperties>
</file>