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134620</wp:posOffset>
            </wp:positionH>
            <wp:positionV relativeFrom="page">
              <wp:posOffset>175260</wp:posOffset>
            </wp:positionV>
            <wp:extent cx="729170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1705"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186690</wp:posOffset>
            </wp:positionV>
            <wp:extent cx="729170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1705" cy="5715"/>
                    </a:xfrm>
                    <a:prstGeom prst="rect">
                      <a:avLst/>
                    </a:prstGeom>
                    <a:noFill/>
                  </pic:spPr>
                </pic:pic>
              </a:graphicData>
            </a:graphic>
          </wp:anchor>
        </w:drawing>
        <w:t>UNITED STATES</w:t>
      </w:r>
    </w:p>
    <w:p>
      <w:pPr>
        <w:spacing w:after="0" w:line="8" w:lineRule="exact"/>
        <w:rPr>
          <w:sz w:val="24"/>
          <w:szCs w:val="24"/>
          <w:color w:val="auto"/>
        </w:rPr>
      </w:pPr>
    </w:p>
    <w:p>
      <w:pPr>
        <w:jc w:val="center"/>
        <w:ind w:right="-2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7"/>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88900</wp:posOffset>
            </wp:positionV>
            <wp:extent cx="14605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5715"/>
                    </a:xfrm>
                    <a:prstGeom prst="rect">
                      <a:avLst/>
                    </a:prstGeom>
                    <a:noFill/>
                  </pic:spPr>
                </pic:pic>
              </a:graphicData>
            </a:graphic>
          </wp:anchor>
        </w:drawing>
      </w:r>
    </w:p>
    <w:p>
      <w:pPr>
        <w:spacing w:after="0" w:line="174" w:lineRule="exact"/>
        <w:rPr>
          <w:sz w:val="24"/>
          <w:szCs w:val="24"/>
          <w:color w:val="auto"/>
        </w:rPr>
      </w:pPr>
    </w:p>
    <w:p>
      <w:pPr>
        <w:jc w:val="center"/>
        <w:ind w:right="-27"/>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92710</wp:posOffset>
            </wp:positionV>
            <wp:extent cx="14605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5715"/>
                    </a:xfrm>
                    <a:prstGeom prst="rect">
                      <a:avLst/>
                    </a:prstGeom>
                    <a:noFill/>
                  </pic:spPr>
                </pic:pic>
              </a:graphicData>
            </a:graphic>
          </wp:anchor>
        </w:drawing>
      </w:r>
    </w:p>
    <w:p>
      <w:pPr>
        <w:spacing w:after="0" w:line="189" w:lineRule="exact"/>
        <w:rPr>
          <w:sz w:val="24"/>
          <w:szCs w:val="24"/>
          <w:color w:val="auto"/>
        </w:rPr>
      </w:pPr>
    </w:p>
    <w:p>
      <w:pPr>
        <w:ind w:left="8"/>
        <w:spacing w:after="0"/>
        <w:rPr>
          <w:sz w:val="20"/>
          <w:szCs w:val="20"/>
          <w:color w:val="auto"/>
        </w:rPr>
      </w:pPr>
      <w:r>
        <w:rPr>
          <w:rFonts w:ascii="Arial" w:cs="Arial" w:eastAsia="Arial" w:hAnsi="Arial"/>
          <w:sz w:val="10"/>
          <w:szCs w:val="10"/>
          <w:b w:val="1"/>
          <w:bCs w:val="1"/>
          <w:color w:val="auto"/>
        </w:rPr>
        <w:t>(Mark One)</w:t>
      </w:r>
    </w:p>
    <w:p>
      <w:pPr>
        <w:ind w:left="408" w:hanging="408"/>
        <w:spacing w:after="0"/>
        <w:tabs>
          <w:tab w:leader="none" w:pos="408" w:val="left"/>
        </w:tabs>
        <w:numPr>
          <w:ilvl w:val="0"/>
          <w:numId w:val="1"/>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QUARTERLY REPORT PURSUANT TO SECTION 13 OR 15(d) OF THE SECURITIES EXCHANGE ACT OF 1934</w:t>
      </w:r>
    </w:p>
    <w:p>
      <w:pPr>
        <w:spacing w:after="0" w:line="70" w:lineRule="exact"/>
        <w:rPr>
          <w:sz w:val="24"/>
          <w:szCs w:val="24"/>
          <w:color w:val="auto"/>
        </w:rPr>
      </w:pPr>
    </w:p>
    <w:p>
      <w:pPr>
        <w:ind w:left="4548"/>
        <w:spacing w:after="0"/>
        <w:rPr>
          <w:sz w:val="20"/>
          <w:szCs w:val="20"/>
          <w:color w:val="auto"/>
        </w:rPr>
      </w:pPr>
      <w:r>
        <w:rPr>
          <w:rFonts w:ascii="Arial" w:cs="Arial" w:eastAsia="Arial" w:hAnsi="Arial"/>
          <w:sz w:val="12"/>
          <w:szCs w:val="12"/>
          <w:b w:val="1"/>
          <w:bCs w:val="1"/>
          <w:color w:val="auto"/>
        </w:rPr>
        <w:t>For the quarterly period ended August 3, 2019</w:t>
      </w:r>
    </w:p>
    <w:p>
      <w:pPr>
        <w:spacing w:after="0" w:line="79" w:lineRule="exact"/>
        <w:rPr>
          <w:sz w:val="24"/>
          <w:szCs w:val="24"/>
          <w:color w:val="auto"/>
        </w:rPr>
      </w:pPr>
    </w:p>
    <w:p>
      <w:pPr>
        <w:ind w:left="5648"/>
        <w:spacing w:after="0"/>
        <w:rPr>
          <w:sz w:val="20"/>
          <w:szCs w:val="20"/>
          <w:color w:val="auto"/>
        </w:rPr>
      </w:pPr>
      <w:r>
        <w:rPr>
          <w:rFonts w:ascii="Arial" w:cs="Arial" w:eastAsia="Arial" w:hAnsi="Arial"/>
          <w:sz w:val="12"/>
          <w:szCs w:val="12"/>
          <w:b w:val="1"/>
          <w:bCs w:val="1"/>
          <w:color w:val="auto"/>
        </w:rPr>
        <w:t>OR</w:t>
      </w:r>
    </w:p>
    <w:p>
      <w:pPr>
        <w:spacing w:after="0" w:line="61" w:lineRule="exact"/>
        <w:rPr>
          <w:sz w:val="24"/>
          <w:szCs w:val="24"/>
          <w:color w:val="auto"/>
        </w:rPr>
      </w:pPr>
    </w:p>
    <w:p>
      <w:pPr>
        <w:ind w:left="8"/>
        <w:spacing w:after="0"/>
        <w:tabs>
          <w:tab w:leader="none" w:pos="387" w:val="left"/>
        </w:tabs>
        <w:rPr>
          <w:sz w:val="20"/>
          <w:szCs w:val="20"/>
          <w:color w:val="auto"/>
        </w:rPr>
      </w:pPr>
      <w:r>
        <w:rPr>
          <w:rFonts w:ascii="MS PGothic" w:cs="MS PGothic" w:eastAsia="MS PGothic" w:hAnsi="MS PGothic"/>
          <w:sz w:val="12"/>
          <w:szCs w:val="12"/>
          <w:color w:val="auto"/>
          <w:highlight w:val="black"/>
        </w:rPr>
        <w:t>☐</w:t>
      </w:r>
      <w:r>
        <w:rPr>
          <w:sz w:val="20"/>
          <w:szCs w:val="20"/>
          <w:color w:val="auto"/>
        </w:rPr>
        <w:tab/>
      </w:r>
      <w:r>
        <w:rPr>
          <w:rFonts w:ascii="Arial" w:cs="Arial" w:eastAsia="Arial" w:hAnsi="Arial"/>
          <w:sz w:val="12"/>
          <w:szCs w:val="12"/>
          <w:b w:val="1"/>
          <w:bCs w:val="1"/>
          <w:color w:val="auto"/>
        </w:rPr>
        <w:t>TRANSITION REPORT PURSUANT TO SECTION 13 OR 15(d) OF THE SECURITIES EXCHANGE ACT OF 1934</w:t>
      </w:r>
    </w:p>
    <w:p>
      <w:pPr>
        <w:spacing w:after="0" w:line="98" w:lineRule="exact"/>
        <w:rPr>
          <w:sz w:val="24"/>
          <w:szCs w:val="24"/>
          <w:color w:val="auto"/>
        </w:rPr>
      </w:pPr>
    </w:p>
    <w:p>
      <w:pPr>
        <w:ind w:left="4808"/>
        <w:spacing w:after="0"/>
        <w:rPr>
          <w:sz w:val="20"/>
          <w:szCs w:val="20"/>
          <w:color w:val="auto"/>
        </w:rPr>
      </w:pPr>
      <w:r>
        <w:rPr>
          <w:rFonts w:ascii="Arial" w:cs="Arial" w:eastAsia="Arial" w:hAnsi="Arial"/>
          <w:sz w:val="12"/>
          <w:szCs w:val="12"/>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93345</wp:posOffset>
            </wp:positionV>
            <wp:extent cx="14605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5715"/>
                    </a:xfrm>
                    <a:prstGeom prst="rect">
                      <a:avLst/>
                    </a:prstGeom>
                    <a:noFill/>
                  </pic:spPr>
                </pic:pic>
              </a:graphicData>
            </a:graphic>
          </wp:anchor>
        </w:drawing>
      </w:r>
    </w:p>
    <w:p>
      <w:pPr>
        <w:spacing w:after="0" w:line="253" w:lineRule="exact"/>
        <w:rPr>
          <w:sz w:val="24"/>
          <w:szCs w:val="24"/>
          <w:color w:val="auto"/>
        </w:rPr>
      </w:pPr>
    </w:p>
    <w:tbl>
      <w:tblPr>
        <w:tblLayout w:type="fixed"/>
        <w:tblInd w:w="2168" w:type="dxa"/>
        <w:tblCellMar>
          <w:top w:w="0" w:type="dxa"/>
          <w:left w:w="0" w:type="dxa"/>
          <w:bottom w:w="0" w:type="dxa"/>
          <w:right w:w="0" w:type="dxa"/>
        </w:tblCellMar>
      </w:tblPr>
      <w:tr>
        <w:trPr>
          <w:trHeight w:val="350"/>
        </w:trPr>
        <w:tc>
          <w:tcPr>
            <w:tcW w:w="1400" w:type="dxa"/>
            <w:vAlign w:val="bottom"/>
          </w:tcPr>
          <w:p>
            <w:pPr>
              <w:spacing w:after="0"/>
              <w:rPr>
                <w:sz w:val="24"/>
                <w:szCs w:val="24"/>
                <w:color w:val="auto"/>
              </w:rPr>
            </w:pPr>
          </w:p>
        </w:tc>
        <w:tc>
          <w:tcPr>
            <w:tcW w:w="5380" w:type="dxa"/>
            <w:vAlign w:val="bottom"/>
            <w:gridSpan w:val="3"/>
          </w:tcPr>
          <w:p>
            <w:pPr>
              <w:jc w:val="center"/>
              <w:ind w:right="978"/>
              <w:spacing w:after="0"/>
              <w:rPr>
                <w:sz w:val="20"/>
                <w:szCs w:val="20"/>
                <w:color w:val="auto"/>
              </w:rPr>
            </w:pPr>
            <w:r>
              <w:rPr>
                <w:rFonts w:ascii="Arial" w:cs="Arial" w:eastAsia="Arial" w:hAnsi="Arial"/>
                <w:sz w:val="29"/>
                <w:szCs w:val="29"/>
                <w:b w:val="1"/>
                <w:bCs w:val="1"/>
                <w:color w:val="auto"/>
              </w:rPr>
              <w:t>DESTINATION XL GROUP, INC.</w:t>
            </w:r>
          </w:p>
        </w:tc>
      </w:tr>
      <w:tr>
        <w:trPr>
          <w:trHeight w:val="158"/>
        </w:trPr>
        <w:tc>
          <w:tcPr>
            <w:tcW w:w="1400" w:type="dxa"/>
            <w:vAlign w:val="bottom"/>
          </w:tcPr>
          <w:p>
            <w:pPr>
              <w:spacing w:after="0"/>
              <w:rPr>
                <w:sz w:val="13"/>
                <w:szCs w:val="13"/>
                <w:color w:val="auto"/>
              </w:rPr>
            </w:pPr>
          </w:p>
        </w:tc>
        <w:tc>
          <w:tcPr>
            <w:tcW w:w="5380" w:type="dxa"/>
            <w:vAlign w:val="bottom"/>
            <w:gridSpan w:val="3"/>
          </w:tcPr>
          <w:p>
            <w:pPr>
              <w:jc w:val="center"/>
              <w:ind w:right="998"/>
              <w:spacing w:after="0"/>
              <w:rPr>
                <w:sz w:val="20"/>
                <w:szCs w:val="20"/>
                <w:color w:val="auto"/>
              </w:rPr>
            </w:pPr>
            <w:r>
              <w:rPr>
                <w:rFonts w:ascii="Arial" w:cs="Arial" w:eastAsia="Arial" w:hAnsi="Arial"/>
                <w:sz w:val="12"/>
                <w:szCs w:val="12"/>
                <w:b w:val="1"/>
                <w:bCs w:val="1"/>
                <w:color w:val="auto"/>
                <w:w w:val="91"/>
              </w:rPr>
              <w:t>(Exact Name of Registrant as Specified in its Charter)</w:t>
            </w:r>
          </w:p>
        </w:tc>
      </w:tr>
      <w:tr>
        <w:trPr>
          <w:trHeight w:val="136"/>
        </w:trPr>
        <w:tc>
          <w:tcPr>
            <w:tcW w:w="1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2060" w:type="dxa"/>
            <w:vAlign w:val="bottom"/>
          </w:tcPr>
          <w:p>
            <w:pPr>
              <w:spacing w:after="0"/>
              <w:rPr>
                <w:sz w:val="11"/>
                <w:szCs w:val="11"/>
                <w:color w:val="auto"/>
              </w:rPr>
            </w:pPr>
          </w:p>
        </w:tc>
      </w:tr>
      <w:tr>
        <w:trPr>
          <w:trHeight w:val="331"/>
        </w:trPr>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5380" w:type="dxa"/>
            <w:vAlign w:val="bottom"/>
            <w:gridSpan w:val="3"/>
          </w:tcPr>
          <w:p>
            <w:pPr>
              <w:jc w:val="right"/>
              <w:spacing w:after="0"/>
              <w:rPr>
                <w:sz w:val="20"/>
                <w:szCs w:val="20"/>
                <w:color w:val="auto"/>
              </w:rPr>
            </w:pPr>
            <w:r>
              <w:rPr>
                <w:rFonts w:ascii="Arial" w:cs="Arial" w:eastAsia="Arial" w:hAnsi="Arial"/>
                <w:sz w:val="12"/>
                <w:szCs w:val="12"/>
                <w:b w:val="1"/>
                <w:bCs w:val="1"/>
                <w:color w:val="auto"/>
              </w:rPr>
              <w:t>04-2623104</w:t>
            </w:r>
          </w:p>
        </w:tc>
      </w:tr>
      <w:tr>
        <w:trPr>
          <w:trHeight w:val="91"/>
        </w:trPr>
        <w:tc>
          <w:tcPr>
            <w:tcW w:w="1400" w:type="dxa"/>
            <w:vAlign w:val="bottom"/>
          </w:tcPr>
          <w:p>
            <w:pPr>
              <w:jc w:val="center"/>
              <w:spacing w:after="0" w:line="91" w:lineRule="exact"/>
              <w:rPr>
                <w:sz w:val="20"/>
                <w:szCs w:val="20"/>
                <w:color w:val="auto"/>
              </w:rPr>
            </w:pPr>
            <w:r>
              <w:rPr>
                <w:rFonts w:ascii="Arial" w:cs="Arial" w:eastAsia="Arial" w:hAnsi="Arial"/>
                <w:sz w:val="8"/>
                <w:szCs w:val="8"/>
                <w:b w:val="1"/>
                <w:bCs w:val="1"/>
                <w:color w:val="auto"/>
                <w:w w:val="96"/>
              </w:rPr>
              <w:t>(State or other jurisdiction of</w:t>
            </w:r>
          </w:p>
        </w:tc>
        <w:tc>
          <w:tcPr>
            <w:tcW w:w="10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060" w:type="dxa"/>
            <w:vAlign w:val="bottom"/>
          </w:tcPr>
          <w:p>
            <w:pPr>
              <w:jc w:val="center"/>
              <w:ind w:left="1338"/>
              <w:spacing w:after="0" w:line="91" w:lineRule="exact"/>
              <w:rPr>
                <w:sz w:val="20"/>
                <w:szCs w:val="20"/>
                <w:color w:val="auto"/>
              </w:rPr>
            </w:pPr>
            <w:r>
              <w:rPr>
                <w:rFonts w:ascii="Arial" w:cs="Arial" w:eastAsia="Arial" w:hAnsi="Arial"/>
                <w:sz w:val="8"/>
                <w:szCs w:val="8"/>
                <w:b w:val="1"/>
                <w:bCs w:val="1"/>
                <w:color w:val="auto"/>
                <w:w w:val="97"/>
              </w:rPr>
              <w:t>(I.R.S. Employer</w:t>
            </w:r>
          </w:p>
        </w:tc>
      </w:tr>
      <w:tr>
        <w:trPr>
          <w:trHeight w:val="89"/>
        </w:trPr>
        <w:tc>
          <w:tcPr>
            <w:tcW w:w="1400" w:type="dxa"/>
            <w:vAlign w:val="bottom"/>
          </w:tcPr>
          <w:p>
            <w:pPr>
              <w:jc w:val="center"/>
              <w:spacing w:after="0" w:line="89" w:lineRule="exact"/>
              <w:rPr>
                <w:sz w:val="20"/>
                <w:szCs w:val="20"/>
                <w:color w:val="auto"/>
              </w:rPr>
            </w:pPr>
            <w:r>
              <w:rPr>
                <w:rFonts w:ascii="Arial" w:cs="Arial" w:eastAsia="Arial" w:hAnsi="Arial"/>
                <w:sz w:val="8"/>
                <w:szCs w:val="8"/>
                <w:b w:val="1"/>
                <w:bCs w:val="1"/>
                <w:color w:val="auto"/>
                <w:w w:val="96"/>
              </w:rPr>
              <w:t>incorporation or organization)</w:t>
            </w:r>
          </w:p>
        </w:tc>
        <w:tc>
          <w:tcPr>
            <w:tcW w:w="10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2060" w:type="dxa"/>
            <w:vAlign w:val="bottom"/>
          </w:tcPr>
          <w:p>
            <w:pPr>
              <w:jc w:val="center"/>
              <w:ind w:left="1358"/>
              <w:spacing w:after="0" w:line="89" w:lineRule="exact"/>
              <w:rPr>
                <w:sz w:val="20"/>
                <w:szCs w:val="20"/>
                <w:color w:val="auto"/>
              </w:rPr>
            </w:pPr>
            <w:r>
              <w:rPr>
                <w:rFonts w:ascii="Arial" w:cs="Arial" w:eastAsia="Arial" w:hAnsi="Arial"/>
                <w:sz w:val="8"/>
                <w:szCs w:val="8"/>
                <w:b w:val="1"/>
                <w:bCs w:val="1"/>
                <w:color w:val="auto"/>
                <w:w w:val="97"/>
              </w:rPr>
              <w:t>Identification No.)</w:t>
            </w:r>
          </w:p>
        </w:tc>
      </w:tr>
      <w:tr>
        <w:trPr>
          <w:trHeight w:val="145"/>
        </w:trPr>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1"/>
              </w:rPr>
              <w:t>555 Turnpike Street</w:t>
            </w:r>
          </w:p>
        </w:tc>
        <w:tc>
          <w:tcPr>
            <w:tcW w:w="10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47"/>
        </w:trPr>
        <w:tc>
          <w:tcPr>
            <w:tcW w:w="1400" w:type="dxa"/>
            <w:vAlign w:val="bottom"/>
          </w:tcPr>
          <w:p>
            <w:pPr>
              <w:jc w:val="center"/>
              <w:spacing w:after="0"/>
              <w:rPr>
                <w:sz w:val="20"/>
                <w:szCs w:val="20"/>
                <w:color w:val="auto"/>
              </w:rPr>
            </w:pPr>
            <w:r>
              <w:rPr>
                <w:rFonts w:ascii="Arial" w:cs="Arial" w:eastAsia="Arial" w:hAnsi="Arial"/>
                <w:sz w:val="12"/>
                <w:szCs w:val="12"/>
                <w:b w:val="1"/>
                <w:bCs w:val="1"/>
                <w:color w:val="auto"/>
                <w:w w:val="95"/>
              </w:rPr>
              <w:t>Canton, MA</w:t>
            </w:r>
          </w:p>
        </w:tc>
        <w:tc>
          <w:tcPr>
            <w:tcW w:w="5380" w:type="dxa"/>
            <w:vAlign w:val="bottom"/>
            <w:gridSpan w:val="3"/>
          </w:tcPr>
          <w:p>
            <w:pPr>
              <w:jc w:val="right"/>
              <w:ind w:right="138"/>
              <w:spacing w:after="0"/>
              <w:rPr>
                <w:sz w:val="20"/>
                <w:szCs w:val="20"/>
                <w:color w:val="auto"/>
              </w:rPr>
            </w:pPr>
            <w:r>
              <w:rPr>
                <w:rFonts w:ascii="Arial" w:cs="Arial" w:eastAsia="Arial" w:hAnsi="Arial"/>
                <w:sz w:val="12"/>
                <w:szCs w:val="12"/>
                <w:b w:val="1"/>
                <w:bCs w:val="1"/>
                <w:color w:val="auto"/>
              </w:rPr>
              <w:t>02021</w:t>
            </w:r>
          </w:p>
        </w:tc>
      </w:tr>
      <w:tr>
        <w:trPr>
          <w:trHeight w:val="107"/>
        </w:trPr>
        <w:tc>
          <w:tcPr>
            <w:tcW w:w="1400" w:type="dxa"/>
            <w:vAlign w:val="bottom"/>
          </w:tcPr>
          <w:p>
            <w:pPr>
              <w:jc w:val="center"/>
              <w:spacing w:after="0"/>
              <w:rPr>
                <w:sz w:val="20"/>
                <w:szCs w:val="20"/>
                <w:color w:val="auto"/>
              </w:rPr>
            </w:pPr>
            <w:r>
              <w:rPr>
                <w:rFonts w:ascii="Arial" w:cs="Arial" w:eastAsia="Arial" w:hAnsi="Arial"/>
                <w:sz w:val="8"/>
                <w:szCs w:val="8"/>
                <w:b w:val="1"/>
                <w:bCs w:val="1"/>
                <w:color w:val="auto"/>
                <w:w w:val="93"/>
              </w:rPr>
              <w:t>(Address of principal executive offices)</w:t>
            </w:r>
          </w:p>
        </w:tc>
        <w:tc>
          <w:tcPr>
            <w:tcW w:w="10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60" w:type="dxa"/>
            <w:vAlign w:val="bottom"/>
          </w:tcPr>
          <w:p>
            <w:pPr>
              <w:jc w:val="center"/>
              <w:ind w:left="1338"/>
              <w:spacing w:after="0"/>
              <w:rPr>
                <w:sz w:val="20"/>
                <w:szCs w:val="20"/>
                <w:color w:val="auto"/>
              </w:rPr>
            </w:pPr>
            <w:r>
              <w:rPr>
                <w:rFonts w:ascii="Arial" w:cs="Arial" w:eastAsia="Arial" w:hAnsi="Arial"/>
                <w:sz w:val="8"/>
                <w:szCs w:val="8"/>
                <w:b w:val="1"/>
                <w:bCs w:val="1"/>
                <w:color w:val="auto"/>
              </w:rPr>
              <w:t>(Zip Code)</w:t>
            </w:r>
          </w:p>
        </w:tc>
      </w:tr>
      <w:tr>
        <w:trPr>
          <w:trHeight w:val="211"/>
        </w:trPr>
        <w:tc>
          <w:tcPr>
            <w:tcW w:w="1400" w:type="dxa"/>
            <w:vAlign w:val="bottom"/>
          </w:tcPr>
          <w:p>
            <w:pPr>
              <w:spacing w:after="0"/>
              <w:rPr>
                <w:sz w:val="18"/>
                <w:szCs w:val="18"/>
                <w:color w:val="auto"/>
              </w:rPr>
            </w:pPr>
          </w:p>
        </w:tc>
        <w:tc>
          <w:tcPr>
            <w:tcW w:w="5380" w:type="dxa"/>
            <w:vAlign w:val="bottom"/>
            <w:gridSpan w:val="3"/>
          </w:tcPr>
          <w:p>
            <w:pPr>
              <w:jc w:val="center"/>
              <w:ind w:right="998"/>
              <w:spacing w:after="0"/>
              <w:rPr>
                <w:sz w:val="20"/>
                <w:szCs w:val="20"/>
                <w:color w:val="auto"/>
              </w:rPr>
            </w:pPr>
            <w:r>
              <w:rPr>
                <w:rFonts w:ascii="Arial" w:cs="Arial" w:eastAsia="Arial" w:hAnsi="Arial"/>
                <w:sz w:val="12"/>
                <w:szCs w:val="12"/>
                <w:b w:val="1"/>
                <w:bCs w:val="1"/>
                <w:color w:val="auto"/>
                <w:w w:val="89"/>
              </w:rPr>
              <w:t>Registrant’s telephone number, including area code: (781) 828-9300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2915285</wp:posOffset>
            </wp:positionH>
            <wp:positionV relativeFrom="paragraph">
              <wp:posOffset>80645</wp:posOffset>
            </wp:positionV>
            <wp:extent cx="14605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5715"/>
                    </a:xfrm>
                    <a:prstGeom prst="rect">
                      <a:avLst/>
                    </a:prstGeom>
                    <a:noFill/>
                  </pic:spPr>
                </pic:pic>
              </a:graphicData>
            </a:graphic>
          </wp:anchor>
        </w:drawing>
      </w:r>
    </w:p>
    <w:p>
      <w:pPr>
        <w:spacing w:after="0" w:line="183" w:lineRule="exact"/>
        <w:rPr>
          <w:sz w:val="24"/>
          <w:szCs w:val="24"/>
          <w:color w:val="auto"/>
        </w:rPr>
      </w:pPr>
    </w:p>
    <w:p>
      <w:pPr>
        <w:ind w:left="8"/>
        <w:spacing w:after="0"/>
        <w:rPr>
          <w:sz w:val="20"/>
          <w:szCs w:val="20"/>
          <w:color w:val="auto"/>
        </w:rPr>
      </w:pPr>
      <w:r>
        <w:rPr>
          <w:rFonts w:ascii="Arial" w:cs="Arial" w:eastAsia="Arial" w:hAnsi="Arial"/>
          <w:sz w:val="11"/>
          <w:szCs w:val="11"/>
          <w:color w:val="auto"/>
        </w:rPr>
        <w:t>Securities registered pursuant to Section 12(b) of the Act.</w:t>
      </w:r>
    </w:p>
    <w:p>
      <w:pPr>
        <w:spacing w:after="0" w:line="10" w:lineRule="exact"/>
        <w:rPr>
          <w:sz w:val="24"/>
          <w:szCs w:val="24"/>
          <w:color w:val="auto"/>
        </w:rPr>
      </w:pPr>
    </w:p>
    <w:tbl>
      <w:tblPr>
        <w:tblLayout w:type="fixed"/>
        <w:tblInd w:w="18" w:type="dxa"/>
        <w:tblCellMar>
          <w:top w:w="0" w:type="dxa"/>
          <w:left w:w="0" w:type="dxa"/>
          <w:bottom w:w="0" w:type="dxa"/>
          <w:right w:w="0" w:type="dxa"/>
        </w:tblCellMar>
      </w:tblPr>
      <w:tr>
        <w:trPr>
          <w:trHeight w:val="197"/>
        </w:trPr>
        <w:tc>
          <w:tcPr>
            <w:tcW w:w="47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8"/>
              </w:rPr>
              <w:t>Title of each class</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Trading symbol(s)</w:t>
            </w:r>
          </w:p>
        </w:tc>
        <w:tc>
          <w:tcPr>
            <w:tcW w:w="4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8"/>
              </w:rPr>
              <w:t>Name of each exchange on which registered</w:t>
            </w:r>
          </w:p>
        </w:tc>
      </w:tr>
      <w:tr>
        <w:trPr>
          <w:trHeight w:val="22"/>
        </w:trPr>
        <w:tc>
          <w:tcPr>
            <w:tcW w:w="47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4800" w:type="dxa"/>
            <w:vAlign w:val="bottom"/>
            <w:tcBorders>
              <w:bottom w:val="single" w:sz="8" w:color="auto"/>
              <w:right w:val="single" w:sz="8" w:color="auto"/>
            </w:tcBorders>
          </w:tcPr>
          <w:p>
            <w:pPr>
              <w:spacing w:after="0" w:line="20" w:lineRule="exact"/>
              <w:rPr>
                <w:sz w:val="1"/>
                <w:szCs w:val="1"/>
                <w:color w:val="auto"/>
              </w:rPr>
            </w:pPr>
          </w:p>
        </w:tc>
      </w:tr>
      <w:tr>
        <w:trPr>
          <w:trHeight w:val="126"/>
        </w:trPr>
        <w:tc>
          <w:tcPr>
            <w:tcW w:w="4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Common Stock, $0.01 par value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9"/>
              </w:rPr>
              <w:t>DXLG</w:t>
            </w:r>
          </w:p>
        </w:tc>
        <w:tc>
          <w:tcPr>
            <w:tcW w:w="4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4"/>
              </w:rPr>
              <w:t>NASDAQ Stock Market LLC</w:t>
            </w:r>
          </w:p>
        </w:tc>
      </w:tr>
      <w:tr>
        <w:trPr>
          <w:trHeight w:val="44"/>
        </w:trPr>
        <w:tc>
          <w:tcPr>
            <w:tcW w:w="4720" w:type="dxa"/>
            <w:vAlign w:val="bottom"/>
            <w:tcBorders>
              <w:left w:val="single" w:sz="8" w:color="auto"/>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4800" w:type="dxa"/>
            <w:vAlign w:val="bottom"/>
            <w:tcBorders>
              <w:bottom w:val="single" w:sz="8" w:color="auto"/>
              <w:right w:val="single" w:sz="8" w:color="auto"/>
            </w:tcBorders>
          </w:tcPr>
          <w:p>
            <w:pPr>
              <w:spacing w:after="0"/>
              <w:rPr>
                <w:sz w:val="3"/>
                <w:szCs w:val="3"/>
                <w:color w:val="auto"/>
              </w:rPr>
            </w:pPr>
          </w:p>
        </w:tc>
      </w:tr>
    </w:tbl>
    <w:p>
      <w:pPr>
        <w:spacing w:after="0" w:line="67" w:lineRule="exact"/>
        <w:rPr>
          <w:sz w:val="24"/>
          <w:szCs w:val="24"/>
          <w:color w:val="auto"/>
        </w:rPr>
      </w:pPr>
    </w:p>
    <w:p>
      <w:pPr>
        <w:ind w:left="8" w:firstLine="612"/>
        <w:spacing w:after="0" w:line="14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56" w:lineRule="exact"/>
        <w:rPr>
          <w:sz w:val="24"/>
          <w:szCs w:val="24"/>
          <w:color w:val="auto"/>
        </w:rPr>
      </w:pPr>
    </w:p>
    <w:p>
      <w:pPr>
        <w:ind w:left="8" w:right="120" w:firstLine="612"/>
        <w:spacing w:after="0" w:line="149"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56" w:lineRule="exact"/>
        <w:rPr>
          <w:sz w:val="24"/>
          <w:szCs w:val="24"/>
          <w:color w:val="auto"/>
        </w:rPr>
      </w:pPr>
    </w:p>
    <w:p>
      <w:pPr>
        <w:ind w:left="8" w:right="220" w:firstLine="612"/>
        <w:spacing w:after="0" w:line="277"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8" w:type="dxa"/>
        <w:tblCellMar>
          <w:top w:w="0" w:type="dxa"/>
          <w:left w:w="0" w:type="dxa"/>
          <w:bottom w:w="0" w:type="dxa"/>
          <w:right w:w="0" w:type="dxa"/>
        </w:tblCellMar>
      </w:tblPr>
      <w:tr>
        <w:trPr>
          <w:trHeight w:val="169"/>
        </w:trPr>
        <w:tc>
          <w:tcPr>
            <w:tcW w:w="174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860" w:type="dxa"/>
            <w:vAlign w:val="bottom"/>
          </w:tcPr>
          <w:p>
            <w:pPr>
              <w:ind w:left="540"/>
              <w:spacing w:after="0" w:line="111" w:lineRule="exact"/>
              <w:rPr>
                <w:sz w:val="20"/>
                <w:szCs w:val="20"/>
                <w:color w:val="auto"/>
              </w:rPr>
            </w:pPr>
            <w:r>
              <w:rPr>
                <w:rFonts w:ascii="MS PGothic" w:cs="MS PGothic" w:eastAsia="MS PGothic" w:hAnsi="MS PGothic"/>
                <w:sz w:val="11"/>
                <w:szCs w:val="11"/>
                <w:color w:val="auto"/>
              </w:rPr>
              <w:t>☐</w:t>
            </w:r>
          </w:p>
        </w:tc>
        <w:tc>
          <w:tcPr>
            <w:tcW w:w="5040" w:type="dxa"/>
            <w:vAlign w:val="bottom"/>
          </w:tcPr>
          <w:p>
            <w:pPr>
              <w:ind w:left="3240"/>
              <w:spacing w:after="0"/>
              <w:rPr>
                <w:sz w:val="20"/>
                <w:szCs w:val="20"/>
                <w:color w:val="auto"/>
              </w:rPr>
            </w:pPr>
            <w:r>
              <w:rPr>
                <w:rFonts w:ascii="Arial" w:cs="Arial" w:eastAsia="Arial" w:hAnsi="Arial"/>
                <w:sz w:val="11"/>
                <w:szCs w:val="11"/>
                <w:color w:val="auto"/>
              </w:rPr>
              <w:t>Accelerated filer</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5"/>
        </w:trPr>
        <w:tc>
          <w:tcPr>
            <w:tcW w:w="1740" w:type="dxa"/>
            <w:vAlign w:val="bottom"/>
          </w:tcPr>
          <w:p>
            <w:pPr>
              <w:spacing w:after="0"/>
              <w:rPr>
                <w:sz w:val="20"/>
                <w:szCs w:val="20"/>
                <w:color w:val="auto"/>
              </w:rPr>
            </w:pPr>
            <w:r>
              <w:rPr>
                <w:rFonts w:ascii="Arial" w:cs="Arial" w:eastAsia="Arial" w:hAnsi="Arial"/>
                <w:sz w:val="11"/>
                <w:szCs w:val="11"/>
                <w:color w:val="auto"/>
              </w:rPr>
              <w:t>Non-accelerated filer</w:t>
            </w:r>
          </w:p>
        </w:tc>
        <w:tc>
          <w:tcPr>
            <w:tcW w:w="3860" w:type="dxa"/>
            <w:vAlign w:val="bottom"/>
          </w:tcPr>
          <w:p>
            <w:pPr>
              <w:ind w:left="540"/>
              <w:spacing w:after="0" w:line="111" w:lineRule="exact"/>
              <w:rPr>
                <w:sz w:val="20"/>
                <w:szCs w:val="20"/>
                <w:color w:val="auto"/>
              </w:rPr>
            </w:pPr>
            <w:r>
              <w:rPr>
                <w:rFonts w:ascii="MS PGothic" w:cs="MS PGothic" w:eastAsia="MS PGothic" w:hAnsi="MS PGothic"/>
                <w:sz w:val="11"/>
                <w:szCs w:val="11"/>
                <w:color w:val="auto"/>
              </w:rPr>
              <w:t>☐</w:t>
            </w:r>
          </w:p>
        </w:tc>
        <w:tc>
          <w:tcPr>
            <w:tcW w:w="5040" w:type="dxa"/>
            <w:vAlign w:val="bottom"/>
          </w:tcPr>
          <w:p>
            <w:pPr>
              <w:ind w:left="3240"/>
              <w:spacing w:after="0"/>
              <w:rPr>
                <w:sz w:val="20"/>
                <w:szCs w:val="20"/>
                <w:color w:val="auto"/>
              </w:rPr>
            </w:pPr>
            <w:r>
              <w:rPr>
                <w:rFonts w:ascii="Arial" w:cs="Arial" w:eastAsia="Arial" w:hAnsi="Arial"/>
                <w:sz w:val="11"/>
                <w:szCs w:val="11"/>
                <w:color w:val="auto"/>
              </w:rPr>
              <w:t>Smaller reporting company</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9"/>
        </w:trPr>
        <w:tc>
          <w:tcPr>
            <w:tcW w:w="1740" w:type="dxa"/>
            <w:vAlign w:val="bottom"/>
          </w:tcPr>
          <w:p>
            <w:pPr>
              <w:spacing w:after="0"/>
              <w:rPr>
                <w:sz w:val="20"/>
                <w:szCs w:val="20"/>
                <w:color w:val="auto"/>
              </w:rPr>
            </w:pPr>
            <w:r>
              <w:rPr>
                <w:rFonts w:ascii="Arial" w:cs="Arial" w:eastAsia="Arial" w:hAnsi="Arial"/>
                <w:sz w:val="11"/>
                <w:szCs w:val="11"/>
                <w:color w:val="auto"/>
              </w:rPr>
              <w:t>Emerging growth company</w:t>
            </w:r>
          </w:p>
        </w:tc>
        <w:tc>
          <w:tcPr>
            <w:tcW w:w="3860" w:type="dxa"/>
            <w:vAlign w:val="bottom"/>
          </w:tcPr>
          <w:p>
            <w:pPr>
              <w:ind w:left="540"/>
              <w:spacing w:after="0" w:line="111" w:lineRule="exact"/>
              <w:rPr>
                <w:sz w:val="20"/>
                <w:szCs w:val="20"/>
                <w:color w:val="auto"/>
              </w:rPr>
            </w:pPr>
            <w:r>
              <w:rPr>
                <w:rFonts w:ascii="MS PGothic" w:cs="MS PGothic" w:eastAsia="MS PGothic" w:hAnsi="MS PGothic"/>
                <w:sz w:val="11"/>
                <w:szCs w:val="11"/>
                <w:color w:val="auto"/>
              </w:rPr>
              <w:t>☐</w:t>
            </w:r>
          </w:p>
        </w:tc>
        <w:tc>
          <w:tcPr>
            <w:tcW w:w="504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69" w:lineRule="exact"/>
        <w:rPr>
          <w:sz w:val="24"/>
          <w:szCs w:val="24"/>
          <w:color w:val="auto"/>
        </w:rPr>
      </w:pPr>
    </w:p>
    <w:p>
      <w:pPr>
        <w:ind w:left="608"/>
        <w:spacing w:after="0"/>
        <w:rPr>
          <w:sz w:val="20"/>
          <w:szCs w:val="20"/>
          <w:color w:val="auto"/>
        </w:rPr>
      </w:pPr>
      <w:r>
        <w:rPr>
          <w:rFonts w:ascii="Arial" w:cs="Arial" w:eastAsia="Arial" w:hAnsi="Arial"/>
          <w:sz w:val="9"/>
          <w:szCs w:val="9"/>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33" w:lineRule="exact"/>
        <w:rPr>
          <w:sz w:val="24"/>
          <w:szCs w:val="24"/>
          <w:color w:val="auto"/>
        </w:rPr>
      </w:pPr>
    </w:p>
    <w:p>
      <w:pPr>
        <w:ind w:left="8"/>
        <w:spacing w:after="0" w:line="127" w:lineRule="exact"/>
        <w:rPr>
          <w:sz w:val="20"/>
          <w:szCs w:val="20"/>
          <w:color w:val="auto"/>
        </w:rPr>
      </w:pPr>
      <w:r>
        <w:rPr>
          <w:rFonts w:ascii="Arial" w:cs="Arial" w:eastAsia="Arial" w:hAnsi="Arial"/>
          <w:sz w:val="11"/>
          <w:szCs w:val="11"/>
          <w:color w:val="auto"/>
        </w:rPr>
        <w:t xml:space="preserve">Act. </w:t>
      </w:r>
      <w:r>
        <w:rPr>
          <w:rFonts w:ascii="MS PGothic" w:cs="MS PGothic" w:eastAsia="MS PGothic" w:hAnsi="MS PGothic"/>
          <w:sz w:val="11"/>
          <w:szCs w:val="11"/>
          <w:color w:val="auto"/>
        </w:rPr>
        <w:t>☐</w:t>
      </w:r>
    </w:p>
    <w:p>
      <w:pPr>
        <w:spacing w:after="0" w:line="55" w:lineRule="exact"/>
        <w:rPr>
          <w:sz w:val="24"/>
          <w:szCs w:val="24"/>
          <w:color w:val="auto"/>
        </w:rPr>
      </w:pPr>
    </w:p>
    <w:p>
      <w:pPr>
        <w:ind w:left="8" w:right="5060" w:firstLine="612"/>
        <w:spacing w:after="0" w:line="191"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r>
        <w:rPr>
          <w:rFonts w:ascii="Arial" w:cs="Arial" w:eastAsia="Arial" w:hAnsi="Arial"/>
          <w:sz w:val="11"/>
          <w:szCs w:val="11"/>
          <w:color w:val="auto"/>
        </w:rPr>
        <w:t xml:space="preserve"> As of August 15, 2019, the registrant had 49,957,299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9170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170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100330</wp:posOffset>
            </wp:positionV>
            <wp:extent cx="729170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705"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294640</wp:posOffset>
            </wp:positionV>
            <wp:extent cx="732853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48"/>
          </w:cols>
          <w:pgMar w:left="212" w:top="347" w:right="239" w:bottom="1440" w:gutter="0" w:footer="0" w:header="0"/>
        </w:sectPr>
      </w:pPr>
    </w:p>
    <w:bookmarkStart w:id="1" w:name="page2"/>
    <w:bookmarkEnd w:id="1"/>
    <w:p>
      <w:pPr>
        <w:spacing w:after="0"/>
        <w:rPr>
          <w:sz w:val="20"/>
          <w:szCs w:val="20"/>
          <w:color w:val="auto"/>
        </w:rPr>
      </w:pPr>
      <w:r>
        <w:rPr>
          <w:rFonts w:ascii="Arial" w:cs="Arial" w:eastAsia="Arial" w:hAnsi="Arial"/>
          <w:sz w:val="12"/>
          <w:szCs w:val="12"/>
          <w:color w:val="auto"/>
        </w:rPr>
        <w:t>PART I. FINANCIAL INFORMATION</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Item 1. Financial Statements.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(In thousands, except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8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August 3, 2019</w:t>
            </w: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0"/>
                <w:szCs w:val="10"/>
                <w:color w:val="auto"/>
              </w:rPr>
              <w:t>February 2, 2019</w:t>
            </w:r>
          </w:p>
        </w:tc>
      </w:tr>
      <w:tr>
        <w:trPr>
          <w:trHeight w:val="112"/>
        </w:trPr>
        <w:tc>
          <w:tcPr>
            <w:tcW w:w="7880" w:type="dxa"/>
            <w:vAlign w:val="bottom"/>
          </w:tcPr>
          <w:p>
            <w:pPr>
              <w:spacing w:after="0"/>
              <w:rPr>
                <w:sz w:val="9"/>
                <w:szCs w:val="9"/>
                <w:color w:val="auto"/>
              </w:rPr>
            </w:pPr>
          </w:p>
        </w:tc>
        <w:tc>
          <w:tcPr>
            <w:tcW w:w="1120" w:type="dxa"/>
            <w:vAlign w:val="bottom"/>
          </w:tcPr>
          <w:p>
            <w:pPr>
              <w:jc w:val="right"/>
              <w:ind w:right="11"/>
              <w:spacing w:after="0" w:line="113" w:lineRule="exact"/>
              <w:rPr>
                <w:sz w:val="20"/>
                <w:szCs w:val="20"/>
                <w:color w:val="auto"/>
              </w:rPr>
            </w:pPr>
            <w:r>
              <w:rPr>
                <w:rFonts w:ascii="Arial" w:cs="Arial" w:eastAsia="Arial" w:hAnsi="Arial"/>
                <w:sz w:val="10"/>
                <w:szCs w:val="10"/>
                <w:color w:val="auto"/>
              </w:rPr>
              <w:t>(Fiscal 2019)</w:t>
            </w: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gridSpan w:val="2"/>
          </w:tcPr>
          <w:p>
            <w:pPr>
              <w:jc w:val="right"/>
              <w:ind w:right="660"/>
              <w:spacing w:after="0" w:line="113" w:lineRule="exact"/>
              <w:rPr>
                <w:sz w:val="20"/>
                <w:szCs w:val="20"/>
                <w:color w:val="auto"/>
              </w:rPr>
            </w:pPr>
            <w:r>
              <w:rPr>
                <w:rFonts w:ascii="Arial" w:cs="Arial" w:eastAsia="Arial" w:hAnsi="Arial"/>
                <w:sz w:val="10"/>
                <w:szCs w:val="10"/>
                <w:color w:val="auto"/>
              </w:rPr>
              <w:t>(Fiscal 2018)</w:t>
            </w:r>
          </w:p>
        </w:tc>
      </w:tr>
      <w:tr>
        <w:trPr>
          <w:trHeight w:val="98"/>
        </w:trPr>
        <w:tc>
          <w:tcPr>
            <w:tcW w:w="7880" w:type="dxa"/>
            <w:vAlign w:val="bottom"/>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54"/>
        </w:trPr>
        <w:tc>
          <w:tcPr>
            <w:tcW w:w="7880" w:type="dxa"/>
            <w:vAlign w:val="bottom"/>
            <w:shd w:val="clear" w:color="auto" w:fill="CFF0FC"/>
          </w:tcPr>
          <w:p>
            <w:pPr>
              <w:spacing w:after="0"/>
              <w:rPr>
                <w:sz w:val="20"/>
                <w:szCs w:val="20"/>
                <w:color w:val="auto"/>
              </w:rPr>
            </w:pPr>
            <w:r>
              <w:rPr>
                <w:rFonts w:ascii="Arial" w:cs="Arial" w:eastAsia="Arial" w:hAnsi="Arial"/>
                <w:sz w:val="12"/>
                <w:szCs w:val="12"/>
                <w:color w:val="auto"/>
              </w:rPr>
              <w:t>ASSETS</w:t>
            </w:r>
          </w:p>
        </w:tc>
        <w:tc>
          <w:tcPr>
            <w:tcW w:w="1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7880" w:type="dxa"/>
            <w:vAlign w:val="bottom"/>
          </w:tcPr>
          <w:p>
            <w:pPr>
              <w:spacing w:after="0"/>
              <w:rPr>
                <w:sz w:val="20"/>
                <w:szCs w:val="20"/>
                <w:color w:val="auto"/>
              </w:rPr>
            </w:pPr>
            <w:r>
              <w:rPr>
                <w:rFonts w:ascii="Arial" w:cs="Arial" w:eastAsia="Arial" w:hAnsi="Arial"/>
                <w:sz w:val="12"/>
                <w:szCs w:val="12"/>
                <w:i w:val="1"/>
                <w:iCs w:val="1"/>
                <w:color w:val="auto"/>
              </w:rPr>
              <w:t>Current assets:</w:t>
            </w: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78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Cash and cash equivalents</w:t>
            </w:r>
          </w:p>
        </w:tc>
        <w:tc>
          <w:tcPr>
            <w:tcW w:w="1120" w:type="dxa"/>
            <w:vAlign w:val="bottom"/>
            <w:shd w:val="clear" w:color="auto" w:fill="CFF0FC"/>
          </w:tcPr>
          <w:p>
            <w:pPr>
              <w:jc w:val="right"/>
              <w:ind w:right="101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5,493</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4,868</w:t>
            </w:r>
          </w:p>
        </w:tc>
        <w:tc>
          <w:tcPr>
            <w:tcW w:w="120" w:type="dxa"/>
            <w:vAlign w:val="bottom"/>
            <w:shd w:val="clear" w:color="auto" w:fill="CFF0FC"/>
          </w:tcPr>
          <w:p>
            <w:pPr>
              <w:spacing w:after="0"/>
              <w:rPr>
                <w:sz w:val="13"/>
                <w:szCs w:val="13"/>
                <w:color w:val="auto"/>
              </w:rPr>
            </w:pPr>
          </w:p>
        </w:tc>
      </w:tr>
      <w:tr>
        <w:trPr>
          <w:trHeight w:val="154"/>
        </w:trPr>
        <w:tc>
          <w:tcPr>
            <w:tcW w:w="7880" w:type="dxa"/>
            <w:vAlign w:val="bottom"/>
          </w:tcPr>
          <w:p>
            <w:pPr>
              <w:ind w:left="160"/>
              <w:spacing w:after="0"/>
              <w:rPr>
                <w:sz w:val="20"/>
                <w:szCs w:val="20"/>
                <w:color w:val="auto"/>
              </w:rPr>
            </w:pPr>
            <w:r>
              <w:rPr>
                <w:rFonts w:ascii="Arial" w:cs="Arial" w:eastAsia="Arial" w:hAnsi="Arial"/>
                <w:sz w:val="12"/>
                <w:szCs w:val="12"/>
                <w:color w:val="auto"/>
              </w:rPr>
              <w:t>Accounts receivable</w:t>
            </w:r>
          </w:p>
        </w:tc>
        <w:tc>
          <w:tcPr>
            <w:tcW w:w="1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4,397</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4,420</w:t>
            </w:r>
          </w:p>
        </w:tc>
        <w:tc>
          <w:tcPr>
            <w:tcW w:w="120" w:type="dxa"/>
            <w:vAlign w:val="bottom"/>
          </w:tcPr>
          <w:p>
            <w:pPr>
              <w:spacing w:after="0"/>
              <w:rPr>
                <w:sz w:val="13"/>
                <w:szCs w:val="13"/>
                <w:color w:val="auto"/>
              </w:rPr>
            </w:pPr>
          </w:p>
        </w:tc>
      </w:tr>
      <w:tr>
        <w:trPr>
          <w:trHeight w:val="154"/>
        </w:trPr>
        <w:tc>
          <w:tcPr>
            <w:tcW w:w="78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Inventories</w:t>
            </w:r>
          </w:p>
        </w:tc>
        <w:tc>
          <w:tcPr>
            <w:tcW w:w="11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110,374</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106,837</w:t>
            </w:r>
          </w:p>
        </w:tc>
        <w:tc>
          <w:tcPr>
            <w:tcW w:w="120" w:type="dxa"/>
            <w:vAlign w:val="bottom"/>
            <w:shd w:val="clear" w:color="auto" w:fill="CFF0FC"/>
          </w:tcPr>
          <w:p>
            <w:pPr>
              <w:spacing w:after="0"/>
              <w:rPr>
                <w:sz w:val="13"/>
                <w:szCs w:val="13"/>
                <w:color w:val="auto"/>
              </w:rPr>
            </w:pPr>
          </w:p>
        </w:tc>
      </w:tr>
      <w:tr>
        <w:trPr>
          <w:trHeight w:val="154"/>
        </w:trPr>
        <w:tc>
          <w:tcPr>
            <w:tcW w:w="78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1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12,424</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11,535</w:t>
            </w:r>
          </w:p>
        </w:tc>
        <w:tc>
          <w:tcPr>
            <w:tcW w:w="120" w:type="dxa"/>
            <w:vAlign w:val="bottom"/>
            <w:tcBorders>
              <w:bottom w:val="single" w:sz="8" w:color="CFF0FC"/>
            </w:tcBorders>
          </w:tcPr>
          <w:p>
            <w:pPr>
              <w:spacing w:after="0"/>
              <w:rPr>
                <w:sz w:val="13"/>
                <w:szCs w:val="13"/>
                <w:color w:val="auto"/>
              </w:rPr>
            </w:pPr>
          </w:p>
        </w:tc>
      </w:tr>
      <w:tr>
        <w:trPr>
          <w:trHeight w:val="143"/>
        </w:trPr>
        <w:tc>
          <w:tcPr>
            <w:tcW w:w="788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current assets</w:t>
            </w:r>
          </w:p>
        </w:tc>
        <w:tc>
          <w:tcPr>
            <w:tcW w:w="11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132,688</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127,660</w:t>
            </w:r>
          </w:p>
        </w:tc>
        <w:tc>
          <w:tcPr>
            <w:tcW w:w="120" w:type="dxa"/>
            <w:vAlign w:val="bottom"/>
            <w:shd w:val="clear" w:color="auto" w:fill="CFF0FC"/>
          </w:tcPr>
          <w:p>
            <w:pPr>
              <w:spacing w:after="0"/>
              <w:rPr>
                <w:sz w:val="12"/>
                <w:szCs w:val="12"/>
                <w:color w:val="auto"/>
              </w:rPr>
            </w:pPr>
          </w:p>
        </w:tc>
      </w:tr>
      <w:tr>
        <w:trPr>
          <w:trHeight w:val="154"/>
        </w:trPr>
        <w:tc>
          <w:tcPr>
            <w:tcW w:w="7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788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Non-current assets:</w:t>
            </w:r>
          </w:p>
        </w:tc>
        <w:tc>
          <w:tcPr>
            <w:tcW w:w="1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7880" w:type="dxa"/>
            <w:vAlign w:val="bottom"/>
          </w:tcPr>
          <w:p>
            <w:pPr>
              <w:ind w:left="160"/>
              <w:spacing w:after="0"/>
              <w:rPr>
                <w:sz w:val="20"/>
                <w:szCs w:val="20"/>
                <w:color w:val="auto"/>
              </w:rPr>
            </w:pPr>
            <w:r>
              <w:rPr>
                <w:rFonts w:ascii="Arial" w:cs="Arial" w:eastAsia="Arial" w:hAnsi="Arial"/>
                <w:sz w:val="12"/>
                <w:szCs w:val="12"/>
                <w:color w:val="auto"/>
              </w:rPr>
              <w:t>Property and equipment, net of accumulated depreciation and amortization</w:t>
            </w:r>
          </w:p>
        </w:tc>
        <w:tc>
          <w:tcPr>
            <w:tcW w:w="1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85,953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92,525</w:t>
            </w:r>
          </w:p>
        </w:tc>
        <w:tc>
          <w:tcPr>
            <w:tcW w:w="120" w:type="dxa"/>
            <w:vAlign w:val="bottom"/>
          </w:tcPr>
          <w:p>
            <w:pPr>
              <w:spacing w:after="0"/>
              <w:rPr>
                <w:sz w:val="13"/>
                <w:szCs w:val="13"/>
                <w:color w:val="auto"/>
              </w:rPr>
            </w:pPr>
          </w:p>
        </w:tc>
      </w:tr>
      <w:tr>
        <w:trPr>
          <w:trHeight w:val="154"/>
        </w:trPr>
        <w:tc>
          <w:tcPr>
            <w:tcW w:w="78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lease right-of-use assets</w:t>
            </w:r>
          </w:p>
        </w:tc>
        <w:tc>
          <w:tcPr>
            <w:tcW w:w="11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200,480</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4"/>
        </w:trPr>
        <w:tc>
          <w:tcPr>
            <w:tcW w:w="7880" w:type="dxa"/>
            <w:vAlign w:val="bottom"/>
          </w:tcPr>
          <w:p>
            <w:pPr>
              <w:ind w:left="160"/>
              <w:spacing w:after="0"/>
              <w:rPr>
                <w:sz w:val="20"/>
                <w:szCs w:val="20"/>
                <w:color w:val="auto"/>
              </w:rPr>
            </w:pPr>
            <w:r>
              <w:rPr>
                <w:rFonts w:ascii="Arial" w:cs="Arial" w:eastAsia="Arial" w:hAnsi="Arial"/>
                <w:sz w:val="12"/>
                <w:szCs w:val="12"/>
                <w:color w:val="auto"/>
              </w:rPr>
              <w:t>Intangible assets</w:t>
            </w:r>
          </w:p>
        </w:tc>
        <w:tc>
          <w:tcPr>
            <w:tcW w:w="1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1,150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1,150</w:t>
            </w:r>
          </w:p>
        </w:tc>
        <w:tc>
          <w:tcPr>
            <w:tcW w:w="120" w:type="dxa"/>
            <w:vAlign w:val="bottom"/>
          </w:tcPr>
          <w:p>
            <w:pPr>
              <w:spacing w:after="0"/>
              <w:rPr>
                <w:sz w:val="13"/>
                <w:szCs w:val="13"/>
                <w:color w:val="auto"/>
              </w:rPr>
            </w:pPr>
          </w:p>
        </w:tc>
      </w:tr>
      <w:tr>
        <w:trPr>
          <w:trHeight w:val="154"/>
        </w:trPr>
        <w:tc>
          <w:tcPr>
            <w:tcW w:w="78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assets</w:t>
            </w:r>
          </w:p>
        </w:tc>
        <w:tc>
          <w:tcPr>
            <w:tcW w:w="112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3,453</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4,741</w:t>
            </w:r>
          </w:p>
        </w:tc>
        <w:tc>
          <w:tcPr>
            <w:tcW w:w="120" w:type="dxa"/>
            <w:vAlign w:val="bottom"/>
            <w:shd w:val="clear" w:color="auto" w:fill="CFF0FC"/>
          </w:tcPr>
          <w:p>
            <w:pPr>
              <w:spacing w:after="0"/>
              <w:rPr>
                <w:sz w:val="13"/>
                <w:szCs w:val="13"/>
                <w:color w:val="auto"/>
              </w:rPr>
            </w:pPr>
          </w:p>
        </w:tc>
      </w:tr>
      <w:tr>
        <w:trPr>
          <w:trHeight w:val="150"/>
        </w:trPr>
        <w:tc>
          <w:tcPr>
            <w:tcW w:w="788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assets</w:t>
            </w:r>
          </w:p>
        </w:tc>
        <w:tc>
          <w:tcPr>
            <w:tcW w:w="1120" w:type="dxa"/>
            <w:vAlign w:val="bottom"/>
            <w:tcBorders>
              <w:bottom w:val="single" w:sz="8" w:color="auto"/>
            </w:tcBorders>
          </w:tcPr>
          <w:p>
            <w:pPr>
              <w:jc w:val="right"/>
              <w:ind w:right="101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423,724</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226,076</w:t>
            </w:r>
          </w:p>
        </w:tc>
        <w:tc>
          <w:tcPr>
            <w:tcW w:w="120" w:type="dxa"/>
            <w:vAlign w:val="bottom"/>
            <w:tcBorders>
              <w:bottom w:val="single" w:sz="8" w:color="CFF0FC"/>
            </w:tcBorders>
          </w:tcPr>
          <w:p>
            <w:pPr>
              <w:spacing w:after="0"/>
              <w:rPr>
                <w:sz w:val="13"/>
                <w:szCs w:val="13"/>
                <w:color w:val="auto"/>
              </w:rPr>
            </w:pPr>
          </w:p>
        </w:tc>
      </w:tr>
      <w:tr>
        <w:trPr>
          <w:trHeight w:val="154"/>
        </w:trPr>
        <w:tc>
          <w:tcPr>
            <w:tcW w:w="78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7880" w:type="dxa"/>
            <w:vAlign w:val="bottom"/>
          </w:tcPr>
          <w:p>
            <w:pPr>
              <w:spacing w:after="0"/>
              <w:rPr>
                <w:sz w:val="20"/>
                <w:szCs w:val="20"/>
                <w:color w:val="auto"/>
              </w:rPr>
            </w:pPr>
            <w:r>
              <w:rPr>
                <w:rFonts w:ascii="Arial" w:cs="Arial" w:eastAsia="Arial" w:hAnsi="Arial"/>
                <w:sz w:val="12"/>
                <w:szCs w:val="12"/>
                <w:color w:val="auto"/>
              </w:rPr>
              <w:t>LIABILITIES AND STOCKHOLDERS' EQUITY</w:t>
            </w: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788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Current liabilities:</w:t>
            </w:r>
          </w:p>
        </w:tc>
        <w:tc>
          <w:tcPr>
            <w:tcW w:w="1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7880" w:type="dxa"/>
            <w:vAlign w:val="bottom"/>
          </w:tcPr>
          <w:p>
            <w:pPr>
              <w:ind w:left="160"/>
              <w:spacing w:after="0"/>
              <w:rPr>
                <w:sz w:val="20"/>
                <w:szCs w:val="20"/>
                <w:color w:val="auto"/>
              </w:rPr>
            </w:pPr>
            <w:r>
              <w:rPr>
                <w:rFonts w:ascii="Arial" w:cs="Arial" w:eastAsia="Arial" w:hAnsi="Arial"/>
                <w:sz w:val="12"/>
                <w:szCs w:val="12"/>
                <w:color w:val="auto"/>
              </w:rPr>
              <w:t>Current portion of deferred gain on sale-leaseback</w:t>
            </w:r>
          </w:p>
        </w:tc>
        <w:tc>
          <w:tcPr>
            <w:tcW w:w="112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1,465</w:t>
            </w:r>
          </w:p>
        </w:tc>
        <w:tc>
          <w:tcPr>
            <w:tcW w:w="120" w:type="dxa"/>
            <w:vAlign w:val="bottom"/>
          </w:tcPr>
          <w:p>
            <w:pPr>
              <w:spacing w:after="0"/>
              <w:rPr>
                <w:sz w:val="13"/>
                <w:szCs w:val="13"/>
                <w:color w:val="auto"/>
              </w:rPr>
            </w:pPr>
          </w:p>
        </w:tc>
      </w:tr>
      <w:tr>
        <w:trPr>
          <w:trHeight w:val="154"/>
        </w:trPr>
        <w:tc>
          <w:tcPr>
            <w:tcW w:w="78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Accounts payable</w:t>
            </w:r>
          </w:p>
        </w:tc>
        <w:tc>
          <w:tcPr>
            <w:tcW w:w="11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36,929</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34,418</w:t>
            </w:r>
          </w:p>
        </w:tc>
        <w:tc>
          <w:tcPr>
            <w:tcW w:w="120" w:type="dxa"/>
            <w:vAlign w:val="bottom"/>
            <w:shd w:val="clear" w:color="auto" w:fill="CFF0FC"/>
          </w:tcPr>
          <w:p>
            <w:pPr>
              <w:spacing w:after="0"/>
              <w:rPr>
                <w:sz w:val="13"/>
                <w:szCs w:val="13"/>
                <w:color w:val="auto"/>
              </w:rPr>
            </w:pPr>
          </w:p>
        </w:tc>
      </w:tr>
      <w:tr>
        <w:trPr>
          <w:trHeight w:val="154"/>
        </w:trPr>
        <w:tc>
          <w:tcPr>
            <w:tcW w:w="7880" w:type="dxa"/>
            <w:vAlign w:val="bottom"/>
          </w:tcPr>
          <w:p>
            <w:pPr>
              <w:ind w:left="160"/>
              <w:spacing w:after="0"/>
              <w:rPr>
                <w:sz w:val="20"/>
                <w:szCs w:val="20"/>
                <w:color w:val="auto"/>
              </w:rPr>
            </w:pPr>
            <w:r>
              <w:rPr>
                <w:rFonts w:ascii="Arial" w:cs="Arial" w:eastAsia="Arial" w:hAnsi="Arial"/>
                <w:sz w:val="12"/>
                <w:szCs w:val="12"/>
                <w:color w:val="auto"/>
              </w:rPr>
              <w:t>Accrued expenses and other current liabilities</w:t>
            </w:r>
          </w:p>
        </w:tc>
        <w:tc>
          <w:tcPr>
            <w:tcW w:w="1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17,499</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30,140</w:t>
            </w:r>
          </w:p>
        </w:tc>
        <w:tc>
          <w:tcPr>
            <w:tcW w:w="120" w:type="dxa"/>
            <w:vAlign w:val="bottom"/>
          </w:tcPr>
          <w:p>
            <w:pPr>
              <w:spacing w:after="0"/>
              <w:rPr>
                <w:sz w:val="13"/>
                <w:szCs w:val="13"/>
                <w:color w:val="auto"/>
              </w:rPr>
            </w:pPr>
          </w:p>
        </w:tc>
      </w:tr>
      <w:tr>
        <w:trPr>
          <w:trHeight w:val="154"/>
        </w:trPr>
        <w:tc>
          <w:tcPr>
            <w:tcW w:w="78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leases, current</w:t>
            </w:r>
          </w:p>
        </w:tc>
        <w:tc>
          <w:tcPr>
            <w:tcW w:w="11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41,372</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4"/>
        </w:trPr>
        <w:tc>
          <w:tcPr>
            <w:tcW w:w="78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Borrowings under credit facility</w:t>
            </w:r>
          </w:p>
        </w:tc>
        <w:tc>
          <w:tcPr>
            <w:tcW w:w="1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49,451</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41,908</w:t>
            </w:r>
          </w:p>
        </w:tc>
        <w:tc>
          <w:tcPr>
            <w:tcW w:w="120" w:type="dxa"/>
            <w:vAlign w:val="bottom"/>
            <w:tcBorders>
              <w:bottom w:val="single" w:sz="8" w:color="CFF0FC"/>
            </w:tcBorders>
          </w:tcPr>
          <w:p>
            <w:pPr>
              <w:spacing w:after="0"/>
              <w:rPr>
                <w:sz w:val="13"/>
                <w:szCs w:val="13"/>
                <w:color w:val="auto"/>
              </w:rPr>
            </w:pPr>
          </w:p>
        </w:tc>
      </w:tr>
      <w:tr>
        <w:trPr>
          <w:trHeight w:val="143"/>
        </w:trPr>
        <w:tc>
          <w:tcPr>
            <w:tcW w:w="788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current liabilities</w:t>
            </w:r>
          </w:p>
        </w:tc>
        <w:tc>
          <w:tcPr>
            <w:tcW w:w="112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145,251</w:t>
            </w:r>
          </w:p>
        </w:tc>
        <w:tc>
          <w:tcPr>
            <w:tcW w:w="28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107,931</w:t>
            </w:r>
          </w:p>
        </w:tc>
        <w:tc>
          <w:tcPr>
            <w:tcW w:w="120" w:type="dxa"/>
            <w:vAlign w:val="bottom"/>
            <w:shd w:val="clear" w:color="auto" w:fill="CFF0FC"/>
          </w:tcPr>
          <w:p>
            <w:pPr>
              <w:spacing w:after="0"/>
              <w:rPr>
                <w:sz w:val="12"/>
                <w:szCs w:val="12"/>
                <w:color w:val="auto"/>
              </w:rPr>
            </w:pPr>
          </w:p>
        </w:tc>
      </w:tr>
      <w:tr>
        <w:trPr>
          <w:trHeight w:val="143"/>
        </w:trPr>
        <w:tc>
          <w:tcPr>
            <w:tcW w:w="7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788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Long-term liabilities:</w:t>
            </w:r>
          </w:p>
        </w:tc>
        <w:tc>
          <w:tcPr>
            <w:tcW w:w="1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7880" w:type="dxa"/>
            <w:vAlign w:val="bottom"/>
          </w:tcPr>
          <w:p>
            <w:pPr>
              <w:ind w:left="160"/>
              <w:spacing w:after="0"/>
              <w:rPr>
                <w:sz w:val="20"/>
                <w:szCs w:val="20"/>
                <w:color w:val="auto"/>
              </w:rPr>
            </w:pPr>
            <w:r>
              <w:rPr>
                <w:rFonts w:ascii="Arial" w:cs="Arial" w:eastAsia="Arial" w:hAnsi="Arial"/>
                <w:sz w:val="12"/>
                <w:szCs w:val="12"/>
                <w:color w:val="auto"/>
              </w:rPr>
              <w:t>Long-term debt, net of current portion</w:t>
            </w:r>
          </w:p>
        </w:tc>
        <w:tc>
          <w:tcPr>
            <w:tcW w:w="1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14,785</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14,757</w:t>
            </w:r>
          </w:p>
        </w:tc>
        <w:tc>
          <w:tcPr>
            <w:tcW w:w="120" w:type="dxa"/>
            <w:vAlign w:val="bottom"/>
          </w:tcPr>
          <w:p>
            <w:pPr>
              <w:spacing w:after="0"/>
              <w:rPr>
                <w:sz w:val="13"/>
                <w:szCs w:val="13"/>
                <w:color w:val="auto"/>
              </w:rPr>
            </w:pPr>
          </w:p>
        </w:tc>
      </w:tr>
      <w:tr>
        <w:trPr>
          <w:trHeight w:val="154"/>
        </w:trPr>
        <w:tc>
          <w:tcPr>
            <w:tcW w:w="78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leases, non-current</w:t>
            </w:r>
          </w:p>
        </w:tc>
        <w:tc>
          <w:tcPr>
            <w:tcW w:w="11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197,388</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4"/>
        </w:trPr>
        <w:tc>
          <w:tcPr>
            <w:tcW w:w="7880" w:type="dxa"/>
            <w:vAlign w:val="bottom"/>
          </w:tcPr>
          <w:p>
            <w:pPr>
              <w:ind w:left="160"/>
              <w:spacing w:after="0"/>
              <w:rPr>
                <w:sz w:val="20"/>
                <w:szCs w:val="20"/>
                <w:color w:val="auto"/>
              </w:rPr>
            </w:pPr>
            <w:r>
              <w:rPr>
                <w:rFonts w:ascii="Arial" w:cs="Arial" w:eastAsia="Arial" w:hAnsi="Arial"/>
                <w:sz w:val="12"/>
                <w:szCs w:val="12"/>
                <w:color w:val="auto"/>
              </w:rPr>
              <w:t>Deferred rent and lease incentives</w:t>
            </w:r>
          </w:p>
        </w:tc>
        <w:tc>
          <w:tcPr>
            <w:tcW w:w="112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31,839</w:t>
            </w:r>
          </w:p>
        </w:tc>
        <w:tc>
          <w:tcPr>
            <w:tcW w:w="120" w:type="dxa"/>
            <w:vAlign w:val="bottom"/>
          </w:tcPr>
          <w:p>
            <w:pPr>
              <w:spacing w:after="0"/>
              <w:rPr>
                <w:sz w:val="13"/>
                <w:szCs w:val="13"/>
                <w:color w:val="auto"/>
              </w:rPr>
            </w:pPr>
          </w:p>
        </w:tc>
      </w:tr>
      <w:tr>
        <w:trPr>
          <w:trHeight w:val="154"/>
        </w:trPr>
        <w:tc>
          <w:tcPr>
            <w:tcW w:w="78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Deferred gain on sale-leaseback, net of current portion</w:t>
            </w:r>
          </w:p>
        </w:tc>
        <w:tc>
          <w:tcPr>
            <w:tcW w:w="1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8,793</w:t>
            </w:r>
          </w:p>
        </w:tc>
        <w:tc>
          <w:tcPr>
            <w:tcW w:w="120" w:type="dxa"/>
            <w:vAlign w:val="bottom"/>
            <w:shd w:val="clear" w:color="auto" w:fill="CFF0FC"/>
          </w:tcPr>
          <w:p>
            <w:pPr>
              <w:spacing w:after="0"/>
              <w:rPr>
                <w:sz w:val="13"/>
                <w:szCs w:val="13"/>
                <w:color w:val="auto"/>
              </w:rPr>
            </w:pPr>
          </w:p>
        </w:tc>
      </w:tr>
      <w:tr>
        <w:trPr>
          <w:trHeight w:val="154"/>
        </w:trPr>
        <w:tc>
          <w:tcPr>
            <w:tcW w:w="78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Other long-term liabilities</w:t>
            </w:r>
          </w:p>
        </w:tc>
        <w:tc>
          <w:tcPr>
            <w:tcW w:w="1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3,881</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4,116</w:t>
            </w:r>
          </w:p>
        </w:tc>
        <w:tc>
          <w:tcPr>
            <w:tcW w:w="120" w:type="dxa"/>
            <w:vAlign w:val="bottom"/>
            <w:tcBorders>
              <w:bottom w:val="single" w:sz="8" w:color="CFF0FC"/>
            </w:tcBorders>
          </w:tcPr>
          <w:p>
            <w:pPr>
              <w:spacing w:after="0"/>
              <w:rPr>
                <w:sz w:val="13"/>
                <w:szCs w:val="13"/>
                <w:color w:val="auto"/>
              </w:rPr>
            </w:pPr>
          </w:p>
        </w:tc>
      </w:tr>
      <w:tr>
        <w:trPr>
          <w:trHeight w:val="143"/>
        </w:trPr>
        <w:tc>
          <w:tcPr>
            <w:tcW w:w="788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long-term liabilities</w:t>
            </w:r>
          </w:p>
        </w:tc>
        <w:tc>
          <w:tcPr>
            <w:tcW w:w="112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216,054</w:t>
            </w:r>
          </w:p>
        </w:tc>
        <w:tc>
          <w:tcPr>
            <w:tcW w:w="28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59,505</w:t>
            </w:r>
          </w:p>
        </w:tc>
        <w:tc>
          <w:tcPr>
            <w:tcW w:w="120" w:type="dxa"/>
            <w:vAlign w:val="bottom"/>
            <w:shd w:val="clear" w:color="auto" w:fill="CFF0FC"/>
          </w:tcPr>
          <w:p>
            <w:pPr>
              <w:spacing w:after="0"/>
              <w:rPr>
                <w:sz w:val="12"/>
                <w:szCs w:val="12"/>
                <w:color w:val="auto"/>
              </w:rPr>
            </w:pPr>
          </w:p>
        </w:tc>
      </w:tr>
      <w:tr>
        <w:trPr>
          <w:trHeight w:val="143"/>
        </w:trPr>
        <w:tc>
          <w:tcPr>
            <w:tcW w:w="7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7880" w:type="dxa"/>
            <w:vAlign w:val="bottom"/>
            <w:shd w:val="clear" w:color="auto" w:fill="CFF0FC"/>
          </w:tcPr>
          <w:p>
            <w:pPr>
              <w:spacing w:after="0"/>
              <w:rPr>
                <w:sz w:val="20"/>
                <w:szCs w:val="20"/>
                <w:color w:val="auto"/>
              </w:rPr>
            </w:pPr>
            <w:r>
              <w:rPr>
                <w:rFonts w:ascii="Arial" w:cs="Arial" w:eastAsia="Arial" w:hAnsi="Arial"/>
                <w:sz w:val="12"/>
                <w:szCs w:val="12"/>
                <w:color w:val="auto"/>
              </w:rPr>
              <w:t>Commitments and contingencies</w:t>
            </w:r>
          </w:p>
        </w:tc>
        <w:tc>
          <w:tcPr>
            <w:tcW w:w="1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7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788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Stockholders' equity:</w:t>
            </w:r>
          </w:p>
        </w:tc>
        <w:tc>
          <w:tcPr>
            <w:tcW w:w="1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7880" w:type="dxa"/>
            <w:vAlign w:val="bottom"/>
          </w:tcPr>
          <w:p>
            <w:pPr>
              <w:ind w:left="160"/>
              <w:spacing w:after="0"/>
              <w:rPr>
                <w:sz w:val="20"/>
                <w:szCs w:val="20"/>
                <w:color w:val="auto"/>
              </w:rPr>
            </w:pPr>
            <w:r>
              <w:rPr>
                <w:rFonts w:ascii="Arial" w:cs="Arial" w:eastAsia="Arial" w:hAnsi="Arial"/>
                <w:sz w:val="12"/>
                <w:szCs w:val="12"/>
                <w:color w:val="auto"/>
              </w:rPr>
              <w:t>Preferred stock, $0.01 par value, 1,000,000 shares authorized, none issued</w:t>
            </w:r>
          </w:p>
        </w:tc>
        <w:tc>
          <w:tcPr>
            <w:tcW w:w="112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5"/>
        </w:trPr>
        <w:tc>
          <w:tcPr>
            <w:tcW w:w="7880" w:type="dxa"/>
            <w:vAlign w:val="bottom"/>
            <w:shd w:val="clear" w:color="auto" w:fill="CFF0FC"/>
          </w:tcPr>
          <w:p>
            <w:pPr>
              <w:ind w:left="160"/>
              <w:spacing w:after="0"/>
              <w:rPr>
                <w:sz w:val="20"/>
                <w:szCs w:val="20"/>
                <w:color w:val="auto"/>
              </w:rPr>
            </w:pPr>
            <w:r>
              <w:rPr>
                <w:rFonts w:ascii="Arial" w:cs="Arial" w:eastAsia="Arial" w:hAnsi="Arial"/>
                <w:sz w:val="12"/>
                <w:szCs w:val="12"/>
                <w:color w:val="auto"/>
                <w:w w:val="97"/>
              </w:rPr>
              <w:t>Common stock, $0.01 par value, 100,000,000 shares authorized, 62,668,221 and 62,241,834 shares issued at August 3, 2019 and February 2, 2019,</w:t>
            </w:r>
          </w:p>
        </w:tc>
        <w:tc>
          <w:tcPr>
            <w:tcW w:w="1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4"/>
        </w:trPr>
        <w:tc>
          <w:tcPr>
            <w:tcW w:w="78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respectively</w:t>
            </w:r>
          </w:p>
        </w:tc>
        <w:tc>
          <w:tcPr>
            <w:tcW w:w="112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627</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622</w:t>
            </w:r>
          </w:p>
        </w:tc>
        <w:tc>
          <w:tcPr>
            <w:tcW w:w="120" w:type="dxa"/>
            <w:vAlign w:val="bottom"/>
            <w:shd w:val="clear" w:color="auto" w:fill="CFF0FC"/>
          </w:tcPr>
          <w:p>
            <w:pPr>
              <w:spacing w:after="0"/>
              <w:rPr>
                <w:sz w:val="13"/>
                <w:szCs w:val="13"/>
                <w:color w:val="auto"/>
              </w:rPr>
            </w:pPr>
          </w:p>
        </w:tc>
      </w:tr>
      <w:tr>
        <w:trPr>
          <w:trHeight w:val="154"/>
        </w:trPr>
        <w:tc>
          <w:tcPr>
            <w:tcW w:w="7880" w:type="dxa"/>
            <w:vAlign w:val="bottom"/>
          </w:tcPr>
          <w:p>
            <w:pPr>
              <w:ind w:left="160"/>
              <w:spacing w:after="0"/>
              <w:rPr>
                <w:sz w:val="20"/>
                <w:szCs w:val="20"/>
                <w:color w:val="auto"/>
              </w:rPr>
            </w:pPr>
            <w:r>
              <w:rPr>
                <w:rFonts w:ascii="Arial" w:cs="Arial" w:eastAsia="Arial" w:hAnsi="Arial"/>
                <w:sz w:val="12"/>
                <w:szCs w:val="12"/>
                <w:color w:val="auto"/>
              </w:rPr>
              <w:t>Additional paid-in capital</w:t>
            </w:r>
          </w:p>
        </w:tc>
        <w:tc>
          <w:tcPr>
            <w:tcW w:w="1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311,706</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310,393</w:t>
            </w:r>
          </w:p>
        </w:tc>
        <w:tc>
          <w:tcPr>
            <w:tcW w:w="120" w:type="dxa"/>
            <w:vAlign w:val="bottom"/>
          </w:tcPr>
          <w:p>
            <w:pPr>
              <w:spacing w:after="0"/>
              <w:rPr>
                <w:sz w:val="13"/>
                <w:szCs w:val="13"/>
                <w:color w:val="auto"/>
              </w:rPr>
            </w:pPr>
          </w:p>
        </w:tc>
      </w:tr>
      <w:tr>
        <w:trPr>
          <w:trHeight w:val="154"/>
        </w:trPr>
        <w:tc>
          <w:tcPr>
            <w:tcW w:w="78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Treasury stock at cost, 12,755,873 shares at August 3, 2019 and February 2, 2019</w:t>
            </w:r>
          </w:p>
        </w:tc>
        <w:tc>
          <w:tcPr>
            <w:tcW w:w="1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(92,658)</w:t>
            </w:r>
          </w:p>
        </w:tc>
        <w:tc>
          <w:tcPr>
            <w:tcW w:w="26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(92,658)</w:t>
            </w:r>
          </w:p>
        </w:tc>
      </w:tr>
      <w:tr>
        <w:trPr>
          <w:trHeight w:val="154"/>
        </w:trPr>
        <w:tc>
          <w:tcPr>
            <w:tcW w:w="7880" w:type="dxa"/>
            <w:vAlign w:val="bottom"/>
          </w:tcPr>
          <w:p>
            <w:pPr>
              <w:ind w:left="160"/>
              <w:spacing w:after="0"/>
              <w:rPr>
                <w:sz w:val="20"/>
                <w:szCs w:val="20"/>
                <w:color w:val="auto"/>
              </w:rPr>
            </w:pPr>
            <w:r>
              <w:rPr>
                <w:rFonts w:ascii="Arial" w:cs="Arial" w:eastAsia="Arial" w:hAnsi="Arial"/>
                <w:sz w:val="12"/>
                <w:szCs w:val="12"/>
                <w:color w:val="auto"/>
              </w:rPr>
              <w:t>Accumulated deficit</w:t>
            </w:r>
          </w:p>
        </w:tc>
        <w:tc>
          <w:tcPr>
            <w:tcW w:w="11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w w:val="97"/>
              </w:rPr>
              <w:t>(151,301)</w:t>
            </w:r>
          </w:p>
        </w:tc>
        <w:tc>
          <w:tcPr>
            <w:tcW w:w="260" w:type="dxa"/>
            <w:vAlign w:val="bottom"/>
          </w:tcPr>
          <w:p>
            <w:pPr>
              <w:spacing w:after="0"/>
              <w:rPr>
                <w:sz w:val="13"/>
                <w:szCs w:val="13"/>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2"/>
                <w:szCs w:val="12"/>
                <w:color w:val="auto"/>
              </w:rPr>
              <w:t>(153,534)</w:t>
            </w:r>
          </w:p>
        </w:tc>
      </w:tr>
      <w:tr>
        <w:trPr>
          <w:trHeight w:val="154"/>
        </w:trPr>
        <w:tc>
          <w:tcPr>
            <w:tcW w:w="78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Accumulated other comprehensive loss</w:t>
            </w:r>
          </w:p>
        </w:tc>
        <w:tc>
          <w:tcPr>
            <w:tcW w:w="1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(5,955)</w:t>
            </w:r>
          </w:p>
        </w:tc>
        <w:tc>
          <w:tcPr>
            <w:tcW w:w="26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(6,183)</w:t>
            </w:r>
          </w:p>
        </w:tc>
      </w:tr>
      <w:tr>
        <w:trPr>
          <w:trHeight w:val="143"/>
        </w:trPr>
        <w:tc>
          <w:tcPr>
            <w:tcW w:w="788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stockholders' equity</w:t>
            </w:r>
          </w:p>
        </w:tc>
        <w:tc>
          <w:tcPr>
            <w:tcW w:w="1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62,419</w:t>
            </w:r>
          </w:p>
        </w:tc>
        <w:tc>
          <w:tcPr>
            <w:tcW w:w="280" w:type="dxa"/>
            <w:vAlign w:val="bottom"/>
            <w:tcBorders>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58,640</w:t>
            </w:r>
          </w:p>
        </w:tc>
        <w:tc>
          <w:tcPr>
            <w:tcW w:w="120" w:type="dxa"/>
            <w:vAlign w:val="bottom"/>
            <w:tcBorders>
              <w:bottom w:val="single" w:sz="8" w:color="CFF0FC"/>
            </w:tcBorders>
          </w:tcPr>
          <w:p>
            <w:pPr>
              <w:spacing w:after="0"/>
              <w:rPr>
                <w:sz w:val="12"/>
                <w:szCs w:val="12"/>
                <w:color w:val="auto"/>
              </w:rPr>
            </w:pPr>
          </w:p>
        </w:tc>
      </w:tr>
      <w:tr>
        <w:trPr>
          <w:trHeight w:val="150"/>
        </w:trPr>
        <w:tc>
          <w:tcPr>
            <w:tcW w:w="78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2"/>
                <w:szCs w:val="12"/>
                <w:color w:val="auto"/>
              </w:rPr>
              <w:t>Total liabilities and stockholders' equity</w:t>
            </w:r>
          </w:p>
        </w:tc>
        <w:tc>
          <w:tcPr>
            <w:tcW w:w="1120" w:type="dxa"/>
            <w:vAlign w:val="bottom"/>
            <w:tcBorders>
              <w:bottom w:val="single" w:sz="8" w:color="auto"/>
            </w:tcBorders>
            <w:shd w:val="clear" w:color="auto" w:fill="CFF0FC"/>
          </w:tcPr>
          <w:p>
            <w:pPr>
              <w:jc w:val="right"/>
              <w:ind w:right="1011"/>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423,724</w:t>
            </w:r>
          </w:p>
        </w:tc>
        <w:tc>
          <w:tcPr>
            <w:tcW w:w="2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226,076</w:t>
            </w:r>
          </w:p>
        </w:tc>
        <w:tc>
          <w:tcPr>
            <w:tcW w:w="120" w:type="dxa"/>
            <w:vAlign w:val="bottom"/>
            <w:tcBorders>
              <w:bottom w:val="single" w:sz="8" w:color="CFF0FC"/>
            </w:tcBorders>
            <w:shd w:val="clear" w:color="auto" w:fill="CFF0FC"/>
          </w:tcPr>
          <w:p>
            <w:pPr>
              <w:spacing w:after="0"/>
              <w:rPr>
                <w:sz w:val="13"/>
                <w:szCs w:val="13"/>
                <w:color w:val="auto"/>
              </w:rPr>
            </w:pP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 except per share data)</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240" w:type="dxa"/>
            <w:vAlign w:val="bottom"/>
            <w:gridSpan w:val="6"/>
          </w:tcPr>
          <w:p>
            <w:pPr>
              <w:jc w:val="right"/>
              <w:ind w:right="1160"/>
              <w:spacing w:after="0"/>
              <w:rPr>
                <w:sz w:val="20"/>
                <w:szCs w:val="20"/>
                <w:color w:val="auto"/>
              </w:rPr>
            </w:pPr>
            <w:r>
              <w:rPr>
                <w:rFonts w:ascii="Arial" w:cs="Arial" w:eastAsia="Arial" w:hAnsi="Arial"/>
                <w:sz w:val="10"/>
                <w:szCs w:val="10"/>
                <w:color w:val="auto"/>
              </w:rPr>
              <w:t>For the Three Months Ended</w:t>
            </w:r>
          </w:p>
        </w:tc>
        <w:tc>
          <w:tcPr>
            <w:tcW w:w="240" w:type="dxa"/>
            <w:vAlign w:val="bottom"/>
          </w:tcPr>
          <w:p>
            <w:pPr>
              <w:spacing w:after="0"/>
              <w:rPr>
                <w:sz w:val="10"/>
                <w:szCs w:val="10"/>
                <w:color w:val="auto"/>
              </w:rPr>
            </w:pPr>
          </w:p>
        </w:tc>
        <w:tc>
          <w:tcPr>
            <w:tcW w:w="1820" w:type="dxa"/>
            <w:vAlign w:val="bottom"/>
            <w:gridSpan w:val="3"/>
          </w:tcPr>
          <w:p>
            <w:pPr>
              <w:jc w:val="right"/>
              <w:spacing w:after="0"/>
              <w:rPr>
                <w:sz w:val="20"/>
                <w:szCs w:val="20"/>
                <w:color w:val="auto"/>
              </w:rPr>
            </w:pPr>
            <w:r>
              <w:rPr>
                <w:rFonts w:ascii="Arial" w:cs="Arial" w:eastAsia="Arial" w:hAnsi="Arial"/>
                <w:sz w:val="10"/>
                <w:szCs w:val="10"/>
                <w:color w:val="auto"/>
              </w:rPr>
              <w:t>For the Six Months Ended</w:t>
            </w: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9"/>
        </w:trPr>
        <w:tc>
          <w:tcPr>
            <w:tcW w:w="39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20" w:type="dxa"/>
            <w:vAlign w:val="bottom"/>
          </w:tcPr>
          <w:p>
            <w:pPr>
              <w:jc w:val="right"/>
              <w:spacing w:after="0" w:line="109" w:lineRule="exact"/>
              <w:rPr>
                <w:sz w:val="20"/>
                <w:szCs w:val="20"/>
                <w:color w:val="auto"/>
              </w:rPr>
            </w:pPr>
            <w:r>
              <w:rPr>
                <w:rFonts w:ascii="Arial" w:cs="Arial" w:eastAsia="Arial" w:hAnsi="Arial"/>
                <w:sz w:val="10"/>
                <w:szCs w:val="10"/>
                <w:color w:val="auto"/>
              </w:rPr>
              <w:t>August 3, 2019</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20" w:type="dxa"/>
            <w:vAlign w:val="bottom"/>
            <w:gridSpan w:val="2"/>
          </w:tcPr>
          <w:p>
            <w:pPr>
              <w:jc w:val="right"/>
              <w:ind w:right="580"/>
              <w:spacing w:after="0" w:line="109" w:lineRule="exact"/>
              <w:rPr>
                <w:sz w:val="20"/>
                <w:szCs w:val="20"/>
                <w:color w:val="auto"/>
              </w:rPr>
            </w:pPr>
            <w:r>
              <w:rPr>
                <w:rFonts w:ascii="Arial" w:cs="Arial" w:eastAsia="Arial" w:hAnsi="Arial"/>
                <w:sz w:val="10"/>
                <w:szCs w:val="10"/>
                <w:color w:val="auto"/>
              </w:rPr>
              <w:t>August 4, 2018</w:t>
            </w:r>
          </w:p>
        </w:tc>
        <w:tc>
          <w:tcPr>
            <w:tcW w:w="240" w:type="dxa"/>
            <w:vAlign w:val="bottom"/>
          </w:tcPr>
          <w:p>
            <w:pPr>
              <w:spacing w:after="0"/>
              <w:rPr>
                <w:sz w:val="9"/>
                <w:szCs w:val="9"/>
                <w:color w:val="auto"/>
              </w:rPr>
            </w:pPr>
          </w:p>
        </w:tc>
        <w:tc>
          <w:tcPr>
            <w:tcW w:w="1300" w:type="dxa"/>
            <w:vAlign w:val="bottom"/>
            <w:gridSpan w:val="2"/>
          </w:tcPr>
          <w:p>
            <w:pPr>
              <w:jc w:val="right"/>
              <w:ind w:right="540"/>
              <w:spacing w:after="0" w:line="109" w:lineRule="exact"/>
              <w:rPr>
                <w:sz w:val="20"/>
                <w:szCs w:val="20"/>
                <w:color w:val="auto"/>
              </w:rPr>
            </w:pPr>
            <w:r>
              <w:rPr>
                <w:rFonts w:ascii="Arial" w:cs="Arial" w:eastAsia="Arial" w:hAnsi="Arial"/>
                <w:sz w:val="10"/>
                <w:szCs w:val="10"/>
                <w:color w:val="auto"/>
              </w:rPr>
              <w:t>August 3, 2019</w:t>
            </w:r>
          </w:p>
        </w:tc>
        <w:tc>
          <w:tcPr>
            <w:tcW w:w="520" w:type="dxa"/>
            <w:vAlign w:val="bottom"/>
          </w:tcPr>
          <w:p>
            <w:pPr>
              <w:spacing w:after="0"/>
              <w:rPr>
                <w:sz w:val="9"/>
                <w:szCs w:val="9"/>
                <w:color w:val="auto"/>
              </w:rPr>
            </w:pPr>
          </w:p>
        </w:tc>
        <w:tc>
          <w:tcPr>
            <w:tcW w:w="1180" w:type="dxa"/>
            <w:vAlign w:val="bottom"/>
            <w:gridSpan w:val="2"/>
          </w:tcPr>
          <w:p>
            <w:pPr>
              <w:jc w:val="right"/>
              <w:ind w:right="580"/>
              <w:spacing w:after="0" w:line="109" w:lineRule="exact"/>
              <w:rPr>
                <w:sz w:val="20"/>
                <w:szCs w:val="20"/>
                <w:color w:val="auto"/>
              </w:rPr>
            </w:pPr>
            <w:r>
              <w:rPr>
                <w:rFonts w:ascii="Arial" w:cs="Arial" w:eastAsia="Arial" w:hAnsi="Arial"/>
                <w:sz w:val="10"/>
                <w:szCs w:val="10"/>
                <w:color w:val="auto"/>
                <w:w w:val="86"/>
              </w:rPr>
              <w:t>August 4, 2018</w:t>
            </w:r>
          </w:p>
        </w:tc>
      </w:tr>
      <w:tr>
        <w:trPr>
          <w:trHeight w:val="112"/>
        </w:trPr>
        <w:tc>
          <w:tcPr>
            <w:tcW w:w="39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20" w:type="dxa"/>
            <w:vAlign w:val="bottom"/>
          </w:tcPr>
          <w:p>
            <w:pPr>
              <w:jc w:val="right"/>
              <w:ind w:right="12"/>
              <w:spacing w:after="0" w:line="113" w:lineRule="exact"/>
              <w:rPr>
                <w:sz w:val="20"/>
                <w:szCs w:val="20"/>
                <w:color w:val="auto"/>
              </w:rPr>
            </w:pPr>
            <w:r>
              <w:rPr>
                <w:rFonts w:ascii="Arial" w:cs="Arial" w:eastAsia="Arial" w:hAnsi="Arial"/>
                <w:sz w:val="10"/>
                <w:szCs w:val="10"/>
                <w:color w:val="auto"/>
              </w:rPr>
              <w:t>(Fiscal 2019)</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20" w:type="dxa"/>
            <w:vAlign w:val="bottom"/>
            <w:gridSpan w:val="2"/>
          </w:tcPr>
          <w:p>
            <w:pPr>
              <w:jc w:val="right"/>
              <w:ind w:right="620"/>
              <w:spacing w:after="0" w:line="113" w:lineRule="exact"/>
              <w:rPr>
                <w:sz w:val="20"/>
                <w:szCs w:val="20"/>
                <w:color w:val="auto"/>
              </w:rPr>
            </w:pPr>
            <w:r>
              <w:rPr>
                <w:rFonts w:ascii="Arial" w:cs="Arial" w:eastAsia="Arial" w:hAnsi="Arial"/>
                <w:sz w:val="10"/>
                <w:szCs w:val="10"/>
                <w:color w:val="auto"/>
              </w:rPr>
              <w:t>(Fiscal 2018)</w:t>
            </w:r>
          </w:p>
        </w:tc>
        <w:tc>
          <w:tcPr>
            <w:tcW w:w="240" w:type="dxa"/>
            <w:vAlign w:val="bottom"/>
          </w:tcPr>
          <w:p>
            <w:pPr>
              <w:spacing w:after="0"/>
              <w:rPr>
                <w:sz w:val="9"/>
                <w:szCs w:val="9"/>
                <w:color w:val="auto"/>
              </w:rPr>
            </w:pPr>
          </w:p>
        </w:tc>
        <w:tc>
          <w:tcPr>
            <w:tcW w:w="1300" w:type="dxa"/>
            <w:vAlign w:val="bottom"/>
            <w:gridSpan w:val="2"/>
          </w:tcPr>
          <w:p>
            <w:pPr>
              <w:jc w:val="right"/>
              <w:ind w:right="580"/>
              <w:spacing w:after="0" w:line="113" w:lineRule="exact"/>
              <w:rPr>
                <w:sz w:val="20"/>
                <w:szCs w:val="20"/>
                <w:color w:val="auto"/>
              </w:rPr>
            </w:pPr>
            <w:r>
              <w:rPr>
                <w:rFonts w:ascii="Arial" w:cs="Arial" w:eastAsia="Arial" w:hAnsi="Arial"/>
                <w:sz w:val="10"/>
                <w:szCs w:val="10"/>
                <w:color w:val="auto"/>
              </w:rPr>
              <w:t>(Fiscal 2019)</w:t>
            </w:r>
          </w:p>
        </w:tc>
        <w:tc>
          <w:tcPr>
            <w:tcW w:w="520" w:type="dxa"/>
            <w:vAlign w:val="bottom"/>
          </w:tcPr>
          <w:p>
            <w:pPr>
              <w:spacing w:after="0"/>
              <w:rPr>
                <w:sz w:val="9"/>
                <w:szCs w:val="9"/>
                <w:color w:val="auto"/>
              </w:rPr>
            </w:pPr>
          </w:p>
        </w:tc>
        <w:tc>
          <w:tcPr>
            <w:tcW w:w="1180" w:type="dxa"/>
            <w:vAlign w:val="bottom"/>
            <w:gridSpan w:val="2"/>
          </w:tcPr>
          <w:p>
            <w:pPr>
              <w:jc w:val="right"/>
              <w:ind w:right="620"/>
              <w:spacing w:after="0" w:line="113" w:lineRule="exact"/>
              <w:rPr>
                <w:sz w:val="20"/>
                <w:szCs w:val="20"/>
                <w:color w:val="auto"/>
              </w:rPr>
            </w:pPr>
            <w:r>
              <w:rPr>
                <w:rFonts w:ascii="Arial" w:cs="Arial" w:eastAsia="Arial" w:hAnsi="Arial"/>
                <w:sz w:val="10"/>
                <w:szCs w:val="10"/>
                <w:color w:val="auto"/>
                <w:w w:val="93"/>
              </w:rPr>
              <w:t>(Fiscal 2018)</w:t>
            </w:r>
          </w:p>
        </w:tc>
      </w:tr>
      <w:tr>
        <w:trPr>
          <w:trHeight w:val="98"/>
        </w:trPr>
        <w:tc>
          <w:tcPr>
            <w:tcW w:w="3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54"/>
        </w:trPr>
        <w:tc>
          <w:tcPr>
            <w:tcW w:w="3900" w:type="dxa"/>
            <w:vAlign w:val="bottom"/>
            <w:shd w:val="clear" w:color="auto" w:fill="CFF0FC"/>
          </w:tcPr>
          <w:p>
            <w:pPr>
              <w:spacing w:after="0"/>
              <w:rPr>
                <w:sz w:val="20"/>
                <w:szCs w:val="20"/>
                <w:color w:val="auto"/>
              </w:rPr>
            </w:pPr>
            <w:r>
              <w:rPr>
                <w:rFonts w:ascii="Arial" w:cs="Arial" w:eastAsia="Arial" w:hAnsi="Arial"/>
                <w:sz w:val="12"/>
                <w:szCs w:val="12"/>
                <w:color w:val="auto"/>
              </w:rPr>
              <w:t>Sales</w:t>
            </w:r>
          </w:p>
        </w:tc>
        <w:tc>
          <w:tcPr>
            <w:tcW w:w="2120" w:type="dxa"/>
            <w:vAlign w:val="bottom"/>
            <w:gridSpan w:val="2"/>
            <w:shd w:val="clear" w:color="auto" w:fill="CFF0FC"/>
          </w:tcPr>
          <w:p>
            <w:pPr>
              <w:jc w:val="right"/>
              <w:ind w:right="912"/>
              <w:spacing w:after="0"/>
              <w:rPr>
                <w:sz w:val="20"/>
                <w:szCs w:val="20"/>
                <w:color w:val="auto"/>
              </w:rPr>
            </w:pPr>
            <w:r>
              <w:rPr>
                <w:rFonts w:ascii="Arial" w:cs="Arial" w:eastAsia="Arial" w:hAnsi="Arial"/>
                <w:sz w:val="12"/>
                <w:szCs w:val="12"/>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123,245</w:t>
            </w: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122,206</w:t>
            </w: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236,218</w:t>
            </w: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235,537</w:t>
            </w:r>
          </w:p>
        </w:tc>
        <w:tc>
          <w:tcPr>
            <w:tcW w:w="120" w:type="dxa"/>
            <w:vAlign w:val="bottom"/>
            <w:shd w:val="clear" w:color="auto" w:fill="CFF0FC"/>
          </w:tcPr>
          <w:p>
            <w:pPr>
              <w:spacing w:after="0"/>
              <w:rPr>
                <w:sz w:val="13"/>
                <w:szCs w:val="13"/>
                <w:color w:val="auto"/>
              </w:rPr>
            </w:pPr>
          </w:p>
        </w:tc>
      </w:tr>
      <w:tr>
        <w:trPr>
          <w:trHeight w:val="154"/>
        </w:trPr>
        <w:tc>
          <w:tcPr>
            <w:tcW w:w="39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Cost of goods sold including occupancy costs</w:t>
            </w:r>
          </w:p>
        </w:tc>
        <w:tc>
          <w:tcPr>
            <w:tcW w:w="11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68,676</w:t>
            </w:r>
          </w:p>
        </w:tc>
        <w:tc>
          <w:tcPr>
            <w:tcW w:w="1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65,681</w:t>
            </w: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132,236</w:t>
            </w:r>
          </w:p>
        </w:tc>
        <w:tc>
          <w:tcPr>
            <w:tcW w:w="10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128,324</w:t>
            </w:r>
          </w:p>
        </w:tc>
        <w:tc>
          <w:tcPr>
            <w:tcW w:w="120" w:type="dxa"/>
            <w:vAlign w:val="bottom"/>
            <w:tcBorders>
              <w:bottom w:val="single" w:sz="8" w:color="CFF0FC"/>
            </w:tcBorders>
          </w:tcPr>
          <w:p>
            <w:pPr>
              <w:spacing w:after="0"/>
              <w:rPr>
                <w:sz w:val="13"/>
                <w:szCs w:val="13"/>
                <w:color w:val="auto"/>
              </w:rPr>
            </w:pPr>
          </w:p>
        </w:tc>
      </w:tr>
      <w:tr>
        <w:trPr>
          <w:trHeight w:val="143"/>
        </w:trPr>
        <w:tc>
          <w:tcPr>
            <w:tcW w:w="3900" w:type="dxa"/>
            <w:vAlign w:val="bottom"/>
            <w:shd w:val="clear" w:color="auto" w:fill="CFF0FC"/>
          </w:tcPr>
          <w:p>
            <w:pPr>
              <w:spacing w:after="0"/>
              <w:rPr>
                <w:sz w:val="20"/>
                <w:szCs w:val="20"/>
                <w:color w:val="auto"/>
              </w:rPr>
            </w:pPr>
            <w:r>
              <w:rPr>
                <w:rFonts w:ascii="Arial" w:cs="Arial" w:eastAsia="Arial" w:hAnsi="Arial"/>
                <w:sz w:val="12"/>
                <w:szCs w:val="12"/>
                <w:color w:val="auto"/>
              </w:rPr>
              <w:t>Gross profit</w:t>
            </w:r>
          </w:p>
        </w:tc>
        <w:tc>
          <w:tcPr>
            <w:tcW w:w="1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54,569</w:t>
            </w: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56,525</w:t>
            </w: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103,982</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107,213</w:t>
            </w:r>
          </w:p>
        </w:tc>
        <w:tc>
          <w:tcPr>
            <w:tcW w:w="120" w:type="dxa"/>
            <w:vAlign w:val="bottom"/>
            <w:shd w:val="clear" w:color="auto" w:fill="CFF0FC"/>
          </w:tcPr>
          <w:p>
            <w:pPr>
              <w:spacing w:after="0"/>
              <w:rPr>
                <w:sz w:val="12"/>
                <w:szCs w:val="12"/>
                <w:color w:val="auto"/>
              </w:rPr>
            </w:pPr>
          </w:p>
        </w:tc>
      </w:tr>
      <w:tr>
        <w:trPr>
          <w:trHeight w:val="154"/>
        </w:trPr>
        <w:tc>
          <w:tcPr>
            <w:tcW w:w="3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3900" w:type="dxa"/>
            <w:vAlign w:val="bottom"/>
            <w:shd w:val="clear" w:color="auto" w:fill="CFF0FC"/>
          </w:tcPr>
          <w:p>
            <w:pPr>
              <w:spacing w:after="0"/>
              <w:rPr>
                <w:sz w:val="20"/>
                <w:szCs w:val="20"/>
                <w:color w:val="auto"/>
              </w:rPr>
            </w:pPr>
            <w:r>
              <w:rPr>
                <w:rFonts w:ascii="Arial" w:cs="Arial" w:eastAsia="Arial" w:hAnsi="Arial"/>
                <w:sz w:val="12"/>
                <w:szCs w:val="12"/>
                <w:color w:val="auto"/>
              </w:rPr>
              <w:t>Expenses:</w:t>
            </w:r>
          </w:p>
        </w:tc>
        <w:tc>
          <w:tcPr>
            <w:tcW w:w="1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3900" w:type="dxa"/>
            <w:vAlign w:val="bottom"/>
          </w:tcPr>
          <w:p>
            <w:pPr>
              <w:ind w:left="160"/>
              <w:spacing w:after="0"/>
              <w:rPr>
                <w:sz w:val="20"/>
                <w:szCs w:val="20"/>
                <w:color w:val="auto"/>
              </w:rPr>
            </w:pPr>
            <w:r>
              <w:rPr>
                <w:rFonts w:ascii="Arial" w:cs="Arial" w:eastAsia="Arial" w:hAnsi="Arial"/>
                <w:sz w:val="12"/>
                <w:szCs w:val="12"/>
                <w:color w:val="auto"/>
              </w:rPr>
              <w:t>Selling, general and administrative</w:t>
            </w: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47,478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47,795</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92,089</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93,195</w:t>
            </w:r>
          </w:p>
        </w:tc>
        <w:tc>
          <w:tcPr>
            <w:tcW w:w="120" w:type="dxa"/>
            <w:vAlign w:val="bottom"/>
          </w:tcPr>
          <w:p>
            <w:pPr>
              <w:spacing w:after="0"/>
              <w:rPr>
                <w:sz w:val="13"/>
                <w:szCs w:val="13"/>
                <w:color w:val="auto"/>
              </w:rPr>
            </w:pPr>
          </w:p>
        </w:tc>
      </w:tr>
      <w:tr>
        <w:trPr>
          <w:trHeight w:val="154"/>
        </w:trPr>
        <w:tc>
          <w:tcPr>
            <w:tcW w:w="3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CEO transition costs</w:t>
            </w:r>
          </w:p>
        </w:tc>
        <w:tc>
          <w:tcPr>
            <w:tcW w:w="1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702</w:t>
            </w: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w:t>
            </w:r>
          </w:p>
        </w:tc>
        <w:tc>
          <w:tcPr>
            <w:tcW w:w="120" w:type="dxa"/>
            <w:vAlign w:val="bottom"/>
            <w:shd w:val="clear" w:color="auto" w:fill="CFF0FC"/>
          </w:tcPr>
          <w:p>
            <w:pPr>
              <w:spacing w:after="0"/>
              <w:rPr>
                <w:sz w:val="13"/>
                <w:szCs w:val="13"/>
                <w:color w:val="auto"/>
              </w:rPr>
            </w:pPr>
          </w:p>
        </w:tc>
      </w:tr>
      <w:tr>
        <w:trPr>
          <w:trHeight w:val="154"/>
        </w:trPr>
        <w:tc>
          <w:tcPr>
            <w:tcW w:w="3900" w:type="dxa"/>
            <w:vAlign w:val="bottom"/>
          </w:tcPr>
          <w:p>
            <w:pPr>
              <w:ind w:left="160"/>
              <w:spacing w:after="0"/>
              <w:rPr>
                <w:sz w:val="20"/>
                <w:szCs w:val="20"/>
                <w:color w:val="auto"/>
              </w:rPr>
            </w:pPr>
            <w:r>
              <w:rPr>
                <w:rFonts w:ascii="Arial" w:cs="Arial" w:eastAsia="Arial" w:hAnsi="Arial"/>
                <w:sz w:val="12"/>
                <w:szCs w:val="12"/>
                <w:color w:val="auto"/>
              </w:rPr>
              <w:t>Corporate restructuring</w:t>
            </w: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1,570</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1,630</w:t>
            </w:r>
          </w:p>
        </w:tc>
        <w:tc>
          <w:tcPr>
            <w:tcW w:w="120" w:type="dxa"/>
            <w:vAlign w:val="bottom"/>
          </w:tcPr>
          <w:p>
            <w:pPr>
              <w:spacing w:after="0"/>
              <w:rPr>
                <w:sz w:val="13"/>
                <w:szCs w:val="13"/>
                <w:color w:val="auto"/>
              </w:rPr>
            </w:pPr>
          </w:p>
        </w:tc>
      </w:tr>
      <w:tr>
        <w:trPr>
          <w:trHeight w:val="154"/>
        </w:trPr>
        <w:tc>
          <w:tcPr>
            <w:tcW w:w="39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Depreciation and amortization</w:t>
            </w:r>
          </w:p>
        </w:tc>
        <w:tc>
          <w:tcPr>
            <w:tcW w:w="110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6,210</w:t>
            </w:r>
          </w:p>
        </w:tc>
        <w:tc>
          <w:tcPr>
            <w:tcW w:w="100" w:type="dxa"/>
            <w:vAlign w:val="bottom"/>
            <w:shd w:val="clear" w:color="auto" w:fill="CFF0FC"/>
          </w:tcPr>
          <w:p>
            <w:pPr>
              <w:spacing w:after="0"/>
              <w:rPr>
                <w:sz w:val="13"/>
                <w:szCs w:val="13"/>
                <w:color w:val="auto"/>
              </w:rPr>
            </w:pPr>
          </w:p>
        </w:tc>
        <w:tc>
          <w:tcPr>
            <w:tcW w:w="38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7,382</w:t>
            </w:r>
          </w:p>
        </w:tc>
        <w:tc>
          <w:tcPr>
            <w:tcW w:w="18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12,548</w:t>
            </w:r>
          </w:p>
        </w:tc>
        <w:tc>
          <w:tcPr>
            <w:tcW w:w="100" w:type="dxa"/>
            <w:vAlign w:val="bottom"/>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14,706</w:t>
            </w:r>
          </w:p>
        </w:tc>
        <w:tc>
          <w:tcPr>
            <w:tcW w:w="120" w:type="dxa"/>
            <w:vAlign w:val="bottom"/>
            <w:shd w:val="clear" w:color="auto" w:fill="CFF0FC"/>
          </w:tcPr>
          <w:p>
            <w:pPr>
              <w:spacing w:after="0"/>
              <w:rPr>
                <w:sz w:val="13"/>
                <w:szCs w:val="13"/>
                <w:color w:val="auto"/>
              </w:rPr>
            </w:pPr>
          </w:p>
        </w:tc>
      </w:tr>
      <w:tr>
        <w:trPr>
          <w:trHeight w:val="143"/>
        </w:trPr>
        <w:tc>
          <w:tcPr>
            <w:tcW w:w="39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Total expenses</w:t>
            </w:r>
          </w:p>
        </w:tc>
        <w:tc>
          <w:tcPr>
            <w:tcW w:w="110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53,688</w:t>
            </w:r>
          </w:p>
        </w:tc>
        <w:tc>
          <w:tcPr>
            <w:tcW w:w="10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56,747</w:t>
            </w:r>
          </w:p>
        </w:tc>
        <w:tc>
          <w:tcPr>
            <w:tcW w:w="1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105,339</w:t>
            </w:r>
          </w:p>
        </w:tc>
        <w:tc>
          <w:tcPr>
            <w:tcW w:w="100" w:type="dxa"/>
            <w:vAlign w:val="bottom"/>
            <w:tcBorders>
              <w:bottom w:val="single" w:sz="8" w:color="CFF0FC"/>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109,661</w:t>
            </w:r>
          </w:p>
        </w:tc>
        <w:tc>
          <w:tcPr>
            <w:tcW w:w="120" w:type="dxa"/>
            <w:vAlign w:val="bottom"/>
            <w:tcBorders>
              <w:bottom w:val="single" w:sz="8" w:color="CFF0FC"/>
            </w:tcBorders>
          </w:tcPr>
          <w:p>
            <w:pPr>
              <w:spacing w:after="0"/>
              <w:rPr>
                <w:sz w:val="12"/>
                <w:szCs w:val="12"/>
                <w:color w:val="auto"/>
              </w:rPr>
            </w:pPr>
          </w:p>
        </w:tc>
      </w:tr>
      <w:tr>
        <w:trPr>
          <w:trHeight w:val="143"/>
        </w:trPr>
        <w:tc>
          <w:tcPr>
            <w:tcW w:w="39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4"/>
        </w:trPr>
        <w:tc>
          <w:tcPr>
            <w:tcW w:w="3900" w:type="dxa"/>
            <w:vAlign w:val="bottom"/>
          </w:tcPr>
          <w:p>
            <w:pPr>
              <w:spacing w:after="0"/>
              <w:rPr>
                <w:sz w:val="20"/>
                <w:szCs w:val="20"/>
                <w:color w:val="auto"/>
              </w:rPr>
            </w:pPr>
            <w:r>
              <w:rPr>
                <w:rFonts w:ascii="Arial" w:cs="Arial" w:eastAsia="Arial" w:hAnsi="Arial"/>
                <w:sz w:val="12"/>
                <w:szCs w:val="12"/>
                <w:color w:val="auto"/>
              </w:rPr>
              <w:t>Operating income (loss)</w:t>
            </w: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881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(222)</w:t>
            </w:r>
          </w:p>
        </w:tc>
        <w:tc>
          <w:tcPr>
            <w:tcW w:w="240" w:type="dxa"/>
            <w:vAlign w:val="bottom"/>
          </w:tcPr>
          <w:p>
            <w:pPr>
              <w:spacing w:after="0"/>
              <w:rPr>
                <w:sz w:val="13"/>
                <w:szCs w:val="13"/>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2"/>
                <w:szCs w:val="12"/>
                <w:color w:val="auto"/>
              </w:rPr>
              <w:t>(1,357)</w:t>
            </w:r>
          </w:p>
        </w:tc>
        <w:tc>
          <w:tcPr>
            <w:tcW w:w="52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(2,448)</w:t>
            </w:r>
          </w:p>
        </w:tc>
      </w:tr>
      <w:tr>
        <w:trPr>
          <w:trHeight w:val="154"/>
        </w:trPr>
        <w:tc>
          <w:tcPr>
            <w:tcW w:w="39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3900" w:type="dxa"/>
            <w:vAlign w:val="bottom"/>
          </w:tcPr>
          <w:p>
            <w:pPr>
              <w:spacing w:after="0"/>
              <w:rPr>
                <w:sz w:val="20"/>
                <w:szCs w:val="20"/>
                <w:color w:val="auto"/>
              </w:rPr>
            </w:pPr>
            <w:r>
              <w:rPr>
                <w:rFonts w:ascii="Arial" w:cs="Arial" w:eastAsia="Arial" w:hAnsi="Arial"/>
                <w:sz w:val="12"/>
                <w:szCs w:val="12"/>
                <w:color w:val="auto"/>
              </w:rPr>
              <w:t>Interest expense, net</w:t>
            </w: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(851)</w:t>
            </w:r>
          </w:p>
        </w:tc>
        <w:tc>
          <w:tcPr>
            <w:tcW w:w="3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(958)</w:t>
            </w:r>
          </w:p>
        </w:tc>
        <w:tc>
          <w:tcPr>
            <w:tcW w:w="240" w:type="dxa"/>
            <w:vAlign w:val="bottom"/>
          </w:tcPr>
          <w:p>
            <w:pPr>
              <w:spacing w:after="0"/>
              <w:rPr>
                <w:sz w:val="13"/>
                <w:szCs w:val="13"/>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2"/>
                <w:szCs w:val="12"/>
                <w:color w:val="auto"/>
              </w:rPr>
              <w:t>(1,715)</w:t>
            </w:r>
          </w:p>
        </w:tc>
        <w:tc>
          <w:tcPr>
            <w:tcW w:w="52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(1,844)</w:t>
            </w:r>
          </w:p>
        </w:tc>
      </w:tr>
      <w:tr>
        <w:trPr>
          <w:trHeight w:val="143"/>
        </w:trPr>
        <w:tc>
          <w:tcPr>
            <w:tcW w:w="390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3900" w:type="dxa"/>
            <w:vAlign w:val="bottom"/>
          </w:tcPr>
          <w:p>
            <w:pPr>
              <w:spacing w:after="0"/>
              <w:rPr>
                <w:sz w:val="20"/>
                <w:szCs w:val="20"/>
                <w:color w:val="auto"/>
              </w:rPr>
            </w:pPr>
            <w:r>
              <w:rPr>
                <w:rFonts w:ascii="Arial" w:cs="Arial" w:eastAsia="Arial" w:hAnsi="Arial"/>
                <w:sz w:val="12"/>
                <w:szCs w:val="12"/>
                <w:color w:val="auto"/>
              </w:rPr>
              <w:t>Income (loss) before provision for income taxes</w:t>
            </w: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(1,180)</w:t>
            </w:r>
          </w:p>
        </w:tc>
        <w:tc>
          <w:tcPr>
            <w:tcW w:w="240" w:type="dxa"/>
            <w:vAlign w:val="bottom"/>
          </w:tcPr>
          <w:p>
            <w:pPr>
              <w:spacing w:after="0"/>
              <w:rPr>
                <w:sz w:val="13"/>
                <w:szCs w:val="13"/>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2"/>
                <w:szCs w:val="12"/>
                <w:color w:val="auto"/>
              </w:rPr>
              <w:t>(3,072)</w:t>
            </w:r>
          </w:p>
        </w:tc>
        <w:tc>
          <w:tcPr>
            <w:tcW w:w="52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(4,292)</w:t>
            </w:r>
          </w:p>
        </w:tc>
      </w:tr>
      <w:tr>
        <w:trPr>
          <w:trHeight w:val="154"/>
        </w:trPr>
        <w:tc>
          <w:tcPr>
            <w:tcW w:w="3900" w:type="dxa"/>
            <w:vAlign w:val="bottom"/>
            <w:shd w:val="clear" w:color="auto" w:fill="CFF0FC"/>
          </w:tcPr>
          <w:p>
            <w:pPr>
              <w:spacing w:after="0"/>
              <w:rPr>
                <w:sz w:val="20"/>
                <w:szCs w:val="20"/>
                <w:color w:val="auto"/>
              </w:rPr>
            </w:pPr>
            <w:r>
              <w:rPr>
                <w:rFonts w:ascii="Arial" w:cs="Arial" w:eastAsia="Arial" w:hAnsi="Arial"/>
                <w:sz w:val="12"/>
                <w:szCs w:val="12"/>
                <w:color w:val="auto"/>
              </w:rPr>
              <w:t>Provision (benefit) for income taxes</w:t>
            </w:r>
          </w:p>
        </w:tc>
        <w:tc>
          <w:tcPr>
            <w:tcW w:w="1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(8)</w:t>
            </w:r>
          </w:p>
        </w:tc>
        <w:tc>
          <w:tcPr>
            <w:tcW w:w="3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(29)</w:t>
            </w:r>
          </w:p>
        </w:tc>
        <w:tc>
          <w:tcPr>
            <w:tcW w:w="5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FF0FC"/>
          </w:tcPr>
          <w:p>
            <w:pPr>
              <w:spacing w:after="0"/>
              <w:rPr>
                <w:sz w:val="13"/>
                <w:szCs w:val="13"/>
                <w:color w:val="auto"/>
              </w:rPr>
            </w:pPr>
          </w:p>
        </w:tc>
      </w:tr>
      <w:tr>
        <w:trPr>
          <w:trHeight w:val="143"/>
        </w:trPr>
        <w:tc>
          <w:tcPr>
            <w:tcW w:w="3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39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1"/>
        </w:trPr>
        <w:tc>
          <w:tcPr>
            <w:tcW w:w="3900" w:type="dxa"/>
            <w:vAlign w:val="bottom"/>
          </w:tcPr>
          <w:p>
            <w:pPr>
              <w:spacing w:after="0"/>
              <w:rPr>
                <w:sz w:val="20"/>
                <w:szCs w:val="20"/>
                <w:color w:val="auto"/>
              </w:rPr>
            </w:pPr>
            <w:r>
              <w:rPr>
                <w:rFonts w:ascii="Arial" w:cs="Arial" w:eastAsia="Arial" w:hAnsi="Arial"/>
                <w:sz w:val="12"/>
                <w:szCs w:val="12"/>
                <w:color w:val="auto"/>
              </w:rPr>
              <w:t>Net income (loss)</w:t>
            </w:r>
          </w:p>
        </w:tc>
        <w:tc>
          <w:tcPr>
            <w:tcW w:w="2120" w:type="dxa"/>
            <w:vAlign w:val="bottom"/>
            <w:gridSpan w:val="2"/>
          </w:tcPr>
          <w:p>
            <w:pPr>
              <w:jc w:val="right"/>
              <w:ind w:right="912"/>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4"/>
                <w:szCs w:val="14"/>
                <w:color w:val="auto"/>
              </w:rPr>
            </w:pPr>
          </w:p>
        </w:tc>
        <w:tc>
          <w:tcPr>
            <w:tcW w:w="38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(1,185)</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2"/>
                <w:szCs w:val="12"/>
                <w:color w:val="auto"/>
              </w:rPr>
              <w:t>(3,043)</w:t>
            </w:r>
          </w:p>
        </w:tc>
        <w:tc>
          <w:tcPr>
            <w:tcW w:w="52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(4,295)</w:t>
            </w:r>
          </w:p>
        </w:tc>
      </w:tr>
      <w:tr>
        <w:trPr>
          <w:trHeight w:val="154"/>
        </w:trPr>
        <w:tc>
          <w:tcPr>
            <w:tcW w:w="3900" w:type="dxa"/>
            <w:vAlign w:val="bottom"/>
            <w:tcBorders>
              <w:top w:val="single" w:sz="8" w:color="CFF0FC"/>
            </w:tcBorders>
            <w:shd w:val="clear" w:color="auto" w:fill="CFF0FC"/>
          </w:tcPr>
          <w:p>
            <w:pPr>
              <w:spacing w:after="0"/>
              <w:rPr>
                <w:sz w:val="13"/>
                <w:szCs w:val="13"/>
                <w:color w:val="auto"/>
              </w:rPr>
            </w:pPr>
          </w:p>
        </w:tc>
        <w:tc>
          <w:tcPr>
            <w:tcW w:w="110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54"/>
        </w:trPr>
        <w:tc>
          <w:tcPr>
            <w:tcW w:w="3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3900" w:type="dxa"/>
            <w:vAlign w:val="bottom"/>
            <w:shd w:val="clear" w:color="auto" w:fill="CFF0FC"/>
          </w:tcPr>
          <w:p>
            <w:pPr>
              <w:spacing w:after="0"/>
              <w:rPr>
                <w:sz w:val="20"/>
                <w:szCs w:val="20"/>
                <w:color w:val="auto"/>
              </w:rPr>
            </w:pPr>
            <w:r>
              <w:rPr>
                <w:rFonts w:ascii="Arial" w:cs="Arial" w:eastAsia="Arial" w:hAnsi="Arial"/>
                <w:sz w:val="12"/>
                <w:szCs w:val="12"/>
                <w:color w:val="auto"/>
              </w:rPr>
              <w:t>Net income (loss) per share - basic and diluted</w:t>
            </w:r>
          </w:p>
        </w:tc>
        <w:tc>
          <w:tcPr>
            <w:tcW w:w="2120" w:type="dxa"/>
            <w:vAlign w:val="bottom"/>
            <w:gridSpan w:val="2"/>
            <w:shd w:val="clear" w:color="auto" w:fill="CFF0FC"/>
          </w:tcPr>
          <w:p>
            <w:pPr>
              <w:jc w:val="right"/>
              <w:ind w:right="912"/>
              <w:spacing w:after="0"/>
              <w:rPr>
                <w:sz w:val="20"/>
                <w:szCs w:val="20"/>
                <w:color w:val="auto"/>
              </w:rPr>
            </w:pPr>
            <w:r>
              <w:rPr>
                <w:rFonts w:ascii="Arial" w:cs="Arial" w:eastAsia="Arial" w:hAnsi="Arial"/>
                <w:sz w:val="12"/>
                <w:szCs w:val="12"/>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0.00</w:t>
            </w: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(0.02)</w:t>
            </w: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(0.06)</w:t>
            </w:r>
          </w:p>
        </w:tc>
        <w:tc>
          <w:tcPr>
            <w:tcW w:w="520" w:type="dxa"/>
            <w:vAlign w:val="bottom"/>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(0.09)</w:t>
            </w:r>
          </w:p>
        </w:tc>
      </w:tr>
      <w:tr>
        <w:trPr>
          <w:trHeight w:val="154"/>
        </w:trPr>
        <w:tc>
          <w:tcPr>
            <w:tcW w:w="3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3900" w:type="dxa"/>
            <w:vAlign w:val="bottom"/>
            <w:shd w:val="clear" w:color="auto" w:fill="CFF0FC"/>
          </w:tcPr>
          <w:p>
            <w:pPr>
              <w:spacing w:after="0"/>
              <w:rPr>
                <w:sz w:val="20"/>
                <w:szCs w:val="20"/>
                <w:color w:val="auto"/>
              </w:rPr>
            </w:pPr>
            <w:r>
              <w:rPr>
                <w:rFonts w:ascii="Arial" w:cs="Arial" w:eastAsia="Arial" w:hAnsi="Arial"/>
                <w:sz w:val="12"/>
                <w:szCs w:val="12"/>
                <w:color w:val="auto"/>
              </w:rPr>
              <w:t>Weighted-average number of common shares outstanding:</w:t>
            </w:r>
          </w:p>
        </w:tc>
        <w:tc>
          <w:tcPr>
            <w:tcW w:w="1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3900" w:type="dxa"/>
            <w:vAlign w:val="bottom"/>
          </w:tcPr>
          <w:p>
            <w:pPr>
              <w:ind w:left="320"/>
              <w:spacing w:after="0"/>
              <w:rPr>
                <w:sz w:val="20"/>
                <w:szCs w:val="20"/>
                <w:color w:val="auto"/>
              </w:rPr>
            </w:pPr>
            <w:r>
              <w:rPr>
                <w:rFonts w:ascii="Arial" w:cs="Arial" w:eastAsia="Arial" w:hAnsi="Arial"/>
                <w:sz w:val="12"/>
                <w:szCs w:val="12"/>
                <w:color w:val="auto"/>
              </w:rPr>
              <w:t>Basic</w:t>
            </w: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49,867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49,060</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49,734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48,926</w:t>
            </w:r>
          </w:p>
        </w:tc>
        <w:tc>
          <w:tcPr>
            <w:tcW w:w="120" w:type="dxa"/>
            <w:vAlign w:val="bottom"/>
          </w:tcPr>
          <w:p>
            <w:pPr>
              <w:spacing w:after="0"/>
              <w:rPr>
                <w:sz w:val="13"/>
                <w:szCs w:val="13"/>
                <w:color w:val="auto"/>
              </w:rPr>
            </w:pPr>
          </w:p>
        </w:tc>
      </w:tr>
      <w:tr>
        <w:trPr>
          <w:trHeight w:val="154"/>
        </w:trPr>
        <w:tc>
          <w:tcPr>
            <w:tcW w:w="3900" w:type="dxa"/>
            <w:vAlign w:val="bottom"/>
            <w:shd w:val="clear" w:color="auto" w:fill="CFF0FC"/>
          </w:tcPr>
          <w:p>
            <w:pPr>
              <w:ind w:left="320"/>
              <w:spacing w:after="0"/>
              <w:rPr>
                <w:sz w:val="20"/>
                <w:szCs w:val="20"/>
                <w:color w:val="auto"/>
              </w:rPr>
            </w:pPr>
            <w:r>
              <w:rPr>
                <w:rFonts w:ascii="Arial" w:cs="Arial" w:eastAsia="Arial" w:hAnsi="Arial"/>
                <w:sz w:val="12"/>
                <w:szCs w:val="12"/>
                <w:color w:val="auto"/>
              </w:rPr>
              <w:t>Diluted</w:t>
            </w:r>
          </w:p>
        </w:tc>
        <w:tc>
          <w:tcPr>
            <w:tcW w:w="1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50,175</w:t>
            </w: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49,060</w:t>
            </w: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49,734</w:t>
            </w: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48,926</w:t>
            </w:r>
          </w:p>
        </w:tc>
        <w:tc>
          <w:tcPr>
            <w:tcW w:w="120" w:type="dxa"/>
            <w:vAlign w:val="bottom"/>
            <w:shd w:val="clear" w:color="auto" w:fill="CFF0FC"/>
          </w:tcPr>
          <w:p>
            <w:pPr>
              <w:spacing w:after="0"/>
              <w:rPr>
                <w:sz w:val="13"/>
                <w:szCs w:val="13"/>
                <w:color w:val="auto"/>
              </w:rPr>
            </w:pPr>
          </w:p>
        </w:tc>
      </w:tr>
    </w:tbl>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3" w:name="page4"/>
    <w:bookmarkEnd w:id="3"/>
    <w:p>
      <w:pPr>
        <w:jc w:val="center"/>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CONSOLIDATED STATEMENTS OF COMPREHENSIVE INCOME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(Unaudited)</w:t>
      </w:r>
    </w:p>
    <w:p>
      <w:pPr>
        <w:spacing w:after="0" w:line="185" w:lineRule="exact"/>
        <w:rPr>
          <w:sz w:val="20"/>
          <w:szCs w:val="20"/>
          <w:color w:val="auto"/>
        </w:rPr>
      </w:pPr>
    </w:p>
    <w:tbl>
      <w:tblPr>
        <w:tblLayout w:type="fixed"/>
        <w:tblInd w:w="100" w:type="dxa"/>
        <w:tblCellMar>
          <w:top w:w="0" w:type="dxa"/>
          <w:left w:w="0" w:type="dxa"/>
          <w:bottom w:w="0" w:type="dxa"/>
          <w:right w:w="0" w:type="dxa"/>
        </w:tblCellMar>
      </w:tblPr>
      <w:tr>
        <w:trPr>
          <w:trHeight w:val="118"/>
        </w:trPr>
        <w:tc>
          <w:tcPr>
            <w:tcW w:w="4240" w:type="dxa"/>
            <w:vAlign w:val="bottom"/>
          </w:tcPr>
          <w:p>
            <w:pPr>
              <w:spacing w:after="0"/>
              <w:rPr>
                <w:sz w:val="10"/>
                <w:szCs w:val="10"/>
                <w:color w:val="auto"/>
              </w:rPr>
            </w:pPr>
          </w:p>
        </w:tc>
        <w:tc>
          <w:tcPr>
            <w:tcW w:w="2240" w:type="dxa"/>
            <w:vAlign w:val="bottom"/>
            <w:gridSpan w:val="6"/>
          </w:tcPr>
          <w:p>
            <w:pPr>
              <w:jc w:val="right"/>
              <w:ind w:right="660"/>
              <w:spacing w:after="0"/>
              <w:rPr>
                <w:sz w:val="20"/>
                <w:szCs w:val="20"/>
                <w:color w:val="auto"/>
              </w:rPr>
            </w:pPr>
            <w:r>
              <w:rPr>
                <w:rFonts w:ascii="Arial" w:cs="Arial" w:eastAsia="Arial" w:hAnsi="Arial"/>
                <w:sz w:val="10"/>
                <w:szCs w:val="10"/>
                <w:color w:val="auto"/>
              </w:rPr>
              <w:t>For the Three Months Ended</w:t>
            </w:r>
          </w:p>
        </w:tc>
        <w:tc>
          <w:tcPr>
            <w:tcW w:w="120" w:type="dxa"/>
            <w:vAlign w:val="bottom"/>
          </w:tcPr>
          <w:p>
            <w:pPr>
              <w:spacing w:after="0"/>
              <w:rPr>
                <w:sz w:val="10"/>
                <w:szCs w:val="10"/>
                <w:color w:val="auto"/>
              </w:rPr>
            </w:pPr>
          </w:p>
        </w:tc>
        <w:tc>
          <w:tcPr>
            <w:tcW w:w="2240" w:type="dxa"/>
            <w:vAlign w:val="bottom"/>
            <w:gridSpan w:val="5"/>
          </w:tcPr>
          <w:p>
            <w:pPr>
              <w:jc w:val="right"/>
              <w:ind w:right="780"/>
              <w:spacing w:after="0"/>
              <w:rPr>
                <w:sz w:val="20"/>
                <w:szCs w:val="20"/>
                <w:color w:val="auto"/>
              </w:rPr>
            </w:pPr>
            <w:r>
              <w:rPr>
                <w:rFonts w:ascii="Arial" w:cs="Arial" w:eastAsia="Arial" w:hAnsi="Arial"/>
                <w:sz w:val="10"/>
                <w:szCs w:val="10"/>
                <w:color w:val="auto"/>
              </w:rPr>
              <w:t>For the Six Months Ended</w:t>
            </w:r>
          </w:p>
        </w:tc>
      </w:tr>
      <w:tr>
        <w:trPr>
          <w:trHeight w:val="118"/>
        </w:trPr>
        <w:tc>
          <w:tcPr>
            <w:tcW w:w="42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August 3, 2019</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0"/>
                <w:szCs w:val="10"/>
                <w:color w:val="auto"/>
                <w:w w:val="92"/>
              </w:rPr>
              <w:t>August 4, 2018</w:t>
            </w:r>
          </w:p>
        </w:tc>
        <w:tc>
          <w:tcPr>
            <w:tcW w:w="120" w:type="dxa"/>
            <w:vAlign w:val="bottom"/>
          </w:tcPr>
          <w:p>
            <w:pPr>
              <w:spacing w:after="0"/>
              <w:rPr>
                <w:sz w:val="10"/>
                <w:szCs w:val="1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0"/>
                <w:szCs w:val="10"/>
                <w:color w:val="auto"/>
                <w:w w:val="95"/>
              </w:rPr>
              <w:t>August 3, 2019</w:t>
            </w:r>
          </w:p>
        </w:tc>
        <w:tc>
          <w:tcPr>
            <w:tcW w:w="140" w:type="dxa"/>
            <w:vAlign w:val="bottom"/>
          </w:tcPr>
          <w:p>
            <w:pPr>
              <w:spacing w:after="0"/>
              <w:rPr>
                <w:sz w:val="10"/>
                <w:szCs w:val="1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0"/>
                <w:szCs w:val="10"/>
                <w:color w:val="auto"/>
                <w:w w:val="95"/>
              </w:rPr>
              <w:t>August 4, 2018</w:t>
            </w:r>
          </w:p>
        </w:tc>
      </w:tr>
      <w:tr>
        <w:trPr>
          <w:trHeight w:val="112"/>
        </w:trPr>
        <w:tc>
          <w:tcPr>
            <w:tcW w:w="4240" w:type="dxa"/>
            <w:vAlign w:val="bottom"/>
            <w:tcBorders>
              <w:bottom w:val="single" w:sz="8" w:color="CFF0FC"/>
            </w:tcBorders>
          </w:tcPr>
          <w:p>
            <w:pPr>
              <w:spacing w:after="0"/>
              <w:rPr>
                <w:sz w:val="9"/>
                <w:szCs w:val="9"/>
                <w:color w:val="auto"/>
              </w:rPr>
            </w:pPr>
          </w:p>
        </w:tc>
        <w:tc>
          <w:tcPr>
            <w:tcW w:w="7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(Fiscal 2019)</w:t>
            </w: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122"/>
              <w:spacing w:after="0" w:line="113" w:lineRule="exact"/>
              <w:rPr>
                <w:sz w:val="20"/>
                <w:szCs w:val="20"/>
                <w:color w:val="auto"/>
              </w:rPr>
            </w:pPr>
            <w:r>
              <w:rPr>
                <w:rFonts w:ascii="Arial" w:cs="Arial" w:eastAsia="Arial" w:hAnsi="Arial"/>
                <w:sz w:val="10"/>
                <w:szCs w:val="10"/>
                <w:color w:val="auto"/>
              </w:rPr>
              <w:t>(Fiscal 2018)</w:t>
            </w:r>
          </w:p>
        </w:tc>
        <w:tc>
          <w:tcPr>
            <w:tcW w:w="20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183"/>
              <w:spacing w:after="0" w:line="113" w:lineRule="exact"/>
              <w:rPr>
                <w:sz w:val="20"/>
                <w:szCs w:val="20"/>
                <w:color w:val="auto"/>
              </w:rPr>
            </w:pPr>
            <w:r>
              <w:rPr>
                <w:rFonts w:ascii="Arial" w:cs="Arial" w:eastAsia="Arial" w:hAnsi="Arial"/>
                <w:sz w:val="10"/>
                <w:szCs w:val="10"/>
                <w:color w:val="auto"/>
              </w:rPr>
              <w:t>(Fiscal 2019)</w:t>
            </w:r>
          </w:p>
        </w:tc>
        <w:tc>
          <w:tcPr>
            <w:tcW w:w="18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182"/>
              <w:spacing w:after="0" w:line="113" w:lineRule="exact"/>
              <w:rPr>
                <w:sz w:val="20"/>
                <w:szCs w:val="20"/>
                <w:color w:val="auto"/>
              </w:rPr>
            </w:pPr>
            <w:r>
              <w:rPr>
                <w:rFonts w:ascii="Arial" w:cs="Arial" w:eastAsia="Arial" w:hAnsi="Arial"/>
                <w:sz w:val="10"/>
                <w:szCs w:val="10"/>
                <w:color w:val="auto"/>
              </w:rPr>
              <w:t>(Fiscal 2018)</w:t>
            </w:r>
          </w:p>
        </w:tc>
        <w:tc>
          <w:tcPr>
            <w:tcW w:w="200" w:type="dxa"/>
            <w:vAlign w:val="bottom"/>
            <w:tcBorders>
              <w:bottom w:val="single" w:sz="8" w:color="CFF0FC"/>
            </w:tcBorders>
          </w:tcPr>
          <w:p>
            <w:pPr>
              <w:spacing w:after="0"/>
              <w:rPr>
                <w:sz w:val="9"/>
                <w:szCs w:val="9"/>
                <w:color w:val="auto"/>
              </w:rPr>
            </w:pPr>
          </w:p>
        </w:tc>
      </w:tr>
      <w:tr>
        <w:trPr>
          <w:trHeight w:val="143"/>
        </w:trPr>
        <w:tc>
          <w:tcPr>
            <w:tcW w:w="4240" w:type="dxa"/>
            <w:vAlign w:val="bottom"/>
            <w:shd w:val="clear" w:color="auto" w:fill="CFF0FC"/>
          </w:tcPr>
          <w:p>
            <w:pPr>
              <w:spacing w:after="0"/>
              <w:rPr>
                <w:sz w:val="20"/>
                <w:szCs w:val="20"/>
                <w:color w:val="auto"/>
              </w:rPr>
            </w:pPr>
            <w:r>
              <w:rPr>
                <w:rFonts w:ascii="Arial" w:cs="Arial" w:eastAsia="Arial" w:hAnsi="Arial"/>
                <w:sz w:val="12"/>
                <w:szCs w:val="12"/>
                <w:color w:val="auto"/>
              </w:rPr>
              <w:t>Net income (loss)</w:t>
            </w:r>
          </w:p>
        </w:tc>
        <w:tc>
          <w:tcPr>
            <w:tcW w:w="780" w:type="dxa"/>
            <w:vAlign w:val="bottom"/>
            <w:shd w:val="clear" w:color="auto" w:fill="CFF0FC"/>
          </w:tcPr>
          <w:p>
            <w:pPr>
              <w:jc w:val="right"/>
              <w:ind w:right="671"/>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(1,185)</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(3,043)</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(4,295)</w:t>
            </w:r>
          </w:p>
        </w:tc>
      </w:tr>
      <w:tr>
        <w:trPr>
          <w:trHeight w:val="154"/>
        </w:trPr>
        <w:tc>
          <w:tcPr>
            <w:tcW w:w="4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4"/>
        </w:trPr>
        <w:tc>
          <w:tcPr>
            <w:tcW w:w="4240" w:type="dxa"/>
            <w:vAlign w:val="bottom"/>
            <w:shd w:val="clear" w:color="auto" w:fill="CFF0FC"/>
          </w:tcPr>
          <w:p>
            <w:pPr>
              <w:spacing w:after="0"/>
              <w:rPr>
                <w:sz w:val="20"/>
                <w:szCs w:val="20"/>
                <w:color w:val="auto"/>
              </w:rPr>
            </w:pPr>
            <w:r>
              <w:rPr>
                <w:rFonts w:ascii="Arial" w:cs="Arial" w:eastAsia="Arial" w:hAnsi="Arial"/>
                <w:sz w:val="12"/>
                <w:szCs w:val="12"/>
                <w:color w:val="auto"/>
              </w:rPr>
              <w:t>Other comprehensive income before taxes:</w:t>
            </w: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r>
      <w:tr>
        <w:trPr>
          <w:trHeight w:val="154"/>
        </w:trPr>
        <w:tc>
          <w:tcPr>
            <w:tcW w:w="4240" w:type="dxa"/>
            <w:vAlign w:val="bottom"/>
          </w:tcPr>
          <w:p>
            <w:pPr>
              <w:ind w:left="160"/>
              <w:spacing w:after="0"/>
              <w:rPr>
                <w:sz w:val="20"/>
                <w:szCs w:val="20"/>
                <w:color w:val="auto"/>
              </w:rPr>
            </w:pPr>
            <w:r>
              <w:rPr>
                <w:rFonts w:ascii="Arial" w:cs="Arial" w:eastAsia="Arial" w:hAnsi="Arial"/>
                <w:sz w:val="12"/>
                <w:szCs w:val="12"/>
                <w:color w:val="auto"/>
              </w:rPr>
              <w:t>Foreign currency translation</w:t>
            </w:r>
          </w:p>
        </w:tc>
        <w:tc>
          <w:tcPr>
            <w:tcW w:w="780" w:type="dxa"/>
            <w:vAlign w:val="bottom"/>
          </w:tcPr>
          <w:p>
            <w:pPr>
              <w:spacing w:after="0"/>
              <w:rPr>
                <w:sz w:val="13"/>
                <w:szCs w:val="13"/>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(59)</w:t>
            </w:r>
          </w:p>
        </w:tc>
        <w:tc>
          <w:tcPr>
            <w:tcW w:w="1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(94)</w:t>
            </w:r>
          </w:p>
        </w:tc>
        <w:tc>
          <w:tcPr>
            <w:tcW w:w="1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(83)</w:t>
            </w:r>
          </w:p>
        </w:tc>
        <w:tc>
          <w:tcPr>
            <w:tcW w:w="14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(239)</w:t>
            </w:r>
          </w:p>
        </w:tc>
      </w:tr>
      <w:tr>
        <w:trPr>
          <w:trHeight w:val="154"/>
        </w:trPr>
        <w:tc>
          <w:tcPr>
            <w:tcW w:w="42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Pension plans</w:t>
            </w:r>
          </w:p>
        </w:tc>
        <w:tc>
          <w:tcPr>
            <w:tcW w:w="78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79"/>
              </w:rPr>
              <w:t>191</w:t>
            </w:r>
          </w:p>
        </w:tc>
        <w:tc>
          <w:tcPr>
            <w:tcW w:w="1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156</w:t>
            </w:r>
          </w:p>
        </w:tc>
        <w:tc>
          <w:tcPr>
            <w:tcW w:w="2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392</w:t>
            </w:r>
          </w:p>
        </w:tc>
        <w:tc>
          <w:tcPr>
            <w:tcW w:w="180" w:type="dxa"/>
            <w:vAlign w:val="bottom"/>
            <w:tcBorders>
              <w:right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330</w:t>
            </w:r>
          </w:p>
        </w:tc>
        <w:tc>
          <w:tcPr>
            <w:tcW w:w="200" w:type="dxa"/>
            <w:vAlign w:val="bottom"/>
            <w:shd w:val="clear" w:color="auto" w:fill="CFF0FC"/>
          </w:tcPr>
          <w:p>
            <w:pPr>
              <w:spacing w:after="0"/>
              <w:rPr>
                <w:sz w:val="13"/>
                <w:szCs w:val="13"/>
                <w:color w:val="auto"/>
              </w:rPr>
            </w:pPr>
          </w:p>
        </w:tc>
      </w:tr>
      <w:tr>
        <w:trPr>
          <w:trHeight w:val="143"/>
        </w:trPr>
        <w:tc>
          <w:tcPr>
            <w:tcW w:w="4240" w:type="dxa"/>
            <w:vAlign w:val="bottom"/>
          </w:tcPr>
          <w:p>
            <w:pPr>
              <w:ind w:left="320"/>
              <w:spacing w:after="0"/>
              <w:rPr>
                <w:sz w:val="20"/>
                <w:szCs w:val="20"/>
                <w:color w:val="auto"/>
              </w:rPr>
            </w:pPr>
            <w:r>
              <w:rPr>
                <w:rFonts w:ascii="Arial" w:cs="Arial" w:eastAsia="Arial" w:hAnsi="Arial"/>
                <w:sz w:val="12"/>
                <w:szCs w:val="12"/>
                <w:color w:val="auto"/>
              </w:rPr>
              <w:t>Other comprehensive income before taxes</w:t>
            </w:r>
          </w:p>
        </w:tc>
        <w:tc>
          <w:tcPr>
            <w:tcW w:w="7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w w:val="79"/>
              </w:rPr>
              <w:t>132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91</w:t>
            </w:r>
          </w:p>
        </w:tc>
        <w:tc>
          <w:tcPr>
            <w:tcW w:w="200" w:type="dxa"/>
            <w:vAlign w:val="bottom"/>
          </w:tcPr>
          <w:p>
            <w:pPr>
              <w:spacing w:after="0"/>
              <w:rPr>
                <w:sz w:val="12"/>
                <w:szCs w:val="12"/>
                <w:color w:val="auto"/>
              </w:rPr>
            </w:pPr>
          </w:p>
        </w:tc>
      </w:tr>
      <w:tr>
        <w:trPr>
          <w:trHeight w:val="154"/>
        </w:trPr>
        <w:tc>
          <w:tcPr>
            <w:tcW w:w="4240" w:type="dxa"/>
            <w:vAlign w:val="bottom"/>
            <w:shd w:val="clear" w:color="auto" w:fill="CFF0FC"/>
          </w:tcPr>
          <w:p>
            <w:pPr>
              <w:spacing w:after="0"/>
              <w:rPr>
                <w:sz w:val="20"/>
                <w:szCs w:val="20"/>
                <w:color w:val="auto"/>
              </w:rPr>
            </w:pPr>
            <w:r>
              <w:rPr>
                <w:rFonts w:ascii="Arial" w:cs="Arial" w:eastAsia="Arial" w:hAnsi="Arial"/>
                <w:sz w:val="12"/>
                <w:szCs w:val="12"/>
                <w:color w:val="auto"/>
              </w:rPr>
              <w:t>Tax provision related to items of other comprehensive income</w:t>
            </w:r>
          </w:p>
        </w:tc>
        <w:tc>
          <w:tcPr>
            <w:tcW w:w="78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FF0FC"/>
          </w:tcPr>
          <w:p>
            <w:pPr>
              <w:spacing w:after="0"/>
              <w:rPr>
                <w:sz w:val="13"/>
                <w:szCs w:val="13"/>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(81)</w:t>
            </w: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(47)</w:t>
            </w:r>
          </w:p>
        </w:tc>
      </w:tr>
      <w:tr>
        <w:trPr>
          <w:trHeight w:val="143"/>
        </w:trPr>
        <w:tc>
          <w:tcPr>
            <w:tcW w:w="42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 comprehensive income, net of tax</w:t>
            </w:r>
          </w:p>
        </w:tc>
        <w:tc>
          <w:tcPr>
            <w:tcW w:w="7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79"/>
              </w:rPr>
              <w:t>102</w:t>
            </w:r>
          </w:p>
        </w:tc>
        <w:tc>
          <w:tcPr>
            <w:tcW w:w="18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41</w:t>
            </w:r>
          </w:p>
        </w:tc>
        <w:tc>
          <w:tcPr>
            <w:tcW w:w="20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228</w:t>
            </w:r>
          </w:p>
        </w:tc>
        <w:tc>
          <w:tcPr>
            <w:tcW w:w="18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w:t>
            </w:r>
          </w:p>
        </w:tc>
        <w:tc>
          <w:tcPr>
            <w:tcW w:w="200" w:type="dxa"/>
            <w:vAlign w:val="bottom"/>
            <w:tcBorders>
              <w:bottom w:val="single" w:sz="8" w:color="CFF0FC"/>
            </w:tcBorders>
          </w:tcPr>
          <w:p>
            <w:pPr>
              <w:spacing w:after="0"/>
              <w:rPr>
                <w:sz w:val="12"/>
                <w:szCs w:val="12"/>
                <w:color w:val="auto"/>
              </w:rPr>
            </w:pPr>
          </w:p>
        </w:tc>
      </w:tr>
      <w:tr>
        <w:trPr>
          <w:trHeight w:val="143"/>
        </w:trPr>
        <w:tc>
          <w:tcPr>
            <w:tcW w:w="4240" w:type="dxa"/>
            <w:vAlign w:val="bottom"/>
            <w:shd w:val="clear" w:color="auto" w:fill="CFF0FC"/>
          </w:tcPr>
          <w:p>
            <w:pPr>
              <w:spacing w:after="0"/>
              <w:rPr>
                <w:sz w:val="20"/>
                <w:szCs w:val="20"/>
                <w:color w:val="auto"/>
              </w:rPr>
            </w:pPr>
            <w:r>
              <w:rPr>
                <w:rFonts w:ascii="Arial" w:cs="Arial" w:eastAsia="Arial" w:hAnsi="Arial"/>
                <w:sz w:val="12"/>
                <w:szCs w:val="12"/>
                <w:color w:val="auto"/>
              </w:rPr>
              <w:t>Comprehensive income (loss)</w:t>
            </w:r>
          </w:p>
        </w:tc>
        <w:tc>
          <w:tcPr>
            <w:tcW w:w="780" w:type="dxa"/>
            <w:vAlign w:val="bottom"/>
            <w:shd w:val="clear" w:color="auto" w:fill="CFF0FC"/>
          </w:tcPr>
          <w:p>
            <w:pPr>
              <w:jc w:val="right"/>
              <w:ind w:right="671"/>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9"/>
              </w:rPr>
              <w:t>140</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(1,144)</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(2,815)</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(4,251)</w:t>
            </w:r>
          </w:p>
        </w:tc>
      </w:tr>
      <w:tr>
        <w:trPr>
          <w:trHeight w:val="27"/>
        </w:trPr>
        <w:tc>
          <w:tcPr>
            <w:tcW w:w="4240" w:type="dxa"/>
            <w:vAlign w:val="bottom"/>
            <w:shd w:val="clear" w:color="auto" w:fill="CFF0FC"/>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FF0FC"/>
            </w:tcBorders>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r>
    </w:tbl>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43180</wp:posOffset>
            </wp:positionV>
            <wp:extent cx="732853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 OF CHANGES IN STOCKHOLDERS’ EQUITY</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0"/>
                <w:szCs w:val="10"/>
                <w:color w:val="auto"/>
                <w:w w:val="86"/>
              </w:rPr>
              <w:t>Accumulated</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340"/>
              <w:spacing w:after="0" w:line="109" w:lineRule="exact"/>
              <w:rPr>
                <w:sz w:val="20"/>
                <w:szCs w:val="20"/>
                <w:color w:val="auto"/>
              </w:rPr>
            </w:pPr>
            <w:r>
              <w:rPr>
                <w:rFonts w:ascii="Arial" w:cs="Arial" w:eastAsia="Arial" w:hAnsi="Arial"/>
                <w:sz w:val="10"/>
                <w:szCs w:val="10"/>
                <w:color w:val="auto"/>
                <w:w w:val="95"/>
              </w:rPr>
              <w:t>Additional</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gridSpan w:val="2"/>
          </w:tcPr>
          <w:p>
            <w:pPr>
              <w:jc w:val="center"/>
              <w:ind w:right="280"/>
              <w:spacing w:after="0" w:line="109" w:lineRule="exact"/>
              <w:rPr>
                <w:sz w:val="20"/>
                <w:szCs w:val="20"/>
                <w:color w:val="auto"/>
              </w:rPr>
            </w:pPr>
            <w:r>
              <w:rPr>
                <w:rFonts w:ascii="Arial" w:cs="Arial" w:eastAsia="Arial" w:hAnsi="Arial"/>
                <w:sz w:val="10"/>
                <w:szCs w:val="10"/>
                <w:color w:val="auto"/>
                <w:w w:val="87"/>
              </w:rPr>
              <w:t>Other</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520" w:type="dxa"/>
            <w:vAlign w:val="bottom"/>
          </w:tcPr>
          <w:p>
            <w:pPr>
              <w:spacing w:after="0"/>
              <w:rPr>
                <w:sz w:val="9"/>
                <w:szCs w:val="9"/>
                <w:color w:val="auto"/>
              </w:rPr>
            </w:pPr>
          </w:p>
        </w:tc>
        <w:tc>
          <w:tcPr>
            <w:tcW w:w="1540" w:type="dxa"/>
            <w:vAlign w:val="bottom"/>
            <w:gridSpan w:val="5"/>
          </w:tcPr>
          <w:p>
            <w:pPr>
              <w:jc w:val="right"/>
              <w:ind w:right="421"/>
              <w:spacing w:after="0" w:line="109" w:lineRule="exact"/>
              <w:rPr>
                <w:sz w:val="20"/>
                <w:szCs w:val="20"/>
                <w:color w:val="auto"/>
              </w:rPr>
            </w:pPr>
            <w:r>
              <w:rPr>
                <w:rFonts w:ascii="Arial" w:cs="Arial" w:eastAsia="Arial" w:hAnsi="Arial"/>
                <w:sz w:val="10"/>
                <w:szCs w:val="10"/>
                <w:color w:val="auto"/>
              </w:rPr>
              <w:t>Common Stock</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right"/>
              <w:ind w:right="420"/>
              <w:spacing w:after="0" w:line="109" w:lineRule="exact"/>
              <w:rPr>
                <w:sz w:val="20"/>
                <w:szCs w:val="20"/>
                <w:color w:val="auto"/>
              </w:rPr>
            </w:pPr>
            <w:r>
              <w:rPr>
                <w:rFonts w:ascii="Arial" w:cs="Arial" w:eastAsia="Arial" w:hAnsi="Arial"/>
                <w:sz w:val="10"/>
                <w:szCs w:val="10"/>
                <w:color w:val="auto"/>
              </w:rPr>
              <w:t>Paid-in</w:t>
            </w:r>
          </w:p>
        </w:tc>
        <w:tc>
          <w:tcPr>
            <w:tcW w:w="1760" w:type="dxa"/>
            <w:vAlign w:val="bottom"/>
            <w:gridSpan w:val="5"/>
          </w:tcPr>
          <w:p>
            <w:pPr>
              <w:jc w:val="right"/>
              <w:ind w:right="700"/>
              <w:spacing w:after="0" w:line="109" w:lineRule="exact"/>
              <w:rPr>
                <w:sz w:val="20"/>
                <w:szCs w:val="20"/>
                <w:color w:val="auto"/>
              </w:rPr>
            </w:pPr>
            <w:r>
              <w:rPr>
                <w:rFonts w:ascii="Arial" w:cs="Arial" w:eastAsia="Arial" w:hAnsi="Arial"/>
                <w:sz w:val="10"/>
                <w:szCs w:val="10"/>
                <w:color w:val="auto"/>
              </w:rPr>
              <w:t>Treasury Stock</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w w:val="86"/>
              </w:rPr>
              <w:t>Accumulated</w:t>
            </w:r>
          </w:p>
        </w:tc>
        <w:tc>
          <w:tcPr>
            <w:tcW w:w="160" w:type="dxa"/>
            <w:vAlign w:val="bottom"/>
          </w:tcPr>
          <w:p>
            <w:pPr>
              <w:spacing w:after="0"/>
              <w:rPr>
                <w:sz w:val="9"/>
                <w:szCs w:val="9"/>
                <w:color w:val="auto"/>
              </w:rPr>
            </w:pPr>
          </w:p>
        </w:tc>
        <w:tc>
          <w:tcPr>
            <w:tcW w:w="820" w:type="dxa"/>
            <w:vAlign w:val="bottom"/>
            <w:gridSpan w:val="2"/>
          </w:tcPr>
          <w:p>
            <w:pPr>
              <w:jc w:val="center"/>
              <w:ind w:right="240"/>
              <w:spacing w:after="0" w:line="109" w:lineRule="exact"/>
              <w:rPr>
                <w:sz w:val="20"/>
                <w:szCs w:val="20"/>
                <w:color w:val="auto"/>
              </w:rPr>
            </w:pPr>
            <w:r>
              <w:rPr>
                <w:rFonts w:ascii="Arial" w:cs="Arial" w:eastAsia="Arial" w:hAnsi="Arial"/>
                <w:sz w:val="10"/>
                <w:szCs w:val="10"/>
                <w:color w:val="auto"/>
                <w:w w:val="82"/>
              </w:rPr>
              <w:t>Comprehensive</w:t>
            </w: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520" w:type="dxa"/>
            <w:vAlign w:val="bottom"/>
            <w:tcBorders>
              <w:bottom w:val="single" w:sz="8" w:color="CFF0FC"/>
            </w:tcBorders>
          </w:tcPr>
          <w:p>
            <w:pPr>
              <w:spacing w:after="0"/>
              <w:rPr>
                <w:sz w:val="9"/>
                <w:szCs w:val="9"/>
                <w:color w:val="auto"/>
              </w:rPr>
            </w:pPr>
          </w:p>
        </w:tc>
        <w:tc>
          <w:tcPr>
            <w:tcW w:w="660" w:type="dxa"/>
            <w:vAlign w:val="bottom"/>
            <w:tcBorders>
              <w:bottom w:val="single" w:sz="8" w:color="auto"/>
            </w:tcBorders>
          </w:tcPr>
          <w:p>
            <w:pPr>
              <w:jc w:val="right"/>
              <w:ind w:right="161"/>
              <w:spacing w:after="0" w:line="113" w:lineRule="exact"/>
              <w:rPr>
                <w:sz w:val="20"/>
                <w:szCs w:val="20"/>
                <w:color w:val="auto"/>
              </w:rPr>
            </w:pPr>
            <w:r>
              <w:rPr>
                <w:rFonts w:ascii="Arial" w:cs="Arial" w:eastAsia="Arial" w:hAnsi="Arial"/>
                <w:sz w:val="10"/>
                <w:szCs w:val="10"/>
                <w:color w:val="auto"/>
              </w:rPr>
              <w:t>Shares</w:t>
            </w:r>
          </w:p>
        </w:tc>
        <w:tc>
          <w:tcPr>
            <w:tcW w:w="12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21"/>
              <w:spacing w:after="0" w:line="113" w:lineRule="exact"/>
              <w:rPr>
                <w:sz w:val="20"/>
                <w:szCs w:val="20"/>
                <w:color w:val="auto"/>
              </w:rPr>
            </w:pPr>
            <w:r>
              <w:rPr>
                <w:rFonts w:ascii="Arial" w:cs="Arial" w:eastAsia="Arial" w:hAnsi="Arial"/>
                <w:sz w:val="10"/>
                <w:szCs w:val="10"/>
                <w:color w:val="auto"/>
                <w:w w:val="96"/>
              </w:rPr>
              <w:t>Amounts</w:t>
            </w:r>
          </w:p>
        </w:tc>
        <w:tc>
          <w:tcPr>
            <w:tcW w:w="20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42"/>
              <w:spacing w:after="0" w:line="113" w:lineRule="exact"/>
              <w:rPr>
                <w:sz w:val="20"/>
                <w:szCs w:val="20"/>
                <w:color w:val="auto"/>
              </w:rPr>
            </w:pPr>
            <w:r>
              <w:rPr>
                <w:rFonts w:ascii="Arial" w:cs="Arial" w:eastAsia="Arial" w:hAnsi="Arial"/>
                <w:sz w:val="10"/>
                <w:szCs w:val="10"/>
                <w:color w:val="auto"/>
              </w:rPr>
              <w:t>Capital</w:t>
            </w:r>
          </w:p>
        </w:tc>
        <w:tc>
          <w:tcPr>
            <w:tcW w:w="220" w:type="dxa"/>
            <w:vAlign w:val="bottom"/>
            <w:tcBorders>
              <w:bottom w:val="single" w:sz="8" w:color="CFF0FC"/>
            </w:tcBorders>
          </w:tcPr>
          <w:p>
            <w:pPr>
              <w:spacing w:after="0"/>
              <w:rPr>
                <w:sz w:val="9"/>
                <w:szCs w:val="9"/>
                <w:color w:val="auto"/>
              </w:rPr>
            </w:pPr>
          </w:p>
        </w:tc>
        <w:tc>
          <w:tcPr>
            <w:tcW w:w="660" w:type="dxa"/>
            <w:vAlign w:val="bottom"/>
            <w:tcBorders>
              <w:bottom w:val="single" w:sz="8" w:color="auto"/>
            </w:tcBorders>
          </w:tcPr>
          <w:p>
            <w:pPr>
              <w:ind w:left="200"/>
              <w:spacing w:after="0" w:line="113" w:lineRule="exact"/>
              <w:rPr>
                <w:sz w:val="20"/>
                <w:szCs w:val="20"/>
                <w:color w:val="auto"/>
              </w:rPr>
            </w:pPr>
            <w:r>
              <w:rPr>
                <w:rFonts w:ascii="Arial" w:cs="Arial" w:eastAsia="Arial" w:hAnsi="Arial"/>
                <w:sz w:val="10"/>
                <w:szCs w:val="10"/>
                <w:color w:val="auto"/>
              </w:rPr>
              <w:t>Shares</w:t>
            </w:r>
          </w:p>
        </w:tc>
        <w:tc>
          <w:tcPr>
            <w:tcW w:w="22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03"/>
              <w:spacing w:after="0" w:line="113" w:lineRule="exact"/>
              <w:rPr>
                <w:sz w:val="20"/>
                <w:szCs w:val="20"/>
                <w:color w:val="auto"/>
              </w:rPr>
            </w:pPr>
            <w:r>
              <w:rPr>
                <w:rFonts w:ascii="Arial" w:cs="Arial" w:eastAsia="Arial" w:hAnsi="Arial"/>
                <w:sz w:val="10"/>
                <w:szCs w:val="10"/>
                <w:color w:val="auto"/>
                <w:w w:val="96"/>
              </w:rPr>
              <w:t>Amounts</w:t>
            </w:r>
          </w:p>
        </w:tc>
        <w:tc>
          <w:tcPr>
            <w:tcW w:w="220" w:type="dxa"/>
            <w:vAlign w:val="bottom"/>
            <w:tcBorders>
              <w:bottom w:val="single" w:sz="8" w:color="CFF0FC"/>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43"/>
              <w:spacing w:after="0" w:line="113" w:lineRule="exact"/>
              <w:rPr>
                <w:sz w:val="20"/>
                <w:szCs w:val="20"/>
                <w:color w:val="auto"/>
              </w:rPr>
            </w:pPr>
            <w:r>
              <w:rPr>
                <w:rFonts w:ascii="Arial" w:cs="Arial" w:eastAsia="Arial" w:hAnsi="Arial"/>
                <w:sz w:val="10"/>
                <w:szCs w:val="10"/>
                <w:color w:val="auto"/>
              </w:rPr>
              <w:t>Deficit</w:t>
            </w:r>
          </w:p>
        </w:tc>
        <w:tc>
          <w:tcPr>
            <w:tcW w:w="120" w:type="dxa"/>
            <w:vAlign w:val="bottom"/>
            <w:tcBorders>
              <w:bottom w:val="single" w:sz="8" w:color="CFF0FC"/>
            </w:tcBorders>
          </w:tcPr>
          <w:p>
            <w:pPr>
              <w:spacing w:after="0"/>
              <w:rPr>
                <w:sz w:val="9"/>
                <w:szCs w:val="9"/>
                <w:color w:val="auto"/>
              </w:rPr>
            </w:pPr>
          </w:p>
        </w:tc>
        <w:tc>
          <w:tcPr>
            <w:tcW w:w="160" w:type="dxa"/>
            <w:vAlign w:val="bottom"/>
            <w:tcBorders>
              <w:bottom w:val="single" w:sz="8" w:color="CFF0FC"/>
            </w:tcBorders>
          </w:tcPr>
          <w:p>
            <w:pPr>
              <w:spacing w:after="0"/>
              <w:rPr>
                <w:sz w:val="9"/>
                <w:szCs w:val="9"/>
                <w:color w:val="auto"/>
              </w:rPr>
            </w:pPr>
          </w:p>
        </w:tc>
        <w:tc>
          <w:tcPr>
            <w:tcW w:w="620" w:type="dxa"/>
            <w:vAlign w:val="bottom"/>
            <w:tcBorders>
              <w:bottom w:val="single" w:sz="8" w:color="auto"/>
            </w:tcBorders>
          </w:tcPr>
          <w:p>
            <w:pPr>
              <w:jc w:val="center"/>
              <w:ind w:right="24"/>
              <w:spacing w:after="0" w:line="113" w:lineRule="exact"/>
              <w:rPr>
                <w:sz w:val="20"/>
                <w:szCs w:val="20"/>
                <w:color w:val="auto"/>
              </w:rPr>
            </w:pPr>
            <w:r>
              <w:rPr>
                <w:rFonts w:ascii="Arial" w:cs="Arial" w:eastAsia="Arial" w:hAnsi="Arial"/>
                <w:sz w:val="10"/>
                <w:szCs w:val="10"/>
                <w:color w:val="auto"/>
                <w:w w:val="85"/>
              </w:rPr>
              <w:t>Income (Loss)</w:t>
            </w:r>
          </w:p>
        </w:tc>
        <w:tc>
          <w:tcPr>
            <w:tcW w:w="20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200"/>
              <w:spacing w:after="0" w:line="113" w:lineRule="exact"/>
              <w:rPr>
                <w:sz w:val="20"/>
                <w:szCs w:val="20"/>
                <w:color w:val="auto"/>
              </w:rPr>
            </w:pPr>
            <w:r>
              <w:rPr>
                <w:rFonts w:ascii="Arial" w:cs="Arial" w:eastAsia="Arial" w:hAnsi="Arial"/>
                <w:sz w:val="10"/>
                <w:szCs w:val="10"/>
                <w:color w:val="auto"/>
              </w:rPr>
              <w:t>Total</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4520" w:type="dxa"/>
            <w:vAlign w:val="bottom"/>
            <w:shd w:val="clear" w:color="auto" w:fill="CFF0FC"/>
          </w:tcPr>
          <w:p>
            <w:pPr>
              <w:spacing w:after="0"/>
              <w:rPr>
                <w:sz w:val="20"/>
                <w:szCs w:val="20"/>
                <w:color w:val="auto"/>
              </w:rPr>
            </w:pPr>
            <w:r>
              <w:rPr>
                <w:rFonts w:ascii="Arial" w:cs="Arial" w:eastAsia="Arial" w:hAnsi="Arial"/>
                <w:sz w:val="12"/>
                <w:szCs w:val="12"/>
                <w:color w:val="auto"/>
              </w:rPr>
              <w:t>Balance at February 2, 2019</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62,242</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622</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310,393</w:t>
            </w:r>
          </w:p>
        </w:tc>
        <w:tc>
          <w:tcPr>
            <w:tcW w:w="2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(12,755)</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(92,658)</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(153,534)</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(6,183)</w:t>
            </w: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58,640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520" w:type="dxa"/>
            <w:vAlign w:val="bottom"/>
          </w:tcPr>
          <w:p>
            <w:pPr>
              <w:spacing w:after="0"/>
              <w:rPr>
                <w:sz w:val="20"/>
                <w:szCs w:val="20"/>
                <w:color w:val="auto"/>
              </w:rPr>
            </w:pPr>
            <w:r>
              <w:rPr>
                <w:rFonts w:ascii="Arial" w:cs="Arial" w:eastAsia="Arial" w:hAnsi="Arial"/>
                <w:sz w:val="12"/>
                <w:szCs w:val="12"/>
                <w:color w:val="auto"/>
              </w:rPr>
              <w:t>Board of directors compensation</w:t>
            </w:r>
          </w:p>
        </w:tc>
        <w:tc>
          <w:tcPr>
            <w:tcW w:w="660" w:type="dxa"/>
            <w:vAlign w:val="bottom"/>
          </w:tcPr>
          <w:p>
            <w:pPr>
              <w:jc w:val="right"/>
              <w:spacing w:after="0"/>
              <w:rPr>
                <w:sz w:val="20"/>
                <w:szCs w:val="20"/>
                <w:color w:val="auto"/>
              </w:rPr>
            </w:pPr>
            <w:r>
              <w:rPr>
                <w:rFonts w:ascii="Arial" w:cs="Arial" w:eastAsia="Arial" w:hAnsi="Arial"/>
                <w:sz w:val="12"/>
                <w:szCs w:val="12"/>
                <w:color w:val="auto"/>
              </w:rPr>
              <w:t>36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142</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20" w:type="dxa"/>
            <w:vAlign w:val="bottom"/>
            <w:shd w:val="clear" w:color="auto" w:fill="CFF0FC"/>
          </w:tcPr>
          <w:p>
            <w:pPr>
              <w:spacing w:after="0"/>
              <w:rPr>
                <w:sz w:val="20"/>
                <w:szCs w:val="20"/>
                <w:color w:val="auto"/>
              </w:rPr>
            </w:pPr>
            <w:r>
              <w:rPr>
                <w:rFonts w:ascii="Arial" w:cs="Arial" w:eastAsia="Arial" w:hAnsi="Arial"/>
                <w:sz w:val="12"/>
                <w:szCs w:val="12"/>
                <w:color w:val="auto"/>
              </w:rPr>
              <w:t>Stock compensation expense</w:t>
            </w: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414</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520" w:type="dxa"/>
            <w:vAlign w:val="bottom"/>
          </w:tcPr>
          <w:p>
            <w:pPr>
              <w:spacing w:after="0"/>
              <w:rPr>
                <w:sz w:val="20"/>
                <w:szCs w:val="20"/>
                <w:color w:val="auto"/>
              </w:rPr>
            </w:pPr>
            <w:r>
              <w:rPr>
                <w:rFonts w:ascii="Arial" w:cs="Arial" w:eastAsia="Arial" w:hAnsi="Arial"/>
                <w:sz w:val="12"/>
                <w:szCs w:val="12"/>
                <w:color w:val="auto"/>
                <w:w w:val="98"/>
              </w:rPr>
              <w:t>RSUs granted for achievement of performance-based compensation, reclassified from</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520" w:type="dxa"/>
            <w:vAlign w:val="bottom"/>
          </w:tcPr>
          <w:p>
            <w:pPr>
              <w:spacing w:after="0"/>
              <w:rPr>
                <w:sz w:val="20"/>
                <w:szCs w:val="20"/>
                <w:color w:val="auto"/>
              </w:rPr>
            </w:pPr>
            <w:r>
              <w:rPr>
                <w:rFonts w:ascii="Arial" w:cs="Arial" w:eastAsia="Arial" w:hAnsi="Arial"/>
                <w:sz w:val="12"/>
                <w:szCs w:val="12"/>
                <w:color w:val="auto"/>
              </w:rPr>
              <w:t>liability to equity (Note 5)</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304</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304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2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upon RSUs release</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(4)</w:t>
            </w: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520" w:type="dxa"/>
            <w:vAlign w:val="bottom"/>
          </w:tcPr>
          <w:p>
            <w:pPr>
              <w:spacing w:after="0"/>
              <w:rPr>
                <w:sz w:val="20"/>
                <w:szCs w:val="20"/>
                <w:color w:val="auto"/>
              </w:rPr>
            </w:pPr>
            <w:r>
              <w:rPr>
                <w:rFonts w:ascii="Arial" w:cs="Arial" w:eastAsia="Arial" w:hAnsi="Arial"/>
                <w:sz w:val="12"/>
                <w:szCs w:val="12"/>
                <w:color w:val="auto"/>
              </w:rPr>
              <w:t>Shares withheld for taxes related to net share settlement of RSUs</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(78)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(192)</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(192)</w:t>
            </w:r>
          </w:p>
        </w:tc>
        <w:tc>
          <w:tcPr>
            <w:tcW w:w="0" w:type="dxa"/>
            <w:vAlign w:val="bottom"/>
          </w:tcPr>
          <w:p>
            <w:pPr>
              <w:spacing w:after="0"/>
              <w:rPr>
                <w:sz w:val="1"/>
                <w:szCs w:val="1"/>
                <w:color w:val="auto"/>
              </w:rPr>
            </w:pPr>
          </w:p>
        </w:tc>
      </w:tr>
      <w:tr>
        <w:trPr>
          <w:trHeight w:val="154"/>
        </w:trPr>
        <w:tc>
          <w:tcPr>
            <w:tcW w:w="4520" w:type="dxa"/>
            <w:vAlign w:val="bottom"/>
            <w:shd w:val="clear" w:color="auto" w:fill="CFF0FC"/>
          </w:tcPr>
          <w:p>
            <w:pPr>
              <w:spacing w:after="0"/>
              <w:rPr>
                <w:sz w:val="20"/>
                <w:szCs w:val="20"/>
                <w:color w:val="auto"/>
              </w:rPr>
            </w:pPr>
            <w:r>
              <w:rPr>
                <w:rFonts w:ascii="Arial" w:cs="Arial" w:eastAsia="Arial" w:hAnsi="Arial"/>
                <w:sz w:val="12"/>
                <w:szCs w:val="12"/>
                <w:color w:val="auto"/>
              </w:rPr>
              <w:t>Deferred stock vested</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520" w:type="dxa"/>
            <w:vAlign w:val="bottom"/>
          </w:tcPr>
          <w:p>
            <w:pPr>
              <w:spacing w:after="0"/>
              <w:rPr>
                <w:sz w:val="20"/>
                <w:szCs w:val="20"/>
                <w:color w:val="auto"/>
              </w:rPr>
            </w:pPr>
            <w:r>
              <w:rPr>
                <w:rFonts w:ascii="Arial" w:cs="Arial" w:eastAsia="Arial" w:hAnsi="Arial"/>
                <w:sz w:val="12"/>
                <w:szCs w:val="12"/>
                <w:color w:val="auto"/>
              </w:rPr>
              <w:t>Change in accounting principle due to adoption of ASC 842</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5,276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5,276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20" w:type="dxa"/>
            <w:vAlign w:val="bottom"/>
            <w:shd w:val="clear" w:color="auto" w:fill="CFF0FC"/>
          </w:tcPr>
          <w:p>
            <w:pPr>
              <w:spacing w:after="0"/>
              <w:rPr>
                <w:sz w:val="20"/>
                <w:szCs w:val="20"/>
                <w:color w:val="auto"/>
              </w:rPr>
            </w:pPr>
            <w:r>
              <w:rPr>
                <w:rFonts w:ascii="Arial" w:cs="Arial" w:eastAsia="Arial" w:hAnsi="Arial"/>
                <w:sz w:val="12"/>
                <w:szCs w:val="12"/>
                <w:color w:val="auto"/>
              </w:rPr>
              <w:t>Accumulated other comprehensive income (loss):</w:t>
            </w: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20" w:type="dxa"/>
            <w:vAlign w:val="bottom"/>
          </w:tcPr>
          <w:p>
            <w:pPr>
              <w:ind w:left="160"/>
              <w:spacing w:after="0"/>
              <w:rPr>
                <w:sz w:val="20"/>
                <w:szCs w:val="20"/>
                <w:color w:val="auto"/>
              </w:rPr>
            </w:pPr>
            <w:r>
              <w:rPr>
                <w:rFonts w:ascii="Arial" w:cs="Arial" w:eastAsia="Arial" w:hAnsi="Arial"/>
                <w:sz w:val="12"/>
                <w:szCs w:val="12"/>
                <w:color w:val="auto"/>
              </w:rPr>
              <w:t>Pension plan, net of taxes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Foreign currency, net of taxes</w:t>
            </w: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(24)</w:t>
            </w:r>
          </w:p>
        </w:tc>
        <w:tc>
          <w:tcPr>
            <w:tcW w:w="1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54"/>
        </w:trPr>
        <w:tc>
          <w:tcPr>
            <w:tcW w:w="4520" w:type="dxa"/>
            <w:vAlign w:val="bottom"/>
          </w:tcPr>
          <w:p>
            <w:pPr>
              <w:spacing w:after="0"/>
              <w:rPr>
                <w:sz w:val="20"/>
                <w:szCs w:val="20"/>
                <w:color w:val="auto"/>
              </w:rPr>
            </w:pPr>
            <w:r>
              <w:rPr>
                <w:rFonts w:ascii="Arial" w:cs="Arial" w:eastAsia="Arial" w:hAnsi="Arial"/>
                <w:sz w:val="12"/>
                <w:szCs w:val="12"/>
                <w:color w:val="auto"/>
              </w:rPr>
              <w:t>Net loss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(3,081)</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(3,081)</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Balance at May 4, 2019</w:t>
            </w: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20" w:type="dxa"/>
            <w:vAlign w:val="bottom"/>
            <w:vMerge w:val="continue"/>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62,576</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626</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311,057</w:t>
            </w:r>
          </w:p>
        </w:tc>
        <w:tc>
          <w:tcPr>
            <w:tcW w:w="2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(12,755)</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(92,658)</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(151,339)</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(6,057)</w:t>
            </w: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61,629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520" w:type="dxa"/>
            <w:vAlign w:val="bottom"/>
          </w:tcPr>
          <w:p>
            <w:pPr>
              <w:spacing w:after="0"/>
              <w:rPr>
                <w:sz w:val="20"/>
                <w:szCs w:val="20"/>
                <w:color w:val="auto"/>
              </w:rPr>
            </w:pPr>
            <w:r>
              <w:rPr>
                <w:rFonts w:ascii="Arial" w:cs="Arial" w:eastAsia="Arial" w:hAnsi="Arial"/>
                <w:sz w:val="12"/>
                <w:szCs w:val="12"/>
                <w:color w:val="auto"/>
              </w:rPr>
              <w:t>Board of directors compensation</w:t>
            </w:r>
          </w:p>
        </w:tc>
        <w:tc>
          <w:tcPr>
            <w:tcW w:w="660" w:type="dxa"/>
            <w:vAlign w:val="bottom"/>
          </w:tcPr>
          <w:p>
            <w:pPr>
              <w:jc w:val="right"/>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142</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20" w:type="dxa"/>
            <w:vAlign w:val="bottom"/>
            <w:shd w:val="clear" w:color="auto" w:fill="CFF0FC"/>
          </w:tcPr>
          <w:p>
            <w:pPr>
              <w:spacing w:after="0"/>
              <w:rPr>
                <w:sz w:val="20"/>
                <w:szCs w:val="20"/>
                <w:color w:val="auto"/>
              </w:rPr>
            </w:pPr>
            <w:r>
              <w:rPr>
                <w:rFonts w:ascii="Arial" w:cs="Arial" w:eastAsia="Arial" w:hAnsi="Arial"/>
                <w:sz w:val="12"/>
                <w:szCs w:val="12"/>
                <w:color w:val="auto"/>
              </w:rPr>
              <w:t>Stock compensation expense</w:t>
            </w: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514</w:t>
            </w: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20" w:type="dxa"/>
            <w:vAlign w:val="bottom"/>
          </w:tcPr>
          <w:p>
            <w:pPr>
              <w:spacing w:after="0"/>
              <w:rPr>
                <w:sz w:val="20"/>
                <w:szCs w:val="20"/>
                <w:color w:val="auto"/>
              </w:rPr>
            </w:pPr>
            <w:r>
              <w:rPr>
                <w:rFonts w:ascii="Arial" w:cs="Arial" w:eastAsia="Arial" w:hAnsi="Arial"/>
                <w:sz w:val="12"/>
                <w:szCs w:val="12"/>
                <w:color w:val="auto"/>
              </w:rPr>
              <w:t>Issuance of common stock, upon RSUs release</w:t>
            </w:r>
          </w:p>
        </w:tc>
        <w:tc>
          <w:tcPr>
            <w:tcW w:w="660" w:type="dxa"/>
            <w:vAlign w:val="bottom"/>
          </w:tcPr>
          <w:p>
            <w:pPr>
              <w:jc w:val="right"/>
              <w:spacing w:after="0"/>
              <w:rPr>
                <w:sz w:val="20"/>
                <w:szCs w:val="20"/>
                <w:color w:val="auto"/>
              </w:rPr>
            </w:pPr>
            <w:r>
              <w:rPr>
                <w:rFonts w:ascii="Arial" w:cs="Arial" w:eastAsia="Arial" w:hAnsi="Arial"/>
                <w:sz w:val="12"/>
                <w:szCs w:val="12"/>
                <w:color w:val="auto"/>
              </w:rPr>
              <w:t>67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(1)</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520" w:type="dxa"/>
            <w:vAlign w:val="bottom"/>
            <w:shd w:val="clear" w:color="auto" w:fill="CFF0FC"/>
          </w:tcPr>
          <w:p>
            <w:pPr>
              <w:spacing w:after="0"/>
              <w:rPr>
                <w:sz w:val="20"/>
                <w:szCs w:val="20"/>
                <w:color w:val="auto"/>
              </w:rPr>
            </w:pPr>
            <w:r>
              <w:rPr>
                <w:rFonts w:ascii="Arial" w:cs="Arial" w:eastAsia="Arial" w:hAnsi="Arial"/>
                <w:sz w:val="12"/>
                <w:szCs w:val="12"/>
                <w:color w:val="auto"/>
              </w:rPr>
              <w:t>Shares withheld for taxes related to net share settlement of RSUs</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(6)</w:t>
            </w: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4"/>
        </w:trPr>
        <w:tc>
          <w:tcPr>
            <w:tcW w:w="4520" w:type="dxa"/>
            <w:vAlign w:val="bottom"/>
          </w:tcPr>
          <w:p>
            <w:pPr>
              <w:spacing w:after="0"/>
              <w:rPr>
                <w:sz w:val="20"/>
                <w:szCs w:val="20"/>
                <w:color w:val="auto"/>
              </w:rPr>
            </w:pPr>
            <w:r>
              <w:rPr>
                <w:rFonts w:ascii="Arial" w:cs="Arial" w:eastAsia="Arial" w:hAnsi="Arial"/>
                <w:sz w:val="12"/>
                <w:szCs w:val="12"/>
                <w:color w:val="auto"/>
              </w:rPr>
              <w:t>Cancellation of restricted stock</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520" w:type="dxa"/>
            <w:vAlign w:val="bottom"/>
            <w:shd w:val="clear" w:color="auto" w:fill="CFF0FC"/>
          </w:tcPr>
          <w:p>
            <w:pPr>
              <w:spacing w:after="0"/>
              <w:rPr>
                <w:sz w:val="20"/>
                <w:szCs w:val="20"/>
                <w:color w:val="auto"/>
              </w:rPr>
            </w:pPr>
            <w:r>
              <w:rPr>
                <w:rFonts w:ascii="Arial" w:cs="Arial" w:eastAsia="Arial" w:hAnsi="Arial"/>
                <w:sz w:val="12"/>
                <w:szCs w:val="12"/>
                <w:color w:val="auto"/>
              </w:rPr>
              <w:t>Deferred stock vested</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520" w:type="dxa"/>
            <w:vAlign w:val="bottom"/>
          </w:tcPr>
          <w:p>
            <w:pPr>
              <w:spacing w:after="0"/>
              <w:rPr>
                <w:sz w:val="20"/>
                <w:szCs w:val="20"/>
                <w:color w:val="auto"/>
              </w:rPr>
            </w:pPr>
            <w:r>
              <w:rPr>
                <w:rFonts w:ascii="Arial" w:cs="Arial" w:eastAsia="Arial" w:hAnsi="Arial"/>
                <w:sz w:val="12"/>
                <w:szCs w:val="12"/>
                <w:color w:val="auto"/>
              </w:rPr>
              <w:t>Accumulated other comprehensive income (loss):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Pension plan, net of taxes</w:t>
            </w: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520" w:type="dxa"/>
            <w:vAlign w:val="bottom"/>
          </w:tcPr>
          <w:p>
            <w:pPr>
              <w:ind w:left="160"/>
              <w:spacing w:after="0"/>
              <w:rPr>
                <w:sz w:val="20"/>
                <w:szCs w:val="20"/>
                <w:color w:val="auto"/>
              </w:rPr>
            </w:pPr>
            <w:r>
              <w:rPr>
                <w:rFonts w:ascii="Arial" w:cs="Arial" w:eastAsia="Arial" w:hAnsi="Arial"/>
                <w:sz w:val="12"/>
                <w:szCs w:val="12"/>
                <w:color w:val="auto"/>
              </w:rPr>
              <w:t>Foreign currency, net of taxes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(40)</w:t>
            </w: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54"/>
        </w:trPr>
        <w:tc>
          <w:tcPr>
            <w:tcW w:w="4520" w:type="dxa"/>
            <w:vAlign w:val="bottom"/>
            <w:shd w:val="clear" w:color="auto" w:fill="CFF0FC"/>
          </w:tcPr>
          <w:p>
            <w:pPr>
              <w:spacing w:after="0"/>
              <w:rPr>
                <w:sz w:val="20"/>
                <w:szCs w:val="20"/>
                <w:color w:val="auto"/>
              </w:rPr>
            </w:pPr>
            <w:r>
              <w:rPr>
                <w:rFonts w:ascii="Arial" w:cs="Arial" w:eastAsia="Arial" w:hAnsi="Arial"/>
                <w:sz w:val="12"/>
                <w:szCs w:val="12"/>
                <w:color w:val="auto"/>
              </w:rPr>
              <w:t>Net income</w:t>
            </w:r>
          </w:p>
        </w:tc>
        <w:tc>
          <w:tcPr>
            <w:tcW w:w="66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w:t>
            </w:r>
          </w:p>
        </w:tc>
        <w:tc>
          <w:tcPr>
            <w:tcW w:w="12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520" w:type="dxa"/>
            <w:vAlign w:val="bottom"/>
          </w:tcPr>
          <w:p>
            <w:pPr>
              <w:spacing w:after="0"/>
              <w:rPr>
                <w:sz w:val="20"/>
                <w:szCs w:val="20"/>
                <w:color w:val="auto"/>
              </w:rPr>
            </w:pPr>
            <w:r>
              <w:rPr>
                <w:rFonts w:ascii="Arial" w:cs="Arial" w:eastAsia="Arial" w:hAnsi="Arial"/>
                <w:sz w:val="12"/>
                <w:szCs w:val="12"/>
                <w:color w:val="auto"/>
              </w:rPr>
              <w:t>Balance at August 3, 2019</w:t>
            </w:r>
          </w:p>
        </w:tc>
        <w:tc>
          <w:tcPr>
            <w:tcW w:w="660" w:type="dxa"/>
            <w:vAlign w:val="bottom"/>
          </w:tcPr>
          <w:p>
            <w:pPr>
              <w:jc w:val="right"/>
              <w:spacing w:after="0"/>
              <w:rPr>
                <w:sz w:val="20"/>
                <w:szCs w:val="20"/>
                <w:color w:val="auto"/>
              </w:rPr>
            </w:pPr>
            <w:r>
              <w:rPr>
                <w:rFonts w:ascii="Arial" w:cs="Arial" w:eastAsia="Arial" w:hAnsi="Arial"/>
                <w:sz w:val="12"/>
                <w:szCs w:val="12"/>
                <w:color w:val="auto"/>
              </w:rPr>
              <w:t>62,668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627</w:t>
            </w:r>
          </w:p>
        </w:tc>
        <w:tc>
          <w:tcPr>
            <w:tcW w:w="3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311,706</w:t>
            </w:r>
          </w:p>
        </w:tc>
        <w:tc>
          <w:tcPr>
            <w:tcW w:w="22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(12,755)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(92,658)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(151,301)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(5,955)</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62,419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76" w:right="1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 OF CHANGES IN STOCKHOLDERS’ EQUITY</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0"/>
                <w:szCs w:val="10"/>
                <w:color w:val="auto"/>
                <w:w w:val="89"/>
              </w:rPr>
              <w:t>Accumulated</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right"/>
              <w:ind w:right="340"/>
              <w:spacing w:after="0" w:line="109" w:lineRule="exact"/>
              <w:rPr>
                <w:sz w:val="20"/>
                <w:szCs w:val="20"/>
                <w:color w:val="auto"/>
              </w:rPr>
            </w:pPr>
            <w:r>
              <w:rPr>
                <w:rFonts w:ascii="Arial" w:cs="Arial" w:eastAsia="Arial" w:hAnsi="Arial"/>
                <w:sz w:val="10"/>
                <w:szCs w:val="10"/>
                <w:color w:val="auto"/>
              </w:rPr>
              <w:t>Additional</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jc w:val="center"/>
              <w:ind w:right="280"/>
              <w:spacing w:after="0" w:line="109" w:lineRule="exact"/>
              <w:rPr>
                <w:sz w:val="20"/>
                <w:szCs w:val="20"/>
                <w:color w:val="auto"/>
              </w:rPr>
            </w:pPr>
            <w:r>
              <w:rPr>
                <w:rFonts w:ascii="Arial" w:cs="Arial" w:eastAsia="Arial" w:hAnsi="Arial"/>
                <w:sz w:val="10"/>
                <w:szCs w:val="10"/>
                <w:color w:val="auto"/>
                <w:w w:val="87"/>
              </w:rPr>
              <w:t>Other</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240" w:type="dxa"/>
            <w:vAlign w:val="bottom"/>
          </w:tcPr>
          <w:p>
            <w:pPr>
              <w:spacing w:after="0"/>
              <w:rPr>
                <w:sz w:val="9"/>
                <w:szCs w:val="9"/>
                <w:color w:val="auto"/>
              </w:rPr>
            </w:pPr>
          </w:p>
        </w:tc>
        <w:tc>
          <w:tcPr>
            <w:tcW w:w="1500" w:type="dxa"/>
            <w:vAlign w:val="bottom"/>
            <w:gridSpan w:val="6"/>
          </w:tcPr>
          <w:p>
            <w:pPr>
              <w:ind w:left="400"/>
              <w:spacing w:after="0" w:line="109" w:lineRule="exact"/>
              <w:rPr>
                <w:sz w:val="20"/>
                <w:szCs w:val="20"/>
                <w:color w:val="auto"/>
              </w:rPr>
            </w:pPr>
            <w:r>
              <w:rPr>
                <w:rFonts w:ascii="Arial" w:cs="Arial" w:eastAsia="Arial" w:hAnsi="Arial"/>
                <w:sz w:val="10"/>
                <w:szCs w:val="10"/>
                <w:color w:val="auto"/>
              </w:rPr>
              <w:t>Common Stock</w:t>
            </w:r>
          </w:p>
        </w:tc>
        <w:tc>
          <w:tcPr>
            <w:tcW w:w="120" w:type="dxa"/>
            <w:vAlign w:val="bottom"/>
          </w:tcPr>
          <w:p>
            <w:pPr>
              <w:spacing w:after="0"/>
              <w:rPr>
                <w:sz w:val="9"/>
                <w:szCs w:val="9"/>
                <w:color w:val="auto"/>
              </w:rPr>
            </w:pPr>
          </w:p>
        </w:tc>
        <w:tc>
          <w:tcPr>
            <w:tcW w:w="820" w:type="dxa"/>
            <w:vAlign w:val="bottom"/>
            <w:gridSpan w:val="2"/>
          </w:tcPr>
          <w:p>
            <w:pPr>
              <w:jc w:val="right"/>
              <w:ind w:right="400"/>
              <w:spacing w:after="0" w:line="109" w:lineRule="exact"/>
              <w:rPr>
                <w:sz w:val="20"/>
                <w:szCs w:val="20"/>
                <w:color w:val="auto"/>
              </w:rPr>
            </w:pPr>
            <w:r>
              <w:rPr>
                <w:rFonts w:ascii="Arial" w:cs="Arial" w:eastAsia="Arial" w:hAnsi="Arial"/>
                <w:sz w:val="10"/>
                <w:szCs w:val="10"/>
                <w:color w:val="auto"/>
              </w:rPr>
              <w:t>Paid-in</w:t>
            </w:r>
          </w:p>
        </w:tc>
        <w:tc>
          <w:tcPr>
            <w:tcW w:w="1760" w:type="dxa"/>
            <w:vAlign w:val="bottom"/>
            <w:gridSpan w:val="6"/>
          </w:tcPr>
          <w:p>
            <w:pPr>
              <w:jc w:val="right"/>
              <w:ind w:right="660"/>
              <w:spacing w:after="0" w:line="109" w:lineRule="exact"/>
              <w:rPr>
                <w:sz w:val="20"/>
                <w:szCs w:val="20"/>
                <w:color w:val="auto"/>
              </w:rPr>
            </w:pPr>
            <w:r>
              <w:rPr>
                <w:rFonts w:ascii="Arial" w:cs="Arial" w:eastAsia="Arial" w:hAnsi="Arial"/>
                <w:sz w:val="10"/>
                <w:szCs w:val="10"/>
                <w:color w:val="auto"/>
              </w:rPr>
              <w:t>Treasury Stock</w:t>
            </w:r>
          </w:p>
        </w:tc>
        <w:tc>
          <w:tcPr>
            <w:tcW w:w="120" w:type="dxa"/>
            <w:vAlign w:val="bottom"/>
          </w:tcPr>
          <w:p>
            <w:pPr>
              <w:spacing w:after="0"/>
              <w:rPr>
                <w:sz w:val="9"/>
                <w:szCs w:val="9"/>
                <w:color w:val="auto"/>
              </w:rPr>
            </w:pPr>
          </w:p>
        </w:tc>
        <w:tc>
          <w:tcPr>
            <w:tcW w:w="880" w:type="dxa"/>
            <w:vAlign w:val="bottom"/>
            <w:gridSpan w:val="2"/>
          </w:tcPr>
          <w:p>
            <w:pPr>
              <w:jc w:val="center"/>
              <w:ind w:right="220"/>
              <w:spacing w:after="0" w:line="109" w:lineRule="exact"/>
              <w:rPr>
                <w:sz w:val="20"/>
                <w:szCs w:val="20"/>
                <w:color w:val="auto"/>
              </w:rPr>
            </w:pPr>
            <w:r>
              <w:rPr>
                <w:rFonts w:ascii="Arial" w:cs="Arial" w:eastAsia="Arial" w:hAnsi="Arial"/>
                <w:sz w:val="10"/>
                <w:szCs w:val="10"/>
                <w:color w:val="auto"/>
                <w:w w:val="86"/>
              </w:rPr>
              <w:t>Accumulated</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jc w:val="center"/>
              <w:ind w:right="260"/>
              <w:spacing w:after="0" w:line="109" w:lineRule="exact"/>
              <w:rPr>
                <w:sz w:val="20"/>
                <w:szCs w:val="20"/>
                <w:color w:val="auto"/>
              </w:rPr>
            </w:pPr>
            <w:r>
              <w:rPr>
                <w:rFonts w:ascii="Arial" w:cs="Arial" w:eastAsia="Arial" w:hAnsi="Arial"/>
                <w:sz w:val="10"/>
                <w:szCs w:val="10"/>
                <w:color w:val="auto"/>
                <w:w w:val="85"/>
              </w:rPr>
              <w:t>Comprehensive</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240" w:type="dxa"/>
            <w:vAlign w:val="bottom"/>
            <w:tcBorders>
              <w:bottom w:val="single" w:sz="8" w:color="CFF0FC"/>
            </w:tcBorders>
          </w:tcPr>
          <w:p>
            <w:pPr>
              <w:spacing w:after="0"/>
              <w:rPr>
                <w:sz w:val="9"/>
                <w:szCs w:val="9"/>
                <w:color w:val="auto"/>
              </w:rPr>
            </w:pPr>
          </w:p>
        </w:tc>
        <w:tc>
          <w:tcPr>
            <w:tcW w:w="640" w:type="dxa"/>
            <w:vAlign w:val="bottom"/>
            <w:tcBorders>
              <w:bottom w:val="single" w:sz="8" w:color="auto"/>
            </w:tcBorders>
          </w:tcPr>
          <w:p>
            <w:pPr>
              <w:jc w:val="right"/>
              <w:ind w:right="142"/>
              <w:spacing w:after="0" w:line="113" w:lineRule="exact"/>
              <w:rPr>
                <w:sz w:val="20"/>
                <w:szCs w:val="20"/>
                <w:color w:val="auto"/>
              </w:rPr>
            </w:pPr>
            <w:r>
              <w:rPr>
                <w:rFonts w:ascii="Arial" w:cs="Arial" w:eastAsia="Arial" w:hAnsi="Arial"/>
                <w:sz w:val="10"/>
                <w:szCs w:val="10"/>
                <w:color w:val="auto"/>
              </w:rPr>
              <w:t>Shares</w:t>
            </w:r>
          </w:p>
        </w:tc>
        <w:tc>
          <w:tcPr>
            <w:tcW w:w="80" w:type="dxa"/>
            <w:vAlign w:val="bottom"/>
            <w:tcBorders>
              <w:bottom w:val="single" w:sz="8" w:color="CFF0FC"/>
            </w:tcBorders>
          </w:tcPr>
          <w:p>
            <w:pPr>
              <w:spacing w:after="0"/>
              <w:rPr>
                <w:sz w:val="9"/>
                <w:szCs w:val="9"/>
                <w:color w:val="auto"/>
              </w:rPr>
            </w:pPr>
          </w:p>
        </w:tc>
        <w:tc>
          <w:tcPr>
            <w:tcW w:w="4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81"/>
              <w:spacing w:after="0" w:line="113" w:lineRule="exact"/>
              <w:rPr>
                <w:sz w:val="20"/>
                <w:szCs w:val="20"/>
                <w:color w:val="auto"/>
              </w:rPr>
            </w:pPr>
            <w:r>
              <w:rPr>
                <w:rFonts w:ascii="Arial" w:cs="Arial" w:eastAsia="Arial" w:hAnsi="Arial"/>
                <w:sz w:val="10"/>
                <w:szCs w:val="10"/>
                <w:color w:val="auto"/>
                <w:w w:val="96"/>
              </w:rPr>
              <w:t>Amounts</w:t>
            </w:r>
          </w:p>
        </w:tc>
        <w:tc>
          <w:tcPr>
            <w:tcW w:w="10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02"/>
              <w:spacing w:after="0" w:line="113" w:lineRule="exact"/>
              <w:rPr>
                <w:sz w:val="20"/>
                <w:szCs w:val="20"/>
                <w:color w:val="auto"/>
              </w:rPr>
            </w:pPr>
            <w:r>
              <w:rPr>
                <w:rFonts w:ascii="Arial" w:cs="Arial" w:eastAsia="Arial" w:hAnsi="Arial"/>
                <w:sz w:val="10"/>
                <w:szCs w:val="10"/>
                <w:color w:val="auto"/>
              </w:rPr>
              <w:t>Capital</w:t>
            </w:r>
          </w:p>
        </w:tc>
        <w:tc>
          <w:tcPr>
            <w:tcW w:w="140" w:type="dxa"/>
            <w:vAlign w:val="bottom"/>
            <w:tcBorders>
              <w:bottom w:val="single" w:sz="8" w:color="CFF0FC"/>
            </w:tcBorders>
          </w:tcPr>
          <w:p>
            <w:pPr>
              <w:spacing w:after="0"/>
              <w:rPr>
                <w:sz w:val="9"/>
                <w:szCs w:val="9"/>
                <w:color w:val="auto"/>
              </w:rPr>
            </w:pPr>
          </w:p>
        </w:tc>
        <w:tc>
          <w:tcPr>
            <w:tcW w:w="720" w:type="dxa"/>
            <w:vAlign w:val="bottom"/>
            <w:tcBorders>
              <w:bottom w:val="single" w:sz="8" w:color="auto"/>
            </w:tcBorders>
          </w:tcPr>
          <w:p>
            <w:pPr>
              <w:ind w:left="220"/>
              <w:spacing w:after="0" w:line="113" w:lineRule="exact"/>
              <w:rPr>
                <w:sz w:val="20"/>
                <w:szCs w:val="20"/>
                <w:color w:val="auto"/>
              </w:rPr>
            </w:pPr>
            <w:r>
              <w:rPr>
                <w:rFonts w:ascii="Arial" w:cs="Arial" w:eastAsia="Arial" w:hAnsi="Arial"/>
                <w:sz w:val="10"/>
                <w:szCs w:val="10"/>
                <w:color w:val="auto"/>
              </w:rPr>
              <w:t>Shares</w:t>
            </w:r>
          </w:p>
        </w:tc>
        <w:tc>
          <w:tcPr>
            <w:tcW w:w="80" w:type="dxa"/>
            <w:vAlign w:val="bottom"/>
            <w:tcBorders>
              <w:bottom w:val="single" w:sz="8" w:color="CFF0FC"/>
            </w:tcBorders>
          </w:tcPr>
          <w:p>
            <w:pPr>
              <w:spacing w:after="0"/>
              <w:rPr>
                <w:sz w:val="9"/>
                <w:szCs w:val="9"/>
                <w:color w:val="auto"/>
              </w:rPr>
            </w:pPr>
          </w:p>
        </w:tc>
        <w:tc>
          <w:tcPr>
            <w:tcW w:w="4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63"/>
              <w:spacing w:after="0" w:line="113" w:lineRule="exact"/>
              <w:rPr>
                <w:sz w:val="20"/>
                <w:szCs w:val="20"/>
                <w:color w:val="auto"/>
              </w:rPr>
            </w:pPr>
            <w:r>
              <w:rPr>
                <w:rFonts w:ascii="Arial" w:cs="Arial" w:eastAsia="Arial" w:hAnsi="Arial"/>
                <w:sz w:val="10"/>
                <w:szCs w:val="10"/>
                <w:color w:val="auto"/>
              </w:rPr>
              <w:t>Amounts</w:t>
            </w:r>
          </w:p>
        </w:tc>
        <w:tc>
          <w:tcPr>
            <w:tcW w:w="14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center"/>
              <w:ind w:right="83"/>
              <w:spacing w:after="0" w:line="113" w:lineRule="exact"/>
              <w:rPr>
                <w:sz w:val="20"/>
                <w:szCs w:val="20"/>
                <w:color w:val="auto"/>
              </w:rPr>
            </w:pPr>
            <w:r>
              <w:rPr>
                <w:rFonts w:ascii="Arial" w:cs="Arial" w:eastAsia="Arial" w:hAnsi="Arial"/>
                <w:sz w:val="10"/>
                <w:szCs w:val="10"/>
                <w:color w:val="auto"/>
                <w:w w:val="93"/>
              </w:rPr>
              <w:t>Deficit</w:t>
            </w:r>
          </w:p>
        </w:tc>
        <w:tc>
          <w:tcPr>
            <w:tcW w:w="80" w:type="dxa"/>
            <w:vAlign w:val="bottom"/>
            <w:tcBorders>
              <w:bottom w:val="single" w:sz="8" w:color="CFF0FC"/>
            </w:tcBorders>
          </w:tcPr>
          <w:p>
            <w:pPr>
              <w:spacing w:after="0"/>
              <w:rPr>
                <w:sz w:val="9"/>
                <w:szCs w:val="9"/>
                <w:color w:val="auto"/>
              </w:rPr>
            </w:pPr>
          </w:p>
        </w:tc>
        <w:tc>
          <w:tcPr>
            <w:tcW w:w="4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center"/>
              <w:ind w:right="84"/>
              <w:spacing w:after="0" w:line="113" w:lineRule="exact"/>
              <w:rPr>
                <w:sz w:val="20"/>
                <w:szCs w:val="20"/>
                <w:color w:val="auto"/>
              </w:rPr>
            </w:pPr>
            <w:r>
              <w:rPr>
                <w:rFonts w:ascii="Arial" w:cs="Arial" w:eastAsia="Arial" w:hAnsi="Arial"/>
                <w:sz w:val="10"/>
                <w:szCs w:val="10"/>
                <w:color w:val="auto"/>
                <w:w w:val="88"/>
              </w:rPr>
              <w:t>Income (Loss)</w:t>
            </w:r>
          </w:p>
        </w:tc>
        <w:tc>
          <w:tcPr>
            <w:tcW w:w="1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00"/>
              <w:spacing w:after="0" w:line="113" w:lineRule="exact"/>
              <w:rPr>
                <w:sz w:val="20"/>
                <w:szCs w:val="20"/>
                <w:color w:val="auto"/>
              </w:rPr>
            </w:pPr>
            <w:r>
              <w:rPr>
                <w:rFonts w:ascii="Arial" w:cs="Arial" w:eastAsia="Arial" w:hAnsi="Arial"/>
                <w:sz w:val="10"/>
                <w:szCs w:val="10"/>
                <w:color w:val="auto"/>
              </w:rPr>
              <w:t>Total</w:t>
            </w:r>
          </w:p>
        </w:tc>
        <w:tc>
          <w:tcPr>
            <w:tcW w:w="8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4240" w:type="dxa"/>
            <w:vAlign w:val="bottom"/>
            <w:shd w:val="clear" w:color="auto" w:fill="CFF0FC"/>
          </w:tcPr>
          <w:p>
            <w:pPr>
              <w:spacing w:after="0"/>
              <w:rPr>
                <w:sz w:val="20"/>
                <w:szCs w:val="20"/>
                <w:color w:val="auto"/>
              </w:rPr>
            </w:pPr>
            <w:r>
              <w:rPr>
                <w:rFonts w:ascii="Arial" w:cs="Arial" w:eastAsia="Arial" w:hAnsi="Arial"/>
                <w:sz w:val="12"/>
                <w:szCs w:val="12"/>
                <w:color w:val="auto"/>
              </w:rPr>
              <w:t>Balance at February 3, 2018</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61,486</w:t>
            </w:r>
          </w:p>
        </w:tc>
        <w:tc>
          <w:tcPr>
            <w:tcW w:w="80" w:type="dxa"/>
            <w:vAlign w:val="bottom"/>
            <w:shd w:val="clear" w:color="auto" w:fill="CFF0FC"/>
          </w:tcPr>
          <w:p>
            <w:pPr>
              <w:spacing w:after="0"/>
              <w:rPr>
                <w:sz w:val="12"/>
                <w:szCs w:val="12"/>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307,557</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(12,755)</w:t>
            </w: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(92,658)</w:t>
            </w: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(139,285)</w:t>
            </w: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(6,243)</w:t>
            </w: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69,986</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240" w:type="dxa"/>
            <w:vAlign w:val="bottom"/>
          </w:tcPr>
          <w:p>
            <w:pPr>
              <w:spacing w:after="0"/>
              <w:rPr>
                <w:sz w:val="20"/>
                <w:szCs w:val="20"/>
                <w:color w:val="auto"/>
              </w:rPr>
            </w:pPr>
            <w:r>
              <w:rPr>
                <w:rFonts w:ascii="Arial" w:cs="Arial" w:eastAsia="Arial" w:hAnsi="Arial"/>
                <w:sz w:val="12"/>
                <w:szCs w:val="12"/>
                <w:color w:val="auto"/>
              </w:rPr>
              <w:t>Board of directors compensation</w:t>
            </w:r>
          </w:p>
        </w:tc>
        <w:tc>
          <w:tcPr>
            <w:tcW w:w="640" w:type="dxa"/>
            <w:vAlign w:val="bottom"/>
          </w:tcPr>
          <w:p>
            <w:pPr>
              <w:jc w:val="right"/>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140</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40" w:type="dxa"/>
            <w:vAlign w:val="bottom"/>
            <w:shd w:val="clear" w:color="auto" w:fill="CFF0FC"/>
          </w:tcPr>
          <w:p>
            <w:pPr>
              <w:spacing w:after="0"/>
              <w:rPr>
                <w:sz w:val="20"/>
                <w:szCs w:val="20"/>
                <w:color w:val="auto"/>
              </w:rPr>
            </w:pPr>
            <w:r>
              <w:rPr>
                <w:rFonts w:ascii="Arial" w:cs="Arial" w:eastAsia="Arial" w:hAnsi="Arial"/>
                <w:sz w:val="12"/>
                <w:szCs w:val="12"/>
                <w:color w:val="auto"/>
              </w:rPr>
              <w:t>Stock compensation expense</w:t>
            </w: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407</w:t>
            </w: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240" w:type="dxa"/>
            <w:vAlign w:val="bottom"/>
          </w:tcPr>
          <w:p>
            <w:pPr>
              <w:spacing w:after="0"/>
              <w:rPr>
                <w:sz w:val="20"/>
                <w:szCs w:val="20"/>
                <w:color w:val="auto"/>
              </w:rPr>
            </w:pPr>
            <w:r>
              <w:rPr>
                <w:rFonts w:ascii="Arial" w:cs="Arial" w:eastAsia="Arial" w:hAnsi="Arial"/>
                <w:sz w:val="12"/>
                <w:szCs w:val="12"/>
                <w:color w:val="auto"/>
              </w:rPr>
              <w:t>Restricted stock units (RSUs) granted for achievement of performance-based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240" w:type="dxa"/>
            <w:vAlign w:val="bottom"/>
          </w:tcPr>
          <w:p>
            <w:pPr>
              <w:spacing w:after="0"/>
              <w:rPr>
                <w:sz w:val="20"/>
                <w:szCs w:val="20"/>
                <w:color w:val="auto"/>
              </w:rPr>
            </w:pPr>
            <w:r>
              <w:rPr>
                <w:rFonts w:ascii="Arial" w:cs="Arial" w:eastAsia="Arial" w:hAnsi="Arial"/>
                <w:sz w:val="12"/>
                <w:szCs w:val="12"/>
                <w:color w:val="auto"/>
              </w:rPr>
              <w:t>compensation, reclassified from liability to equity</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381</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4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upon RSUs release</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165</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w:t>
            </w: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240" w:type="dxa"/>
            <w:vAlign w:val="bottom"/>
          </w:tcPr>
          <w:p>
            <w:pPr>
              <w:spacing w:after="0"/>
              <w:rPr>
                <w:sz w:val="20"/>
                <w:szCs w:val="20"/>
                <w:color w:val="auto"/>
              </w:rPr>
            </w:pPr>
            <w:r>
              <w:rPr>
                <w:rFonts w:ascii="Arial" w:cs="Arial" w:eastAsia="Arial" w:hAnsi="Arial"/>
                <w:sz w:val="12"/>
                <w:szCs w:val="12"/>
                <w:color w:val="auto"/>
              </w:rPr>
              <w:t>Issuance of restricted stock</w:t>
            </w:r>
          </w:p>
        </w:tc>
        <w:tc>
          <w:tcPr>
            <w:tcW w:w="640" w:type="dxa"/>
            <w:vAlign w:val="bottom"/>
          </w:tcPr>
          <w:p>
            <w:pPr>
              <w:jc w:val="right"/>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240" w:type="dxa"/>
            <w:vAlign w:val="bottom"/>
            <w:shd w:val="clear" w:color="auto" w:fill="CFF0FC"/>
          </w:tcPr>
          <w:p>
            <w:pPr>
              <w:spacing w:after="0"/>
              <w:rPr>
                <w:sz w:val="20"/>
                <w:szCs w:val="20"/>
                <w:color w:val="auto"/>
              </w:rPr>
            </w:pPr>
            <w:r>
              <w:rPr>
                <w:rFonts w:ascii="Arial" w:cs="Arial" w:eastAsia="Arial" w:hAnsi="Arial"/>
                <w:sz w:val="12"/>
                <w:szCs w:val="12"/>
                <w:color w:val="auto"/>
              </w:rPr>
              <w:t>Deferred stock vested</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240" w:type="dxa"/>
            <w:vAlign w:val="bottom"/>
          </w:tcPr>
          <w:p>
            <w:pPr>
              <w:spacing w:after="0"/>
              <w:rPr>
                <w:sz w:val="20"/>
                <w:szCs w:val="20"/>
                <w:color w:val="auto"/>
              </w:rPr>
            </w:pPr>
            <w:r>
              <w:rPr>
                <w:rFonts w:ascii="Arial" w:cs="Arial" w:eastAsia="Arial" w:hAnsi="Arial"/>
                <w:sz w:val="12"/>
                <w:szCs w:val="12"/>
                <w:color w:val="auto"/>
              </w:rPr>
              <w:t>Accumulated other comprehensive income (loss):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Pension plan, net of taxes</w:t>
            </w: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40" w:type="dxa"/>
            <w:vAlign w:val="bottom"/>
          </w:tcPr>
          <w:p>
            <w:pPr>
              <w:ind w:left="160"/>
              <w:spacing w:after="0"/>
              <w:rPr>
                <w:sz w:val="20"/>
                <w:szCs w:val="20"/>
                <w:color w:val="auto"/>
              </w:rPr>
            </w:pPr>
            <w:r>
              <w:rPr>
                <w:rFonts w:ascii="Arial" w:cs="Arial" w:eastAsia="Arial" w:hAnsi="Arial"/>
                <w:sz w:val="12"/>
                <w:szCs w:val="12"/>
                <w:color w:val="auto"/>
              </w:rPr>
              <w:t>Foreign currency, net of taxes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(126)</w:t>
            </w:r>
          </w:p>
        </w:tc>
        <w:tc>
          <w:tcPr>
            <w:tcW w:w="1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154"/>
        </w:trPr>
        <w:tc>
          <w:tcPr>
            <w:tcW w:w="424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(3,110)</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(3,110)</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2"/>
                <w:szCs w:val="12"/>
                <w:color w:val="auto"/>
              </w:rPr>
              <w:t>Balance at May 5, 2018</w:t>
            </w: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vMerge w:val="continue"/>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61,721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617</w:t>
            </w:r>
          </w:p>
        </w:tc>
        <w:tc>
          <w:tcPr>
            <w:tcW w:w="100" w:type="dxa"/>
            <w:vAlign w:val="bottom"/>
          </w:tcPr>
          <w:p>
            <w:pPr>
              <w:spacing w:after="0"/>
              <w:rPr>
                <w:sz w:val="12"/>
                <w:szCs w:val="12"/>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308,483</w:t>
            </w:r>
          </w:p>
        </w:tc>
        <w:tc>
          <w:tcPr>
            <w:tcW w:w="14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(12,755)</w:t>
            </w:r>
          </w:p>
        </w:tc>
        <w:tc>
          <w:tcPr>
            <w:tcW w:w="1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(92,658)</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2"/>
                <w:szCs w:val="12"/>
                <w:color w:val="auto"/>
              </w:rPr>
              <w:t>(142,395)</w:t>
            </w:r>
          </w:p>
        </w:tc>
        <w:tc>
          <w:tcPr>
            <w:tcW w:w="1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(6,240)</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67,807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240" w:type="dxa"/>
            <w:vAlign w:val="bottom"/>
            <w:shd w:val="clear" w:color="auto" w:fill="CFF0FC"/>
          </w:tcPr>
          <w:p>
            <w:pPr>
              <w:spacing w:after="0"/>
              <w:rPr>
                <w:sz w:val="20"/>
                <w:szCs w:val="20"/>
                <w:color w:val="auto"/>
              </w:rPr>
            </w:pPr>
            <w:r>
              <w:rPr>
                <w:rFonts w:ascii="Arial" w:cs="Arial" w:eastAsia="Arial" w:hAnsi="Arial"/>
                <w:sz w:val="12"/>
                <w:szCs w:val="12"/>
                <w:color w:val="auto"/>
              </w:rPr>
              <w:t>Board of directors compensation</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w:t>
            </w: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40" w:type="dxa"/>
            <w:vAlign w:val="bottom"/>
          </w:tcPr>
          <w:p>
            <w:pPr>
              <w:spacing w:after="0"/>
              <w:rPr>
                <w:sz w:val="20"/>
                <w:szCs w:val="20"/>
                <w:color w:val="auto"/>
              </w:rPr>
            </w:pPr>
            <w:r>
              <w:rPr>
                <w:rFonts w:ascii="Arial" w:cs="Arial" w:eastAsia="Arial" w:hAnsi="Arial"/>
                <w:sz w:val="12"/>
                <w:szCs w:val="12"/>
                <w:color w:val="auto"/>
              </w:rPr>
              <w:t>Stock compensation expense</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382</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382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4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upon RSUs release</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157</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w:t>
            </w: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240" w:type="dxa"/>
            <w:vAlign w:val="bottom"/>
          </w:tcPr>
          <w:p>
            <w:pPr>
              <w:spacing w:after="0"/>
              <w:rPr>
                <w:sz w:val="20"/>
                <w:szCs w:val="20"/>
                <w:color w:val="auto"/>
              </w:rPr>
            </w:pPr>
            <w:r>
              <w:rPr>
                <w:rFonts w:ascii="Arial" w:cs="Arial" w:eastAsia="Arial" w:hAnsi="Arial"/>
                <w:sz w:val="12"/>
                <w:szCs w:val="12"/>
                <w:color w:val="auto"/>
              </w:rPr>
              <w:t>Cancellation of restricted stock</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(33)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240" w:type="dxa"/>
            <w:vAlign w:val="bottom"/>
            <w:shd w:val="clear" w:color="auto" w:fill="CFF0FC"/>
          </w:tcPr>
          <w:p>
            <w:pPr>
              <w:spacing w:after="0"/>
              <w:rPr>
                <w:sz w:val="20"/>
                <w:szCs w:val="20"/>
                <w:color w:val="auto"/>
              </w:rPr>
            </w:pPr>
            <w:r>
              <w:rPr>
                <w:rFonts w:ascii="Arial" w:cs="Arial" w:eastAsia="Arial" w:hAnsi="Arial"/>
                <w:sz w:val="12"/>
                <w:szCs w:val="12"/>
                <w:color w:val="auto"/>
              </w:rPr>
              <w:t>Deferred stock vested</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240" w:type="dxa"/>
            <w:vAlign w:val="bottom"/>
          </w:tcPr>
          <w:p>
            <w:pPr>
              <w:spacing w:after="0"/>
              <w:rPr>
                <w:sz w:val="20"/>
                <w:szCs w:val="20"/>
                <w:color w:val="auto"/>
              </w:rPr>
            </w:pPr>
            <w:r>
              <w:rPr>
                <w:rFonts w:ascii="Arial" w:cs="Arial" w:eastAsia="Arial" w:hAnsi="Arial"/>
                <w:sz w:val="12"/>
                <w:szCs w:val="12"/>
                <w:color w:val="auto"/>
              </w:rPr>
              <w:t>Accumulated other comprehensive income (loss):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Pension plan, net of taxes</w:t>
            </w: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40" w:type="dxa"/>
            <w:vAlign w:val="bottom"/>
          </w:tcPr>
          <w:p>
            <w:pPr>
              <w:ind w:left="160"/>
              <w:spacing w:after="0"/>
              <w:rPr>
                <w:sz w:val="20"/>
                <w:szCs w:val="20"/>
                <w:color w:val="auto"/>
              </w:rPr>
            </w:pPr>
            <w:r>
              <w:rPr>
                <w:rFonts w:ascii="Arial" w:cs="Arial" w:eastAsia="Arial" w:hAnsi="Arial"/>
                <w:sz w:val="12"/>
                <w:szCs w:val="12"/>
                <w:color w:val="auto"/>
              </w:rPr>
              <w:t>Foreign currency, net of taxes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(75)</w:t>
            </w:r>
          </w:p>
        </w:tc>
        <w:tc>
          <w:tcPr>
            <w:tcW w:w="16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54"/>
        </w:trPr>
        <w:tc>
          <w:tcPr>
            <w:tcW w:w="424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(1,185)</w:t>
            </w:r>
          </w:p>
        </w:tc>
        <w:tc>
          <w:tcPr>
            <w:tcW w:w="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(1,185)</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2"/>
                <w:szCs w:val="12"/>
                <w:color w:val="auto"/>
              </w:rPr>
              <w:t>Balance at August 4, 2018</w:t>
            </w: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vMerge w:val="continue"/>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61,905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619</w:t>
            </w:r>
          </w:p>
        </w:tc>
        <w:tc>
          <w:tcPr>
            <w:tcW w:w="100" w:type="dxa"/>
            <w:vAlign w:val="bottom"/>
          </w:tcPr>
          <w:p>
            <w:pPr>
              <w:spacing w:after="0"/>
              <w:rPr>
                <w:sz w:val="12"/>
                <w:szCs w:val="12"/>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309,007</w:t>
            </w:r>
          </w:p>
        </w:tc>
        <w:tc>
          <w:tcPr>
            <w:tcW w:w="140" w:type="dxa"/>
            <w:vAlign w:val="bottom"/>
          </w:tcPr>
          <w:p>
            <w:pPr>
              <w:spacing w:after="0"/>
              <w:rPr>
                <w:sz w:val="12"/>
                <w:szCs w:val="1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(12,755)</w:t>
            </w:r>
          </w:p>
        </w:tc>
        <w:tc>
          <w:tcPr>
            <w:tcW w:w="1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(92,658)</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2"/>
                <w:szCs w:val="12"/>
                <w:color w:val="auto"/>
              </w:rPr>
              <w:t>(143,580)</w:t>
            </w:r>
          </w:p>
        </w:tc>
        <w:tc>
          <w:tcPr>
            <w:tcW w:w="1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(6,199)</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67,189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2"/>
          <w:szCs w:val="12"/>
          <w:color w:val="auto"/>
        </w:rPr>
        <w:t>DESTINATION XL GROUP,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7880" w:type="dxa"/>
            <w:vAlign w:val="bottom"/>
          </w:tcPr>
          <w:p>
            <w:pPr>
              <w:spacing w:after="0"/>
              <w:rPr>
                <w:sz w:val="10"/>
                <w:szCs w:val="10"/>
                <w:color w:val="auto"/>
              </w:rPr>
            </w:pPr>
          </w:p>
        </w:tc>
        <w:tc>
          <w:tcPr>
            <w:tcW w:w="1160" w:type="dxa"/>
            <w:vAlign w:val="bottom"/>
            <w:vMerge w:val="restart"/>
          </w:tcPr>
          <w:p>
            <w:pPr>
              <w:jc w:val="right"/>
              <w:ind w:right="11"/>
              <w:spacing w:after="0"/>
              <w:rPr>
                <w:sz w:val="20"/>
                <w:szCs w:val="20"/>
                <w:color w:val="auto"/>
              </w:rPr>
            </w:pPr>
            <w:r>
              <w:rPr>
                <w:rFonts w:ascii="Arial" w:cs="Arial" w:eastAsia="Arial" w:hAnsi="Arial"/>
                <w:sz w:val="10"/>
                <w:szCs w:val="10"/>
                <w:color w:val="auto"/>
              </w:rPr>
              <w:t>August 3, 2019</w:t>
            </w:r>
          </w:p>
        </w:tc>
        <w:tc>
          <w:tcPr>
            <w:tcW w:w="1160" w:type="dxa"/>
            <w:vAlign w:val="bottom"/>
            <w:gridSpan w:val="3"/>
          </w:tcPr>
          <w:p>
            <w:pPr>
              <w:jc w:val="right"/>
              <w:ind w:right="31"/>
              <w:spacing w:after="0"/>
              <w:rPr>
                <w:sz w:val="20"/>
                <w:szCs w:val="20"/>
                <w:color w:val="auto"/>
              </w:rPr>
            </w:pPr>
            <w:r>
              <w:rPr>
                <w:rFonts w:ascii="Arial" w:cs="Arial" w:eastAsia="Arial" w:hAnsi="Arial"/>
                <w:sz w:val="10"/>
                <w:szCs w:val="10"/>
                <w:color w:val="auto"/>
                <w:w w:val="91"/>
              </w:rPr>
              <w:t>For the Six Months Ended</w:t>
            </w:r>
          </w:p>
        </w:tc>
        <w:tc>
          <w:tcPr>
            <w:tcW w:w="1280" w:type="dxa"/>
            <w:vAlign w:val="bottom"/>
            <w:gridSpan w:val="2"/>
            <w:vMerge w:val="restart"/>
          </w:tcPr>
          <w:p>
            <w:pPr>
              <w:jc w:val="right"/>
              <w:ind w:right="620"/>
              <w:spacing w:after="0"/>
              <w:rPr>
                <w:sz w:val="20"/>
                <w:szCs w:val="20"/>
                <w:color w:val="auto"/>
              </w:rPr>
            </w:pPr>
            <w:r>
              <w:rPr>
                <w:rFonts w:ascii="Arial" w:cs="Arial" w:eastAsia="Arial" w:hAnsi="Arial"/>
                <w:sz w:val="10"/>
                <w:szCs w:val="10"/>
                <w:color w:val="auto"/>
                <w:w w:val="95"/>
              </w:rPr>
              <w:t>August 4, 2018</w:t>
            </w:r>
          </w:p>
        </w:tc>
        <w:tc>
          <w:tcPr>
            <w:tcW w:w="0" w:type="dxa"/>
            <w:vAlign w:val="bottom"/>
          </w:tcPr>
          <w:p>
            <w:pPr>
              <w:spacing w:after="0"/>
              <w:rPr>
                <w:sz w:val="1"/>
                <w:szCs w:val="1"/>
                <w:color w:val="auto"/>
              </w:rPr>
            </w:pPr>
          </w:p>
        </w:tc>
      </w:tr>
      <w:tr>
        <w:trPr>
          <w:trHeight w:val="95"/>
        </w:trPr>
        <w:tc>
          <w:tcPr>
            <w:tcW w:w="788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7880" w:type="dxa"/>
            <w:vAlign w:val="bottom"/>
          </w:tcPr>
          <w:p>
            <w:pPr>
              <w:spacing w:after="0"/>
              <w:rPr>
                <w:sz w:val="9"/>
                <w:szCs w:val="9"/>
                <w:color w:val="auto"/>
              </w:rPr>
            </w:pPr>
          </w:p>
        </w:tc>
        <w:tc>
          <w:tcPr>
            <w:tcW w:w="1160" w:type="dxa"/>
            <w:vAlign w:val="bottom"/>
          </w:tcPr>
          <w:p>
            <w:pPr>
              <w:jc w:val="right"/>
              <w:ind w:right="51"/>
              <w:spacing w:after="0" w:line="113" w:lineRule="exact"/>
              <w:rPr>
                <w:sz w:val="20"/>
                <w:szCs w:val="20"/>
                <w:color w:val="auto"/>
              </w:rPr>
            </w:pPr>
            <w:r>
              <w:rPr>
                <w:rFonts w:ascii="Arial" w:cs="Arial" w:eastAsia="Arial" w:hAnsi="Arial"/>
                <w:sz w:val="10"/>
                <w:szCs w:val="10"/>
                <w:color w:val="auto"/>
              </w:rPr>
              <w:t>(Fiscal 2019)</w:t>
            </w: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gridSpan w:val="2"/>
          </w:tcPr>
          <w:p>
            <w:pPr>
              <w:jc w:val="right"/>
              <w:ind w:right="660"/>
              <w:spacing w:after="0" w:line="113" w:lineRule="exact"/>
              <w:rPr>
                <w:sz w:val="20"/>
                <w:szCs w:val="20"/>
                <w:color w:val="auto"/>
              </w:rPr>
            </w:pPr>
            <w:r>
              <w:rPr>
                <w:rFonts w:ascii="Arial" w:cs="Arial" w:eastAsia="Arial" w:hAnsi="Arial"/>
                <w:sz w:val="10"/>
                <w:szCs w:val="10"/>
                <w:color w:val="auto"/>
              </w:rPr>
              <w:t>(Fiscal 2018)</w:t>
            </w:r>
          </w:p>
        </w:tc>
        <w:tc>
          <w:tcPr>
            <w:tcW w:w="0" w:type="dxa"/>
            <w:vAlign w:val="bottom"/>
          </w:tcPr>
          <w:p>
            <w:pPr>
              <w:spacing w:after="0"/>
              <w:rPr>
                <w:sz w:val="1"/>
                <w:szCs w:val="1"/>
                <w:color w:val="auto"/>
              </w:rPr>
            </w:pPr>
          </w:p>
        </w:tc>
      </w:tr>
      <w:tr>
        <w:trPr>
          <w:trHeight w:val="14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Cash flows from operating activities:</w:t>
            </w:r>
          </w:p>
        </w:tc>
        <w:tc>
          <w:tcPr>
            <w:tcW w:w="116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880" w:type="dxa"/>
            <w:vAlign w:val="bottom"/>
          </w:tcPr>
          <w:p>
            <w:pPr>
              <w:ind w:left="160"/>
              <w:spacing w:after="0"/>
              <w:rPr>
                <w:sz w:val="20"/>
                <w:szCs w:val="20"/>
                <w:color w:val="auto"/>
              </w:rPr>
            </w:pPr>
            <w:r>
              <w:rPr>
                <w:rFonts w:ascii="Arial" w:cs="Arial" w:eastAsia="Arial" w:hAnsi="Arial"/>
                <w:sz w:val="11"/>
                <w:szCs w:val="11"/>
                <w:color w:val="auto"/>
              </w:rPr>
              <w:t>Net loss</w:t>
            </w:r>
          </w:p>
        </w:tc>
        <w:tc>
          <w:tcPr>
            <w:tcW w:w="1160" w:type="dxa"/>
            <w:vAlign w:val="bottom"/>
          </w:tcPr>
          <w:p>
            <w:pPr>
              <w:jc w:val="right"/>
              <w:ind w:right="105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(3,043)</w:t>
            </w:r>
          </w:p>
        </w:tc>
        <w:tc>
          <w:tcPr>
            <w:tcW w:w="440" w:type="dxa"/>
            <w:vAlign w:val="bottom"/>
          </w:tcPr>
          <w:p>
            <w:pPr>
              <w:jc w:val="right"/>
              <w:ind w:right="331"/>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(4,295)</w:t>
            </w:r>
          </w:p>
        </w:tc>
        <w:tc>
          <w:tcPr>
            <w:tcW w:w="0" w:type="dxa"/>
            <w:vAlign w:val="bottom"/>
          </w:tcPr>
          <w:p>
            <w:pPr>
              <w:spacing w:after="0"/>
              <w:rPr>
                <w:sz w:val="1"/>
                <w:szCs w:val="1"/>
                <w:color w:val="auto"/>
              </w:rPr>
            </w:pPr>
          </w:p>
        </w:tc>
      </w:tr>
      <w:tr>
        <w:trPr>
          <w:trHeight w:val="147"/>
        </w:trPr>
        <w:tc>
          <w:tcPr>
            <w:tcW w:w="7880" w:type="dxa"/>
            <w:vAlign w:val="bottom"/>
            <w:shd w:val="clear" w:color="auto" w:fill="CFF0FC"/>
          </w:tcPr>
          <w:p>
            <w:pPr>
              <w:ind w:left="160"/>
              <w:spacing w:after="0"/>
              <w:rPr>
                <w:sz w:val="20"/>
                <w:szCs w:val="20"/>
                <w:color w:val="auto"/>
              </w:rPr>
            </w:pPr>
            <w:r>
              <w:rPr>
                <w:rFonts w:ascii="Arial" w:cs="Arial" w:eastAsia="Arial" w:hAnsi="Arial"/>
                <w:sz w:val="11"/>
                <w:szCs w:val="11"/>
                <w:color w:val="auto"/>
              </w:rPr>
              <w:t>Adjustments to reconcile net loss to net cash provided by operating activities:</w:t>
            </w:r>
          </w:p>
        </w:tc>
        <w:tc>
          <w:tcPr>
            <w:tcW w:w="1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880" w:type="dxa"/>
            <w:vAlign w:val="bottom"/>
          </w:tcPr>
          <w:p>
            <w:pPr>
              <w:ind w:left="320"/>
              <w:spacing w:after="0"/>
              <w:rPr>
                <w:sz w:val="20"/>
                <w:szCs w:val="20"/>
                <w:color w:val="auto"/>
              </w:rPr>
            </w:pPr>
            <w:r>
              <w:rPr>
                <w:rFonts w:ascii="Arial" w:cs="Arial" w:eastAsia="Arial" w:hAnsi="Arial"/>
                <w:sz w:val="11"/>
                <w:szCs w:val="11"/>
                <w:color w:val="auto"/>
              </w:rPr>
              <w:t>Amortization of deferred gain on sale-leaseback</w:t>
            </w:r>
          </w:p>
        </w:tc>
        <w:tc>
          <w:tcPr>
            <w:tcW w:w="116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(733)</w:t>
            </w:r>
          </w:p>
        </w:tc>
        <w:tc>
          <w:tcPr>
            <w:tcW w:w="0" w:type="dxa"/>
            <w:vAlign w:val="bottom"/>
          </w:tcPr>
          <w:p>
            <w:pPr>
              <w:spacing w:after="0"/>
              <w:rPr>
                <w:sz w:val="1"/>
                <w:szCs w:val="1"/>
                <w:color w:val="auto"/>
              </w:rPr>
            </w:pPr>
          </w:p>
        </w:tc>
      </w:tr>
      <w:tr>
        <w:trPr>
          <w:trHeight w:val="147"/>
        </w:trPr>
        <w:tc>
          <w:tcPr>
            <w:tcW w:w="788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Amortization of deferred debt issuance costs</w:t>
            </w:r>
          </w:p>
        </w:tc>
        <w:tc>
          <w:tcPr>
            <w:tcW w:w="11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w:t>
            </w: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880" w:type="dxa"/>
            <w:vAlign w:val="bottom"/>
          </w:tcPr>
          <w:p>
            <w:pPr>
              <w:ind w:left="320"/>
              <w:spacing w:after="0"/>
              <w:rPr>
                <w:sz w:val="20"/>
                <w:szCs w:val="20"/>
                <w:color w:val="auto"/>
              </w:rPr>
            </w:pPr>
            <w:r>
              <w:rPr>
                <w:rFonts w:ascii="Arial" w:cs="Arial" w:eastAsia="Arial" w:hAnsi="Arial"/>
                <w:sz w:val="11"/>
                <w:szCs w:val="11"/>
                <w:color w:val="auto"/>
              </w:rPr>
              <w:t>Write-off of deferred debt issuance costs</w:t>
            </w:r>
          </w:p>
        </w:tc>
        <w:tc>
          <w:tcPr>
            <w:tcW w:w="116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shd w:val="clear" w:color="auto" w:fill="CFF0FC"/>
          </w:tcPr>
          <w:p>
            <w:pPr>
              <w:ind w:left="320"/>
              <w:spacing w:after="0"/>
              <w:rPr>
                <w:sz w:val="20"/>
                <w:szCs w:val="20"/>
                <w:color w:val="auto"/>
              </w:rPr>
            </w:pPr>
            <w:r>
              <w:rPr>
                <w:rFonts w:ascii="Arial" w:cs="Arial" w:eastAsia="Arial" w:hAnsi="Arial"/>
                <w:sz w:val="11"/>
                <w:szCs w:val="11"/>
                <w:color w:val="auto"/>
              </w:rPr>
              <w:t>Depreciation and amortization</w:t>
            </w:r>
          </w:p>
        </w:tc>
        <w:tc>
          <w:tcPr>
            <w:tcW w:w="11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12,548</w:t>
            </w: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14,706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7880" w:type="dxa"/>
            <w:vAlign w:val="bottom"/>
          </w:tcPr>
          <w:p>
            <w:pPr>
              <w:ind w:left="320"/>
              <w:spacing w:after="0"/>
              <w:rPr>
                <w:sz w:val="20"/>
                <w:szCs w:val="20"/>
                <w:color w:val="auto"/>
              </w:rPr>
            </w:pPr>
            <w:r>
              <w:rPr>
                <w:rFonts w:ascii="Arial" w:cs="Arial" w:eastAsia="Arial" w:hAnsi="Arial"/>
                <w:sz w:val="11"/>
                <w:szCs w:val="11"/>
                <w:color w:val="auto"/>
              </w:rPr>
              <w:t>Stock compensation expense</w:t>
            </w:r>
          </w:p>
        </w:tc>
        <w:tc>
          <w:tcPr>
            <w:tcW w:w="1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928</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789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880" w:type="dxa"/>
            <w:vAlign w:val="bottom"/>
            <w:shd w:val="clear" w:color="auto" w:fill="CFF0FC"/>
          </w:tcPr>
          <w:p>
            <w:pPr>
              <w:ind w:left="320"/>
              <w:spacing w:after="0"/>
              <w:rPr>
                <w:sz w:val="20"/>
                <w:szCs w:val="20"/>
                <w:color w:val="auto"/>
              </w:rPr>
            </w:pPr>
            <w:r>
              <w:rPr>
                <w:rFonts w:ascii="Arial" w:cs="Arial" w:eastAsia="Arial" w:hAnsi="Arial"/>
                <w:sz w:val="11"/>
                <w:szCs w:val="11"/>
                <w:color w:val="auto"/>
              </w:rPr>
              <w:t>Board of Directors stock compensation</w:t>
            </w:r>
          </w:p>
        </w:tc>
        <w:tc>
          <w:tcPr>
            <w:tcW w:w="116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284</w:t>
            </w: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880" w:type="dxa"/>
            <w:vAlign w:val="bottom"/>
            <w:shd w:val="clear" w:color="auto" w:fill="CFF0FC"/>
          </w:tcPr>
          <w:p>
            <w:pPr>
              <w:ind w:left="160"/>
              <w:spacing w:after="0"/>
              <w:rPr>
                <w:sz w:val="20"/>
                <w:szCs w:val="20"/>
                <w:color w:val="auto"/>
              </w:rPr>
            </w:pPr>
            <w:r>
              <w:rPr>
                <w:rFonts w:ascii="Arial" w:cs="Arial" w:eastAsia="Arial" w:hAnsi="Arial"/>
                <w:sz w:val="11"/>
                <w:szCs w:val="11"/>
                <w:color w:val="auto"/>
              </w:rPr>
              <w:t>Changes in operating assets and liabilities:</w:t>
            </w:r>
          </w:p>
        </w:tc>
        <w:tc>
          <w:tcPr>
            <w:tcW w:w="1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880" w:type="dxa"/>
            <w:vAlign w:val="bottom"/>
          </w:tcPr>
          <w:p>
            <w:pPr>
              <w:ind w:left="320"/>
              <w:spacing w:after="0"/>
              <w:rPr>
                <w:sz w:val="20"/>
                <w:szCs w:val="20"/>
                <w:color w:val="auto"/>
              </w:rPr>
            </w:pPr>
            <w:r>
              <w:rPr>
                <w:rFonts w:ascii="Arial" w:cs="Arial" w:eastAsia="Arial" w:hAnsi="Arial"/>
                <w:sz w:val="11"/>
                <w:szCs w:val="11"/>
                <w:color w:val="auto"/>
              </w:rPr>
              <w:t>Accounts receivable</w:t>
            </w:r>
          </w:p>
        </w:tc>
        <w:tc>
          <w:tcPr>
            <w:tcW w:w="11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23</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782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shd w:val="clear" w:color="auto" w:fill="CFF0FC"/>
          </w:tcPr>
          <w:p>
            <w:pPr>
              <w:ind w:left="320"/>
              <w:spacing w:after="0"/>
              <w:rPr>
                <w:sz w:val="20"/>
                <w:szCs w:val="20"/>
                <w:color w:val="auto"/>
              </w:rPr>
            </w:pPr>
            <w:r>
              <w:rPr>
                <w:rFonts w:ascii="Arial" w:cs="Arial" w:eastAsia="Arial" w:hAnsi="Arial"/>
                <w:sz w:val="11"/>
                <w:szCs w:val="11"/>
                <w:color w:val="auto"/>
              </w:rPr>
              <w:t>Inventories</w:t>
            </w:r>
          </w:p>
        </w:tc>
        <w:tc>
          <w:tcPr>
            <w:tcW w:w="1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(3,537)</w:t>
            </w:r>
          </w:p>
        </w:tc>
        <w:tc>
          <w:tcPr>
            <w:tcW w:w="4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880" w:type="dxa"/>
            <w:vAlign w:val="bottom"/>
          </w:tcPr>
          <w:p>
            <w:pPr>
              <w:ind w:left="320"/>
              <w:spacing w:after="0"/>
              <w:rPr>
                <w:sz w:val="20"/>
                <w:szCs w:val="20"/>
                <w:color w:val="auto"/>
              </w:rPr>
            </w:pPr>
            <w:r>
              <w:rPr>
                <w:rFonts w:ascii="Arial" w:cs="Arial" w:eastAsia="Arial" w:hAnsi="Arial"/>
                <w:sz w:val="11"/>
                <w:szCs w:val="11"/>
                <w:color w:val="auto"/>
              </w:rPr>
              <w:t>Prepaid expenses and other current assets</w:t>
            </w:r>
          </w:p>
        </w:tc>
        <w:tc>
          <w:tcPr>
            <w:tcW w:w="1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(889)</w:t>
            </w:r>
          </w:p>
        </w:tc>
        <w:tc>
          <w:tcPr>
            <w:tcW w:w="44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(1,657)</w:t>
            </w:r>
          </w:p>
        </w:tc>
        <w:tc>
          <w:tcPr>
            <w:tcW w:w="0" w:type="dxa"/>
            <w:vAlign w:val="bottom"/>
          </w:tcPr>
          <w:p>
            <w:pPr>
              <w:spacing w:after="0"/>
              <w:rPr>
                <w:sz w:val="1"/>
                <w:szCs w:val="1"/>
                <w:color w:val="auto"/>
              </w:rPr>
            </w:pPr>
          </w:p>
        </w:tc>
      </w:tr>
      <w:tr>
        <w:trPr>
          <w:trHeight w:val="147"/>
        </w:trPr>
        <w:tc>
          <w:tcPr>
            <w:tcW w:w="7880" w:type="dxa"/>
            <w:vAlign w:val="bottom"/>
            <w:shd w:val="clear" w:color="auto" w:fill="CFF0FC"/>
          </w:tcPr>
          <w:p>
            <w:pPr>
              <w:ind w:left="320"/>
              <w:spacing w:after="0"/>
              <w:rPr>
                <w:sz w:val="20"/>
                <w:szCs w:val="20"/>
                <w:color w:val="auto"/>
              </w:rPr>
            </w:pPr>
            <w:r>
              <w:rPr>
                <w:rFonts w:ascii="Arial" w:cs="Arial" w:eastAsia="Arial" w:hAnsi="Arial"/>
                <w:sz w:val="11"/>
                <w:szCs w:val="11"/>
                <w:color w:val="auto"/>
              </w:rPr>
              <w:t>Other assets</w:t>
            </w:r>
          </w:p>
        </w:tc>
        <w:tc>
          <w:tcPr>
            <w:tcW w:w="1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(441)</w:t>
            </w:r>
          </w:p>
        </w:tc>
        <w:tc>
          <w:tcPr>
            <w:tcW w:w="4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880" w:type="dxa"/>
            <w:vAlign w:val="bottom"/>
          </w:tcPr>
          <w:p>
            <w:pPr>
              <w:ind w:left="320"/>
              <w:spacing w:after="0"/>
              <w:rPr>
                <w:sz w:val="20"/>
                <w:szCs w:val="20"/>
                <w:color w:val="auto"/>
              </w:rPr>
            </w:pPr>
            <w:r>
              <w:rPr>
                <w:rFonts w:ascii="Arial" w:cs="Arial" w:eastAsia="Arial" w:hAnsi="Arial"/>
                <w:sz w:val="11"/>
                <w:szCs w:val="11"/>
                <w:color w:val="auto"/>
              </w:rPr>
              <w:t>Accounts payable</w:t>
            </w:r>
          </w:p>
        </w:tc>
        <w:tc>
          <w:tcPr>
            <w:tcW w:w="11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2,511</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(1,561)</w:t>
            </w:r>
          </w:p>
        </w:tc>
        <w:tc>
          <w:tcPr>
            <w:tcW w:w="0" w:type="dxa"/>
            <w:vAlign w:val="bottom"/>
          </w:tcPr>
          <w:p>
            <w:pPr>
              <w:spacing w:after="0"/>
              <w:rPr>
                <w:sz w:val="1"/>
                <w:szCs w:val="1"/>
                <w:color w:val="auto"/>
              </w:rPr>
            </w:pPr>
          </w:p>
        </w:tc>
      </w:tr>
      <w:tr>
        <w:trPr>
          <w:trHeight w:val="147"/>
        </w:trPr>
        <w:tc>
          <w:tcPr>
            <w:tcW w:w="7880" w:type="dxa"/>
            <w:vAlign w:val="bottom"/>
            <w:shd w:val="clear" w:color="auto" w:fill="CFF0FC"/>
          </w:tcPr>
          <w:p>
            <w:pPr>
              <w:ind w:left="320"/>
              <w:spacing w:after="0"/>
              <w:rPr>
                <w:sz w:val="20"/>
                <w:szCs w:val="20"/>
                <w:color w:val="auto"/>
              </w:rPr>
            </w:pPr>
            <w:r>
              <w:rPr>
                <w:rFonts w:ascii="Arial" w:cs="Arial" w:eastAsia="Arial" w:hAnsi="Arial"/>
                <w:sz w:val="11"/>
                <w:szCs w:val="11"/>
                <w:color w:val="auto"/>
              </w:rPr>
              <w:t>Operating leases, net</w:t>
            </w:r>
          </w:p>
        </w:tc>
        <w:tc>
          <w:tcPr>
            <w:tcW w:w="1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(2,115)</w:t>
            </w:r>
          </w:p>
        </w:tc>
        <w:tc>
          <w:tcPr>
            <w:tcW w:w="4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7880" w:type="dxa"/>
            <w:vAlign w:val="bottom"/>
          </w:tcPr>
          <w:p>
            <w:pPr>
              <w:ind w:left="320"/>
              <w:spacing w:after="0"/>
              <w:rPr>
                <w:sz w:val="20"/>
                <w:szCs w:val="20"/>
                <w:color w:val="auto"/>
              </w:rPr>
            </w:pPr>
            <w:r>
              <w:rPr>
                <w:rFonts w:ascii="Arial" w:cs="Arial" w:eastAsia="Arial" w:hAnsi="Arial"/>
                <w:sz w:val="11"/>
                <w:szCs w:val="11"/>
                <w:color w:val="auto"/>
              </w:rPr>
              <w:t>Deferred rent and lease incentives</w:t>
            </w:r>
          </w:p>
        </w:tc>
        <w:tc>
          <w:tcPr>
            <w:tcW w:w="116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(1,698)</w:t>
            </w:r>
          </w:p>
        </w:tc>
        <w:tc>
          <w:tcPr>
            <w:tcW w:w="0" w:type="dxa"/>
            <w:vAlign w:val="bottom"/>
          </w:tcPr>
          <w:p>
            <w:pPr>
              <w:spacing w:after="0"/>
              <w:rPr>
                <w:sz w:val="1"/>
                <w:szCs w:val="1"/>
                <w:color w:val="auto"/>
              </w:rPr>
            </w:pPr>
          </w:p>
        </w:tc>
      </w:tr>
      <w:tr>
        <w:trPr>
          <w:trHeight w:val="147"/>
        </w:trPr>
        <w:tc>
          <w:tcPr>
            <w:tcW w:w="788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Accrued expenses and other liabilities</w:t>
            </w:r>
          </w:p>
        </w:tc>
        <w:tc>
          <w:tcPr>
            <w:tcW w:w="1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(5,420)</w:t>
            </w:r>
          </w:p>
        </w:tc>
        <w:tc>
          <w:tcPr>
            <w:tcW w:w="4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(666)</w:t>
            </w:r>
          </w:p>
        </w:tc>
        <w:tc>
          <w:tcPr>
            <w:tcW w:w="0" w:type="dxa"/>
            <w:vAlign w:val="bottom"/>
          </w:tcPr>
          <w:p>
            <w:pPr>
              <w:spacing w:after="0"/>
              <w:rPr>
                <w:sz w:val="1"/>
                <w:szCs w:val="1"/>
                <w:color w:val="auto"/>
              </w:rPr>
            </w:pPr>
          </w:p>
        </w:tc>
      </w:tr>
      <w:tr>
        <w:trPr>
          <w:trHeight w:val="132"/>
        </w:trPr>
        <w:tc>
          <w:tcPr>
            <w:tcW w:w="7880" w:type="dxa"/>
            <w:vAlign w:val="bottom"/>
            <w:tcBorders>
              <w:bottom w:val="single" w:sz="8" w:color="CFF0FC"/>
            </w:tcBorders>
          </w:tcPr>
          <w:p>
            <w:pPr>
              <w:ind w:left="160"/>
              <w:spacing w:after="0"/>
              <w:rPr>
                <w:sz w:val="20"/>
                <w:szCs w:val="20"/>
                <w:color w:val="auto"/>
              </w:rPr>
            </w:pPr>
            <w:r>
              <w:rPr>
                <w:rFonts w:ascii="Arial" w:cs="Arial" w:eastAsia="Arial" w:hAnsi="Arial"/>
                <w:sz w:val="11"/>
                <w:szCs w:val="11"/>
                <w:color w:val="auto"/>
              </w:rPr>
              <w:t>Net cash provided by operating activities</w:t>
            </w:r>
          </w:p>
        </w:tc>
        <w:tc>
          <w:tcPr>
            <w:tcW w:w="116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918</w:t>
            </w:r>
          </w:p>
        </w:tc>
        <w:tc>
          <w:tcPr>
            <w:tcW w:w="28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6,793</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8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880" w:type="dxa"/>
            <w:vAlign w:val="bottom"/>
          </w:tcPr>
          <w:p>
            <w:pPr>
              <w:spacing w:after="0"/>
              <w:rPr>
                <w:sz w:val="20"/>
                <w:szCs w:val="20"/>
                <w:color w:val="auto"/>
              </w:rPr>
            </w:pPr>
            <w:r>
              <w:rPr>
                <w:rFonts w:ascii="Arial" w:cs="Arial" w:eastAsia="Arial" w:hAnsi="Arial"/>
                <w:sz w:val="11"/>
                <w:szCs w:val="11"/>
                <w:color w:val="auto"/>
              </w:rPr>
              <w:t>Cash flows from investing activities:</w:t>
            </w: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Additions to property and equipment, net</w:t>
            </w:r>
          </w:p>
        </w:tc>
        <w:tc>
          <w:tcPr>
            <w:tcW w:w="1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(7,597)</w:t>
            </w:r>
          </w:p>
        </w:tc>
        <w:tc>
          <w:tcPr>
            <w:tcW w:w="4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(7,365)</w:t>
            </w:r>
          </w:p>
        </w:tc>
        <w:tc>
          <w:tcPr>
            <w:tcW w:w="0" w:type="dxa"/>
            <w:vAlign w:val="bottom"/>
          </w:tcPr>
          <w:p>
            <w:pPr>
              <w:spacing w:after="0"/>
              <w:rPr>
                <w:sz w:val="1"/>
                <w:szCs w:val="1"/>
                <w:color w:val="auto"/>
              </w:rPr>
            </w:pPr>
          </w:p>
        </w:tc>
      </w:tr>
      <w:tr>
        <w:trPr>
          <w:trHeight w:val="20"/>
        </w:trPr>
        <w:tc>
          <w:tcPr>
            <w:tcW w:w="7880" w:type="dxa"/>
            <w:vAlign w:val="bottom"/>
            <w:vMerge w:val="restart"/>
          </w:tcPr>
          <w:p>
            <w:pPr>
              <w:ind w:left="160"/>
              <w:spacing w:after="0"/>
              <w:rPr>
                <w:sz w:val="20"/>
                <w:szCs w:val="20"/>
                <w:color w:val="auto"/>
              </w:rPr>
            </w:pPr>
            <w:r>
              <w:rPr>
                <w:rFonts w:ascii="Arial" w:cs="Arial" w:eastAsia="Arial" w:hAnsi="Arial"/>
                <w:sz w:val="11"/>
                <w:szCs w:val="11"/>
                <w:color w:val="auto"/>
              </w:rPr>
              <w:t>Net cash used for investing activities</w:t>
            </w: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8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(7,597)</w:t>
            </w:r>
          </w:p>
        </w:tc>
        <w:tc>
          <w:tcPr>
            <w:tcW w:w="440" w:type="dxa"/>
            <w:vAlign w:val="bottom"/>
          </w:tcPr>
          <w:p>
            <w:pPr>
              <w:spacing w:after="0"/>
              <w:rPr>
                <w:sz w:val="11"/>
                <w:szCs w:val="1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(7,365)</w:t>
            </w:r>
          </w:p>
        </w:tc>
        <w:tc>
          <w:tcPr>
            <w:tcW w:w="0" w:type="dxa"/>
            <w:vAlign w:val="bottom"/>
          </w:tcPr>
          <w:p>
            <w:pPr>
              <w:spacing w:after="0"/>
              <w:rPr>
                <w:sz w:val="1"/>
                <w:szCs w:val="1"/>
                <w:color w:val="auto"/>
              </w:rPr>
            </w:pPr>
          </w:p>
        </w:tc>
      </w:tr>
      <w:tr>
        <w:trPr>
          <w:trHeight w:val="136"/>
        </w:trPr>
        <w:tc>
          <w:tcPr>
            <w:tcW w:w="7880" w:type="dxa"/>
            <w:vAlign w:val="bottom"/>
            <w:tcBorders>
              <w:top w:val="single" w:sz="8" w:color="CFF0FC"/>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880" w:type="dxa"/>
            <w:vAlign w:val="bottom"/>
          </w:tcPr>
          <w:p>
            <w:pPr>
              <w:spacing w:after="0"/>
              <w:rPr>
                <w:sz w:val="20"/>
                <w:szCs w:val="20"/>
                <w:color w:val="auto"/>
              </w:rPr>
            </w:pPr>
            <w:r>
              <w:rPr>
                <w:rFonts w:ascii="Arial" w:cs="Arial" w:eastAsia="Arial" w:hAnsi="Arial"/>
                <w:sz w:val="11"/>
                <w:szCs w:val="11"/>
                <w:color w:val="auto"/>
              </w:rPr>
              <w:t>Cash flows from financing activities:</w:t>
            </w: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shd w:val="clear" w:color="auto" w:fill="CFF0FC"/>
          </w:tcPr>
          <w:p>
            <w:pPr>
              <w:ind w:left="320"/>
              <w:spacing w:after="0"/>
              <w:rPr>
                <w:sz w:val="20"/>
                <w:szCs w:val="20"/>
                <w:color w:val="auto"/>
              </w:rPr>
            </w:pPr>
            <w:r>
              <w:rPr>
                <w:rFonts w:ascii="Arial" w:cs="Arial" w:eastAsia="Arial" w:hAnsi="Arial"/>
                <w:sz w:val="11"/>
                <w:szCs w:val="11"/>
                <w:color w:val="auto"/>
              </w:rPr>
              <w:t>Costs associated with new credit facility</w:t>
            </w:r>
          </w:p>
        </w:tc>
        <w:tc>
          <w:tcPr>
            <w:tcW w:w="1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(553)</w:t>
            </w:r>
          </w:p>
        </w:tc>
        <w:tc>
          <w:tcPr>
            <w:tcW w:w="0" w:type="dxa"/>
            <w:vAlign w:val="bottom"/>
          </w:tcPr>
          <w:p>
            <w:pPr>
              <w:spacing w:after="0"/>
              <w:rPr>
                <w:sz w:val="1"/>
                <w:szCs w:val="1"/>
                <w:color w:val="auto"/>
              </w:rPr>
            </w:pPr>
          </w:p>
        </w:tc>
      </w:tr>
      <w:tr>
        <w:trPr>
          <w:trHeight w:val="143"/>
        </w:trPr>
        <w:tc>
          <w:tcPr>
            <w:tcW w:w="7880" w:type="dxa"/>
            <w:vAlign w:val="bottom"/>
          </w:tcPr>
          <w:p>
            <w:pPr>
              <w:ind w:left="320"/>
              <w:spacing w:after="0"/>
              <w:rPr>
                <w:sz w:val="20"/>
                <w:szCs w:val="20"/>
                <w:color w:val="auto"/>
              </w:rPr>
            </w:pPr>
            <w:r>
              <w:rPr>
                <w:rFonts w:ascii="Arial" w:cs="Arial" w:eastAsia="Arial" w:hAnsi="Arial"/>
                <w:sz w:val="11"/>
                <w:szCs w:val="11"/>
                <w:color w:val="auto"/>
              </w:rPr>
              <w:t>Proceeds from the issuance of long-term debt</w:t>
            </w:r>
          </w:p>
        </w:tc>
        <w:tc>
          <w:tcPr>
            <w:tcW w:w="116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shd w:val="clear" w:color="auto" w:fill="CFF0FC"/>
          </w:tcPr>
          <w:p>
            <w:pPr>
              <w:ind w:left="320"/>
              <w:spacing w:after="0"/>
              <w:rPr>
                <w:sz w:val="20"/>
                <w:szCs w:val="20"/>
                <w:color w:val="auto"/>
              </w:rPr>
            </w:pPr>
            <w:r>
              <w:rPr>
                <w:rFonts w:ascii="Arial" w:cs="Arial" w:eastAsia="Arial" w:hAnsi="Arial"/>
                <w:sz w:val="11"/>
                <w:szCs w:val="11"/>
                <w:color w:val="auto"/>
              </w:rPr>
              <w:t>Principal payments on long-term debt</w:t>
            </w:r>
          </w:p>
        </w:tc>
        <w:tc>
          <w:tcPr>
            <w:tcW w:w="1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300"/>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(12,251)</w:t>
            </w:r>
          </w:p>
        </w:tc>
        <w:tc>
          <w:tcPr>
            <w:tcW w:w="0" w:type="dxa"/>
            <w:vAlign w:val="bottom"/>
          </w:tcPr>
          <w:p>
            <w:pPr>
              <w:spacing w:after="0"/>
              <w:rPr>
                <w:sz w:val="1"/>
                <w:szCs w:val="1"/>
                <w:color w:val="auto"/>
              </w:rPr>
            </w:pPr>
          </w:p>
        </w:tc>
      </w:tr>
      <w:tr>
        <w:trPr>
          <w:trHeight w:val="143"/>
        </w:trPr>
        <w:tc>
          <w:tcPr>
            <w:tcW w:w="7880" w:type="dxa"/>
            <w:vAlign w:val="bottom"/>
          </w:tcPr>
          <w:p>
            <w:pPr>
              <w:ind w:left="320"/>
              <w:spacing w:after="0"/>
              <w:rPr>
                <w:sz w:val="20"/>
                <w:szCs w:val="20"/>
                <w:color w:val="auto"/>
              </w:rPr>
            </w:pPr>
            <w:r>
              <w:rPr>
                <w:rFonts w:ascii="Arial" w:cs="Arial" w:eastAsia="Arial" w:hAnsi="Arial"/>
                <w:sz w:val="11"/>
                <w:szCs w:val="11"/>
                <w:color w:val="auto"/>
              </w:rPr>
              <w:t>Net borrowings under credit facility</w:t>
            </w:r>
          </w:p>
        </w:tc>
        <w:tc>
          <w:tcPr>
            <w:tcW w:w="11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7,502</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(770)</w:t>
            </w:r>
          </w:p>
        </w:tc>
        <w:tc>
          <w:tcPr>
            <w:tcW w:w="0" w:type="dxa"/>
            <w:vAlign w:val="bottom"/>
          </w:tcPr>
          <w:p>
            <w:pPr>
              <w:spacing w:after="0"/>
              <w:rPr>
                <w:sz w:val="1"/>
                <w:szCs w:val="1"/>
                <w:color w:val="auto"/>
              </w:rPr>
            </w:pPr>
          </w:p>
        </w:tc>
      </w:tr>
      <w:tr>
        <w:trPr>
          <w:trHeight w:val="147"/>
        </w:trPr>
        <w:tc>
          <w:tcPr>
            <w:tcW w:w="7880" w:type="dxa"/>
            <w:vAlign w:val="bottom"/>
            <w:shd w:val="clear" w:color="auto" w:fill="CFF0FC"/>
          </w:tcPr>
          <w:p>
            <w:pPr>
              <w:ind w:left="320"/>
              <w:spacing w:after="0"/>
              <w:rPr>
                <w:sz w:val="20"/>
                <w:szCs w:val="20"/>
                <w:color w:val="auto"/>
              </w:rPr>
            </w:pPr>
            <w:r>
              <w:rPr>
                <w:rFonts w:ascii="Arial" w:cs="Arial" w:eastAsia="Arial" w:hAnsi="Arial"/>
                <w:sz w:val="11"/>
                <w:szCs w:val="11"/>
                <w:color w:val="auto"/>
              </w:rPr>
              <w:t>Tax withholdings paid related to net share settlements of RSUs</w:t>
            </w:r>
          </w:p>
        </w:tc>
        <w:tc>
          <w:tcPr>
            <w:tcW w:w="1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(198)</w:t>
            </w:r>
          </w:p>
        </w:tc>
        <w:tc>
          <w:tcPr>
            <w:tcW w:w="4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2"/>
        </w:trPr>
        <w:tc>
          <w:tcPr>
            <w:tcW w:w="7880" w:type="dxa"/>
            <w:vAlign w:val="bottom"/>
            <w:tcBorders>
              <w:bottom w:val="single" w:sz="8" w:color="CFF0FC"/>
            </w:tcBorders>
          </w:tcPr>
          <w:p>
            <w:pPr>
              <w:ind w:left="160"/>
              <w:spacing w:after="0"/>
              <w:rPr>
                <w:sz w:val="20"/>
                <w:szCs w:val="20"/>
                <w:color w:val="auto"/>
              </w:rPr>
            </w:pPr>
            <w:r>
              <w:rPr>
                <w:rFonts w:ascii="Arial" w:cs="Arial" w:eastAsia="Arial" w:hAnsi="Arial"/>
                <w:sz w:val="11"/>
                <w:szCs w:val="11"/>
                <w:color w:val="auto"/>
              </w:rPr>
              <w:t>Net cash provided by financing activities</w:t>
            </w:r>
          </w:p>
        </w:tc>
        <w:tc>
          <w:tcPr>
            <w:tcW w:w="116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7,304</w:t>
            </w:r>
          </w:p>
        </w:tc>
        <w:tc>
          <w:tcPr>
            <w:tcW w:w="280" w:type="dxa"/>
            <w:vAlign w:val="bottom"/>
            <w:tcBorders>
              <w:bottom w:val="single" w:sz="8" w:color="CFF0FC"/>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1,426</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880" w:type="dxa"/>
            <w:vAlign w:val="bottom"/>
            <w:shd w:val="clear" w:color="auto" w:fill="CFF0FC"/>
          </w:tcPr>
          <w:p>
            <w:pPr>
              <w:spacing w:after="0"/>
              <w:rPr>
                <w:sz w:val="20"/>
                <w:szCs w:val="20"/>
                <w:color w:val="auto"/>
              </w:rPr>
            </w:pPr>
            <w:r>
              <w:rPr>
                <w:rFonts w:ascii="Arial" w:cs="Arial" w:eastAsia="Arial" w:hAnsi="Arial"/>
                <w:sz w:val="11"/>
                <w:szCs w:val="11"/>
                <w:color w:val="auto"/>
              </w:rPr>
              <w:t>Net increase in cash and cash equivalents</w:t>
            </w:r>
          </w:p>
        </w:tc>
        <w:tc>
          <w:tcPr>
            <w:tcW w:w="116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625</w:t>
            </w:r>
          </w:p>
        </w:tc>
        <w:tc>
          <w:tcPr>
            <w:tcW w:w="2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880" w:type="dxa"/>
            <w:vAlign w:val="bottom"/>
          </w:tcPr>
          <w:p>
            <w:pPr>
              <w:spacing w:after="0"/>
              <w:rPr>
                <w:sz w:val="20"/>
                <w:szCs w:val="20"/>
                <w:color w:val="auto"/>
              </w:rPr>
            </w:pPr>
            <w:r>
              <w:rPr>
                <w:rFonts w:ascii="Arial" w:cs="Arial" w:eastAsia="Arial" w:hAnsi="Arial"/>
                <w:sz w:val="11"/>
                <w:szCs w:val="11"/>
                <w:color w:val="auto"/>
              </w:rPr>
              <w:t>Cash and cash equivalents:</w:t>
            </w: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80" w:type="dxa"/>
            <w:vAlign w:val="bottom"/>
            <w:shd w:val="clear" w:color="auto" w:fill="CFF0FC"/>
          </w:tcPr>
          <w:p>
            <w:pPr>
              <w:ind w:left="160"/>
              <w:spacing w:after="0"/>
              <w:rPr>
                <w:sz w:val="20"/>
                <w:szCs w:val="20"/>
                <w:color w:val="auto"/>
              </w:rPr>
            </w:pPr>
            <w:r>
              <w:rPr>
                <w:rFonts w:ascii="Arial" w:cs="Arial" w:eastAsia="Arial" w:hAnsi="Arial"/>
                <w:sz w:val="11"/>
                <w:szCs w:val="11"/>
                <w:color w:val="auto"/>
              </w:rPr>
              <w:t>Beginning of period</w:t>
            </w:r>
          </w:p>
        </w:tc>
        <w:tc>
          <w:tcPr>
            <w:tcW w:w="116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4,868</w:t>
            </w:r>
          </w:p>
        </w:tc>
        <w:tc>
          <w:tcPr>
            <w:tcW w:w="280" w:type="dxa"/>
            <w:vAlign w:val="bottom"/>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5,362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880" w:type="dxa"/>
            <w:vAlign w:val="bottom"/>
          </w:tcPr>
          <w:p>
            <w:pPr>
              <w:ind w:left="160"/>
              <w:spacing w:after="0"/>
              <w:rPr>
                <w:sz w:val="20"/>
                <w:szCs w:val="20"/>
                <w:color w:val="auto"/>
              </w:rPr>
            </w:pPr>
            <w:r>
              <w:rPr>
                <w:rFonts w:ascii="Arial" w:cs="Arial" w:eastAsia="Arial" w:hAnsi="Arial"/>
                <w:sz w:val="11"/>
                <w:szCs w:val="11"/>
                <w:color w:val="auto"/>
              </w:rPr>
              <w:t>End of period</w:t>
            </w:r>
          </w:p>
        </w:tc>
        <w:tc>
          <w:tcPr>
            <w:tcW w:w="1160" w:type="dxa"/>
            <w:vAlign w:val="bottom"/>
            <w:tcBorders>
              <w:bottom w:val="single" w:sz="8" w:color="auto"/>
            </w:tcBorders>
          </w:tcPr>
          <w:p>
            <w:pPr>
              <w:jc w:val="right"/>
              <w:ind w:right="105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5,493</w:t>
            </w:r>
          </w:p>
        </w:tc>
        <w:tc>
          <w:tcPr>
            <w:tcW w:w="280" w:type="dxa"/>
            <w:vAlign w:val="bottom"/>
          </w:tcPr>
          <w:p>
            <w:pPr>
              <w:spacing w:after="0"/>
              <w:rPr>
                <w:sz w:val="12"/>
                <w:szCs w:val="12"/>
                <w:color w:val="auto"/>
              </w:rPr>
            </w:pPr>
          </w:p>
        </w:tc>
        <w:tc>
          <w:tcPr>
            <w:tcW w:w="440" w:type="dxa"/>
            <w:vAlign w:val="bottom"/>
            <w:tcBorders>
              <w:bottom w:val="single" w:sz="8" w:color="auto"/>
            </w:tcBorders>
          </w:tcPr>
          <w:p>
            <w:pPr>
              <w:jc w:val="right"/>
              <w:ind w:right="331"/>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7" w:name="page8"/>
    <w:bookmarkEnd w:id="7"/>
    <w:p>
      <w:pPr>
        <w:jc w:val="center"/>
        <w:spacing w:after="0"/>
        <w:rPr>
          <w:sz w:val="20"/>
          <w:szCs w:val="20"/>
          <w:color w:val="auto"/>
        </w:rPr>
      </w:pPr>
      <w:r>
        <w:rPr>
          <w:rFonts w:ascii="Arial" w:cs="Arial" w:eastAsia="Arial" w:hAnsi="Arial"/>
          <w:sz w:val="12"/>
          <w:szCs w:val="12"/>
          <w:b w:val="1"/>
          <w:bCs w:val="1"/>
          <w:color w:val="auto"/>
        </w:rPr>
        <w:t>DESTINATION XL GROUP, INC.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Basis of Presentation</w:t>
      </w:r>
    </w:p>
    <w:p>
      <w:pPr>
        <w:spacing w:after="0" w:line="156"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In the opinion of management of Destination XL Group, Inc., a Delaware corporation (formerly known as Casual Male Retail Group, Inc. and,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2, 2019 included in the Company’s Annual Report on Form 10-K, which was filed with the Securities and Exchange Commission on March 22, 2019.</w:t>
      </w:r>
    </w:p>
    <w:p>
      <w:pPr>
        <w:spacing w:after="0" w:line="124" w:lineRule="exact"/>
        <w:rPr>
          <w:sz w:val="20"/>
          <w:szCs w:val="20"/>
          <w:color w:val="auto"/>
        </w:rPr>
      </w:pPr>
    </w:p>
    <w:p>
      <w:pPr>
        <w:spacing w:after="0" w:line="292" w:lineRule="auto"/>
        <w:rPr>
          <w:sz w:val="20"/>
          <w:szCs w:val="20"/>
          <w:color w:val="auto"/>
        </w:rPr>
      </w:pPr>
      <w:r>
        <w:rPr>
          <w:rFonts w:ascii="Arial" w:cs="Arial" w:eastAsia="Arial" w:hAnsi="Arial"/>
          <w:sz w:val="11"/>
          <w:szCs w:val="11"/>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The Company’s fiscal year is a 52- or 53- week period ending on the Saturday closest to January 31. Fiscal 2019 and fiscal 2018 are 52-week periods ending on February 1, 2020 and February 2, 2019,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Segment Information</w:t>
      </w:r>
    </w:p>
    <w:p>
      <w:pPr>
        <w:spacing w:after="0" w:line="79" w:lineRule="exact"/>
        <w:rPr>
          <w:sz w:val="20"/>
          <w:szCs w:val="20"/>
          <w:color w:val="auto"/>
        </w:rPr>
      </w:pPr>
    </w:p>
    <w:p>
      <w:pPr>
        <w:spacing w:after="0" w:line="300" w:lineRule="auto"/>
        <w:rPr>
          <w:sz w:val="20"/>
          <w:szCs w:val="20"/>
          <w:color w:val="auto"/>
        </w:rPr>
      </w:pPr>
      <w:r>
        <w:rPr>
          <w:rFonts w:ascii="Arial" w:cs="Arial" w:eastAsia="Arial" w:hAnsi="Arial"/>
          <w:sz w:val="11"/>
          <w:szCs w:val="11"/>
          <w:color w:val="auto"/>
        </w:rPr>
        <w:t>The Company has historically had two principal operating segments: its stores and direct businesses. The Company considers these two operating segments to be similar in terms of economic characteristics, production processes and operations, and has therefore aggregated them into one reportable segment, retail segment, consistent with its omni-channel business approach. In fiscal 2018, the Company launched a wholesale segment, which the Company considers a third operating segment. However, due to the immateriality of the wholesale segment’s revenues, profits and assets at August 3, 2019, its operating results are aggregated with the retail segment for all periods.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Reclassification</w:t>
      </w:r>
    </w:p>
    <w:p>
      <w:pPr>
        <w:spacing w:after="0" w:line="79" w:lineRule="exact"/>
        <w:rPr>
          <w:sz w:val="20"/>
          <w:szCs w:val="20"/>
          <w:color w:val="auto"/>
        </w:rPr>
      </w:pPr>
    </w:p>
    <w:p>
      <w:pPr>
        <w:ind w:right="320"/>
        <w:spacing w:after="0" w:line="279" w:lineRule="auto"/>
        <w:rPr>
          <w:sz w:val="20"/>
          <w:szCs w:val="20"/>
          <w:color w:val="auto"/>
        </w:rPr>
      </w:pPr>
      <w:r>
        <w:rPr>
          <w:rFonts w:ascii="Arial" w:cs="Arial" w:eastAsia="Arial" w:hAnsi="Arial"/>
          <w:sz w:val="12"/>
          <w:szCs w:val="12"/>
          <w:color w:val="auto"/>
        </w:rPr>
        <w:t>The Company has reclassified a total of $190,228 in costs, incurred in the first six months of fiscal 2018 from “Selling, general and administrative” to “CEO transition costs” and “Corporate restructuring.” These costs were initially reported in “Selling, general and administrative” in the first six months of fiscal 2018.</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Intangibles</w:t>
      </w:r>
    </w:p>
    <w:p>
      <w:pPr>
        <w:spacing w:after="0" w:line="79" w:lineRule="exact"/>
        <w:rPr>
          <w:sz w:val="20"/>
          <w:szCs w:val="20"/>
          <w:color w:val="auto"/>
        </w:rPr>
      </w:pPr>
    </w:p>
    <w:p>
      <w:pPr>
        <w:ind w:right="100"/>
        <w:spacing w:after="0" w:line="279" w:lineRule="auto"/>
        <w:rPr>
          <w:sz w:val="20"/>
          <w:szCs w:val="20"/>
          <w:color w:val="auto"/>
        </w:rPr>
      </w:pPr>
      <w:r>
        <w:rPr>
          <w:rFonts w:ascii="Arial" w:cs="Arial" w:eastAsia="Arial" w:hAnsi="Arial"/>
          <w:sz w:val="12"/>
          <w:szCs w:val="12"/>
          <w:color w:val="auto"/>
        </w:rPr>
        <w:t>In the fourth quarter of fiscal 2018, the Company purchased the rights to the domain name “dxl.com.” The domain name has a carrying value of $1.2 million and is considered an indefinite-lived asset. During the first six months ended August 3, 2019, no event or circumstance occurred which would cause a reduction in the fair value of this intangible asset.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79" w:lineRule="exact"/>
        <w:rPr>
          <w:sz w:val="20"/>
          <w:szCs w:val="20"/>
          <w:color w:val="auto"/>
        </w:rPr>
      </w:pPr>
    </w:p>
    <w:p>
      <w:pPr>
        <w:ind w:right="260"/>
        <w:spacing w:after="0" w:line="279" w:lineRule="auto"/>
        <w:rPr>
          <w:sz w:val="20"/>
          <w:szCs w:val="20"/>
          <w:color w:val="auto"/>
        </w:rPr>
      </w:pPr>
      <w:r>
        <w:rPr>
          <w:rFonts w:ascii="Arial" w:cs="Arial" w:eastAsia="Arial" w:hAnsi="Arial"/>
          <w:sz w:val="12"/>
          <w:szCs w:val="12"/>
          <w:color w:val="auto"/>
        </w:rPr>
        <w:t>ASC Topic 825, Financial Instruments, requires disclosure of the fair value of certain financial instruments. ASC Topic 820, “</w:t>
      </w:r>
      <w:r>
        <w:rPr>
          <w:rFonts w:ascii="Arial" w:cs="Arial" w:eastAsia="Arial" w:hAnsi="Arial"/>
          <w:sz w:val="12"/>
          <w:szCs w:val="12"/>
          <w:i w:val="1"/>
          <w:iCs w:val="1"/>
          <w:color w:val="auto"/>
        </w:rPr>
        <w:t>Fair Value Measurements and Disclosures</w:t>
      </w:r>
      <w:r>
        <w:rPr>
          <w:rFonts w:ascii="Arial" w:cs="Arial" w:eastAsia="Arial" w:hAnsi="Arial"/>
          <w:sz w:val="12"/>
          <w:szCs w:val="12"/>
          <w:color w:val="auto"/>
        </w:rPr>
        <w:t>,” defines fair value, establishes a framework for measuring fair value and enhances disclosures about fair value measurements.</w:t>
      </w:r>
    </w:p>
    <w:p>
      <w:pPr>
        <w:spacing w:after="0" w:line="114" w:lineRule="exact"/>
        <w:rPr>
          <w:sz w:val="20"/>
          <w:szCs w:val="20"/>
          <w:color w:val="auto"/>
        </w:rPr>
      </w:pPr>
    </w:p>
    <w:p>
      <w:pPr>
        <w:ind w:right="140"/>
        <w:spacing w:after="0" w:line="279" w:lineRule="auto"/>
        <w:rPr>
          <w:sz w:val="20"/>
          <w:szCs w:val="20"/>
          <w:color w:val="auto"/>
        </w:rPr>
      </w:pPr>
      <w:r>
        <w:rPr>
          <w:rFonts w:ascii="Arial" w:cs="Arial" w:eastAsia="Arial" w:hAnsi="Arial"/>
          <w:sz w:val="12"/>
          <w:szCs w:val="12"/>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Level 1 – Quoted prices in active markets for identical assets or liabilities.</w:t>
      </w:r>
    </w:p>
    <w:p>
      <w:pPr>
        <w:spacing w:after="0" w:line="79" w:lineRule="exact"/>
        <w:rPr>
          <w:sz w:val="20"/>
          <w:szCs w:val="20"/>
          <w:color w:val="auto"/>
        </w:rPr>
      </w:pPr>
    </w:p>
    <w:p>
      <w:pPr>
        <w:ind w:left="260" w:right="100"/>
        <w:spacing w:after="0" w:line="279" w:lineRule="auto"/>
        <w:rPr>
          <w:sz w:val="20"/>
          <w:szCs w:val="20"/>
          <w:color w:val="auto"/>
        </w:rPr>
      </w:pPr>
      <w:r>
        <w:rPr>
          <w:rFonts w:ascii="Arial" w:cs="Arial" w:eastAsia="Arial" w:hAnsi="Arial"/>
          <w:sz w:val="12"/>
          <w:szCs w:val="12"/>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Level 3 – Unobservable inputs that are supported by little or no market activity and that are significant to the fair value of assets or liabilities.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8" w:name="page9"/>
    <w:bookmarkEnd w:id="8"/>
    <w:p>
      <w:pPr>
        <w:spacing w:after="0"/>
        <w:rPr>
          <w:sz w:val="20"/>
          <w:szCs w:val="20"/>
          <w:color w:val="auto"/>
        </w:rPr>
      </w:pPr>
      <w:r>
        <w:rPr>
          <w:rFonts w:ascii="Arial" w:cs="Arial" w:eastAsia="Arial" w:hAnsi="Arial"/>
          <w:sz w:val="12"/>
          <w:szCs w:val="12"/>
          <w:color w:val="auto"/>
        </w:rPr>
        <w:t>The Company utilizes observable market inputs (quoted market prices) when measuring fair value whenever possible.</w:t>
      </w:r>
    </w:p>
    <w:p>
      <w:pPr>
        <w:spacing w:after="0" w:line="152" w:lineRule="exact"/>
        <w:rPr>
          <w:sz w:val="20"/>
          <w:szCs w:val="20"/>
          <w:color w:val="auto"/>
        </w:rPr>
      </w:pPr>
    </w:p>
    <w:p>
      <w:pPr>
        <w:ind w:right="500"/>
        <w:spacing w:after="0" w:line="279" w:lineRule="auto"/>
        <w:rPr>
          <w:sz w:val="20"/>
          <w:szCs w:val="20"/>
          <w:color w:val="auto"/>
        </w:rPr>
      </w:pPr>
      <w:r>
        <w:rPr>
          <w:rFonts w:ascii="Arial" w:cs="Arial" w:eastAsia="Arial" w:hAnsi="Arial"/>
          <w:sz w:val="12"/>
          <w:szCs w:val="12"/>
          <w:color w:val="auto"/>
        </w:rPr>
        <w:t>The fair value of long-term debt is classified within Level 2 of the valuation hierarchy. At August 3, 2019, the fair value approximated the carrying amount based upon terms available to the Company for borrowings with similar arrangements and remaining maturities.</w:t>
      </w:r>
    </w:p>
    <w:p>
      <w:pPr>
        <w:spacing w:after="0" w:line="114" w:lineRule="exact"/>
        <w:rPr>
          <w:sz w:val="20"/>
          <w:szCs w:val="20"/>
          <w:color w:val="auto"/>
        </w:rPr>
      </w:pPr>
    </w:p>
    <w:p>
      <w:pPr>
        <w:ind w:right="140"/>
        <w:spacing w:after="0" w:line="279" w:lineRule="auto"/>
        <w:rPr>
          <w:sz w:val="20"/>
          <w:szCs w:val="20"/>
          <w:color w:val="auto"/>
        </w:rPr>
      </w:pPr>
      <w:r>
        <w:rPr>
          <w:rFonts w:ascii="Arial" w:cs="Arial" w:eastAsia="Arial" w:hAnsi="Arial"/>
          <w:sz w:val="12"/>
          <w:szCs w:val="12"/>
          <w:color w:val="auto"/>
        </w:rPr>
        <w:t>The fair value of the “dxl.com” domain name, an indefinite-lived asset, is measured on a non-recurring basis in connection with the Company’s annual impairment test. The fair value of the domain name was determined to approximate carrying value, due to its recent acquisition in December, and is classified within Level 3 of the valuation hierarchy. See Intangibles above.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carrying amounts of cash and cash equivalents, accounts receivable, accounts payable, accrued expenses and short-term borrowings approximate fair value because of the short maturity of these instruments.</w:t>
      </w: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Accumulated Other Comprehensive Income (Loss) - (“AOCI”)</w:t>
      </w:r>
    </w:p>
    <w:p>
      <w:pPr>
        <w:spacing w:after="0" w:line="79" w:lineRule="exact"/>
        <w:rPr>
          <w:sz w:val="20"/>
          <w:szCs w:val="20"/>
          <w:color w:val="auto"/>
        </w:rPr>
      </w:pPr>
    </w:p>
    <w:p>
      <w:pPr>
        <w:spacing w:after="0"/>
        <w:rPr>
          <w:sz w:val="20"/>
          <w:szCs w:val="20"/>
          <w:color w:val="auto"/>
        </w:rPr>
      </w:pPr>
      <w:r>
        <w:rPr>
          <w:rFonts w:ascii="Arial" w:cs="Arial" w:eastAsia="Arial" w:hAnsi="Arial"/>
          <w:sz w:val="10"/>
          <w:szCs w:val="10"/>
          <w:color w:val="auto"/>
        </w:rPr>
        <w:t>Other comprehensive income (loss) includes amounts related to foreign currency and pension plans and is reported in the Consolidated Statements of Comprehensive Income (Loss). Other comprehensive income and reclassifications from</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AOCI for the three and six months ended August 3, 2019 and August 4, 2018, respectively,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60" w:type="dxa"/>
            <w:vAlign w:val="bottom"/>
            <w:vMerge w:val="restart"/>
          </w:tcPr>
          <w:p>
            <w:pPr>
              <w:spacing w:after="0"/>
              <w:rPr>
                <w:sz w:val="20"/>
                <w:szCs w:val="20"/>
                <w:color w:val="auto"/>
              </w:rPr>
            </w:pPr>
            <w:r>
              <w:rPr>
                <w:rFonts w:ascii="Arial" w:cs="Arial" w:eastAsia="Arial" w:hAnsi="Arial"/>
                <w:sz w:val="10"/>
                <w:szCs w:val="10"/>
                <w:i w:val="1"/>
                <w:iCs w:val="1"/>
                <w:color w:val="auto"/>
              </w:rPr>
              <w:t>For the three months ended:</w:t>
            </w:r>
          </w:p>
        </w:tc>
        <w:tc>
          <w:tcPr>
            <w:tcW w:w="14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color w:val="auto"/>
                <w:w w:val="86"/>
              </w:rPr>
              <w:t>August 3, 2019</w:t>
            </w: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color w:val="auto"/>
                <w:w w:val="89"/>
              </w:rPr>
              <w:t>August 4, 2018</w:t>
            </w: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386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vMerge w:val="restart"/>
          </w:tcPr>
          <w:p>
            <w:pPr>
              <w:jc w:val="center"/>
              <w:ind w:right="380"/>
              <w:spacing w:after="0"/>
              <w:rPr>
                <w:sz w:val="20"/>
                <w:szCs w:val="20"/>
                <w:color w:val="auto"/>
              </w:rPr>
            </w:pPr>
            <w:r>
              <w:rPr>
                <w:rFonts w:ascii="Arial" w:cs="Arial" w:eastAsia="Arial" w:hAnsi="Arial"/>
                <w:sz w:val="10"/>
                <w:szCs w:val="10"/>
                <w:color w:val="auto"/>
                <w:w w:val="82"/>
              </w:rPr>
              <w:t>Pension</w:t>
            </w:r>
          </w:p>
        </w:tc>
        <w:tc>
          <w:tcPr>
            <w:tcW w:w="100" w:type="dxa"/>
            <w:vAlign w:val="bottom"/>
          </w:tcPr>
          <w:p>
            <w:pPr>
              <w:spacing w:after="0"/>
              <w:rPr>
                <w:sz w:val="9"/>
                <w:szCs w:val="9"/>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0"/>
                <w:szCs w:val="10"/>
                <w:color w:val="auto"/>
                <w:w w:val="88"/>
              </w:rPr>
              <w:t>Foreign</w:t>
            </w:r>
          </w:p>
        </w:tc>
        <w:tc>
          <w:tcPr>
            <w:tcW w:w="200" w:type="dxa"/>
            <w:vAlign w:val="bottom"/>
          </w:tcPr>
          <w:p>
            <w:pPr>
              <w:spacing w:after="0"/>
              <w:rPr>
                <w:sz w:val="9"/>
                <w:szCs w:val="9"/>
                <w:color w:val="auto"/>
              </w:rPr>
            </w:pPr>
          </w:p>
        </w:tc>
        <w:tc>
          <w:tcPr>
            <w:tcW w:w="1060" w:type="dxa"/>
            <w:vAlign w:val="bottom"/>
            <w:gridSpan w:val="4"/>
          </w:tcPr>
          <w:p>
            <w:pPr>
              <w:jc w:val="right"/>
              <w:ind w:right="40"/>
              <w:spacing w:after="0" w:line="111" w:lineRule="exact"/>
              <w:rPr>
                <w:sz w:val="20"/>
                <w:szCs w:val="20"/>
                <w:color w:val="auto"/>
              </w:rPr>
            </w:pPr>
            <w:r>
              <w:rPr>
                <w:rFonts w:ascii="Arial" w:cs="Arial" w:eastAsia="Arial" w:hAnsi="Arial"/>
                <w:sz w:val="10"/>
                <w:szCs w:val="10"/>
                <w:i w:val="1"/>
                <w:iCs w:val="1"/>
                <w:color w:val="auto"/>
              </w:rPr>
              <w:t>(in thousands)</w:t>
            </w:r>
          </w:p>
        </w:tc>
        <w:tc>
          <w:tcPr>
            <w:tcW w:w="740" w:type="dxa"/>
            <w:vAlign w:val="bottom"/>
            <w:gridSpan w:val="2"/>
            <w:vMerge w:val="restart"/>
          </w:tcPr>
          <w:p>
            <w:pPr>
              <w:jc w:val="center"/>
              <w:ind w:right="360"/>
              <w:spacing w:after="0"/>
              <w:rPr>
                <w:sz w:val="20"/>
                <w:szCs w:val="20"/>
                <w:color w:val="auto"/>
              </w:rPr>
            </w:pPr>
            <w:r>
              <w:rPr>
                <w:rFonts w:ascii="Arial" w:cs="Arial" w:eastAsia="Arial" w:hAnsi="Arial"/>
                <w:sz w:val="10"/>
                <w:szCs w:val="10"/>
                <w:color w:val="auto"/>
                <w:w w:val="82"/>
              </w:rPr>
              <w:t>Pension</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right="340"/>
              <w:spacing w:after="0"/>
              <w:rPr>
                <w:sz w:val="20"/>
                <w:szCs w:val="20"/>
                <w:color w:val="auto"/>
              </w:rPr>
            </w:pPr>
            <w:r>
              <w:rPr>
                <w:rFonts w:ascii="Arial" w:cs="Arial" w:eastAsia="Arial" w:hAnsi="Arial"/>
                <w:sz w:val="10"/>
                <w:szCs w:val="10"/>
                <w:color w:val="auto"/>
                <w:w w:val="88"/>
              </w:rPr>
              <w:t>Foreign</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38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3860" w:type="dxa"/>
            <w:vAlign w:val="bottom"/>
            <w:vMerge w:val="restart"/>
          </w:tcPr>
          <w:p>
            <w:pPr>
              <w:spacing w:after="0"/>
              <w:rPr>
                <w:sz w:val="20"/>
                <w:szCs w:val="20"/>
                <w:color w:val="auto"/>
              </w:rPr>
            </w:pPr>
            <w:r>
              <w:rPr>
                <w:rFonts w:ascii="Arial" w:cs="Arial" w:eastAsia="Arial" w:hAnsi="Arial"/>
                <w:sz w:val="12"/>
                <w:szCs w:val="12"/>
                <w:color w:val="auto"/>
              </w:rPr>
              <w:t>Balance at beginning of the quarter</w:t>
            </w:r>
          </w:p>
        </w:tc>
        <w:tc>
          <w:tcPr>
            <w:tcW w:w="1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103"/>
              <w:spacing w:after="0" w:line="113" w:lineRule="exact"/>
              <w:rPr>
                <w:sz w:val="20"/>
                <w:szCs w:val="20"/>
                <w:color w:val="auto"/>
              </w:rPr>
            </w:pPr>
            <w:r>
              <w:rPr>
                <w:rFonts w:ascii="Arial" w:cs="Arial" w:eastAsia="Arial" w:hAnsi="Arial"/>
                <w:sz w:val="10"/>
                <w:szCs w:val="10"/>
                <w:color w:val="auto"/>
                <w:w w:val="87"/>
              </w:rPr>
              <w:t>Plans</w:t>
            </w: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center"/>
              <w:ind w:right="24"/>
              <w:spacing w:after="0" w:line="113" w:lineRule="exact"/>
              <w:rPr>
                <w:sz w:val="20"/>
                <w:szCs w:val="20"/>
                <w:color w:val="auto"/>
              </w:rPr>
            </w:pPr>
            <w:r>
              <w:rPr>
                <w:rFonts w:ascii="Arial" w:cs="Arial" w:eastAsia="Arial" w:hAnsi="Arial"/>
                <w:sz w:val="10"/>
                <w:szCs w:val="10"/>
                <w:color w:val="auto"/>
                <w:w w:val="88"/>
              </w:rPr>
              <w:t>Currency</w:t>
            </w: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43"/>
              <w:spacing w:after="0" w:line="113" w:lineRule="exact"/>
              <w:rPr>
                <w:sz w:val="20"/>
                <w:szCs w:val="20"/>
                <w:color w:val="auto"/>
              </w:rPr>
            </w:pPr>
            <w:r>
              <w:rPr>
                <w:rFonts w:ascii="Arial" w:cs="Arial" w:eastAsia="Arial" w:hAnsi="Arial"/>
                <w:sz w:val="10"/>
                <w:szCs w:val="10"/>
                <w:color w:val="auto"/>
              </w:rPr>
              <w:t>Total</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163"/>
              <w:spacing w:after="0" w:line="113" w:lineRule="exact"/>
              <w:rPr>
                <w:sz w:val="20"/>
                <w:szCs w:val="20"/>
                <w:color w:val="auto"/>
              </w:rPr>
            </w:pPr>
            <w:r>
              <w:rPr>
                <w:rFonts w:ascii="Arial" w:cs="Arial" w:eastAsia="Arial" w:hAnsi="Arial"/>
                <w:sz w:val="10"/>
                <w:szCs w:val="10"/>
                <w:color w:val="auto"/>
                <w:w w:val="87"/>
              </w:rPr>
              <w:t>Plans</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center"/>
              <w:ind w:right="24"/>
              <w:spacing w:after="0" w:line="113" w:lineRule="exact"/>
              <w:rPr>
                <w:sz w:val="20"/>
                <w:szCs w:val="20"/>
                <w:color w:val="auto"/>
              </w:rPr>
            </w:pPr>
            <w:r>
              <w:rPr>
                <w:rFonts w:ascii="Arial" w:cs="Arial" w:eastAsia="Arial" w:hAnsi="Arial"/>
                <w:sz w:val="10"/>
                <w:szCs w:val="10"/>
                <w:color w:val="auto"/>
                <w:w w:val="88"/>
              </w:rPr>
              <w:t>Currency</w:t>
            </w: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62"/>
              <w:spacing w:after="0" w:line="113" w:lineRule="exact"/>
              <w:rPr>
                <w:sz w:val="20"/>
                <w:szCs w:val="20"/>
                <w:color w:val="auto"/>
              </w:rPr>
            </w:pPr>
            <w:r>
              <w:rPr>
                <w:rFonts w:ascii="Arial" w:cs="Arial" w:eastAsia="Arial" w:hAnsi="Arial"/>
                <w:sz w:val="10"/>
                <w:szCs w:val="10"/>
                <w:color w:val="auto"/>
              </w:rPr>
              <w:t>Total</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860" w:type="dxa"/>
            <w:vAlign w:val="bottom"/>
            <w:vMerge w:val="continue"/>
          </w:tcPr>
          <w:p>
            <w:pPr>
              <w:spacing w:after="0"/>
              <w:rPr>
                <w:sz w:val="12"/>
                <w:szCs w:val="12"/>
                <w:color w:val="auto"/>
              </w:rPr>
            </w:pPr>
          </w:p>
        </w:tc>
        <w:tc>
          <w:tcPr>
            <w:tcW w:w="1620" w:type="dxa"/>
            <w:vAlign w:val="bottom"/>
            <w:gridSpan w:val="2"/>
          </w:tcPr>
          <w:p>
            <w:pPr>
              <w:jc w:val="right"/>
              <w:ind w:right="5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(5,371)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(686)</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(6,057)</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(5,711)</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(529)</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(6,240)</w:t>
            </w:r>
          </w:p>
        </w:tc>
        <w:tc>
          <w:tcPr>
            <w:tcW w:w="0" w:type="dxa"/>
            <w:vAlign w:val="bottom"/>
          </w:tcPr>
          <w:p>
            <w:pPr>
              <w:spacing w:after="0"/>
              <w:rPr>
                <w:sz w:val="1"/>
                <w:szCs w:val="1"/>
                <w:color w:val="auto"/>
              </w:rPr>
            </w:pPr>
          </w:p>
        </w:tc>
      </w:tr>
      <w:tr>
        <w:trPr>
          <w:trHeight w:val="154"/>
        </w:trPr>
        <w:tc>
          <w:tcPr>
            <w:tcW w:w="38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rPr>
                <w:sz w:val="20"/>
                <w:szCs w:val="20"/>
                <w:color w:val="auto"/>
              </w:rPr>
            </w:pPr>
            <w:r>
              <w:rPr>
                <w:rFonts w:ascii="Arial" w:cs="Arial" w:eastAsia="Arial" w:hAnsi="Arial"/>
                <w:sz w:val="12"/>
                <w:szCs w:val="12"/>
                <w:color w:val="auto"/>
              </w:rPr>
              <w:t>Other comprehensive income (loss) before</w:t>
            </w: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860" w:type="dxa"/>
            <w:vAlign w:val="bottom"/>
          </w:tcPr>
          <w:p>
            <w:pPr>
              <w:ind w:left="80"/>
              <w:spacing w:after="0"/>
              <w:rPr>
                <w:sz w:val="20"/>
                <w:szCs w:val="20"/>
                <w:color w:val="auto"/>
              </w:rPr>
            </w:pPr>
            <w:r>
              <w:rPr>
                <w:rFonts w:ascii="Arial" w:cs="Arial" w:eastAsia="Arial" w:hAnsi="Arial"/>
                <w:sz w:val="12"/>
                <w:szCs w:val="12"/>
                <w:color w:val="auto"/>
              </w:rPr>
              <w:t>reclassifications, net of taxes</w:t>
            </w: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(40)</w:t>
            </w:r>
          </w:p>
        </w:tc>
        <w:tc>
          <w:tcPr>
            <w:tcW w:w="2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w:t>
            </w:r>
          </w:p>
        </w:tc>
        <w:tc>
          <w:tcPr>
            <w:tcW w:w="1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54"/>
        </w:trPr>
        <w:tc>
          <w:tcPr>
            <w:tcW w:w="38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rPr>
                <w:sz w:val="20"/>
                <w:szCs w:val="20"/>
                <w:color w:val="auto"/>
              </w:rPr>
            </w:pPr>
            <w:r>
              <w:rPr>
                <w:rFonts w:ascii="Arial" w:cs="Arial" w:eastAsia="Arial" w:hAnsi="Arial"/>
                <w:sz w:val="12"/>
                <w:szCs w:val="12"/>
                <w:color w:val="auto"/>
              </w:rPr>
              <w:t>Amounts reclassified from accumulated other</w:t>
            </w: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860" w:type="dxa"/>
            <w:vAlign w:val="bottom"/>
          </w:tcPr>
          <w:p>
            <w:pPr>
              <w:ind w:left="80"/>
              <w:spacing w:after="0"/>
              <w:rPr>
                <w:sz w:val="20"/>
                <w:szCs w:val="20"/>
                <w:color w:val="auto"/>
              </w:rPr>
            </w:pPr>
            <w:r>
              <w:rPr>
                <w:rFonts w:ascii="Arial" w:cs="Arial" w:eastAsia="Arial" w:hAnsi="Arial"/>
                <w:sz w:val="12"/>
                <w:szCs w:val="12"/>
                <w:color w:val="auto"/>
              </w:rPr>
              <w:t xml:space="preserve">comprehensive income, net of taxes </w:t>
            </w:r>
            <w:r>
              <w:rPr>
                <w:rFonts w:ascii="Arial" w:cs="Arial" w:eastAsia="Arial" w:hAnsi="Arial"/>
                <w:sz w:val="10"/>
                <w:szCs w:val="10"/>
                <w:color w:val="auto"/>
              </w:rPr>
              <w:t>(1)</w:t>
            </w: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860" w:type="dxa"/>
            <w:vAlign w:val="bottom"/>
            <w:tcBorders>
              <w:top w:val="single" w:sz="8" w:color="CFF0FC"/>
            </w:tcBorders>
            <w:shd w:val="clear" w:color="auto" w:fill="CFF0FC"/>
          </w:tcPr>
          <w:p>
            <w:pPr>
              <w:spacing w:after="0"/>
              <w:rPr>
                <w:sz w:val="12"/>
                <w:szCs w:val="12"/>
                <w:color w:val="auto"/>
              </w:rPr>
            </w:pPr>
          </w:p>
        </w:tc>
        <w:tc>
          <w:tcPr>
            <w:tcW w:w="14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860" w:type="dxa"/>
            <w:vAlign w:val="bottom"/>
          </w:tcPr>
          <w:p>
            <w:pPr>
              <w:spacing w:after="0"/>
              <w:rPr>
                <w:sz w:val="20"/>
                <w:szCs w:val="20"/>
                <w:color w:val="auto"/>
              </w:rPr>
            </w:pPr>
            <w:r>
              <w:rPr>
                <w:rFonts w:ascii="Arial" w:cs="Arial" w:eastAsia="Arial" w:hAnsi="Arial"/>
                <w:sz w:val="12"/>
                <w:szCs w:val="12"/>
                <w:color w:val="auto"/>
              </w:rPr>
              <w:t>Other comprehensive income (loss) for the period</w:t>
            </w: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(40)</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860" w:type="dxa"/>
            <w:vAlign w:val="bottom"/>
          </w:tcPr>
          <w:p>
            <w:pPr>
              <w:spacing w:after="0"/>
              <w:rPr>
                <w:sz w:val="20"/>
                <w:szCs w:val="20"/>
                <w:color w:val="auto"/>
              </w:rPr>
            </w:pPr>
            <w:r>
              <w:rPr>
                <w:rFonts w:ascii="Arial" w:cs="Arial" w:eastAsia="Arial" w:hAnsi="Arial"/>
                <w:sz w:val="12"/>
                <w:szCs w:val="12"/>
                <w:color w:val="auto"/>
              </w:rPr>
              <w:t>Balance at end of quarter</w:t>
            </w:r>
          </w:p>
        </w:tc>
        <w:tc>
          <w:tcPr>
            <w:tcW w:w="1460" w:type="dxa"/>
            <w:vAlign w:val="bottom"/>
          </w:tcPr>
          <w:p>
            <w:pPr>
              <w:spacing w:after="0"/>
              <w:rPr>
                <w:sz w:val="13"/>
                <w:szCs w:val="13"/>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(5,229)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(726)</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(5,955)</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(5,595)</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(604)</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(6,199)</w:t>
            </w:r>
          </w:p>
        </w:tc>
        <w:tc>
          <w:tcPr>
            <w:tcW w:w="0" w:type="dxa"/>
            <w:vAlign w:val="bottom"/>
          </w:tcPr>
          <w:p>
            <w:pPr>
              <w:spacing w:after="0"/>
              <w:rPr>
                <w:sz w:val="1"/>
                <w:szCs w:val="1"/>
                <w:color w:val="auto"/>
              </w:rPr>
            </w:pPr>
          </w:p>
        </w:tc>
      </w:tr>
      <w:tr>
        <w:trPr>
          <w:trHeight w:val="371"/>
        </w:trPr>
        <w:tc>
          <w:tcPr>
            <w:tcW w:w="3860" w:type="dxa"/>
            <w:vAlign w:val="bottom"/>
            <w:vMerge w:val="restart"/>
          </w:tcPr>
          <w:p>
            <w:pPr>
              <w:spacing w:after="0"/>
              <w:rPr>
                <w:sz w:val="20"/>
                <w:szCs w:val="20"/>
                <w:color w:val="auto"/>
              </w:rPr>
            </w:pPr>
            <w:r>
              <w:rPr>
                <w:rFonts w:ascii="Arial" w:cs="Arial" w:eastAsia="Arial" w:hAnsi="Arial"/>
                <w:sz w:val="10"/>
                <w:szCs w:val="10"/>
                <w:i w:val="1"/>
                <w:iCs w:val="1"/>
                <w:color w:val="auto"/>
              </w:rPr>
              <w:t>For the six months ended:</w:t>
            </w:r>
          </w:p>
        </w:tc>
        <w:tc>
          <w:tcPr>
            <w:tcW w:w="146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center"/>
              <w:ind w:right="44"/>
              <w:spacing w:after="0"/>
              <w:rPr>
                <w:sz w:val="20"/>
                <w:szCs w:val="20"/>
                <w:color w:val="auto"/>
              </w:rPr>
            </w:pPr>
            <w:r>
              <w:rPr>
                <w:rFonts w:ascii="Arial" w:cs="Arial" w:eastAsia="Arial" w:hAnsi="Arial"/>
                <w:sz w:val="10"/>
                <w:szCs w:val="10"/>
                <w:color w:val="auto"/>
                <w:w w:val="86"/>
              </w:rPr>
              <w:t>August 3, 2019</w:t>
            </w:r>
          </w:p>
        </w:tc>
        <w:tc>
          <w:tcPr>
            <w:tcW w:w="2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center"/>
              <w:ind w:right="24"/>
              <w:spacing w:after="0"/>
              <w:rPr>
                <w:sz w:val="20"/>
                <w:szCs w:val="20"/>
                <w:color w:val="auto"/>
              </w:rPr>
            </w:pPr>
            <w:r>
              <w:rPr>
                <w:rFonts w:ascii="Arial" w:cs="Arial" w:eastAsia="Arial" w:hAnsi="Arial"/>
                <w:sz w:val="10"/>
                <w:szCs w:val="10"/>
                <w:color w:val="auto"/>
                <w:w w:val="89"/>
              </w:rPr>
              <w:t>August 4, 2018</w:t>
            </w:r>
          </w:p>
        </w:tc>
        <w:tc>
          <w:tcPr>
            <w:tcW w:w="24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86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vMerge w:val="restart"/>
          </w:tcPr>
          <w:p>
            <w:pPr>
              <w:jc w:val="center"/>
              <w:ind w:right="380"/>
              <w:spacing w:after="0"/>
              <w:rPr>
                <w:sz w:val="20"/>
                <w:szCs w:val="20"/>
                <w:color w:val="auto"/>
              </w:rPr>
            </w:pPr>
            <w:r>
              <w:rPr>
                <w:rFonts w:ascii="Arial" w:cs="Arial" w:eastAsia="Arial" w:hAnsi="Arial"/>
                <w:sz w:val="10"/>
                <w:szCs w:val="10"/>
                <w:color w:val="auto"/>
                <w:w w:val="82"/>
              </w:rPr>
              <w:t>Pension</w:t>
            </w:r>
          </w:p>
        </w:tc>
        <w:tc>
          <w:tcPr>
            <w:tcW w:w="100" w:type="dxa"/>
            <w:vAlign w:val="bottom"/>
          </w:tcPr>
          <w:p>
            <w:pPr>
              <w:spacing w:after="0"/>
              <w:rPr>
                <w:sz w:val="9"/>
                <w:szCs w:val="9"/>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0"/>
                <w:szCs w:val="10"/>
                <w:color w:val="auto"/>
                <w:w w:val="88"/>
              </w:rPr>
              <w:t>Foreign</w:t>
            </w:r>
          </w:p>
        </w:tc>
        <w:tc>
          <w:tcPr>
            <w:tcW w:w="200" w:type="dxa"/>
            <w:vAlign w:val="bottom"/>
          </w:tcPr>
          <w:p>
            <w:pPr>
              <w:spacing w:after="0"/>
              <w:rPr>
                <w:sz w:val="9"/>
                <w:szCs w:val="9"/>
                <w:color w:val="auto"/>
              </w:rPr>
            </w:pPr>
          </w:p>
        </w:tc>
        <w:tc>
          <w:tcPr>
            <w:tcW w:w="1060" w:type="dxa"/>
            <w:vAlign w:val="bottom"/>
            <w:gridSpan w:val="4"/>
          </w:tcPr>
          <w:p>
            <w:pPr>
              <w:jc w:val="right"/>
              <w:ind w:right="40"/>
              <w:spacing w:after="0" w:line="111" w:lineRule="exact"/>
              <w:rPr>
                <w:sz w:val="20"/>
                <w:szCs w:val="20"/>
                <w:color w:val="auto"/>
              </w:rPr>
            </w:pPr>
            <w:r>
              <w:rPr>
                <w:rFonts w:ascii="Arial" w:cs="Arial" w:eastAsia="Arial" w:hAnsi="Arial"/>
                <w:sz w:val="10"/>
                <w:szCs w:val="10"/>
                <w:i w:val="1"/>
                <w:iCs w:val="1"/>
                <w:color w:val="auto"/>
              </w:rPr>
              <w:t>(in thousands)</w:t>
            </w:r>
          </w:p>
        </w:tc>
        <w:tc>
          <w:tcPr>
            <w:tcW w:w="740" w:type="dxa"/>
            <w:vAlign w:val="bottom"/>
            <w:gridSpan w:val="2"/>
            <w:vMerge w:val="restart"/>
          </w:tcPr>
          <w:p>
            <w:pPr>
              <w:jc w:val="center"/>
              <w:ind w:right="360"/>
              <w:spacing w:after="0"/>
              <w:rPr>
                <w:sz w:val="20"/>
                <w:szCs w:val="20"/>
                <w:color w:val="auto"/>
              </w:rPr>
            </w:pPr>
            <w:r>
              <w:rPr>
                <w:rFonts w:ascii="Arial" w:cs="Arial" w:eastAsia="Arial" w:hAnsi="Arial"/>
                <w:sz w:val="10"/>
                <w:szCs w:val="10"/>
                <w:color w:val="auto"/>
                <w:w w:val="82"/>
              </w:rPr>
              <w:t>Pension</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right="340"/>
              <w:spacing w:after="0"/>
              <w:rPr>
                <w:sz w:val="20"/>
                <w:szCs w:val="20"/>
                <w:color w:val="auto"/>
              </w:rPr>
            </w:pPr>
            <w:r>
              <w:rPr>
                <w:rFonts w:ascii="Arial" w:cs="Arial" w:eastAsia="Arial" w:hAnsi="Arial"/>
                <w:sz w:val="10"/>
                <w:szCs w:val="10"/>
                <w:color w:val="auto"/>
                <w:w w:val="88"/>
              </w:rPr>
              <w:t>Foreign</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38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3860" w:type="dxa"/>
            <w:vAlign w:val="bottom"/>
            <w:vMerge w:val="restart"/>
          </w:tcPr>
          <w:p>
            <w:pPr>
              <w:spacing w:after="0"/>
              <w:rPr>
                <w:sz w:val="20"/>
                <w:szCs w:val="20"/>
                <w:color w:val="auto"/>
              </w:rPr>
            </w:pPr>
            <w:r>
              <w:rPr>
                <w:rFonts w:ascii="Arial" w:cs="Arial" w:eastAsia="Arial" w:hAnsi="Arial"/>
                <w:sz w:val="12"/>
                <w:szCs w:val="12"/>
                <w:color w:val="auto"/>
              </w:rPr>
              <w:t>Balance at beginning of fiscal year</w:t>
            </w:r>
          </w:p>
        </w:tc>
        <w:tc>
          <w:tcPr>
            <w:tcW w:w="1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center"/>
              <w:ind w:right="103"/>
              <w:spacing w:after="0" w:line="113" w:lineRule="exact"/>
              <w:rPr>
                <w:sz w:val="20"/>
                <w:szCs w:val="20"/>
                <w:color w:val="auto"/>
              </w:rPr>
            </w:pPr>
            <w:r>
              <w:rPr>
                <w:rFonts w:ascii="Arial" w:cs="Arial" w:eastAsia="Arial" w:hAnsi="Arial"/>
                <w:sz w:val="10"/>
                <w:szCs w:val="10"/>
                <w:color w:val="auto"/>
                <w:w w:val="87"/>
              </w:rPr>
              <w:t>Plans</w:t>
            </w: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center"/>
              <w:ind w:right="24"/>
              <w:spacing w:after="0" w:line="113" w:lineRule="exact"/>
              <w:rPr>
                <w:sz w:val="20"/>
                <w:szCs w:val="20"/>
                <w:color w:val="auto"/>
              </w:rPr>
            </w:pPr>
            <w:r>
              <w:rPr>
                <w:rFonts w:ascii="Arial" w:cs="Arial" w:eastAsia="Arial" w:hAnsi="Arial"/>
                <w:sz w:val="10"/>
                <w:szCs w:val="10"/>
                <w:color w:val="auto"/>
                <w:w w:val="88"/>
              </w:rPr>
              <w:t>Currency</w:t>
            </w: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43"/>
              <w:spacing w:after="0" w:line="113" w:lineRule="exact"/>
              <w:rPr>
                <w:sz w:val="20"/>
                <w:szCs w:val="20"/>
                <w:color w:val="auto"/>
              </w:rPr>
            </w:pPr>
            <w:r>
              <w:rPr>
                <w:rFonts w:ascii="Arial" w:cs="Arial" w:eastAsia="Arial" w:hAnsi="Arial"/>
                <w:sz w:val="10"/>
                <w:szCs w:val="10"/>
                <w:color w:val="auto"/>
              </w:rPr>
              <w:t>Total</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163"/>
              <w:spacing w:after="0" w:line="113" w:lineRule="exact"/>
              <w:rPr>
                <w:sz w:val="20"/>
                <w:szCs w:val="20"/>
                <w:color w:val="auto"/>
              </w:rPr>
            </w:pPr>
            <w:r>
              <w:rPr>
                <w:rFonts w:ascii="Arial" w:cs="Arial" w:eastAsia="Arial" w:hAnsi="Arial"/>
                <w:sz w:val="10"/>
                <w:szCs w:val="10"/>
                <w:color w:val="auto"/>
                <w:w w:val="87"/>
              </w:rPr>
              <w:t>Plans</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center"/>
              <w:ind w:right="24"/>
              <w:spacing w:after="0" w:line="113" w:lineRule="exact"/>
              <w:rPr>
                <w:sz w:val="20"/>
                <w:szCs w:val="20"/>
                <w:color w:val="auto"/>
              </w:rPr>
            </w:pPr>
            <w:r>
              <w:rPr>
                <w:rFonts w:ascii="Arial" w:cs="Arial" w:eastAsia="Arial" w:hAnsi="Arial"/>
                <w:sz w:val="10"/>
                <w:szCs w:val="10"/>
                <w:color w:val="auto"/>
                <w:w w:val="88"/>
              </w:rPr>
              <w:t>Currency</w:t>
            </w: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62"/>
              <w:spacing w:after="0" w:line="113" w:lineRule="exact"/>
              <w:rPr>
                <w:sz w:val="20"/>
                <w:szCs w:val="20"/>
                <w:color w:val="auto"/>
              </w:rPr>
            </w:pPr>
            <w:r>
              <w:rPr>
                <w:rFonts w:ascii="Arial" w:cs="Arial" w:eastAsia="Arial" w:hAnsi="Arial"/>
                <w:sz w:val="10"/>
                <w:szCs w:val="10"/>
                <w:color w:val="auto"/>
              </w:rPr>
              <w:t>Total</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860" w:type="dxa"/>
            <w:vAlign w:val="bottom"/>
            <w:vMerge w:val="continue"/>
          </w:tcPr>
          <w:p>
            <w:pPr>
              <w:spacing w:after="0"/>
              <w:rPr>
                <w:sz w:val="12"/>
                <w:szCs w:val="12"/>
                <w:color w:val="auto"/>
              </w:rPr>
            </w:pPr>
          </w:p>
        </w:tc>
        <w:tc>
          <w:tcPr>
            <w:tcW w:w="1620" w:type="dxa"/>
            <w:vAlign w:val="bottom"/>
            <w:gridSpan w:val="2"/>
          </w:tcPr>
          <w:p>
            <w:pPr>
              <w:jc w:val="right"/>
              <w:ind w:right="5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(5,521)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(662)</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(6,183)</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(5,840)</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(403)</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(6,243)</w:t>
            </w:r>
          </w:p>
        </w:tc>
        <w:tc>
          <w:tcPr>
            <w:tcW w:w="0" w:type="dxa"/>
            <w:vAlign w:val="bottom"/>
          </w:tcPr>
          <w:p>
            <w:pPr>
              <w:spacing w:after="0"/>
              <w:rPr>
                <w:sz w:val="1"/>
                <w:szCs w:val="1"/>
                <w:color w:val="auto"/>
              </w:rPr>
            </w:pPr>
          </w:p>
        </w:tc>
      </w:tr>
      <w:tr>
        <w:trPr>
          <w:trHeight w:val="154"/>
        </w:trPr>
        <w:tc>
          <w:tcPr>
            <w:tcW w:w="38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rPr>
                <w:sz w:val="20"/>
                <w:szCs w:val="20"/>
                <w:color w:val="auto"/>
              </w:rPr>
            </w:pPr>
            <w:r>
              <w:rPr>
                <w:rFonts w:ascii="Arial" w:cs="Arial" w:eastAsia="Arial" w:hAnsi="Arial"/>
                <w:sz w:val="12"/>
                <w:szCs w:val="12"/>
                <w:color w:val="auto"/>
              </w:rPr>
              <w:t>Other comprehensive income (loss) before</w:t>
            </w: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860" w:type="dxa"/>
            <w:vAlign w:val="bottom"/>
          </w:tcPr>
          <w:p>
            <w:pPr>
              <w:ind w:left="80"/>
              <w:spacing w:after="0"/>
              <w:rPr>
                <w:sz w:val="20"/>
                <w:szCs w:val="20"/>
                <w:color w:val="auto"/>
              </w:rPr>
            </w:pPr>
            <w:r>
              <w:rPr>
                <w:rFonts w:ascii="Arial" w:cs="Arial" w:eastAsia="Arial" w:hAnsi="Arial"/>
                <w:sz w:val="12"/>
                <w:szCs w:val="12"/>
                <w:color w:val="auto"/>
              </w:rPr>
              <w:t>reclassifications, net of taxes</w:t>
            </w: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(64)</w:t>
            </w:r>
          </w:p>
        </w:tc>
        <w:tc>
          <w:tcPr>
            <w:tcW w:w="2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(201)</w:t>
            </w:r>
          </w:p>
        </w:tc>
        <w:tc>
          <w:tcPr>
            <w:tcW w:w="1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54"/>
        </w:trPr>
        <w:tc>
          <w:tcPr>
            <w:tcW w:w="38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rPr>
                <w:sz w:val="20"/>
                <w:szCs w:val="20"/>
                <w:color w:val="auto"/>
              </w:rPr>
            </w:pPr>
            <w:r>
              <w:rPr>
                <w:rFonts w:ascii="Arial" w:cs="Arial" w:eastAsia="Arial" w:hAnsi="Arial"/>
                <w:sz w:val="12"/>
                <w:szCs w:val="12"/>
                <w:color w:val="auto"/>
              </w:rPr>
              <w:t>Amounts reclassified from accumulated other</w:t>
            </w: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860" w:type="dxa"/>
            <w:vAlign w:val="bottom"/>
          </w:tcPr>
          <w:p>
            <w:pPr>
              <w:ind w:left="80"/>
              <w:spacing w:after="0"/>
              <w:rPr>
                <w:sz w:val="20"/>
                <w:szCs w:val="20"/>
                <w:color w:val="auto"/>
              </w:rPr>
            </w:pPr>
            <w:r>
              <w:rPr>
                <w:rFonts w:ascii="Arial" w:cs="Arial" w:eastAsia="Arial" w:hAnsi="Arial"/>
                <w:sz w:val="12"/>
                <w:szCs w:val="12"/>
                <w:color w:val="auto"/>
              </w:rPr>
              <w:t xml:space="preserve">comprehensive income, net of taxes </w:t>
            </w:r>
            <w:r>
              <w:rPr>
                <w:rFonts w:ascii="Arial" w:cs="Arial" w:eastAsia="Arial" w:hAnsi="Arial"/>
                <w:sz w:val="10"/>
                <w:szCs w:val="10"/>
                <w:color w:val="auto"/>
              </w:rPr>
              <w:t>(1)</w:t>
            </w: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237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860" w:type="dxa"/>
            <w:vAlign w:val="bottom"/>
            <w:tcBorders>
              <w:top w:val="single" w:sz="8" w:color="CFF0FC"/>
            </w:tcBorders>
            <w:shd w:val="clear" w:color="auto" w:fill="CFF0FC"/>
          </w:tcPr>
          <w:p>
            <w:pPr>
              <w:spacing w:after="0"/>
              <w:rPr>
                <w:sz w:val="12"/>
                <w:szCs w:val="12"/>
                <w:color w:val="auto"/>
              </w:rPr>
            </w:pPr>
          </w:p>
        </w:tc>
        <w:tc>
          <w:tcPr>
            <w:tcW w:w="14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860" w:type="dxa"/>
            <w:vAlign w:val="bottom"/>
          </w:tcPr>
          <w:p>
            <w:pPr>
              <w:spacing w:after="0"/>
              <w:rPr>
                <w:sz w:val="20"/>
                <w:szCs w:val="20"/>
                <w:color w:val="auto"/>
              </w:rPr>
            </w:pPr>
            <w:r>
              <w:rPr>
                <w:rFonts w:ascii="Arial" w:cs="Arial" w:eastAsia="Arial" w:hAnsi="Arial"/>
                <w:sz w:val="12"/>
                <w:szCs w:val="12"/>
                <w:color w:val="auto"/>
              </w:rPr>
              <w:t>Other comprehensive income (loss) for the period</w:t>
            </w: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292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(64)</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(201)</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8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860" w:type="dxa"/>
            <w:vAlign w:val="bottom"/>
          </w:tcPr>
          <w:p>
            <w:pPr>
              <w:spacing w:after="0"/>
              <w:rPr>
                <w:sz w:val="20"/>
                <w:szCs w:val="20"/>
                <w:color w:val="auto"/>
              </w:rPr>
            </w:pPr>
            <w:r>
              <w:rPr>
                <w:rFonts w:ascii="Arial" w:cs="Arial" w:eastAsia="Arial" w:hAnsi="Arial"/>
                <w:sz w:val="12"/>
                <w:szCs w:val="12"/>
                <w:color w:val="auto"/>
              </w:rPr>
              <w:t>Balance at end of quarter</w:t>
            </w:r>
          </w:p>
        </w:tc>
        <w:tc>
          <w:tcPr>
            <w:tcW w:w="146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(5,229)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(726)</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(5,955)</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(5,595)</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(604)</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(6,199)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760" w:right="180" w:hanging="387"/>
        <w:spacing w:after="0" w:line="265" w:lineRule="auto"/>
        <w:tabs>
          <w:tab w:leader="none" w:pos="760" w:val="left"/>
        </w:tabs>
        <w:numPr>
          <w:ilvl w:val="0"/>
          <w:numId w:val="2"/>
        </w:numPr>
        <w:rPr>
          <w:rFonts w:ascii="Arial" w:cs="Arial" w:eastAsia="Arial" w:hAnsi="Arial"/>
          <w:sz w:val="12"/>
          <w:szCs w:val="12"/>
          <w:color w:val="auto"/>
        </w:rPr>
      </w:pPr>
      <w:r>
        <w:rPr>
          <w:rFonts w:ascii="Arial" w:cs="Arial" w:eastAsia="Arial" w:hAnsi="Arial"/>
          <w:sz w:val="12"/>
          <w:szCs w:val="12"/>
          <w:color w:val="auto"/>
        </w:rPr>
        <w:t>Includes the amortization of the unrecognized loss on pension plans, which was charged to “Selling, General and Administrative” Expense on the Consolidated Statements of Operations for all periods presented. The amortization of the unrecognized loss, before tax, was $156,000 and $79,000 for the three months ended August 3, 2019 and August 4, 2018, respectively, and $321,000 and $177,000 for the six months ended August 3, 2019 and August 4, 2018, respectively.</w:t>
      </w:r>
    </w:p>
    <w:p>
      <w:pPr>
        <w:spacing w:after="0" w:line="322" w:lineRule="exact"/>
        <w:rPr>
          <w:sz w:val="20"/>
          <w:szCs w:val="20"/>
          <w:color w:val="auto"/>
        </w:rPr>
      </w:pPr>
    </w:p>
    <w:p>
      <w:pPr>
        <w:ind w:right="240"/>
        <w:spacing w:after="0" w:line="279" w:lineRule="auto"/>
        <w:rPr>
          <w:sz w:val="20"/>
          <w:szCs w:val="20"/>
          <w:color w:val="auto"/>
        </w:rPr>
      </w:pPr>
      <w:r>
        <w:rPr>
          <w:rFonts w:ascii="Arial" w:cs="Arial" w:eastAsia="Arial" w:hAnsi="Arial"/>
          <w:sz w:val="12"/>
          <w:szCs w:val="12"/>
          <w:b w:val="1"/>
          <w:bCs w:val="1"/>
          <w:i w:val="1"/>
          <w:iCs w:val="1"/>
          <w:color w:val="auto"/>
        </w:rPr>
        <w:t xml:space="preserve">Stock-based Compensation </w:t>
      </w:r>
      <w:r>
        <w:rPr>
          <w:rFonts w:ascii="Arial" w:cs="Arial" w:eastAsia="Arial" w:hAnsi="Arial"/>
          <w:sz w:val="12"/>
          <w:szCs w:val="12"/>
          <w:color w:val="auto"/>
        </w:rPr>
        <w:t>All share-based payments, including grants of employee stock options and restricted stock, are recognized as an expense in the Consolidated Statements of Operations based on their fair values and vesting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periods. The fair value of stock options is determined using the Black-Scholes valuation model and requires the input of subjective assumptions. These assumptions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76" w:right="199" w:bottom="1440" w:gutter="0" w:footer="0" w:header="0"/>
        </w:sectPr>
      </w:pPr>
    </w:p>
    <w:bookmarkStart w:id="9" w:name="page10"/>
    <w:bookmarkEnd w:id="9"/>
    <w:p>
      <w:pPr>
        <w:spacing w:after="0" w:line="257" w:lineRule="auto"/>
        <w:rPr>
          <w:sz w:val="20"/>
          <w:szCs w:val="20"/>
          <w:color w:val="auto"/>
        </w:rPr>
      </w:pPr>
      <w:r>
        <w:rPr>
          <w:rFonts w:ascii="Arial" w:cs="Arial" w:eastAsia="Arial" w:hAnsi="Arial"/>
          <w:sz w:val="12"/>
          <w:szCs w:val="12"/>
          <w:color w:val="auto"/>
        </w:rPr>
        <w:t>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 During the first six months of fiscal 2019, the Company granted performance stock units with a market condition. See Note 6 for disclosure concerning the assumptions and valuation method used to determine the fair value of the award and the associated derived service period over which the associated stock compensation will be recognized.</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of Long-Lived Assets</w:t>
      </w:r>
    </w:p>
    <w:p>
      <w:pPr>
        <w:spacing w:after="0" w:line="152"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There was no material impairment of long-lived assets in the first six months of fiscal 2019 or fiscal 2018.</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Adopted Accounting Pronouncements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In February 2016, the FASB issued ASU 2016-02, “</w:t>
      </w:r>
      <w:r>
        <w:rPr>
          <w:rFonts w:ascii="Arial" w:cs="Arial" w:eastAsia="Arial" w:hAnsi="Arial"/>
          <w:sz w:val="12"/>
          <w:szCs w:val="12"/>
          <w:i w:val="1"/>
          <w:iCs w:val="1"/>
          <w:color w:val="auto"/>
        </w:rPr>
        <w:t>Leases (Topic 842)</w:t>
      </w:r>
      <w:r>
        <w:rPr>
          <w:rFonts w:ascii="Arial" w:cs="Arial" w:eastAsia="Arial" w:hAnsi="Arial"/>
          <w:sz w:val="12"/>
          <w:szCs w:val="12"/>
          <w:color w:val="auto"/>
        </w:rPr>
        <w:t>.” This ASU is a comprehensive new standard that amends various aspects of existing guidance for leases and requires additional disclosures about leasing arrangements. It requires lessees to recognize lease assets and lease liabilities for most leases, including those leases previously classified as operating leases under GAAP. The ASU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 guidance. ASU 2016-02 requires a modified retrospective transition for financing or operating leases existing at or entered into after the beginning of the earliest comparative period presented in the financial statements. In July 2018, the FASB issued ASU 2018-11 “</w:t>
      </w:r>
      <w:r>
        <w:rPr>
          <w:rFonts w:ascii="Arial" w:cs="Arial" w:eastAsia="Arial" w:hAnsi="Arial"/>
          <w:sz w:val="12"/>
          <w:szCs w:val="12"/>
          <w:i w:val="1"/>
          <w:iCs w:val="1"/>
          <w:color w:val="auto"/>
        </w:rPr>
        <w:t>Leases (Topic 842): Targeted Improvements</w:t>
      </w:r>
      <w:r>
        <w:rPr>
          <w:rFonts w:ascii="Arial" w:cs="Arial" w:eastAsia="Arial" w:hAnsi="Arial"/>
          <w:sz w:val="12"/>
          <w:szCs w:val="12"/>
          <w:color w:val="auto"/>
        </w:rPr>
        <w:t>” that allows entities to recognize a cumulative-effect adjustment to the opening balance of retained earnings in the period of adoption without adjustment to the financial statements for periods prior to adoption.</w:t>
      </w:r>
    </w:p>
    <w:p>
      <w:pPr>
        <w:spacing w:after="0" w:line="55" w:lineRule="exact"/>
        <w:rPr>
          <w:sz w:val="20"/>
          <w:szCs w:val="20"/>
          <w:color w:val="auto"/>
        </w:rPr>
      </w:pPr>
    </w:p>
    <w:p>
      <w:pPr>
        <w:ind w:right="220"/>
        <w:spacing w:after="0" w:line="279" w:lineRule="auto"/>
        <w:rPr>
          <w:sz w:val="20"/>
          <w:szCs w:val="20"/>
          <w:color w:val="auto"/>
        </w:rPr>
      </w:pPr>
      <w:r>
        <w:rPr>
          <w:rFonts w:ascii="Arial" w:cs="Arial" w:eastAsia="Arial" w:hAnsi="Arial"/>
          <w:sz w:val="12"/>
          <w:szCs w:val="12"/>
          <w:color w:val="auto"/>
        </w:rPr>
        <w:t>The Company adopted ASU 2016-02 on February 3, 2019 on a modified retrospective basis and applied the new standard to all leases through a cumulative-effect adjustment to beginning accumulated deficit. As a result, comparative financial information has not been restated and continues to be reported under the accounting standards in effect for the respective periods.</w:t>
      </w:r>
    </w:p>
    <w:p>
      <w:pPr>
        <w:spacing w:after="0" w:line="41"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On February 3, 2019, the Company recognized leases, primarily related to its stores and corporate headquarters, on its Consolidated Balance Sheet, as right-of use assets of $214.1 million with corresponding lease liabilities of $254.5 million and eliminated certain existing lease-related asset and liabilities as a net adjustment to the right-of-use assets. In connection with this adoption, the Company recorded a transition adjustment, which was a net credit of $5.3 million to opening accumulated deficit. This adjustment reflected the net of (i) the recognition of the Company’s deferred gain from a sale-leaseback of $10.3 million, (ii) the write-off of initial direct costs of $1.2 million and (iii) the recognition of impairments, upon adoption, on certain right-of-use assets totaling $3.8 million. The new standard had a material impact on the Consolidated Balance Sheet as a result of the recognition of the right-of-use assets, the corresponding lease obligations and the net credit to accumulated deficit of $5.3 million. Because the Company recognized the outstanding deferred gain from a sale-leaseback of $10.3 million, with the adoption of the new standard, results of operations will not have the future benefit of approximately $1.5 million, which was the annual amortization being recognized over the initial 20-year term of the sale-leaseback of the Company’s corporate office. The adoption of the new standard had no material impact on Consolidated Statement of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discussion of the Company’s lease policy under the new lease accounting standard:</w:t>
      </w:r>
    </w:p>
    <w:p>
      <w:pPr>
        <w:spacing w:after="0" w:line="152" w:lineRule="exact"/>
        <w:rPr>
          <w:sz w:val="20"/>
          <w:szCs w:val="20"/>
          <w:color w:val="auto"/>
        </w:rPr>
      </w:pPr>
    </w:p>
    <w:p>
      <w:pPr>
        <w:ind w:right="120"/>
        <w:spacing w:after="0" w:line="261" w:lineRule="auto"/>
        <w:rPr>
          <w:sz w:val="20"/>
          <w:szCs w:val="20"/>
          <w:color w:val="auto"/>
        </w:rPr>
      </w:pPr>
      <w:r>
        <w:rPr>
          <w:rFonts w:ascii="Arial" w:cs="Arial" w:eastAsia="Arial" w:hAnsi="Arial"/>
          <w:sz w:val="12"/>
          <w:szCs w:val="12"/>
          <w:color w:val="auto"/>
        </w:rPr>
        <w:t>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assets and lease liabilities are recognized at the commencement date based on the present value of the remaining future minimum lease payments, initial direct costs and any lease incentives are included in the value of those right-of use assets. As the interest rate implicit in the Company’s leases is not readily determinable, the Company utilizes its incremental borrowing rate, based on information available at the lease measurement date to determine the present value of future payments.</w:t>
      </w:r>
    </w:p>
    <w:p>
      <w:pPr>
        <w:spacing w:after="0" w:line="124" w:lineRule="exact"/>
        <w:rPr>
          <w:sz w:val="20"/>
          <w:szCs w:val="20"/>
          <w:color w:val="auto"/>
        </w:rPr>
      </w:pPr>
    </w:p>
    <w:p>
      <w:pPr>
        <w:ind w:right="420"/>
        <w:spacing w:after="0" w:line="279" w:lineRule="auto"/>
        <w:rPr>
          <w:sz w:val="20"/>
          <w:szCs w:val="20"/>
          <w:color w:val="auto"/>
        </w:rPr>
      </w:pPr>
      <w:r>
        <w:rPr>
          <w:rFonts w:ascii="Arial" w:cs="Arial" w:eastAsia="Arial" w:hAnsi="Arial"/>
          <w:sz w:val="12"/>
          <w:szCs w:val="12"/>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stores leases with an initial term of 5 years, the Company evaluates each lease independently and, only when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30" w:right="199" w:bottom="1440" w:gutter="0" w:footer="0" w:header="0"/>
        </w:sectPr>
      </w:pPr>
    </w:p>
    <w:bookmarkStart w:id="10" w:name="page11"/>
    <w:bookmarkEnd w:id="10"/>
    <w:p>
      <w:pPr>
        <w:ind w:right="60"/>
        <w:spacing w:after="0" w:line="322" w:lineRule="auto"/>
        <w:rPr>
          <w:sz w:val="20"/>
          <w:szCs w:val="20"/>
          <w:color w:val="auto"/>
        </w:rPr>
      </w:pPr>
      <w:r>
        <w:rPr>
          <w:rFonts w:ascii="Arial" w:cs="Arial" w:eastAsia="Arial" w:hAnsi="Arial"/>
          <w:sz w:val="10"/>
          <w:szCs w:val="10"/>
          <w:color w:val="auto"/>
        </w:rPr>
        <w:t>Company considers it reasonably certain that it will exercise an option to extend, will the associated payment of that option be included in the measurement of the right-of-use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 and distribution center lease, which was entered into in 2006 and was for an initial 20-year term. At the end of the initial term, the Company will have the opportunity to extend this lease for six additional successive periods of five years.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ASU 842 will not be applied to certain, if any, non-store leases, with a term of 12 months or less, recognizing those lease payments on a straight-line basis over the lease term.</w:t>
      </w:r>
    </w:p>
    <w:p>
      <w:pPr>
        <w:spacing w:after="0" w:line="98"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fixed lease payment that includes real estate taxes, common area maintenance and insurance. These fixed payments are considered part of the lease payment and included in the right-of-use assets and lease liabilities.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See Note 4 ‘‘</w:t>
      </w:r>
      <w:r>
        <w:rPr>
          <w:rFonts w:ascii="Arial" w:cs="Arial" w:eastAsia="Arial" w:hAnsi="Arial"/>
          <w:sz w:val="12"/>
          <w:szCs w:val="12"/>
          <w:i w:val="1"/>
          <w:iCs w:val="1"/>
          <w:color w:val="auto"/>
        </w:rPr>
        <w:t>Leases</w:t>
      </w:r>
      <w:r>
        <w:rPr>
          <w:rFonts w:ascii="Arial" w:cs="Arial" w:eastAsia="Arial" w:hAnsi="Arial"/>
          <w:sz w:val="12"/>
          <w:szCs w:val="12"/>
          <w:color w:val="auto"/>
        </w:rPr>
        <w:t>’’ for additional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Issued Accounting Pronouncements</w:t>
      </w:r>
    </w:p>
    <w:p>
      <w:pPr>
        <w:spacing w:after="0" w:line="152"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In August 2018, the FASB issued ASU 2018-13, “</w:t>
      </w:r>
      <w:r>
        <w:rPr>
          <w:rFonts w:ascii="Arial" w:cs="Arial" w:eastAsia="Arial" w:hAnsi="Arial"/>
          <w:sz w:val="12"/>
          <w:szCs w:val="12"/>
          <w:i w:val="1"/>
          <w:iCs w:val="1"/>
          <w:color w:val="auto"/>
        </w:rPr>
        <w:t>Fair Value Measurement (Topic 820): Disclosure Framework—Changes to the Disclosure Requirements for Fair Value Measurement.”</w:t>
      </w:r>
      <w:r>
        <w:rPr>
          <w:rFonts w:ascii="Arial" w:cs="Arial" w:eastAsia="Arial" w:hAnsi="Arial"/>
          <w:sz w:val="12"/>
          <w:szCs w:val="12"/>
          <w:color w:val="auto"/>
        </w:rPr>
        <w:t xml:space="preserve"> This guidance modifies the disclosure requirements on fair value measurements in Topic 820 by removing disclosures regarding transfers between Level 1 and Level 2 of the fair value hierarchy, by modifying the measurement uncertainty disclosure, and by requiring additional disclosures for Level 3 fair value measurements, among others. The amendments are effective for all entities for fiscal years, and interim periods within those fiscal years, beginning after December 15, 2019. The Company is currently evaluating the impact this pronouncement will have on its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No other new accounting pronouncements, issued or effective during the first six months of fiscal 2019, have had or are expected to have a significant impact on the Company’s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Revenue Recognition</w:t>
      </w:r>
    </w:p>
    <w:p>
      <w:pPr>
        <w:spacing w:after="0" w:line="156" w:lineRule="exact"/>
        <w:rPr>
          <w:sz w:val="20"/>
          <w:szCs w:val="20"/>
          <w:color w:val="auto"/>
        </w:rPr>
      </w:pPr>
    </w:p>
    <w:p>
      <w:pPr>
        <w:jc w:val="both"/>
        <w:spacing w:after="0" w:line="292" w:lineRule="auto"/>
        <w:rPr>
          <w:sz w:val="20"/>
          <w:szCs w:val="20"/>
          <w:color w:val="auto"/>
        </w:rPr>
      </w:pPr>
      <w:r>
        <w:rPr>
          <w:rFonts w:ascii="Arial" w:cs="Arial" w:eastAsia="Arial" w:hAnsi="Arial"/>
          <w:sz w:val="11"/>
          <w:szCs w:val="11"/>
          <w:color w:val="212121"/>
        </w:rPr>
        <w:t xml:space="preserve">The Company operates as a retailer of big and tall men’s clothing, which includes stores, direct and wholesale. </w:t>
      </w:r>
      <w:r>
        <w:rPr>
          <w:rFonts w:ascii="Arial" w:cs="Arial" w:eastAsia="Arial" w:hAnsi="Arial"/>
          <w:sz w:val="11"/>
          <w:szCs w:val="11"/>
          <w:color w:val="000000"/>
        </w:rPr>
        <w:t>Revenue is recognized by the operating segment that initiates a customer’s order. Store sales are defined as sales that</w:t>
      </w:r>
      <w:r>
        <w:rPr>
          <w:rFonts w:ascii="Arial" w:cs="Arial" w:eastAsia="Arial" w:hAnsi="Arial"/>
          <w:sz w:val="11"/>
          <w:szCs w:val="11"/>
          <w:color w:val="212121"/>
        </w:rPr>
        <w:t xml:space="preserve"> </w:t>
      </w:r>
      <w:r>
        <w:rPr>
          <w:rFonts w:ascii="Arial" w:cs="Arial" w:eastAsia="Arial" w:hAnsi="Arial"/>
          <w:sz w:val="11"/>
          <w:szCs w:val="11"/>
          <w:color w:val="000000"/>
        </w:rPr>
        <w:t xml:space="preserve">originate and are fulfilled directly at the store level. Direct sales are defined as sales that originate online, including those initiated online at the store level, on its website or on third-party marketplaces. Wholesale sales are defined as sales made to wholesale customers pursuant to the terms of each customer’s contract with the Company. </w:t>
      </w:r>
      <w:r>
        <w:rPr>
          <w:rFonts w:ascii="Arial" w:cs="Arial" w:eastAsia="Arial" w:hAnsi="Arial"/>
          <w:sz w:val="11"/>
          <w:szCs w:val="11"/>
          <w:color w:val="212121"/>
        </w:rPr>
        <w:t>Generally, all revenues are recognized when control of the promised goods is transferred to customers, in an amount that reflects the</w:t>
      </w:r>
      <w:r>
        <w:rPr>
          <w:rFonts w:ascii="Arial" w:cs="Arial" w:eastAsia="Arial" w:hAnsi="Arial"/>
          <w:sz w:val="11"/>
          <w:szCs w:val="11"/>
          <w:color w:val="000000"/>
        </w:rPr>
        <w:t xml:space="preserve"> </w:t>
      </w:r>
      <w:r>
        <w:rPr>
          <w:rFonts w:ascii="Arial" w:cs="Arial" w:eastAsia="Arial" w:hAnsi="Arial"/>
          <w:sz w:val="11"/>
          <w:szCs w:val="11"/>
          <w:color w:val="212121"/>
        </w:rPr>
        <w:t xml:space="preserve">consideration in exchange for those goods. </w:t>
      </w:r>
      <w:r>
        <w:rPr>
          <w:rFonts w:ascii="Arial" w:cs="Arial" w:eastAsia="Arial" w:hAnsi="Arial"/>
          <w:sz w:val="11"/>
          <w:szCs w:val="11"/>
          <w:color w:val="000000"/>
        </w:rPr>
        <w:t>Sales tax collected from customers and remitted to taxing authorities is excluded from revenue and is included as part of accrued expenses on the Consolidated Balance Sheets.</w:t>
      </w:r>
    </w:p>
    <w:p>
      <w:pPr>
        <w:spacing w:after="0" w:line="36" w:lineRule="exact"/>
        <w:rPr>
          <w:sz w:val="20"/>
          <w:szCs w:val="20"/>
          <w:color w:val="auto"/>
        </w:rPr>
      </w:pPr>
    </w:p>
    <w:p>
      <w:pPr>
        <w:ind w:left="760" w:hanging="387"/>
        <w:spacing w:after="0"/>
        <w:tabs>
          <w:tab w:leader="none" w:pos="760" w:val="left"/>
        </w:tabs>
        <w:numPr>
          <w:ilvl w:val="0"/>
          <w:numId w:val="3"/>
        </w:numPr>
        <w:rPr>
          <w:rFonts w:ascii="Arial" w:cs="Arial" w:eastAsia="Arial" w:hAnsi="Arial"/>
          <w:sz w:val="12"/>
          <w:szCs w:val="12"/>
          <w:color w:val="212121"/>
        </w:rPr>
      </w:pPr>
      <w:r>
        <w:rPr>
          <w:rFonts w:ascii="Arial" w:cs="Arial" w:eastAsia="Arial" w:hAnsi="Arial"/>
          <w:sz w:val="12"/>
          <w:szCs w:val="12"/>
          <w:color w:val="auto"/>
        </w:rPr>
        <w:t>Revenue from the Company’s store operations is recorded upon purchase of merchandise by customers, net of an allowance for sales returns, which is estimated based upon historical experience.</w:t>
      </w:r>
    </w:p>
    <w:p>
      <w:pPr>
        <w:spacing w:after="0" w:line="79" w:lineRule="exact"/>
        <w:rPr>
          <w:rFonts w:ascii="Arial" w:cs="Arial" w:eastAsia="Arial" w:hAnsi="Arial"/>
          <w:sz w:val="12"/>
          <w:szCs w:val="12"/>
          <w:color w:val="212121"/>
        </w:rPr>
      </w:pPr>
    </w:p>
    <w:p>
      <w:pPr>
        <w:ind w:left="760" w:hanging="387"/>
        <w:spacing w:after="0"/>
        <w:tabs>
          <w:tab w:leader="none" w:pos="760" w:val="left"/>
        </w:tabs>
        <w:numPr>
          <w:ilvl w:val="0"/>
          <w:numId w:val="3"/>
        </w:numPr>
        <w:rPr>
          <w:rFonts w:ascii="Arial" w:cs="Arial" w:eastAsia="Arial" w:hAnsi="Arial"/>
          <w:sz w:val="12"/>
          <w:szCs w:val="12"/>
          <w:color w:val="212121"/>
        </w:rPr>
      </w:pPr>
      <w:r>
        <w:rPr>
          <w:rFonts w:ascii="Arial" w:cs="Arial" w:eastAsia="Arial" w:hAnsi="Arial"/>
          <w:sz w:val="12"/>
          <w:szCs w:val="12"/>
          <w:color w:val="auto"/>
        </w:rPr>
        <w:t>Revenue from the Company’s direct operations is recognized at the time a customer order is delivered, net of an allowance for sales returns, which is estimated based upon historical experience.</w:t>
      </w:r>
    </w:p>
    <w:p>
      <w:pPr>
        <w:spacing w:after="0" w:line="79" w:lineRule="exact"/>
        <w:rPr>
          <w:rFonts w:ascii="Arial" w:cs="Arial" w:eastAsia="Arial" w:hAnsi="Arial"/>
          <w:sz w:val="12"/>
          <w:szCs w:val="12"/>
          <w:color w:val="212121"/>
        </w:rPr>
      </w:pPr>
    </w:p>
    <w:p>
      <w:pPr>
        <w:jc w:val="both"/>
        <w:ind w:left="760" w:right="120" w:hanging="387"/>
        <w:spacing w:after="0" w:line="265" w:lineRule="auto"/>
        <w:tabs>
          <w:tab w:leader="none" w:pos="760" w:val="left"/>
        </w:tabs>
        <w:numPr>
          <w:ilvl w:val="0"/>
          <w:numId w:val="3"/>
        </w:numPr>
        <w:rPr>
          <w:rFonts w:ascii="Arial" w:cs="Arial" w:eastAsia="Arial" w:hAnsi="Arial"/>
          <w:sz w:val="12"/>
          <w:szCs w:val="12"/>
          <w:color w:val="212121"/>
        </w:rPr>
      </w:pPr>
      <w:r>
        <w:rPr>
          <w:rFonts w:ascii="Arial" w:cs="Arial" w:eastAsia="Arial" w:hAnsi="Arial"/>
          <w:sz w:val="12"/>
          <w:szCs w:val="12"/>
          <w:color w:val="auto"/>
        </w:rPr>
        <w:t>Revenue from the Company’s wholesale operations is recognized at the time the wholesale customer takes physical receipt of the merchandise, net of any identified discounts in accordance with each individual order. An allowance for chargebacks will be established once the Company has sufficient historical experience. For the first six months of fiscal 2019, chargebacks were immaterial. Sales from wholesale for the first six months of fiscal 2018 were less than $0.1 million.</w:t>
      </w:r>
    </w:p>
    <w:p>
      <w:pPr>
        <w:spacing w:after="0" w:line="50" w:lineRule="exact"/>
        <w:rPr>
          <w:sz w:val="20"/>
          <w:szCs w:val="20"/>
          <w:color w:val="auto"/>
        </w:rPr>
      </w:pPr>
    </w:p>
    <w:p>
      <w:pPr>
        <w:jc w:val="both"/>
        <w:ind w:right="40"/>
        <w:spacing w:after="0" w:line="261" w:lineRule="auto"/>
        <w:rPr>
          <w:sz w:val="20"/>
          <w:szCs w:val="20"/>
          <w:color w:val="auto"/>
        </w:rPr>
      </w:pPr>
      <w:r>
        <w:rPr>
          <w:rFonts w:ascii="Arial" w:cs="Arial" w:eastAsia="Arial" w:hAnsi="Arial"/>
          <w:sz w:val="12"/>
          <w:szCs w:val="12"/>
          <w:i w:val="1"/>
          <w:iCs w:val="1"/>
          <w:color w:val="auto"/>
        </w:rPr>
        <w:t xml:space="preserve">Unredeemed Gift Cards, Gift Certificates, and Credit Vouchers. </w:t>
      </w:r>
      <w:r>
        <w:rPr>
          <w:rFonts w:ascii="Arial" w:cs="Arial" w:eastAsia="Arial" w:hAnsi="Arial"/>
          <w:sz w:val="12"/>
          <w:szCs w:val="12"/>
          <w:color w:val="auto"/>
        </w:rPr>
        <w:t>Upon issuance of a gift card, gift certificate, or credit voucher, a liability is established for its cash value. The liability is relieved and net sales are recorded upon redemption</w:t>
      </w:r>
      <w:r>
        <w:rPr>
          <w:rFonts w:ascii="Arial" w:cs="Arial" w:eastAsia="Arial" w:hAnsi="Arial"/>
          <w:sz w:val="12"/>
          <w:szCs w:val="12"/>
          <w:i w:val="1"/>
          <w:iCs w:val="1"/>
          <w:color w:val="auto"/>
        </w:rPr>
        <w:t xml:space="preserve"> </w:t>
      </w:r>
      <w:r>
        <w:rPr>
          <w:rFonts w:ascii="Arial" w:cs="Arial" w:eastAsia="Arial" w:hAnsi="Arial"/>
          <w:sz w:val="12"/>
          <w:szCs w:val="12"/>
          <w:color w:val="auto"/>
        </w:rPr>
        <w:t>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$1.6 million and $2.4 million at August 3, 2019 and February 2, 2019, respectively.</w:t>
      </w:r>
    </w:p>
    <w:p>
      <w:pPr>
        <w:spacing w:after="0" w:line="52" w:lineRule="exact"/>
        <w:rPr>
          <w:sz w:val="20"/>
          <w:szCs w:val="20"/>
          <w:color w:val="auto"/>
        </w:rPr>
      </w:pPr>
    </w:p>
    <w:p>
      <w:pPr>
        <w:spacing w:after="0" w:line="265" w:lineRule="auto"/>
        <w:rPr>
          <w:sz w:val="20"/>
          <w:szCs w:val="20"/>
          <w:color w:val="auto"/>
        </w:rPr>
      </w:pPr>
      <w:r>
        <w:rPr>
          <w:rFonts w:ascii="Arial" w:cs="Arial" w:eastAsia="Arial" w:hAnsi="Arial"/>
          <w:sz w:val="12"/>
          <w:szCs w:val="12"/>
          <w:i w:val="1"/>
          <w:iCs w:val="1"/>
          <w:color w:val="auto"/>
        </w:rPr>
        <w:t xml:space="preserve">Unredeemed Loyalty Coupons. </w:t>
      </w:r>
      <w:r>
        <w:rPr>
          <w:rFonts w:ascii="Arial" w:cs="Arial" w:eastAsia="Arial" w:hAnsi="Arial"/>
          <w:sz w:val="12"/>
          <w:szCs w:val="12"/>
          <w:color w:val="auto"/>
        </w:rPr>
        <w:t>The Company offers a free loyalty program to its customers for which points accumulate based on the purchase of merchandise. Over 90% of the Company’s customers participate in the loyalty program.</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Under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these loyalty points provide the customer with a material right and a distinct performance obligation with revenue deferred and recognized when the points are expected to redeem or expire. The cycle of earning and redeeming loyalty points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1" w:name="page12"/>
    <w:bookmarkEnd w:id="11"/>
    <w:p>
      <w:pPr>
        <w:spacing w:after="0"/>
        <w:rPr>
          <w:sz w:val="20"/>
          <w:szCs w:val="20"/>
          <w:color w:val="auto"/>
        </w:rPr>
      </w:pPr>
      <w:r>
        <w:rPr>
          <w:rFonts w:ascii="Arial" w:cs="Arial" w:eastAsia="Arial" w:hAnsi="Arial"/>
          <w:sz w:val="12"/>
          <w:szCs w:val="12"/>
          <w:color w:val="auto"/>
        </w:rPr>
        <w:t>is generally under one year in duration. The loyalty accrual, net of breakage, was $1.1 million and $1.0 million at August 3, 2019 and February 2, 2019, respectively.</w:t>
      </w:r>
    </w:p>
    <w:p>
      <w:pPr>
        <w:spacing w:after="0" w:line="79" w:lineRule="exact"/>
        <w:rPr>
          <w:sz w:val="20"/>
          <w:szCs w:val="20"/>
          <w:color w:val="auto"/>
        </w:rPr>
      </w:pPr>
    </w:p>
    <w:p>
      <w:pPr>
        <w:ind w:right="180"/>
        <w:spacing w:after="0" w:line="279" w:lineRule="auto"/>
        <w:rPr>
          <w:sz w:val="20"/>
          <w:szCs w:val="20"/>
          <w:color w:val="auto"/>
        </w:rPr>
      </w:pPr>
      <w:r>
        <w:rPr>
          <w:rFonts w:ascii="Arial" w:cs="Arial" w:eastAsia="Arial" w:hAnsi="Arial"/>
          <w:sz w:val="12"/>
          <w:szCs w:val="12"/>
          <w:i w:val="1"/>
          <w:iCs w:val="1"/>
          <w:color w:val="auto"/>
        </w:rPr>
        <w:t xml:space="preserve">Shipping. </w:t>
      </w:r>
      <w:r>
        <w:rPr>
          <w:rFonts w:ascii="Arial" w:cs="Arial" w:eastAsia="Arial" w:hAnsi="Arial"/>
          <w:sz w:val="12"/>
          <w:szCs w:val="12"/>
          <w:color w:val="auto"/>
        </w:rPr>
        <w:t>Shipping and handling costs are accounted for as fulfillment costs and are included in cost of sales for all periods presented. Amounts related to shipping and handling that are billed to customers are recorded in sales,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related costs are recorded in cost of goods sold, including occupancy costs, in the Consolidated Statements of Operations.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212121"/>
        </w:rPr>
        <w:t>Disaggregation of Revenue</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212121"/>
        </w:rPr>
        <w:t xml:space="preserve">As noted above under </w:t>
      </w:r>
      <w:r>
        <w:rPr>
          <w:rFonts w:ascii="Arial" w:cs="Arial" w:eastAsia="Arial" w:hAnsi="Arial"/>
          <w:sz w:val="12"/>
          <w:szCs w:val="12"/>
          <w:i w:val="1"/>
          <w:iCs w:val="1"/>
          <w:color w:val="212121"/>
        </w:rPr>
        <w:t>Segment Information</w:t>
      </w:r>
      <w:r>
        <w:rPr>
          <w:rFonts w:ascii="Arial" w:cs="Arial" w:eastAsia="Arial" w:hAnsi="Arial"/>
          <w:sz w:val="12"/>
          <w:szCs w:val="12"/>
          <w:color w:val="212121"/>
        </w:rPr>
        <w:t xml:space="preserve"> in Note 1, the Company’s business consists of one reportable segment, its retail segment. Substantially all of the Company’s revenue is generated from its stores and direct businesses. The operating results from the wholesale segment, which were immaterial, have been aggregated with this reportable segment for the first six months of fiscal 2019, but the revenues are separately reported below. Accordingly, the Company has determined that the following sales channels depict the nature, amount, timing, and uncertainty of how revenue and cash flows are affected by economic factors: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gridSpan w:val="4"/>
          </w:tcPr>
          <w:p>
            <w:pPr>
              <w:jc w:val="right"/>
              <w:ind w:right="660"/>
              <w:spacing w:after="0"/>
              <w:rPr>
                <w:sz w:val="20"/>
                <w:szCs w:val="20"/>
                <w:color w:val="auto"/>
              </w:rPr>
            </w:pPr>
            <w:r>
              <w:rPr>
                <w:rFonts w:ascii="Arial" w:cs="Arial" w:eastAsia="Arial" w:hAnsi="Arial"/>
                <w:sz w:val="12"/>
                <w:szCs w:val="12"/>
                <w:color w:val="auto"/>
              </w:rPr>
              <w:t>For the three months ended</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60" w:type="dxa"/>
            <w:vAlign w:val="bottom"/>
            <w:gridSpan w:val="4"/>
          </w:tcPr>
          <w:p>
            <w:pPr>
              <w:jc w:val="right"/>
              <w:ind w:right="920"/>
              <w:spacing w:after="0"/>
              <w:rPr>
                <w:sz w:val="20"/>
                <w:szCs w:val="20"/>
                <w:color w:val="auto"/>
              </w:rPr>
            </w:pPr>
            <w:r>
              <w:rPr>
                <w:rFonts w:ascii="Arial" w:cs="Arial" w:eastAsia="Arial" w:hAnsi="Arial"/>
                <w:sz w:val="12"/>
                <w:szCs w:val="12"/>
                <w:color w:val="auto"/>
              </w:rPr>
              <w:t>For the six months ended</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4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w:t>
            </w:r>
          </w:p>
        </w:tc>
        <w:tc>
          <w:tcPr>
            <w:tcW w:w="9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1"/>
              </w:rPr>
              <w:t>August 3, 2019</w:t>
            </w:r>
          </w:p>
        </w:tc>
        <w:tc>
          <w:tcPr>
            <w:tcW w:w="7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4"/>
              </w:rPr>
              <w:t>August 4, 2018</w:t>
            </w:r>
          </w:p>
        </w:tc>
        <w:tc>
          <w:tcPr>
            <w:tcW w:w="620" w:type="dxa"/>
            <w:vAlign w:val="bottom"/>
            <w:vMerge w:val="restart"/>
          </w:tcPr>
          <w:p>
            <w:pPr>
              <w:jc w:val="right"/>
              <w:spacing w:after="0"/>
              <w:rPr>
                <w:sz w:val="20"/>
                <w:szCs w:val="20"/>
                <w:color w:val="auto"/>
              </w:rPr>
            </w:pPr>
            <w:r>
              <w:rPr>
                <w:rFonts w:ascii="Arial" w:cs="Arial" w:eastAsia="Arial" w:hAnsi="Arial"/>
                <w:sz w:val="12"/>
                <w:szCs w:val="12"/>
                <w:i w:val="1"/>
                <w:iCs w:val="1"/>
                <w:color w:val="auto"/>
              </w:rPr>
              <w:t>80.2%</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1"/>
              </w:rPr>
              <w:t>August 3, 2019</w:t>
            </w:r>
          </w:p>
        </w:tc>
        <w:tc>
          <w:tcPr>
            <w:tcW w:w="9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August 4, 2018</w:t>
            </w:r>
          </w:p>
        </w:tc>
        <w:tc>
          <w:tcPr>
            <w:tcW w:w="1220" w:type="dxa"/>
            <w:vAlign w:val="bottom"/>
            <w:vMerge w:val="restart"/>
          </w:tcPr>
          <w:p>
            <w:pPr>
              <w:jc w:val="right"/>
              <w:spacing w:after="0"/>
              <w:rPr>
                <w:sz w:val="20"/>
                <w:szCs w:val="20"/>
                <w:color w:val="auto"/>
              </w:rPr>
            </w:pPr>
            <w:r>
              <w:rPr>
                <w:rFonts w:ascii="Arial" w:cs="Arial" w:eastAsia="Arial" w:hAnsi="Arial"/>
                <w:sz w:val="12"/>
                <w:szCs w:val="12"/>
                <w:i w:val="1"/>
                <w:iCs w:val="1"/>
                <w:color w:val="auto"/>
              </w:rPr>
              <w:t>79.5%</w:t>
            </w:r>
          </w:p>
        </w:tc>
        <w:tc>
          <w:tcPr>
            <w:tcW w:w="0" w:type="dxa"/>
            <w:vAlign w:val="bottom"/>
          </w:tcPr>
          <w:p>
            <w:pPr>
              <w:spacing w:after="0"/>
              <w:rPr>
                <w:sz w:val="1"/>
                <w:szCs w:val="1"/>
                <w:color w:val="auto"/>
              </w:rPr>
            </w:pPr>
          </w:p>
        </w:tc>
      </w:tr>
      <w:tr>
        <w:trPr>
          <w:trHeight w:val="143"/>
        </w:trPr>
        <w:tc>
          <w:tcPr>
            <w:tcW w:w="3580" w:type="dxa"/>
            <w:vAlign w:val="bottom"/>
            <w:gridSpan w:val="2"/>
          </w:tcPr>
          <w:p>
            <w:pPr>
              <w:spacing w:after="0"/>
              <w:rPr>
                <w:sz w:val="20"/>
                <w:szCs w:val="20"/>
                <w:color w:val="auto"/>
              </w:rPr>
            </w:pPr>
            <w:r>
              <w:rPr>
                <w:rFonts w:ascii="Arial" w:cs="Arial" w:eastAsia="Arial" w:hAnsi="Arial"/>
                <w:sz w:val="12"/>
                <w:szCs w:val="12"/>
                <w:color w:val="auto"/>
              </w:rPr>
              <w:t>Store sales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95,119</w:t>
            </w:r>
          </w:p>
        </w:tc>
        <w:tc>
          <w:tcPr>
            <w:tcW w:w="860" w:type="dxa"/>
            <w:vAlign w:val="bottom"/>
            <w:gridSpan w:val="2"/>
          </w:tcPr>
          <w:p>
            <w:pPr>
              <w:jc w:val="right"/>
              <w:ind w:right="20"/>
              <w:spacing w:after="0"/>
              <w:rPr>
                <w:sz w:val="20"/>
                <w:szCs w:val="20"/>
                <w:color w:val="auto"/>
              </w:rPr>
            </w:pPr>
            <w:r>
              <w:rPr>
                <w:rFonts w:ascii="Arial" w:cs="Arial" w:eastAsia="Arial" w:hAnsi="Arial"/>
                <w:sz w:val="12"/>
                <w:szCs w:val="12"/>
                <w:i w:val="1"/>
                <w:iCs w:val="1"/>
                <w:color w:val="auto"/>
              </w:rPr>
              <w:t xml:space="preserve">78.9% </w:t>
            </w: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97,972</w:t>
            </w:r>
          </w:p>
        </w:tc>
        <w:tc>
          <w:tcPr>
            <w:tcW w:w="620" w:type="dxa"/>
            <w:vAlign w:val="bottom"/>
            <w:vMerge w:val="continue"/>
          </w:tcPr>
          <w:p>
            <w:pPr>
              <w:spacing w:after="0"/>
              <w:rPr>
                <w:sz w:val="12"/>
                <w:szCs w:val="1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181,834</w:t>
            </w:r>
          </w:p>
        </w:tc>
        <w:tc>
          <w:tcPr>
            <w:tcW w:w="1080" w:type="dxa"/>
            <w:vAlign w:val="bottom"/>
            <w:gridSpan w:val="2"/>
          </w:tcPr>
          <w:p>
            <w:pPr>
              <w:jc w:val="right"/>
              <w:ind w:right="100"/>
              <w:spacing w:after="0"/>
              <w:rPr>
                <w:sz w:val="20"/>
                <w:szCs w:val="20"/>
                <w:color w:val="auto"/>
              </w:rPr>
            </w:pPr>
            <w:r>
              <w:rPr>
                <w:rFonts w:ascii="Arial" w:cs="Arial" w:eastAsia="Arial" w:hAnsi="Arial"/>
                <w:sz w:val="12"/>
                <w:szCs w:val="12"/>
                <w:i w:val="1"/>
                <w:iCs w:val="1"/>
                <w:color w:val="auto"/>
              </w:rPr>
              <w:t xml:space="preserve">78.7% </w:t>
            </w: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187,316</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5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Direct sales</w:t>
            </w:r>
          </w:p>
        </w:tc>
        <w:tc>
          <w:tcPr>
            <w:tcW w:w="10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25,406</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i w:val="1"/>
                <w:iCs w:val="1"/>
                <w:color w:val="auto"/>
              </w:rPr>
              <w:t>21.1%</w:t>
            </w:r>
          </w:p>
        </w:tc>
        <w:tc>
          <w:tcPr>
            <w:tcW w:w="8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ind w:right="220"/>
              <w:spacing w:after="0"/>
              <w:rPr>
                <w:sz w:val="20"/>
                <w:szCs w:val="20"/>
                <w:color w:val="auto"/>
              </w:rPr>
            </w:pPr>
            <w:r>
              <w:rPr>
                <w:rFonts w:ascii="Arial" w:cs="Arial" w:eastAsia="Arial" w:hAnsi="Arial"/>
                <w:sz w:val="12"/>
                <w:szCs w:val="12"/>
                <w:color w:val="auto"/>
              </w:rPr>
              <w:t>24,214</w:t>
            </w: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i w:val="1"/>
                <w:iCs w:val="1"/>
                <w:color w:val="auto"/>
              </w:rPr>
              <w:t>19.8%</w:t>
            </w:r>
          </w:p>
        </w:tc>
        <w:tc>
          <w:tcPr>
            <w:tcW w:w="180" w:type="dxa"/>
            <w:vAlign w:val="bottom"/>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49,239</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i w:val="1"/>
                <w:iCs w:val="1"/>
                <w:color w:val="auto"/>
              </w:rPr>
              <w:t>21.3%</w:t>
            </w:r>
          </w:p>
        </w:tc>
        <w:tc>
          <w:tcPr>
            <w:tcW w:w="1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48,181</w:t>
            </w: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i w:val="1"/>
                <w:iCs w:val="1"/>
                <w:color w:val="auto"/>
              </w:rPr>
              <w:t>20.5%</w:t>
            </w:r>
          </w:p>
        </w:tc>
        <w:tc>
          <w:tcPr>
            <w:tcW w:w="0" w:type="dxa"/>
            <w:vAlign w:val="bottom"/>
          </w:tcPr>
          <w:p>
            <w:pPr>
              <w:spacing w:after="0"/>
              <w:rPr>
                <w:sz w:val="1"/>
                <w:szCs w:val="1"/>
                <w:color w:val="auto"/>
              </w:rPr>
            </w:pPr>
          </w:p>
        </w:tc>
      </w:tr>
      <w:tr>
        <w:trPr>
          <w:trHeight w:val="143"/>
        </w:trPr>
        <w:tc>
          <w:tcPr>
            <w:tcW w:w="3580" w:type="dxa"/>
            <w:vAlign w:val="bottom"/>
            <w:gridSpan w:val="2"/>
          </w:tcPr>
          <w:p>
            <w:pPr>
              <w:spacing w:after="0"/>
              <w:rPr>
                <w:sz w:val="20"/>
                <w:szCs w:val="20"/>
                <w:color w:val="auto"/>
              </w:rPr>
            </w:pPr>
            <w:r>
              <w:rPr>
                <w:rFonts w:ascii="Arial" w:cs="Arial" w:eastAsia="Arial" w:hAnsi="Arial"/>
                <w:sz w:val="12"/>
                <w:szCs w:val="12"/>
                <w:color w:val="auto"/>
              </w:rPr>
              <w:t>Retail segment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120,525</w:t>
            </w:r>
          </w:p>
        </w:tc>
        <w:tc>
          <w:tcPr>
            <w:tcW w:w="8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122,186</w:t>
            </w:r>
          </w:p>
        </w:tc>
        <w:tc>
          <w:tcPr>
            <w:tcW w:w="620" w:type="dxa"/>
            <w:vAlign w:val="bottom"/>
          </w:tcPr>
          <w:p>
            <w:pPr>
              <w:spacing w:after="0"/>
              <w:rPr>
                <w:sz w:val="12"/>
                <w:szCs w:val="1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231,073</w:t>
            </w: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235,497</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5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Wholesale segment</w:t>
            </w:r>
          </w:p>
        </w:tc>
        <w:tc>
          <w:tcPr>
            <w:tcW w:w="10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2,720</w:t>
            </w:r>
          </w:p>
        </w:tc>
        <w:tc>
          <w:tcPr>
            <w:tcW w:w="7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w:t>
            </w:r>
          </w:p>
        </w:tc>
        <w:tc>
          <w:tcPr>
            <w:tcW w:w="620" w:type="dxa"/>
            <w:vAlign w:val="bottom"/>
            <w:shd w:val="clear" w:color="auto" w:fill="CFF0FC"/>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5,145</w:t>
            </w:r>
          </w:p>
        </w:tc>
        <w:tc>
          <w:tcPr>
            <w:tcW w:w="940" w:type="dxa"/>
            <w:vAlign w:val="bottom"/>
            <w:tcBorders>
              <w:right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40</w:t>
            </w:r>
          </w:p>
        </w:tc>
        <w:tc>
          <w:tcPr>
            <w:tcW w:w="1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580" w:type="dxa"/>
            <w:vAlign w:val="bottom"/>
            <w:gridSpan w:val="2"/>
          </w:tcPr>
          <w:p>
            <w:pPr>
              <w:spacing w:after="0"/>
              <w:rPr>
                <w:sz w:val="20"/>
                <w:szCs w:val="20"/>
                <w:color w:val="auto"/>
              </w:rPr>
            </w:pPr>
            <w:r>
              <w:rPr>
                <w:rFonts w:ascii="Arial" w:cs="Arial" w:eastAsia="Arial" w:hAnsi="Arial"/>
                <w:sz w:val="12"/>
                <w:szCs w:val="12"/>
                <w:color w:val="auto"/>
              </w:rPr>
              <w:t>Total Sales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123,245</w:t>
            </w:r>
          </w:p>
        </w:tc>
        <w:tc>
          <w:tcPr>
            <w:tcW w:w="8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122,206</w:t>
            </w:r>
          </w:p>
        </w:tc>
        <w:tc>
          <w:tcPr>
            <w:tcW w:w="620" w:type="dxa"/>
            <w:vAlign w:val="bottom"/>
          </w:tcPr>
          <w:p>
            <w:pPr>
              <w:spacing w:after="0"/>
              <w:rPr>
                <w:sz w:val="12"/>
                <w:szCs w:val="12"/>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236,218</w:t>
            </w: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235,537</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Debt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Credit Agreement with Bank of America, N.A.</w:t>
      </w:r>
    </w:p>
    <w:p>
      <w:pPr>
        <w:spacing w:after="0" w:line="156" w:lineRule="exact"/>
        <w:rPr>
          <w:sz w:val="20"/>
          <w:szCs w:val="20"/>
          <w:color w:val="auto"/>
        </w:rPr>
      </w:pPr>
    </w:p>
    <w:p>
      <w:pPr>
        <w:ind w:right="140"/>
        <w:spacing w:after="0" w:line="279" w:lineRule="auto"/>
        <w:rPr>
          <w:sz w:val="20"/>
          <w:szCs w:val="20"/>
          <w:color w:val="auto"/>
        </w:rPr>
      </w:pPr>
      <w:r>
        <w:rPr>
          <w:rFonts w:ascii="Arial" w:cs="Arial" w:eastAsia="Arial" w:hAnsi="Arial"/>
          <w:sz w:val="12"/>
          <w:szCs w:val="12"/>
          <w:color w:val="auto"/>
        </w:rPr>
        <w:t>On May 24, 2018, the Company entered into the Seventh Amended and Restated Credit Agreement with Bank of America, N.A., as agent, providing for a secured $140.0 million credit facility. On May 31, 2019, the Credit Facility was amended to expand the definition of its borrowing base to include certain receivables, as defined in the amendment (as amended, the “Credit Facility”).</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 xml:space="preserve">The Credit Facility provides maximum committed borrowings of $125.0 million in revolver loans, with the ability, pursuant to an accordion feature, to increase the Credit Facility by an additional $50.0 million upon the request of the Company and the agreement of the lender(s) participating in the increase (the “Revolving Facility”). The Revolving Facility provides for a sublimit of $20.0 million for commercial and standby letter of credits and up to $15.0 million for swingline loans. The Company’s ability to borrow under the Revolving Facility (the “Loan Cap”) is determined using an availability formula based on eligible assets. The Credit Facility requires the Company to maintain a minimum consolidated fixed charge coverage ratio of 1.0:1.0 if its excess availability under the Credit Facility fails to be equal to or greater than the greater of 10% of the Loan Cap and $7.5 million. </w:t>
      </w:r>
      <w:r>
        <w:rPr>
          <w:rFonts w:ascii="Arial" w:cs="Arial" w:eastAsia="Arial" w:hAnsi="Arial"/>
          <w:sz w:val="12"/>
          <w:szCs w:val="12"/>
          <w:color w:val="000033"/>
        </w:rPr>
        <w:t>The maturity date of the Credit Facility is May</w:t>
      </w:r>
      <w:r>
        <w:rPr>
          <w:rFonts w:ascii="Arial" w:cs="Arial" w:eastAsia="Arial" w:hAnsi="Arial"/>
          <w:sz w:val="12"/>
          <w:szCs w:val="12"/>
          <w:color w:val="auto"/>
        </w:rPr>
        <w:t xml:space="preserve"> </w:t>
      </w:r>
      <w:r>
        <w:rPr>
          <w:rFonts w:ascii="Arial" w:cs="Arial" w:eastAsia="Arial" w:hAnsi="Arial"/>
          <w:sz w:val="12"/>
          <w:szCs w:val="12"/>
          <w:color w:val="000033"/>
        </w:rPr>
        <w:t xml:space="preserve">24, 2023. </w:t>
      </w:r>
      <w:r>
        <w:rPr>
          <w:rFonts w:ascii="Arial" w:cs="Arial" w:eastAsia="Arial" w:hAnsi="Arial"/>
          <w:sz w:val="12"/>
          <w:szCs w:val="12"/>
          <w:color w:val="000000"/>
        </w:rPr>
        <w:t>The Company’s obligations under the Credit Facility are secured by a lien on substantially all of its assets.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The Credit Facility includes a $15.0 million “first in, last out” (FILO) term facility (the “FILO loan”), which is discussed below under long-term debt.</w:t>
      </w:r>
    </w:p>
    <w:p>
      <w:pPr>
        <w:spacing w:after="0" w:line="152"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color w:val="auto"/>
        </w:rPr>
        <w:t>At August 3, 2019, the Company had outstanding borrowings under the Revolving Facility of $49.8 million, before unamortized debt issuance costs of $0.3 million. Outstanding standby letters of credit were $2.6 million and outstanding documentary letters of credit were $1.3 million. Unused excess availability at August 3, 2019 was $44.5 million. Average monthly borrowings outstanding under the Revolving Facility during the first six months of fiscal 2019 were $56.4 million, resulting in an average unused excess availability of approximately $37.6 million. The Company’s ability to borrow under the Revolving Facility was determined using an availability formula based on eligible assets, with increased advance rates based on seasonality.</w:t>
      </w:r>
    </w:p>
    <w:p>
      <w:pPr>
        <w:spacing w:after="0" w:line="124" w:lineRule="exact"/>
        <w:rPr>
          <w:sz w:val="20"/>
          <w:szCs w:val="20"/>
          <w:color w:val="auto"/>
        </w:rPr>
      </w:pPr>
    </w:p>
    <w:p>
      <w:pPr>
        <w:ind w:right="80"/>
        <w:spacing w:after="0" w:line="258" w:lineRule="auto"/>
        <w:rPr>
          <w:sz w:val="20"/>
          <w:szCs w:val="20"/>
          <w:color w:val="auto"/>
        </w:rPr>
      </w:pPr>
      <w:r>
        <w:rPr>
          <w:rFonts w:ascii="Arial" w:cs="Arial" w:eastAsia="Arial" w:hAnsi="Arial"/>
          <w:sz w:val="12"/>
          <w:szCs w:val="12"/>
          <w:color w:val="auto"/>
        </w:rPr>
        <w:t>Borrowings made pursuant to the Revolving Facility bear interest, calculated under either the Federal Funds rate or the LIBOR rate, at a rate equal to the following: (a) the Federal Funds rate plus a varying percentage based on the Company’s excess availability, of either 0.25% or 0.50%, or (b) the LIBOR rate (the Company being able to select interest periods of 1 week, 1 month, 2 months, 3 months or 6 months) plus a varying percentage based on the Company’s excess availability, of either 1.25% or 1.50%. The Company was also subject to an unused line fee of 0.25%. At August 3, 2019, the Company’s prime-based interest rate was 5.75%. At August 3, 2019, the Company had approximately $45.0 million of its outstanding borrowings in LIBOR-based contracts with an interest rate of 3.56%. The LIBOR-based contracts expired on August 4, 2019. When a LIBOR-based borrowing expires, the borrowings reverted back to prime-based borrowings unless the Company enters into a new LIBOR-based borrowing arrangement.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12" w:name="page13"/>
    <w:bookmarkEnd w:id="12"/>
    <w:p>
      <w:pPr>
        <w:spacing w:after="0"/>
        <w:rPr>
          <w:sz w:val="20"/>
          <w:szCs w:val="20"/>
          <w:color w:val="auto"/>
        </w:rPr>
      </w:pPr>
      <w:r>
        <w:rPr>
          <w:rFonts w:ascii="Arial" w:cs="Arial" w:eastAsia="Arial" w:hAnsi="Arial"/>
          <w:sz w:val="12"/>
          <w:szCs w:val="12"/>
          <w:color w:val="auto"/>
        </w:rPr>
        <w:t>The fair value of the amount outstanding under the Revolving Facility at August 3, 2019 approximated the carrying value.</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Long-Term Debt</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Long-term debt is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24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w:t>
            </w:r>
          </w:p>
        </w:tc>
        <w:tc>
          <w:tcPr>
            <w:tcW w:w="200" w:type="dxa"/>
            <w:vAlign w:val="bottom"/>
            <w:tcBorders>
              <w:bottom w:val="single" w:sz="8" w:color="CFF0FC"/>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jc w:val="right"/>
              <w:ind w:right="882"/>
              <w:spacing w:after="0"/>
              <w:rPr>
                <w:sz w:val="20"/>
                <w:szCs w:val="20"/>
                <w:color w:val="auto"/>
              </w:rPr>
            </w:pPr>
            <w:r>
              <w:rPr>
                <w:rFonts w:ascii="Arial" w:cs="Arial" w:eastAsia="Arial" w:hAnsi="Arial"/>
                <w:sz w:val="10"/>
                <w:szCs w:val="10"/>
                <w:color w:val="auto"/>
              </w:rPr>
              <w:t>August 3, 2019</w:t>
            </w:r>
          </w:p>
        </w:tc>
        <w:tc>
          <w:tcPr>
            <w:tcW w:w="320" w:type="dxa"/>
            <w:vAlign w:val="bottom"/>
            <w:tcBorders>
              <w:bottom w:val="single" w:sz="8" w:color="CFF0FC"/>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jc w:val="right"/>
              <w:ind w:right="662"/>
              <w:spacing w:after="0"/>
              <w:rPr>
                <w:sz w:val="20"/>
                <w:szCs w:val="20"/>
                <w:color w:val="auto"/>
              </w:rPr>
            </w:pPr>
            <w:r>
              <w:rPr>
                <w:rFonts w:ascii="Arial" w:cs="Arial" w:eastAsia="Arial" w:hAnsi="Arial"/>
                <w:sz w:val="10"/>
                <w:szCs w:val="10"/>
                <w:color w:val="auto"/>
              </w:rPr>
              <w:t>February 2, 2019</w:t>
            </w:r>
          </w:p>
        </w:tc>
        <w:tc>
          <w:tcPr>
            <w:tcW w:w="120" w:type="dxa"/>
            <w:vAlign w:val="bottom"/>
            <w:tcBorders>
              <w:bottom w:val="single" w:sz="8" w:color="CFF0FC"/>
            </w:tcBorders>
          </w:tcPr>
          <w:p>
            <w:pPr>
              <w:spacing w:after="0"/>
              <w:rPr>
                <w:sz w:val="10"/>
                <w:szCs w:val="10"/>
                <w:color w:val="auto"/>
              </w:rPr>
            </w:pPr>
          </w:p>
        </w:tc>
      </w:tr>
      <w:tr>
        <w:trPr>
          <w:trHeight w:val="143"/>
        </w:trPr>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FILO Loan</w:t>
            </w:r>
          </w:p>
        </w:tc>
        <w:tc>
          <w:tcPr>
            <w:tcW w:w="700" w:type="dxa"/>
            <w:vAlign w:val="bottom"/>
            <w:gridSpan w:val="2"/>
            <w:shd w:val="clear" w:color="auto" w:fill="CFF0FC"/>
          </w:tcPr>
          <w:p>
            <w:pPr>
              <w:jc w:val="right"/>
              <w:ind w:right="39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15,000</w:t>
            </w:r>
          </w:p>
        </w:tc>
        <w:tc>
          <w:tcPr>
            <w:tcW w:w="320" w:type="dxa"/>
            <w:vAlign w:val="bottom"/>
            <w:shd w:val="clear" w:color="auto" w:fill="CFF0FC"/>
          </w:tcPr>
          <w:p>
            <w:pPr>
              <w:spacing w:after="0"/>
              <w:rPr>
                <w:sz w:val="12"/>
                <w:szCs w:val="12"/>
                <w:color w:val="auto"/>
              </w:rPr>
            </w:pPr>
          </w:p>
        </w:tc>
        <w:tc>
          <w:tcPr>
            <w:tcW w:w="400" w:type="dxa"/>
            <w:vAlign w:val="bottom"/>
            <w:shd w:val="clear" w:color="auto" w:fill="CFF0FC"/>
          </w:tcPr>
          <w:p>
            <w:pPr>
              <w:jc w:val="right"/>
              <w:ind w:right="290"/>
              <w:spacing w:after="0"/>
              <w:rPr>
                <w:sz w:val="20"/>
                <w:szCs w:val="20"/>
                <w:color w:val="auto"/>
              </w:rPr>
            </w:pPr>
            <w:r>
              <w:rPr>
                <w:rFonts w:ascii="Arial" w:cs="Arial" w:eastAsia="Arial" w:hAnsi="Arial"/>
                <w:sz w:val="10"/>
                <w:szCs w:val="10"/>
                <w:color w:val="auto"/>
                <w:w w:val="71"/>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15,000</w:t>
            </w:r>
          </w:p>
        </w:tc>
        <w:tc>
          <w:tcPr>
            <w:tcW w:w="120" w:type="dxa"/>
            <w:vAlign w:val="bottom"/>
            <w:shd w:val="clear" w:color="auto" w:fill="CFF0FC"/>
          </w:tcPr>
          <w:p>
            <w:pPr>
              <w:spacing w:after="0"/>
              <w:rPr>
                <w:sz w:val="12"/>
                <w:szCs w:val="12"/>
                <w:color w:val="auto"/>
              </w:rPr>
            </w:pPr>
          </w:p>
        </w:tc>
      </w:tr>
      <w:tr>
        <w:trPr>
          <w:trHeight w:val="154"/>
        </w:trPr>
        <w:tc>
          <w:tcPr>
            <w:tcW w:w="6240" w:type="dxa"/>
            <w:vAlign w:val="bottom"/>
          </w:tcPr>
          <w:p>
            <w:pPr>
              <w:spacing w:after="0"/>
              <w:rPr>
                <w:sz w:val="20"/>
                <w:szCs w:val="20"/>
                <w:color w:val="auto"/>
              </w:rPr>
            </w:pPr>
            <w:r>
              <w:rPr>
                <w:rFonts w:ascii="Arial" w:cs="Arial" w:eastAsia="Arial" w:hAnsi="Arial"/>
                <w:sz w:val="12"/>
                <w:szCs w:val="12"/>
                <w:color w:val="auto"/>
              </w:rPr>
              <w:t>Less: unamortized debt issuance costs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300" w:type="dxa"/>
            <w:vAlign w:val="bottom"/>
            <w:gridSpan w:val="2"/>
          </w:tcPr>
          <w:p>
            <w:pPr>
              <w:jc w:val="right"/>
              <w:ind w:right="280"/>
              <w:spacing w:after="0"/>
              <w:rPr>
                <w:sz w:val="20"/>
                <w:szCs w:val="20"/>
                <w:color w:val="auto"/>
              </w:rPr>
            </w:pPr>
            <w:r>
              <w:rPr>
                <w:rFonts w:ascii="Arial" w:cs="Arial" w:eastAsia="Arial" w:hAnsi="Arial"/>
                <w:sz w:val="12"/>
                <w:szCs w:val="12"/>
                <w:color w:val="auto"/>
              </w:rPr>
              <w:t>(215)</w:t>
            </w:r>
          </w:p>
        </w:tc>
        <w:tc>
          <w:tcPr>
            <w:tcW w:w="400" w:type="dxa"/>
            <w:vAlign w:val="bottom"/>
          </w:tcPr>
          <w:p>
            <w:pPr>
              <w:spacing w:after="0"/>
              <w:rPr>
                <w:sz w:val="13"/>
                <w:szCs w:val="13"/>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2"/>
                <w:szCs w:val="12"/>
                <w:color w:val="auto"/>
              </w:rPr>
              <w:t>(243)</w:t>
            </w:r>
          </w:p>
        </w:tc>
      </w:tr>
      <w:tr>
        <w:trPr>
          <w:trHeight w:val="14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long-term debt</w:t>
            </w:r>
          </w:p>
        </w:tc>
        <w:tc>
          <w:tcPr>
            <w:tcW w:w="200" w:type="dxa"/>
            <w:vAlign w:val="bottom"/>
            <w:tcBorders>
              <w:top w:val="single" w:sz="8" w:color="CFF0FC"/>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14,785</w:t>
            </w:r>
          </w:p>
        </w:tc>
        <w:tc>
          <w:tcPr>
            <w:tcW w:w="320" w:type="dxa"/>
            <w:vAlign w:val="bottom"/>
            <w:tcBorders>
              <w:top w:val="single" w:sz="8" w:color="CFF0FC"/>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14,757</w:t>
            </w: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62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Less: current portion of long-term debt</w:t>
            </w:r>
          </w:p>
        </w:tc>
        <w:tc>
          <w:tcPr>
            <w:tcW w:w="20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r>
      <w:tr>
        <w:trPr>
          <w:trHeight w:val="150"/>
        </w:trPr>
        <w:tc>
          <w:tcPr>
            <w:tcW w:w="6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Long-term debt, net of current portion</w:t>
            </w:r>
          </w:p>
        </w:tc>
        <w:tc>
          <w:tcPr>
            <w:tcW w:w="200" w:type="dxa"/>
            <w:vAlign w:val="bottom"/>
            <w:tcBorders>
              <w:bottom w:val="single" w:sz="8" w:color="CFF0FC"/>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0"/>
                <w:szCs w:val="10"/>
                <w:color w:val="auto"/>
                <w:w w:val="71"/>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14,785</w:t>
            </w:r>
          </w:p>
        </w:tc>
        <w:tc>
          <w:tcPr>
            <w:tcW w:w="320" w:type="dxa"/>
            <w:vAlign w:val="bottom"/>
            <w:tcBorders>
              <w:bottom w:val="single" w:sz="8" w:color="CFF0FC"/>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0"/>
                <w:szCs w:val="10"/>
                <w:color w:val="auto"/>
                <w:w w:val="71"/>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14,757</w:t>
            </w:r>
          </w:p>
        </w:tc>
        <w:tc>
          <w:tcPr>
            <w:tcW w:w="120" w:type="dxa"/>
            <w:vAlign w:val="bottom"/>
            <w:tcBorders>
              <w:bottom w:val="single" w:sz="8" w:color="CFF0FC"/>
            </w:tcBorders>
            <w:shd w:val="clear" w:color="auto" w:fill="CFF0FC"/>
          </w:tcPr>
          <w:p>
            <w:pPr>
              <w:spacing w:after="0"/>
              <w:rPr>
                <w:sz w:val="13"/>
                <w:szCs w:val="13"/>
                <w:color w:val="auto"/>
              </w:rPr>
            </w:pPr>
          </w:p>
        </w:tc>
      </w:tr>
    </w:tbl>
    <w:p>
      <w:pPr>
        <w:spacing w:after="0" w:line="136" w:lineRule="exact"/>
        <w:rPr>
          <w:sz w:val="20"/>
          <w:szCs w:val="20"/>
          <w:color w:val="auto"/>
        </w:rPr>
      </w:pPr>
    </w:p>
    <w:p>
      <w:pPr>
        <w:jc w:val="both"/>
        <w:ind w:right="20"/>
        <w:spacing w:after="0" w:line="265" w:lineRule="auto"/>
        <w:rPr>
          <w:sz w:val="20"/>
          <w:szCs w:val="20"/>
          <w:color w:val="auto"/>
        </w:rPr>
      </w:pPr>
      <w:r>
        <w:rPr>
          <w:rFonts w:ascii="Arial" w:cs="Arial" w:eastAsia="Arial" w:hAnsi="Arial"/>
          <w:sz w:val="12"/>
          <w:szCs w:val="12"/>
          <w:color w:val="auto"/>
        </w:rPr>
        <w:t>The total borrowing capacity under the FILO loan is based on a borrowing base, generally defined as a specified percentage of the value of eligible accounts, including certain trade names, that step down over time, plus a specified percentage of the value of eligible inventory that steps down over time. There can be no voluntary prepayments on the FILO loan during the first year. After its one-year anniversary, the FILO loan can be repaid, in whole or in part, subject to certain payment conditions. The term loan expires on May 24, 2023, if not repaid in full prior to that date.</w:t>
      </w:r>
    </w:p>
    <w:p>
      <w:pPr>
        <w:spacing w:after="0" w:line="50"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Borrowings made under the FILO loan will bear interest, calculated under either the Federal Funds rate or the LIBOR rate, at a rate equal to the following: (a) the Federal Funds rate plus a carrying percentage based on the Company’s excess availability, of either 1.75% or 2.00% or (b)the LIBOR rate (the Company being able to select interest periods of 1 week, 1 month, 2 months, 3 months or 6 months) plus a varying percentage based on the Company’s excess availability of either 2.75% or 3.00%. At August 3, 2019, the outstanding balance of $15.0 million was in a 1-week LIBOR-based contract with an interest rate of 5.06%. The LIBOR-based contract expired on August 4, 2019. When a LIBOR-based contract expires, the Company can enter into a new LIBOR-based borrowing arrangement.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Leases</w:t>
      </w:r>
    </w:p>
    <w:p>
      <w:pPr>
        <w:spacing w:after="0" w:line="174" w:lineRule="exact"/>
        <w:rPr>
          <w:sz w:val="20"/>
          <w:szCs w:val="20"/>
          <w:color w:val="auto"/>
        </w:rPr>
      </w:pPr>
    </w:p>
    <w:p>
      <w:pPr>
        <w:jc w:val="both"/>
        <w:ind w:right="100"/>
        <w:spacing w:after="0" w:line="261" w:lineRule="auto"/>
        <w:rPr>
          <w:sz w:val="20"/>
          <w:szCs w:val="20"/>
          <w:color w:val="auto"/>
        </w:rPr>
      </w:pPr>
      <w:r>
        <w:rPr>
          <w:rFonts w:ascii="Arial" w:cs="Arial" w:eastAsia="Arial" w:hAnsi="Arial"/>
          <w:sz w:val="12"/>
          <w:szCs w:val="12"/>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The initial term of the lease for the corporate headquarter was for 20 years, with the opportunity to extend for six additional successive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540" w:type="dxa"/>
            <w:vAlign w:val="bottom"/>
          </w:tcPr>
          <w:p>
            <w:pPr>
              <w:spacing w:after="0"/>
              <w:rPr>
                <w:sz w:val="20"/>
                <w:szCs w:val="20"/>
                <w:color w:val="auto"/>
              </w:rPr>
            </w:pPr>
            <w:r>
              <w:rPr>
                <w:rFonts w:ascii="Arial" w:cs="Arial" w:eastAsia="Arial" w:hAnsi="Arial"/>
                <w:sz w:val="12"/>
                <w:szCs w:val="12"/>
                <w:color w:val="auto"/>
                <w:w w:val="92"/>
              </w:rPr>
              <w:t>The following table is a summary of the Company’s components of net lease cost for the three and six months ended August 3, 2019:</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5"/>
        </w:trPr>
        <w:tc>
          <w:tcPr>
            <w:tcW w:w="6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65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center"/>
              <w:ind w:right="180"/>
              <w:spacing w:after="0"/>
              <w:rPr>
                <w:sz w:val="20"/>
                <w:szCs w:val="20"/>
                <w:color w:val="auto"/>
              </w:rPr>
            </w:pPr>
            <w:r>
              <w:rPr>
                <w:rFonts w:ascii="Arial" w:cs="Arial" w:eastAsia="Arial" w:hAnsi="Arial"/>
                <w:sz w:val="12"/>
                <w:szCs w:val="12"/>
                <w:color w:val="auto"/>
                <w:w w:val="90"/>
              </w:rPr>
              <w:t>For the three</w:t>
            </w: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560" w:type="dxa"/>
            <w:vAlign w:val="bottom"/>
            <w:gridSpan w:val="3"/>
            <w:shd w:val="clear" w:color="auto" w:fill="CFF0FC"/>
          </w:tcPr>
          <w:p>
            <w:pPr>
              <w:jc w:val="center"/>
              <w:ind w:right="820"/>
              <w:spacing w:after="0"/>
              <w:rPr>
                <w:sz w:val="20"/>
                <w:szCs w:val="20"/>
                <w:color w:val="auto"/>
              </w:rPr>
            </w:pPr>
            <w:r>
              <w:rPr>
                <w:rFonts w:ascii="Arial" w:cs="Arial" w:eastAsia="Arial" w:hAnsi="Arial"/>
                <w:sz w:val="12"/>
                <w:szCs w:val="12"/>
                <w:color w:val="auto"/>
                <w:w w:val="89"/>
              </w:rPr>
              <w:t>For the six</w:t>
            </w:r>
          </w:p>
        </w:tc>
      </w:tr>
      <w:tr>
        <w:trPr>
          <w:trHeight w:val="154"/>
        </w:trPr>
        <w:tc>
          <w:tcPr>
            <w:tcW w:w="6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color w:val="auto"/>
                <w:w w:val="89"/>
              </w:rPr>
              <w:t>months ended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60" w:type="dxa"/>
            <w:vAlign w:val="bottom"/>
            <w:gridSpan w:val="3"/>
          </w:tcPr>
          <w:p>
            <w:pPr>
              <w:jc w:val="center"/>
              <w:ind w:right="820"/>
              <w:spacing w:after="0"/>
              <w:rPr>
                <w:sz w:val="20"/>
                <w:szCs w:val="20"/>
                <w:color w:val="auto"/>
              </w:rPr>
            </w:pPr>
            <w:r>
              <w:rPr>
                <w:rFonts w:ascii="Arial" w:cs="Arial" w:eastAsia="Arial" w:hAnsi="Arial"/>
                <w:sz w:val="12"/>
                <w:szCs w:val="12"/>
                <w:color w:val="auto"/>
                <w:w w:val="86"/>
              </w:rPr>
              <w:t>months ended</w:t>
            </w:r>
          </w:p>
        </w:tc>
      </w:tr>
      <w:tr>
        <w:trPr>
          <w:trHeight w:val="134"/>
        </w:trPr>
        <w:tc>
          <w:tcPr>
            <w:tcW w:w="6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center"/>
              <w:ind w:right="180"/>
              <w:spacing w:after="0" w:line="127" w:lineRule="exact"/>
              <w:rPr>
                <w:sz w:val="20"/>
                <w:szCs w:val="20"/>
                <w:color w:val="auto"/>
              </w:rPr>
            </w:pPr>
            <w:r>
              <w:rPr>
                <w:rFonts w:ascii="Arial" w:cs="Arial" w:eastAsia="Arial" w:hAnsi="Arial"/>
                <w:sz w:val="12"/>
                <w:szCs w:val="12"/>
                <w:color w:val="auto"/>
                <w:w w:val="91"/>
              </w:rPr>
              <w:t>August 3, 2019</w:t>
            </w: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560" w:type="dxa"/>
            <w:vAlign w:val="bottom"/>
            <w:gridSpan w:val="3"/>
            <w:shd w:val="clear" w:color="auto" w:fill="CFF0FC"/>
          </w:tcPr>
          <w:p>
            <w:pPr>
              <w:jc w:val="center"/>
              <w:ind w:right="820"/>
              <w:spacing w:after="0" w:line="127" w:lineRule="exact"/>
              <w:rPr>
                <w:sz w:val="20"/>
                <w:szCs w:val="20"/>
                <w:color w:val="auto"/>
              </w:rPr>
            </w:pPr>
            <w:r>
              <w:rPr>
                <w:rFonts w:ascii="Arial" w:cs="Arial" w:eastAsia="Arial" w:hAnsi="Arial"/>
                <w:sz w:val="12"/>
                <w:szCs w:val="12"/>
                <w:color w:val="auto"/>
                <w:w w:val="91"/>
              </w:rPr>
              <w:t>August 3, 2019</w:t>
            </w:r>
          </w:p>
        </w:tc>
      </w:tr>
      <w:tr>
        <w:trPr>
          <w:trHeight w:val="154"/>
        </w:trPr>
        <w:tc>
          <w:tcPr>
            <w:tcW w:w="6540" w:type="dxa"/>
            <w:vAlign w:val="bottom"/>
            <w:tcBorders>
              <w:top w:val="single" w:sz="8" w:color="CFF0FC"/>
            </w:tcBorders>
          </w:tcPr>
          <w:p>
            <w:pPr>
              <w:spacing w:after="0"/>
              <w:rPr>
                <w:sz w:val="20"/>
                <w:szCs w:val="20"/>
                <w:color w:val="auto"/>
              </w:rPr>
            </w:pPr>
            <w:r>
              <w:rPr>
                <w:rFonts w:ascii="Arial" w:cs="Arial" w:eastAsia="Arial" w:hAnsi="Arial"/>
                <w:sz w:val="12"/>
                <w:szCs w:val="12"/>
                <w:i w:val="1"/>
                <w:iCs w:val="1"/>
                <w:color w:val="auto"/>
              </w:rPr>
              <w:t>(in thousands)</w:t>
            </w:r>
          </w:p>
        </w:tc>
        <w:tc>
          <w:tcPr>
            <w:tcW w:w="140" w:type="dxa"/>
            <w:vAlign w:val="bottom"/>
            <w:tcBorders>
              <w:top w:val="single" w:sz="8" w:color="CFF0FC"/>
            </w:tcBorders>
          </w:tcPr>
          <w:p>
            <w:pPr>
              <w:spacing w:after="0"/>
              <w:rPr>
                <w:sz w:val="13"/>
                <w:szCs w:val="13"/>
                <w:color w:val="auto"/>
              </w:rPr>
            </w:pPr>
          </w:p>
        </w:tc>
        <w:tc>
          <w:tcPr>
            <w:tcW w:w="700" w:type="dxa"/>
            <w:vAlign w:val="bottom"/>
            <w:tcBorders>
              <w:top w:val="single" w:sz="8" w:color="CFF0FC"/>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5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980" w:type="dxa"/>
            <w:vAlign w:val="bottom"/>
            <w:tcBorders>
              <w:top w:val="single" w:sz="8" w:color="CFF0FC"/>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7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r>
      <w:tr>
        <w:trPr>
          <w:trHeight w:val="154"/>
        </w:trPr>
        <w:tc>
          <w:tcPr>
            <w:tcW w:w="6540" w:type="dxa"/>
            <w:vAlign w:val="bottom"/>
            <w:shd w:val="clear" w:color="auto" w:fill="CFF0FC"/>
          </w:tcPr>
          <w:p>
            <w:pPr>
              <w:spacing w:after="0"/>
              <w:rPr>
                <w:sz w:val="20"/>
                <w:szCs w:val="20"/>
                <w:color w:val="auto"/>
              </w:rPr>
            </w:pPr>
            <w:r>
              <w:rPr>
                <w:rFonts w:ascii="Arial" w:cs="Arial" w:eastAsia="Arial" w:hAnsi="Arial"/>
                <w:sz w:val="12"/>
                <w:szCs w:val="12"/>
                <w:color w:val="auto"/>
              </w:rPr>
              <w:t>Operating lease cost</w:t>
            </w:r>
            <w:r>
              <w:rPr>
                <w:rFonts w:ascii="Arial" w:cs="Arial" w:eastAsia="Arial" w:hAnsi="Arial"/>
                <w:sz w:val="10"/>
                <w:szCs w:val="10"/>
                <w:color w:val="auto"/>
              </w:rPr>
              <w:t>(1)</w:t>
            </w:r>
          </w:p>
        </w:tc>
        <w:tc>
          <w:tcPr>
            <w:tcW w:w="840" w:type="dxa"/>
            <w:vAlign w:val="bottom"/>
            <w:gridSpan w:val="2"/>
            <w:shd w:val="clear" w:color="auto" w:fill="CFF0FC"/>
          </w:tcPr>
          <w:p>
            <w:pPr>
              <w:jc w:val="right"/>
              <w:ind w:right="6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13,215</w:t>
            </w:r>
          </w:p>
        </w:tc>
        <w:tc>
          <w:tcPr>
            <w:tcW w:w="12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580"/>
              <w:spacing w:after="0"/>
              <w:rPr>
                <w:sz w:val="20"/>
                <w:szCs w:val="20"/>
                <w:color w:val="auto"/>
              </w:rPr>
            </w:pPr>
            <w:r>
              <w:rPr>
                <w:rFonts w:ascii="Arial" w:cs="Arial" w:eastAsia="Arial" w:hAnsi="Arial"/>
                <w:sz w:val="12"/>
                <w:szCs w:val="12"/>
                <w:color w:val="auto"/>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26,468</w:t>
            </w:r>
          </w:p>
        </w:tc>
        <w:tc>
          <w:tcPr>
            <w:tcW w:w="120" w:type="dxa"/>
            <w:vAlign w:val="bottom"/>
            <w:shd w:val="clear" w:color="auto" w:fill="CFF0FC"/>
          </w:tcPr>
          <w:p>
            <w:pPr>
              <w:spacing w:after="0"/>
              <w:rPr>
                <w:sz w:val="13"/>
                <w:szCs w:val="13"/>
                <w:color w:val="auto"/>
              </w:rPr>
            </w:pPr>
          </w:p>
        </w:tc>
      </w:tr>
      <w:tr>
        <w:trPr>
          <w:trHeight w:val="154"/>
        </w:trPr>
        <w:tc>
          <w:tcPr>
            <w:tcW w:w="6540" w:type="dxa"/>
            <w:vAlign w:val="bottom"/>
          </w:tcPr>
          <w:p>
            <w:pPr>
              <w:spacing w:after="0"/>
              <w:rPr>
                <w:sz w:val="20"/>
                <w:szCs w:val="20"/>
                <w:color w:val="auto"/>
              </w:rPr>
            </w:pPr>
            <w:r>
              <w:rPr>
                <w:rFonts w:ascii="Arial" w:cs="Arial" w:eastAsia="Arial" w:hAnsi="Arial"/>
                <w:sz w:val="12"/>
                <w:szCs w:val="12"/>
                <w:color w:val="auto"/>
              </w:rPr>
              <w:t xml:space="preserve">Short-term lease costs </w:t>
            </w:r>
            <w:r>
              <w:rPr>
                <w:rFonts w:ascii="Arial" w:cs="Arial" w:eastAsia="Arial" w:hAnsi="Arial"/>
                <w:sz w:val="10"/>
                <w:szCs w:val="10"/>
                <w:color w:val="auto"/>
              </w:rPr>
              <w:t>(2)</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4"/>
        </w:trPr>
        <w:tc>
          <w:tcPr>
            <w:tcW w:w="6540" w:type="dxa"/>
            <w:vAlign w:val="bottom"/>
            <w:shd w:val="clear" w:color="auto" w:fill="CFF0FC"/>
          </w:tcPr>
          <w:p>
            <w:pPr>
              <w:spacing w:after="0"/>
              <w:rPr>
                <w:sz w:val="20"/>
                <w:szCs w:val="20"/>
                <w:color w:val="auto"/>
              </w:rPr>
            </w:pPr>
            <w:r>
              <w:rPr>
                <w:rFonts w:ascii="Arial" w:cs="Arial" w:eastAsia="Arial" w:hAnsi="Arial"/>
                <w:sz w:val="12"/>
                <w:szCs w:val="12"/>
                <w:color w:val="auto"/>
              </w:rPr>
              <w:t>Variable lease costs</w:t>
            </w:r>
            <w:r>
              <w:rPr>
                <w:rFonts w:ascii="Arial" w:cs="Arial" w:eastAsia="Arial" w:hAnsi="Arial"/>
                <w:sz w:val="10"/>
                <w:szCs w:val="10"/>
                <w:color w:val="auto"/>
              </w:rPr>
              <w:t>(1)</w:t>
            </w:r>
          </w:p>
        </w:tc>
        <w:tc>
          <w:tcPr>
            <w:tcW w:w="140" w:type="dxa"/>
            <w:vAlign w:val="bottom"/>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3,954</w:t>
            </w:r>
          </w:p>
        </w:tc>
        <w:tc>
          <w:tcPr>
            <w:tcW w:w="120" w:type="dxa"/>
            <w:vAlign w:val="bottom"/>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2"/>
                <w:szCs w:val="12"/>
                <w:color w:val="auto"/>
              </w:rPr>
              <w:t>7,999</w:t>
            </w:r>
          </w:p>
        </w:tc>
        <w:tc>
          <w:tcPr>
            <w:tcW w:w="120" w:type="dxa"/>
            <w:vAlign w:val="bottom"/>
            <w:shd w:val="clear" w:color="auto" w:fill="CFF0FC"/>
          </w:tcPr>
          <w:p>
            <w:pPr>
              <w:spacing w:after="0"/>
              <w:rPr>
                <w:sz w:val="13"/>
                <w:szCs w:val="13"/>
                <w:color w:val="auto"/>
              </w:rPr>
            </w:pPr>
          </w:p>
        </w:tc>
      </w:tr>
      <w:tr>
        <w:trPr>
          <w:trHeight w:val="143"/>
        </w:trPr>
        <w:tc>
          <w:tcPr>
            <w:tcW w:w="6540" w:type="dxa"/>
            <w:vAlign w:val="bottom"/>
          </w:tcPr>
          <w:p>
            <w:pPr>
              <w:spacing w:after="0"/>
              <w:rPr>
                <w:sz w:val="20"/>
                <w:szCs w:val="20"/>
                <w:color w:val="auto"/>
              </w:rPr>
            </w:pPr>
            <w:r>
              <w:rPr>
                <w:rFonts w:ascii="Arial" w:cs="Arial" w:eastAsia="Arial" w:hAnsi="Arial"/>
                <w:sz w:val="12"/>
                <w:szCs w:val="12"/>
                <w:color w:val="auto"/>
              </w:rPr>
              <w:t>Total lease costs</w:t>
            </w:r>
          </w:p>
        </w:tc>
        <w:tc>
          <w:tcPr>
            <w:tcW w:w="840" w:type="dxa"/>
            <w:vAlign w:val="bottom"/>
            <w:gridSpan w:val="2"/>
          </w:tcPr>
          <w:p>
            <w:pPr>
              <w:jc w:val="right"/>
              <w:ind w:right="6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17,169</w:t>
            </w:r>
          </w:p>
        </w:tc>
        <w:tc>
          <w:tcPr>
            <w:tcW w:w="120" w:type="dxa"/>
            <w:vAlign w:val="bottom"/>
          </w:tcPr>
          <w:p>
            <w:pPr>
              <w:spacing w:after="0"/>
              <w:rPr>
                <w:sz w:val="12"/>
                <w:szCs w:val="12"/>
                <w:color w:val="auto"/>
              </w:rPr>
            </w:pPr>
          </w:p>
        </w:tc>
        <w:tc>
          <w:tcPr>
            <w:tcW w:w="980" w:type="dxa"/>
            <w:vAlign w:val="bottom"/>
          </w:tcPr>
          <w:p>
            <w:pPr>
              <w:jc w:val="right"/>
              <w:ind w:right="580"/>
              <w:spacing w:after="0"/>
              <w:rPr>
                <w:sz w:val="20"/>
                <w:szCs w:val="20"/>
                <w:color w:val="auto"/>
              </w:rPr>
            </w:pPr>
            <w:r>
              <w:rPr>
                <w:rFonts w:ascii="Arial" w:cs="Arial" w:eastAsia="Arial" w:hAnsi="Arial"/>
                <w:sz w:val="12"/>
                <w:szCs w:val="12"/>
                <w:color w:val="auto"/>
              </w:rPr>
              <w:t>$</w:t>
            </w:r>
          </w:p>
        </w:tc>
        <w:tc>
          <w:tcPr>
            <w:tcW w:w="1440" w:type="dxa"/>
            <w:vAlign w:val="bottom"/>
            <w:gridSpan w:val="2"/>
          </w:tcPr>
          <w:p>
            <w:pPr>
              <w:jc w:val="right"/>
              <w:spacing w:after="0"/>
              <w:rPr>
                <w:sz w:val="20"/>
                <w:szCs w:val="20"/>
                <w:color w:val="auto"/>
              </w:rPr>
            </w:pPr>
            <w:r>
              <w:rPr>
                <w:rFonts w:ascii="Arial" w:cs="Arial" w:eastAsia="Arial" w:hAnsi="Arial"/>
                <w:sz w:val="12"/>
                <w:szCs w:val="12"/>
                <w:color w:val="auto"/>
              </w:rPr>
              <w:t>34,467</w:t>
            </w:r>
          </w:p>
        </w:tc>
        <w:tc>
          <w:tcPr>
            <w:tcW w:w="120" w:type="dxa"/>
            <w:vAlign w:val="bottom"/>
          </w:tcPr>
          <w:p>
            <w:pPr>
              <w:spacing w:after="0"/>
              <w:rPr>
                <w:sz w:val="12"/>
                <w:szCs w:val="12"/>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36" w:lineRule="exact"/>
        <w:rPr>
          <w:sz w:val="20"/>
          <w:szCs w:val="20"/>
          <w:color w:val="auto"/>
        </w:rPr>
      </w:pPr>
    </w:p>
    <w:p>
      <w:pPr>
        <w:ind w:left="760" w:right="440" w:hanging="387"/>
        <w:spacing w:after="0" w:line="259" w:lineRule="auto"/>
        <w:tabs>
          <w:tab w:leader="none" w:pos="760" w:val="left"/>
        </w:tabs>
        <w:numPr>
          <w:ilvl w:val="0"/>
          <w:numId w:val="4"/>
        </w:numPr>
        <w:rPr>
          <w:rFonts w:ascii="Arial" w:cs="Arial" w:eastAsia="Arial" w:hAnsi="Arial"/>
          <w:sz w:val="12"/>
          <w:szCs w:val="12"/>
          <w:color w:val="auto"/>
        </w:rPr>
      </w:pPr>
      <w:r>
        <w:rPr>
          <w:rFonts w:ascii="Arial" w:cs="Arial" w:eastAsia="Arial" w:hAnsi="Arial"/>
          <w:sz w:val="12"/>
          <w:szCs w:val="12"/>
          <w:color w:val="auto"/>
        </w:rPr>
        <w:t>Lease costs related to store locations are included in Cost of Goods Sold Including Occupancy Costs on the Consolidated Statement of Operations and expenses and lease costs related to the corporate headquarters, automobile and equipment leases are included in Selling, General and Administrative expenses on the Consolidated Statement of Operations.</w:t>
      </w:r>
    </w:p>
    <w:p>
      <w:pPr>
        <w:ind w:left="760" w:hanging="387"/>
        <w:spacing w:after="0"/>
        <w:tabs>
          <w:tab w:leader="none" w:pos="760" w:val="left"/>
        </w:tabs>
        <w:numPr>
          <w:ilvl w:val="0"/>
          <w:numId w:val="4"/>
        </w:numPr>
        <w:rPr>
          <w:rFonts w:ascii="Arial" w:cs="Arial" w:eastAsia="Arial" w:hAnsi="Arial"/>
          <w:sz w:val="12"/>
          <w:szCs w:val="12"/>
          <w:color w:val="auto"/>
        </w:rPr>
      </w:pPr>
      <w:r>
        <w:rPr>
          <w:rFonts w:ascii="Arial" w:cs="Arial" w:eastAsia="Arial" w:hAnsi="Arial"/>
          <w:sz w:val="12"/>
          <w:szCs w:val="12"/>
          <w:color w:val="auto"/>
        </w:rPr>
        <w:t>For the second quarter and first six months of fiscal 2019, the Company had no short-term lease costs.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560" w:type="dxa"/>
            <w:vAlign w:val="bottom"/>
          </w:tcPr>
          <w:p>
            <w:pPr>
              <w:spacing w:after="0"/>
              <w:rPr>
                <w:sz w:val="20"/>
                <w:szCs w:val="20"/>
                <w:color w:val="auto"/>
              </w:rPr>
            </w:pPr>
            <w:r>
              <w:rPr>
                <w:rFonts w:ascii="Arial" w:cs="Arial" w:eastAsia="Arial" w:hAnsi="Arial"/>
                <w:sz w:val="12"/>
                <w:szCs w:val="12"/>
                <w:color w:val="auto"/>
                <w:w w:val="93"/>
              </w:rPr>
              <w:t>Supplemental cash flow information related to leases for the first six months ended August 3, 2019 is as follows:</w:t>
            </w:r>
          </w:p>
        </w:tc>
        <w:tc>
          <w:tcPr>
            <w:tcW w:w="45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5560" w:type="dxa"/>
            <w:vAlign w:val="bottom"/>
          </w:tcPr>
          <w:p>
            <w:pPr>
              <w:ind w:left="260"/>
              <w:spacing w:after="0"/>
              <w:rPr>
                <w:sz w:val="20"/>
                <w:szCs w:val="20"/>
                <w:color w:val="auto"/>
              </w:rPr>
            </w:pPr>
            <w:r>
              <w:rPr>
                <w:rFonts w:ascii="Arial" w:cs="Arial" w:eastAsia="Arial" w:hAnsi="Arial"/>
                <w:sz w:val="12"/>
                <w:szCs w:val="12"/>
                <w:i w:val="1"/>
                <w:iCs w:val="1"/>
                <w:color w:val="auto"/>
              </w:rPr>
              <w:t>(in thousands)</w:t>
            </w:r>
          </w:p>
        </w:tc>
        <w:tc>
          <w:tcPr>
            <w:tcW w:w="4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4"/>
        </w:trPr>
        <w:tc>
          <w:tcPr>
            <w:tcW w:w="556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Cash paid for amounts included in the measurement of lease liabilities:</w:t>
            </w:r>
          </w:p>
        </w:tc>
        <w:tc>
          <w:tcPr>
            <w:tcW w:w="454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5560" w:type="dxa"/>
            <w:vAlign w:val="bottom"/>
          </w:tcPr>
          <w:p>
            <w:pPr>
              <w:ind w:left="420"/>
              <w:spacing w:after="0"/>
              <w:rPr>
                <w:sz w:val="20"/>
                <w:szCs w:val="20"/>
                <w:color w:val="auto"/>
              </w:rPr>
            </w:pPr>
            <w:r>
              <w:rPr>
                <w:rFonts w:ascii="Arial" w:cs="Arial" w:eastAsia="Arial" w:hAnsi="Arial"/>
                <w:sz w:val="12"/>
                <w:szCs w:val="12"/>
                <w:color w:val="auto"/>
              </w:rPr>
              <w:t>Operating cash flows for operating leases</w:t>
            </w:r>
          </w:p>
        </w:tc>
        <w:tc>
          <w:tcPr>
            <w:tcW w:w="4540" w:type="dxa"/>
            <w:vAlign w:val="bottom"/>
          </w:tcPr>
          <w:p>
            <w:pPr>
              <w:jc w:val="right"/>
              <w:ind w:right="660"/>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280"/>
              <w:spacing w:after="0"/>
              <w:rPr>
                <w:sz w:val="20"/>
                <w:szCs w:val="20"/>
                <w:color w:val="auto"/>
              </w:rPr>
            </w:pPr>
            <w:r>
              <w:rPr>
                <w:rFonts w:ascii="Arial" w:cs="Arial" w:eastAsia="Arial" w:hAnsi="Arial"/>
                <w:sz w:val="12"/>
                <w:szCs w:val="12"/>
                <w:color w:val="auto"/>
              </w:rPr>
              <w:t>29,221</w:t>
            </w:r>
          </w:p>
        </w:tc>
        <w:tc>
          <w:tcPr>
            <w:tcW w:w="20" w:type="dxa"/>
            <w:vAlign w:val="bottom"/>
          </w:tcPr>
          <w:p>
            <w:pPr>
              <w:spacing w:after="0"/>
              <w:rPr>
                <w:sz w:val="13"/>
                <w:szCs w:val="13"/>
                <w:color w:val="auto"/>
              </w:rPr>
            </w:pPr>
          </w:p>
        </w:tc>
      </w:tr>
      <w:tr>
        <w:trPr>
          <w:trHeight w:val="154"/>
        </w:trPr>
        <w:tc>
          <w:tcPr>
            <w:tcW w:w="5560" w:type="dxa"/>
            <w:vAlign w:val="bottom"/>
            <w:shd w:val="clear" w:color="auto" w:fill="CFF0FC"/>
          </w:tcPr>
          <w:p>
            <w:pPr>
              <w:ind w:left="260"/>
              <w:spacing w:after="0"/>
              <w:rPr>
                <w:sz w:val="20"/>
                <w:szCs w:val="20"/>
                <w:color w:val="auto"/>
              </w:rPr>
            </w:pPr>
            <w:r>
              <w:rPr>
                <w:rFonts w:ascii="Arial" w:cs="Arial" w:eastAsia="Arial" w:hAnsi="Arial"/>
                <w:sz w:val="12"/>
                <w:szCs w:val="12"/>
                <w:color w:val="auto"/>
              </w:rPr>
              <w:t>Non-cash operating activities:</w:t>
            </w:r>
          </w:p>
        </w:tc>
        <w:tc>
          <w:tcPr>
            <w:tcW w:w="454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5560" w:type="dxa"/>
            <w:vAlign w:val="bottom"/>
          </w:tcPr>
          <w:p>
            <w:pPr>
              <w:ind w:left="420"/>
              <w:spacing w:after="0"/>
              <w:rPr>
                <w:sz w:val="20"/>
                <w:szCs w:val="20"/>
                <w:color w:val="auto"/>
              </w:rPr>
            </w:pPr>
            <w:r>
              <w:rPr>
                <w:rFonts w:ascii="Arial" w:cs="Arial" w:eastAsia="Arial" w:hAnsi="Arial"/>
                <w:sz w:val="12"/>
                <w:szCs w:val="12"/>
                <w:color w:val="auto"/>
              </w:rPr>
              <w:t>Right-of-use assets obtained in exchange for operating lease liabilities</w:t>
            </w:r>
          </w:p>
        </w:tc>
        <w:tc>
          <w:tcPr>
            <w:tcW w:w="4540" w:type="dxa"/>
            <w:vAlign w:val="bottom"/>
          </w:tcPr>
          <w:p>
            <w:pPr>
              <w:jc w:val="right"/>
              <w:ind w:right="660"/>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280"/>
              <w:spacing w:after="0"/>
              <w:rPr>
                <w:sz w:val="20"/>
                <w:szCs w:val="20"/>
                <w:color w:val="auto"/>
              </w:rPr>
            </w:pPr>
            <w:r>
              <w:rPr>
                <w:rFonts w:ascii="Arial" w:cs="Arial" w:eastAsia="Arial" w:hAnsi="Arial"/>
                <w:sz w:val="12"/>
                <w:szCs w:val="12"/>
                <w:color w:val="auto"/>
              </w:rPr>
              <w:t>3,053</w:t>
            </w:r>
          </w:p>
        </w:tc>
        <w:tc>
          <w:tcPr>
            <w:tcW w:w="20" w:type="dxa"/>
            <w:vAlign w:val="bottom"/>
          </w:tcPr>
          <w:p>
            <w:pPr>
              <w:spacing w:after="0"/>
              <w:rPr>
                <w:sz w:val="13"/>
                <w:szCs w:val="13"/>
                <w:color w:val="auto"/>
              </w:rPr>
            </w:pPr>
          </w:p>
        </w:tc>
      </w:tr>
      <w:tr>
        <w:trPr>
          <w:trHeight w:val="290"/>
        </w:trPr>
        <w:tc>
          <w:tcPr>
            <w:tcW w:w="5560" w:type="dxa"/>
            <w:vAlign w:val="bottom"/>
          </w:tcPr>
          <w:p>
            <w:pPr>
              <w:spacing w:after="0"/>
              <w:rPr>
                <w:sz w:val="24"/>
                <w:szCs w:val="24"/>
                <w:color w:val="auto"/>
              </w:rPr>
            </w:pPr>
          </w:p>
        </w:tc>
        <w:tc>
          <w:tcPr>
            <w:tcW w:w="4540" w:type="dxa"/>
            <w:vAlign w:val="bottom"/>
          </w:tcPr>
          <w:p>
            <w:pPr>
              <w:jc w:val="right"/>
              <w:ind w:right="4240"/>
              <w:spacing w:after="0"/>
              <w:rPr>
                <w:sz w:val="20"/>
                <w:szCs w:val="20"/>
                <w:color w:val="auto"/>
              </w:rPr>
            </w:pPr>
            <w:r>
              <w:rPr>
                <w:rFonts w:ascii="Arial" w:cs="Arial" w:eastAsia="Arial" w:hAnsi="Arial"/>
                <w:sz w:val="12"/>
                <w:szCs w:val="12"/>
                <w:color w:val="auto"/>
              </w:rPr>
              <w:t>13</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3"/>
        </w:trPr>
        <w:tc>
          <w:tcPr>
            <w:tcW w:w="5560" w:type="dxa"/>
            <w:vAlign w:val="bottom"/>
            <w:tcBorders>
              <w:bottom w:val="single" w:sz="8" w:color="9A9A9A"/>
            </w:tcBorders>
          </w:tcPr>
          <w:p>
            <w:pPr>
              <w:spacing w:after="0"/>
              <w:rPr>
                <w:sz w:val="6"/>
                <w:szCs w:val="6"/>
                <w:color w:val="auto"/>
              </w:rPr>
            </w:pPr>
          </w:p>
        </w:tc>
        <w:tc>
          <w:tcPr>
            <w:tcW w:w="454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7280275</wp:posOffset>
            </wp:positionH>
            <wp:positionV relativeFrom="paragraph">
              <wp:posOffset>-23495</wp:posOffset>
            </wp:positionV>
            <wp:extent cx="311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500"/>
          </w:cols>
          <w:pgMar w:left="220" w:top="276" w:right="1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54"/>
        </w:trPr>
        <w:tc>
          <w:tcPr>
            <w:tcW w:w="7220" w:type="dxa"/>
            <w:vAlign w:val="bottom"/>
            <w:gridSpan w:val="3"/>
          </w:tcPr>
          <w:p>
            <w:pPr>
              <w:spacing w:after="0"/>
              <w:rPr>
                <w:sz w:val="20"/>
                <w:szCs w:val="20"/>
                <w:color w:val="auto"/>
              </w:rPr>
            </w:pPr>
            <w:r>
              <w:rPr>
                <w:rFonts w:ascii="Arial" w:cs="Arial" w:eastAsia="Arial" w:hAnsi="Arial"/>
                <w:sz w:val="12"/>
                <w:szCs w:val="12"/>
                <w:color w:val="auto"/>
              </w:rPr>
              <w:t>Supplemental balance sheet information related to leases as of August 3, 2019 is as follows:</w:t>
            </w:r>
          </w:p>
        </w:tc>
        <w:tc>
          <w:tcPr>
            <w:tcW w:w="3240" w:type="dxa"/>
            <w:vAlign w:val="bottom"/>
          </w:tcPr>
          <w:p>
            <w:pPr>
              <w:spacing w:after="0"/>
              <w:rPr>
                <w:sz w:val="13"/>
                <w:szCs w:val="13"/>
                <w:color w:val="auto"/>
              </w:rPr>
            </w:pPr>
          </w:p>
        </w:tc>
      </w:tr>
      <w:tr>
        <w:trPr>
          <w:trHeight w:val="145"/>
        </w:trPr>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3240" w:type="dxa"/>
            <w:vAlign w:val="bottom"/>
          </w:tcPr>
          <w:p>
            <w:pPr>
              <w:spacing w:after="0"/>
              <w:rPr>
                <w:sz w:val="12"/>
                <w:szCs w:val="12"/>
                <w:color w:val="auto"/>
              </w:rPr>
            </w:pPr>
          </w:p>
        </w:tc>
      </w:tr>
      <w:tr>
        <w:trPr>
          <w:trHeight w:val="127"/>
        </w:trPr>
        <w:tc>
          <w:tcPr>
            <w:tcW w:w="1020" w:type="dxa"/>
            <w:vAlign w:val="bottom"/>
          </w:tcPr>
          <w:p>
            <w:pPr>
              <w:spacing w:after="0"/>
              <w:rPr>
                <w:sz w:val="11"/>
                <w:szCs w:val="11"/>
                <w:color w:val="auto"/>
              </w:rPr>
            </w:pPr>
          </w:p>
        </w:tc>
        <w:tc>
          <w:tcPr>
            <w:tcW w:w="6200" w:type="dxa"/>
            <w:vAlign w:val="bottom"/>
            <w:gridSpan w:val="2"/>
            <w:shd w:val="clear" w:color="auto" w:fill="CFF0FC"/>
          </w:tcPr>
          <w:p>
            <w:pPr>
              <w:spacing w:after="0" w:line="127" w:lineRule="exact"/>
              <w:rPr>
                <w:sz w:val="20"/>
                <w:szCs w:val="20"/>
                <w:color w:val="auto"/>
              </w:rPr>
            </w:pPr>
            <w:r>
              <w:rPr>
                <w:rFonts w:ascii="Arial" w:cs="Arial" w:eastAsia="Arial" w:hAnsi="Arial"/>
                <w:sz w:val="12"/>
                <w:szCs w:val="12"/>
                <w:color w:val="auto"/>
              </w:rPr>
              <w:t>Operating leases:</w:t>
            </w:r>
          </w:p>
        </w:tc>
        <w:tc>
          <w:tcPr>
            <w:tcW w:w="3240" w:type="dxa"/>
            <w:vAlign w:val="bottom"/>
            <w:shd w:val="clear" w:color="auto" w:fill="CFF0FC"/>
          </w:tcPr>
          <w:p>
            <w:pPr>
              <w:spacing w:after="0"/>
              <w:rPr>
                <w:sz w:val="11"/>
                <w:szCs w:val="11"/>
                <w:color w:val="auto"/>
              </w:rPr>
            </w:pPr>
          </w:p>
        </w:tc>
      </w:tr>
      <w:tr>
        <w:trPr>
          <w:trHeight w:val="27"/>
        </w:trPr>
        <w:tc>
          <w:tcPr>
            <w:tcW w:w="10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380" w:type="dxa"/>
            <w:vAlign w:val="bottom"/>
            <w:shd w:val="clear" w:color="auto" w:fill="CFF0FC"/>
          </w:tcPr>
          <w:p>
            <w:pPr>
              <w:spacing w:after="0"/>
              <w:rPr>
                <w:sz w:val="2"/>
                <w:szCs w:val="2"/>
                <w:color w:val="auto"/>
              </w:rPr>
            </w:pPr>
          </w:p>
        </w:tc>
        <w:tc>
          <w:tcPr>
            <w:tcW w:w="3240" w:type="dxa"/>
            <w:vAlign w:val="bottom"/>
            <w:shd w:val="clear" w:color="auto" w:fill="CFF0FC"/>
          </w:tcPr>
          <w:p>
            <w:pPr>
              <w:spacing w:after="0"/>
              <w:rPr>
                <w:sz w:val="2"/>
                <w:szCs w:val="2"/>
                <w:color w:val="auto"/>
              </w:rPr>
            </w:pPr>
          </w:p>
        </w:tc>
      </w:tr>
      <w:tr>
        <w:trPr>
          <w:trHeight w:val="154"/>
        </w:trPr>
        <w:tc>
          <w:tcPr>
            <w:tcW w:w="7220" w:type="dxa"/>
            <w:vAlign w:val="bottom"/>
            <w:gridSpan w:val="3"/>
          </w:tcPr>
          <w:p>
            <w:pPr>
              <w:ind w:left="1020"/>
              <w:spacing w:after="0"/>
              <w:rPr>
                <w:sz w:val="20"/>
                <w:szCs w:val="20"/>
                <w:color w:val="auto"/>
              </w:rPr>
            </w:pPr>
            <w:r>
              <w:rPr>
                <w:rFonts w:ascii="Arial" w:cs="Arial" w:eastAsia="Arial" w:hAnsi="Arial"/>
                <w:sz w:val="12"/>
                <w:szCs w:val="12"/>
                <w:color w:val="auto"/>
              </w:rPr>
              <w:t>Weighted average remaining lease term</w:t>
            </w:r>
          </w:p>
        </w:tc>
        <w:tc>
          <w:tcPr>
            <w:tcW w:w="3240" w:type="dxa"/>
            <w:vAlign w:val="bottom"/>
          </w:tcPr>
          <w:p>
            <w:pPr>
              <w:jc w:val="right"/>
              <w:ind w:right="60"/>
              <w:spacing w:after="0"/>
              <w:rPr>
                <w:sz w:val="20"/>
                <w:szCs w:val="20"/>
                <w:color w:val="auto"/>
              </w:rPr>
            </w:pPr>
            <w:r>
              <w:rPr>
                <w:rFonts w:ascii="Arial" w:cs="Arial" w:eastAsia="Arial" w:hAnsi="Arial"/>
                <w:sz w:val="12"/>
                <w:szCs w:val="12"/>
                <w:color w:val="auto"/>
              </w:rPr>
              <w:t>5.6 yrs</w:t>
            </w:r>
          </w:p>
        </w:tc>
      </w:tr>
      <w:tr>
        <w:trPr>
          <w:trHeight w:val="154"/>
        </w:trPr>
        <w:tc>
          <w:tcPr>
            <w:tcW w:w="1020" w:type="dxa"/>
            <w:vAlign w:val="bottom"/>
          </w:tcPr>
          <w:p>
            <w:pPr>
              <w:spacing w:after="0"/>
              <w:rPr>
                <w:sz w:val="13"/>
                <w:szCs w:val="13"/>
                <w:color w:val="auto"/>
              </w:rPr>
            </w:pPr>
          </w:p>
        </w:tc>
        <w:tc>
          <w:tcPr>
            <w:tcW w:w="62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Weighted average discount rate</w:t>
            </w:r>
          </w:p>
        </w:tc>
        <w:tc>
          <w:tcPr>
            <w:tcW w:w="3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7.10%</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The table below reconciles the undiscounted cash flows for each of the first five years and total of the remaining years to the operating lease liabilities recorded on the Consolidated Balance Sheet as of August 3,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98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(in thousands)</w:t>
            </w:r>
          </w:p>
        </w:tc>
        <w:tc>
          <w:tcPr>
            <w:tcW w:w="42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5980" w:type="dxa"/>
            <w:vAlign w:val="bottom"/>
          </w:tcPr>
          <w:p>
            <w:pPr>
              <w:spacing w:after="0"/>
              <w:rPr>
                <w:sz w:val="20"/>
                <w:szCs w:val="20"/>
                <w:color w:val="auto"/>
              </w:rPr>
            </w:pPr>
            <w:r>
              <w:rPr>
                <w:rFonts w:ascii="Arial" w:cs="Arial" w:eastAsia="Arial" w:hAnsi="Arial"/>
                <w:sz w:val="12"/>
                <w:szCs w:val="12"/>
                <w:color w:val="auto"/>
              </w:rPr>
              <w:t>2019 (remaining)</w:t>
            </w:r>
          </w:p>
        </w:tc>
        <w:tc>
          <w:tcPr>
            <w:tcW w:w="4240" w:type="dxa"/>
            <w:vAlign w:val="bottom"/>
          </w:tcPr>
          <w:p>
            <w:pPr>
              <w:jc w:val="right"/>
              <w:ind w:right="68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28,785</w:t>
            </w:r>
          </w:p>
        </w:tc>
        <w:tc>
          <w:tcPr>
            <w:tcW w:w="120" w:type="dxa"/>
            <w:vAlign w:val="bottom"/>
          </w:tcPr>
          <w:p>
            <w:pPr>
              <w:spacing w:after="0"/>
              <w:rPr>
                <w:sz w:val="13"/>
                <w:szCs w:val="13"/>
                <w:color w:val="auto"/>
              </w:rPr>
            </w:pPr>
          </w:p>
        </w:tc>
      </w:tr>
      <w:tr>
        <w:trPr>
          <w:trHeight w:val="154"/>
        </w:trPr>
        <w:tc>
          <w:tcPr>
            <w:tcW w:w="5980" w:type="dxa"/>
            <w:vAlign w:val="bottom"/>
            <w:shd w:val="clear" w:color="auto" w:fill="CFF0FC"/>
          </w:tcPr>
          <w:p>
            <w:pPr>
              <w:spacing w:after="0"/>
              <w:rPr>
                <w:sz w:val="20"/>
                <w:szCs w:val="20"/>
                <w:color w:val="auto"/>
              </w:rPr>
            </w:pPr>
            <w:r>
              <w:rPr>
                <w:rFonts w:ascii="Arial" w:cs="Arial" w:eastAsia="Arial" w:hAnsi="Arial"/>
                <w:sz w:val="12"/>
                <w:szCs w:val="12"/>
                <w:color w:val="auto"/>
              </w:rPr>
              <w:t>2020</w:t>
            </w:r>
          </w:p>
        </w:tc>
        <w:tc>
          <w:tcPr>
            <w:tcW w:w="42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54,800</w:t>
            </w:r>
          </w:p>
        </w:tc>
        <w:tc>
          <w:tcPr>
            <w:tcW w:w="120" w:type="dxa"/>
            <w:vAlign w:val="bottom"/>
            <w:shd w:val="clear" w:color="auto" w:fill="CFF0FC"/>
          </w:tcPr>
          <w:p>
            <w:pPr>
              <w:spacing w:after="0"/>
              <w:rPr>
                <w:sz w:val="13"/>
                <w:szCs w:val="13"/>
                <w:color w:val="auto"/>
              </w:rPr>
            </w:pPr>
          </w:p>
        </w:tc>
      </w:tr>
      <w:tr>
        <w:trPr>
          <w:trHeight w:val="154"/>
        </w:trPr>
        <w:tc>
          <w:tcPr>
            <w:tcW w:w="5980" w:type="dxa"/>
            <w:vAlign w:val="bottom"/>
          </w:tcPr>
          <w:p>
            <w:pPr>
              <w:spacing w:after="0"/>
              <w:rPr>
                <w:sz w:val="20"/>
                <w:szCs w:val="20"/>
                <w:color w:val="auto"/>
              </w:rPr>
            </w:pPr>
            <w:r>
              <w:rPr>
                <w:rFonts w:ascii="Arial" w:cs="Arial" w:eastAsia="Arial" w:hAnsi="Arial"/>
                <w:sz w:val="12"/>
                <w:szCs w:val="12"/>
                <w:color w:val="auto"/>
              </w:rPr>
              <w:t>2021</w:t>
            </w:r>
          </w:p>
        </w:tc>
        <w:tc>
          <w:tcPr>
            <w:tcW w:w="4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53,422</w:t>
            </w:r>
          </w:p>
        </w:tc>
        <w:tc>
          <w:tcPr>
            <w:tcW w:w="120" w:type="dxa"/>
            <w:vAlign w:val="bottom"/>
          </w:tcPr>
          <w:p>
            <w:pPr>
              <w:spacing w:after="0"/>
              <w:rPr>
                <w:sz w:val="13"/>
                <w:szCs w:val="13"/>
                <w:color w:val="auto"/>
              </w:rPr>
            </w:pPr>
          </w:p>
        </w:tc>
      </w:tr>
      <w:tr>
        <w:trPr>
          <w:trHeight w:val="154"/>
        </w:trPr>
        <w:tc>
          <w:tcPr>
            <w:tcW w:w="598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42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48,417</w:t>
            </w:r>
          </w:p>
        </w:tc>
        <w:tc>
          <w:tcPr>
            <w:tcW w:w="120" w:type="dxa"/>
            <w:vAlign w:val="bottom"/>
            <w:shd w:val="clear" w:color="auto" w:fill="CFF0FC"/>
          </w:tcPr>
          <w:p>
            <w:pPr>
              <w:spacing w:after="0"/>
              <w:rPr>
                <w:sz w:val="13"/>
                <w:szCs w:val="13"/>
                <w:color w:val="auto"/>
              </w:rPr>
            </w:pPr>
          </w:p>
        </w:tc>
      </w:tr>
      <w:tr>
        <w:trPr>
          <w:trHeight w:val="154"/>
        </w:trPr>
        <w:tc>
          <w:tcPr>
            <w:tcW w:w="5980" w:type="dxa"/>
            <w:vAlign w:val="bottom"/>
          </w:tcPr>
          <w:p>
            <w:pPr>
              <w:spacing w:after="0"/>
              <w:rPr>
                <w:sz w:val="20"/>
                <w:szCs w:val="20"/>
                <w:color w:val="auto"/>
              </w:rPr>
            </w:pPr>
            <w:r>
              <w:rPr>
                <w:rFonts w:ascii="Arial" w:cs="Arial" w:eastAsia="Arial" w:hAnsi="Arial"/>
                <w:sz w:val="12"/>
                <w:szCs w:val="12"/>
                <w:color w:val="auto"/>
              </w:rPr>
              <w:t>2023</w:t>
            </w:r>
          </w:p>
        </w:tc>
        <w:tc>
          <w:tcPr>
            <w:tcW w:w="4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40,251</w:t>
            </w:r>
          </w:p>
        </w:tc>
        <w:tc>
          <w:tcPr>
            <w:tcW w:w="120" w:type="dxa"/>
            <w:vAlign w:val="bottom"/>
          </w:tcPr>
          <w:p>
            <w:pPr>
              <w:spacing w:after="0"/>
              <w:rPr>
                <w:sz w:val="13"/>
                <w:szCs w:val="13"/>
                <w:color w:val="auto"/>
              </w:rPr>
            </w:pPr>
          </w:p>
        </w:tc>
      </w:tr>
      <w:tr>
        <w:trPr>
          <w:trHeight w:val="154"/>
        </w:trPr>
        <w:tc>
          <w:tcPr>
            <w:tcW w:w="59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2"/>
                <w:szCs w:val="12"/>
                <w:color w:val="auto"/>
              </w:rPr>
              <w:t>Thereafter</w:t>
            </w:r>
          </w:p>
        </w:tc>
        <w:tc>
          <w:tcPr>
            <w:tcW w:w="42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65,169</w:t>
            </w:r>
          </w:p>
        </w:tc>
        <w:tc>
          <w:tcPr>
            <w:tcW w:w="120" w:type="dxa"/>
            <w:vAlign w:val="bottom"/>
            <w:shd w:val="clear" w:color="auto" w:fill="CFF0FC"/>
          </w:tcPr>
          <w:p>
            <w:pPr>
              <w:spacing w:after="0"/>
              <w:rPr>
                <w:sz w:val="13"/>
                <w:szCs w:val="13"/>
                <w:color w:val="auto"/>
              </w:rPr>
            </w:pPr>
          </w:p>
        </w:tc>
      </w:tr>
      <w:tr>
        <w:trPr>
          <w:trHeight w:val="143"/>
        </w:trPr>
        <w:tc>
          <w:tcPr>
            <w:tcW w:w="5980" w:type="dxa"/>
            <w:vAlign w:val="bottom"/>
          </w:tcPr>
          <w:p>
            <w:pPr>
              <w:spacing w:after="0"/>
              <w:rPr>
                <w:sz w:val="20"/>
                <w:szCs w:val="20"/>
                <w:color w:val="auto"/>
              </w:rPr>
            </w:pPr>
            <w:r>
              <w:rPr>
                <w:rFonts w:ascii="Arial" w:cs="Arial" w:eastAsia="Arial" w:hAnsi="Arial"/>
                <w:sz w:val="12"/>
                <w:szCs w:val="12"/>
                <w:color w:val="auto"/>
              </w:rPr>
              <w:t>Total minimum lease payments</w:t>
            </w:r>
          </w:p>
        </w:tc>
        <w:tc>
          <w:tcPr>
            <w:tcW w:w="4240" w:type="dxa"/>
            <w:vAlign w:val="bottom"/>
          </w:tcPr>
          <w:p>
            <w:pPr>
              <w:jc w:val="right"/>
              <w:ind w:right="68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290,844</w:t>
            </w:r>
          </w:p>
        </w:tc>
        <w:tc>
          <w:tcPr>
            <w:tcW w:w="120" w:type="dxa"/>
            <w:vAlign w:val="bottom"/>
          </w:tcPr>
          <w:p>
            <w:pPr>
              <w:spacing w:after="0"/>
              <w:rPr>
                <w:sz w:val="12"/>
                <w:szCs w:val="12"/>
                <w:color w:val="auto"/>
              </w:rPr>
            </w:pPr>
          </w:p>
        </w:tc>
      </w:tr>
      <w:tr>
        <w:trPr>
          <w:trHeight w:val="154"/>
        </w:trPr>
        <w:tc>
          <w:tcPr>
            <w:tcW w:w="59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2"/>
                <w:szCs w:val="12"/>
                <w:color w:val="auto"/>
              </w:rPr>
              <w:t>Less: amount of lease payments representing interest</w:t>
            </w:r>
          </w:p>
        </w:tc>
        <w:tc>
          <w:tcPr>
            <w:tcW w:w="42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52,084</w:t>
            </w:r>
          </w:p>
        </w:tc>
        <w:tc>
          <w:tcPr>
            <w:tcW w:w="120" w:type="dxa"/>
            <w:vAlign w:val="bottom"/>
            <w:shd w:val="clear" w:color="auto" w:fill="CFF0FC"/>
          </w:tcPr>
          <w:p>
            <w:pPr>
              <w:spacing w:after="0"/>
              <w:rPr>
                <w:sz w:val="13"/>
                <w:szCs w:val="13"/>
                <w:color w:val="auto"/>
              </w:rPr>
            </w:pPr>
          </w:p>
        </w:tc>
      </w:tr>
      <w:tr>
        <w:trPr>
          <w:trHeight w:val="143"/>
        </w:trPr>
        <w:tc>
          <w:tcPr>
            <w:tcW w:w="5980" w:type="dxa"/>
            <w:vAlign w:val="bottom"/>
          </w:tcPr>
          <w:p>
            <w:pPr>
              <w:spacing w:after="0"/>
              <w:rPr>
                <w:sz w:val="20"/>
                <w:szCs w:val="20"/>
                <w:color w:val="auto"/>
              </w:rPr>
            </w:pPr>
            <w:r>
              <w:rPr>
                <w:rFonts w:ascii="Arial" w:cs="Arial" w:eastAsia="Arial" w:hAnsi="Arial"/>
                <w:sz w:val="12"/>
                <w:szCs w:val="12"/>
                <w:color w:val="auto"/>
              </w:rPr>
              <w:t>Present value of future minimum lease payments</w:t>
            </w:r>
          </w:p>
        </w:tc>
        <w:tc>
          <w:tcPr>
            <w:tcW w:w="4240" w:type="dxa"/>
            <w:vAlign w:val="bottom"/>
          </w:tcPr>
          <w:p>
            <w:pPr>
              <w:jc w:val="right"/>
              <w:ind w:right="68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238,760</w:t>
            </w:r>
          </w:p>
        </w:tc>
        <w:tc>
          <w:tcPr>
            <w:tcW w:w="120" w:type="dxa"/>
            <w:vAlign w:val="bottom"/>
          </w:tcPr>
          <w:p>
            <w:pPr>
              <w:spacing w:after="0"/>
              <w:rPr>
                <w:sz w:val="12"/>
                <w:szCs w:val="12"/>
                <w:color w:val="auto"/>
              </w:rPr>
            </w:pPr>
          </w:p>
        </w:tc>
      </w:tr>
      <w:tr>
        <w:trPr>
          <w:trHeight w:val="154"/>
        </w:trPr>
        <w:tc>
          <w:tcPr>
            <w:tcW w:w="59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2"/>
                <w:szCs w:val="12"/>
                <w:color w:val="auto"/>
              </w:rPr>
              <w:t>Less: current obligations under leases</w:t>
            </w:r>
          </w:p>
        </w:tc>
        <w:tc>
          <w:tcPr>
            <w:tcW w:w="42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41,372</w:t>
            </w:r>
          </w:p>
        </w:tc>
        <w:tc>
          <w:tcPr>
            <w:tcW w:w="120" w:type="dxa"/>
            <w:vAlign w:val="bottom"/>
            <w:shd w:val="clear" w:color="auto" w:fill="CFF0FC"/>
          </w:tcPr>
          <w:p>
            <w:pPr>
              <w:spacing w:after="0"/>
              <w:rPr>
                <w:sz w:val="13"/>
                <w:szCs w:val="13"/>
                <w:color w:val="auto"/>
              </w:rPr>
            </w:pPr>
          </w:p>
        </w:tc>
      </w:tr>
      <w:tr>
        <w:trPr>
          <w:trHeight w:val="143"/>
        </w:trPr>
        <w:tc>
          <w:tcPr>
            <w:tcW w:w="5980" w:type="dxa"/>
            <w:vAlign w:val="bottom"/>
          </w:tcPr>
          <w:p>
            <w:pPr>
              <w:spacing w:after="0"/>
              <w:rPr>
                <w:sz w:val="20"/>
                <w:szCs w:val="20"/>
                <w:color w:val="auto"/>
              </w:rPr>
            </w:pPr>
            <w:r>
              <w:rPr>
                <w:rFonts w:ascii="Arial" w:cs="Arial" w:eastAsia="Arial" w:hAnsi="Arial"/>
                <w:sz w:val="12"/>
                <w:szCs w:val="12"/>
                <w:color w:val="auto"/>
              </w:rPr>
              <w:t>Long-term lease obligations</w:t>
            </w:r>
          </w:p>
        </w:tc>
        <w:tc>
          <w:tcPr>
            <w:tcW w:w="4240" w:type="dxa"/>
            <w:vAlign w:val="bottom"/>
          </w:tcPr>
          <w:p>
            <w:pPr>
              <w:jc w:val="right"/>
              <w:ind w:right="68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197,388</w:t>
            </w:r>
          </w:p>
        </w:tc>
        <w:tc>
          <w:tcPr>
            <w:tcW w:w="120" w:type="dxa"/>
            <w:vAlign w:val="bottom"/>
          </w:tcPr>
          <w:p>
            <w:pPr>
              <w:spacing w:after="0"/>
              <w:rPr>
                <w:sz w:val="12"/>
                <w:szCs w:val="12"/>
                <w:color w:val="auto"/>
              </w:rPr>
            </w:pPr>
          </w:p>
        </w:tc>
      </w:tr>
    </w:tbl>
    <w:p>
      <w:pPr>
        <w:spacing w:after="0" w:line="136" w:lineRule="exact"/>
        <w:rPr>
          <w:sz w:val="20"/>
          <w:szCs w:val="20"/>
          <w:color w:val="auto"/>
        </w:rPr>
      </w:pPr>
    </w:p>
    <w:p>
      <w:pPr>
        <w:jc w:val="both"/>
        <w:ind w:right="120"/>
        <w:spacing w:after="0" w:line="279" w:lineRule="auto"/>
        <w:rPr>
          <w:sz w:val="20"/>
          <w:szCs w:val="20"/>
          <w:color w:val="auto"/>
        </w:rPr>
      </w:pPr>
      <w:r>
        <w:rPr>
          <w:rFonts w:ascii="Arial" w:cs="Arial" w:eastAsia="Arial" w:hAnsi="Arial"/>
          <w:sz w:val="12"/>
          <w:szCs w:val="12"/>
          <w:color w:val="auto"/>
        </w:rPr>
        <w:t>As previously disclosed in the Company's Consolidated Financial Statements for the year ending February 2, 2019, future minimum lease payments for noncancelable operating leases, under the previous lease accounting standard, were as follows at February 2, 2019: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46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4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2019</w:t>
            </w:r>
          </w:p>
        </w:tc>
        <w:tc>
          <w:tcPr>
            <w:tcW w:w="4760" w:type="dxa"/>
            <w:vAlign w:val="bottom"/>
            <w:shd w:val="clear" w:color="auto" w:fill="CFF0FC"/>
          </w:tcPr>
          <w:p>
            <w:pPr>
              <w:jc w:val="right"/>
              <w:ind w:right="68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57,364</w:t>
            </w:r>
          </w:p>
        </w:tc>
        <w:tc>
          <w:tcPr>
            <w:tcW w:w="120" w:type="dxa"/>
            <w:vAlign w:val="bottom"/>
            <w:shd w:val="clear" w:color="auto" w:fill="CFF0FC"/>
          </w:tcPr>
          <w:p>
            <w:pPr>
              <w:spacing w:after="0"/>
              <w:rPr>
                <w:sz w:val="13"/>
                <w:szCs w:val="13"/>
                <w:color w:val="auto"/>
              </w:rPr>
            </w:pPr>
          </w:p>
        </w:tc>
      </w:tr>
      <w:tr>
        <w:trPr>
          <w:trHeight w:val="154"/>
        </w:trPr>
        <w:tc>
          <w:tcPr>
            <w:tcW w:w="5460" w:type="dxa"/>
            <w:vAlign w:val="bottom"/>
          </w:tcPr>
          <w:p>
            <w:pPr>
              <w:spacing w:after="0"/>
              <w:rPr>
                <w:sz w:val="20"/>
                <w:szCs w:val="20"/>
                <w:color w:val="auto"/>
              </w:rPr>
            </w:pPr>
            <w:r>
              <w:rPr>
                <w:rFonts w:ascii="Arial" w:cs="Arial" w:eastAsia="Arial" w:hAnsi="Arial"/>
                <w:sz w:val="12"/>
                <w:szCs w:val="12"/>
                <w:color w:val="auto"/>
              </w:rPr>
              <w:t>2020</w:t>
            </w:r>
          </w:p>
        </w:tc>
        <w:tc>
          <w:tcPr>
            <w:tcW w:w="47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52,699</w:t>
            </w:r>
          </w:p>
        </w:tc>
        <w:tc>
          <w:tcPr>
            <w:tcW w:w="120" w:type="dxa"/>
            <w:vAlign w:val="bottom"/>
          </w:tcPr>
          <w:p>
            <w:pPr>
              <w:spacing w:after="0"/>
              <w:rPr>
                <w:sz w:val="13"/>
                <w:szCs w:val="13"/>
                <w:color w:val="auto"/>
              </w:rPr>
            </w:pPr>
          </w:p>
        </w:tc>
      </w:tr>
      <w:tr>
        <w:trPr>
          <w:trHeight w:val="154"/>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476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50,380</w:t>
            </w:r>
          </w:p>
        </w:tc>
        <w:tc>
          <w:tcPr>
            <w:tcW w:w="120" w:type="dxa"/>
            <w:vAlign w:val="bottom"/>
            <w:shd w:val="clear" w:color="auto" w:fill="CFF0FC"/>
          </w:tcPr>
          <w:p>
            <w:pPr>
              <w:spacing w:after="0"/>
              <w:rPr>
                <w:sz w:val="13"/>
                <w:szCs w:val="13"/>
                <w:color w:val="auto"/>
              </w:rPr>
            </w:pPr>
          </w:p>
        </w:tc>
      </w:tr>
      <w:tr>
        <w:trPr>
          <w:trHeight w:val="154"/>
        </w:trPr>
        <w:tc>
          <w:tcPr>
            <w:tcW w:w="5460" w:type="dxa"/>
            <w:vAlign w:val="bottom"/>
          </w:tcPr>
          <w:p>
            <w:pPr>
              <w:spacing w:after="0"/>
              <w:rPr>
                <w:sz w:val="20"/>
                <w:szCs w:val="20"/>
                <w:color w:val="auto"/>
              </w:rPr>
            </w:pPr>
            <w:r>
              <w:rPr>
                <w:rFonts w:ascii="Arial" w:cs="Arial" w:eastAsia="Arial" w:hAnsi="Arial"/>
                <w:sz w:val="12"/>
                <w:szCs w:val="12"/>
                <w:color w:val="auto"/>
              </w:rPr>
              <w:t>2022</w:t>
            </w:r>
          </w:p>
        </w:tc>
        <w:tc>
          <w:tcPr>
            <w:tcW w:w="47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45,061</w:t>
            </w:r>
          </w:p>
        </w:tc>
        <w:tc>
          <w:tcPr>
            <w:tcW w:w="120" w:type="dxa"/>
            <w:vAlign w:val="bottom"/>
          </w:tcPr>
          <w:p>
            <w:pPr>
              <w:spacing w:after="0"/>
              <w:rPr>
                <w:sz w:val="13"/>
                <w:szCs w:val="13"/>
                <w:color w:val="auto"/>
              </w:rPr>
            </w:pPr>
          </w:p>
        </w:tc>
      </w:tr>
      <w:tr>
        <w:trPr>
          <w:trHeight w:val="154"/>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476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36,605</w:t>
            </w:r>
          </w:p>
        </w:tc>
        <w:tc>
          <w:tcPr>
            <w:tcW w:w="120" w:type="dxa"/>
            <w:vAlign w:val="bottom"/>
            <w:shd w:val="clear" w:color="auto" w:fill="CFF0FC"/>
          </w:tcPr>
          <w:p>
            <w:pPr>
              <w:spacing w:after="0"/>
              <w:rPr>
                <w:sz w:val="13"/>
                <w:szCs w:val="13"/>
                <w:color w:val="auto"/>
              </w:rPr>
            </w:pPr>
          </w:p>
        </w:tc>
      </w:tr>
      <w:tr>
        <w:trPr>
          <w:trHeight w:val="154"/>
        </w:trPr>
        <w:tc>
          <w:tcPr>
            <w:tcW w:w="5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Thereafter</w:t>
            </w:r>
          </w:p>
        </w:tc>
        <w:tc>
          <w:tcPr>
            <w:tcW w:w="47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56,638</w:t>
            </w:r>
          </w:p>
        </w:tc>
        <w:tc>
          <w:tcPr>
            <w:tcW w:w="120" w:type="dxa"/>
            <w:vAlign w:val="bottom"/>
            <w:tcBorders>
              <w:bottom w:val="single" w:sz="8" w:color="CFF0FC"/>
            </w:tcBorders>
          </w:tcPr>
          <w:p>
            <w:pPr>
              <w:spacing w:after="0"/>
              <w:rPr>
                <w:sz w:val="13"/>
                <w:szCs w:val="13"/>
                <w:color w:val="auto"/>
              </w:rPr>
            </w:pPr>
          </w:p>
        </w:tc>
      </w:tr>
      <w:tr>
        <w:trPr>
          <w:trHeight w:val="143"/>
        </w:trPr>
        <w:tc>
          <w:tcPr>
            <w:tcW w:w="5460" w:type="dxa"/>
            <w:vAlign w:val="bottom"/>
            <w:shd w:val="clear" w:color="auto" w:fill="CFF0FC"/>
          </w:tcPr>
          <w:p>
            <w:pPr>
              <w:spacing w:after="0"/>
              <w:rPr>
                <w:sz w:val="20"/>
                <w:szCs w:val="20"/>
                <w:color w:val="auto"/>
              </w:rPr>
            </w:pPr>
            <w:r>
              <w:rPr>
                <w:rFonts w:ascii="Arial" w:cs="Arial" w:eastAsia="Arial" w:hAnsi="Arial"/>
                <w:sz w:val="12"/>
                <w:szCs w:val="12"/>
                <w:color w:val="auto"/>
              </w:rPr>
              <w:t>Total minimum lease payments</w:t>
            </w:r>
          </w:p>
        </w:tc>
        <w:tc>
          <w:tcPr>
            <w:tcW w:w="4760" w:type="dxa"/>
            <w:vAlign w:val="bottom"/>
            <w:shd w:val="clear" w:color="auto" w:fill="CFF0FC"/>
          </w:tcPr>
          <w:p>
            <w:pPr>
              <w:jc w:val="right"/>
              <w:ind w:right="68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298,747</w:t>
            </w:r>
          </w:p>
        </w:tc>
        <w:tc>
          <w:tcPr>
            <w:tcW w:w="120" w:type="dxa"/>
            <w:vAlign w:val="bottom"/>
            <w:shd w:val="clear" w:color="auto" w:fill="CFF0FC"/>
          </w:tcPr>
          <w:p>
            <w:pPr>
              <w:spacing w:after="0"/>
              <w:rPr>
                <w:sz w:val="12"/>
                <w:szCs w:val="12"/>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Long-Term Incentive Plans</w:t>
      </w:r>
    </w:p>
    <w:p>
      <w:pPr>
        <w:spacing w:after="0" w:line="83" w:lineRule="exact"/>
        <w:rPr>
          <w:sz w:val="20"/>
          <w:szCs w:val="20"/>
          <w:color w:val="auto"/>
        </w:rPr>
      </w:pPr>
    </w:p>
    <w:p>
      <w:pPr>
        <w:ind w:right="480"/>
        <w:spacing w:after="0" w:line="279" w:lineRule="auto"/>
        <w:rPr>
          <w:sz w:val="20"/>
          <w:szCs w:val="20"/>
          <w:color w:val="auto"/>
        </w:rPr>
      </w:pPr>
      <w:r>
        <w:rPr>
          <w:rFonts w:ascii="Arial" w:cs="Arial" w:eastAsia="Arial" w:hAnsi="Arial"/>
          <w:sz w:val="12"/>
          <w:szCs w:val="12"/>
          <w:color w:val="auto"/>
        </w:rPr>
        <w:t xml:space="preserve">The following is a summary of the Company’s Long-Term Incentive Plan (“LTIP”). All equity awards granted under long-term incentive plans are issued from the Company’s stockholder-approved 2016 Incentive Compensation Plan. See Note 6, </w:t>
      </w:r>
      <w:r>
        <w:rPr>
          <w:rFonts w:ascii="Arial" w:cs="Arial" w:eastAsia="Arial" w:hAnsi="Arial"/>
          <w:sz w:val="12"/>
          <w:szCs w:val="12"/>
          <w:i w:val="1"/>
          <w:iCs w:val="1"/>
          <w:color w:val="auto"/>
        </w:rPr>
        <w:t>Stock-Based Compensation</w:t>
      </w:r>
      <w:r>
        <w:rPr>
          <w:rFonts w:ascii="Arial" w:cs="Arial" w:eastAsia="Arial" w:hAnsi="Arial"/>
          <w:sz w:val="12"/>
          <w:szCs w:val="12"/>
          <w:color w:val="auto"/>
        </w:rPr>
        <w:t>.</w:t>
      </w:r>
    </w:p>
    <w:p>
      <w:pPr>
        <w:spacing w:after="0" w:line="114"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At August 3, 2019, the Company has two active LTIPs, its 2017-2018 LTIP and 2018-2020 LTIP. Each participant in the plan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All time-based awards for both the 2017-2018 LTIP and the 2018-2020 LTIP were granted on the effective date on each LTIP and all awards were in restricted stock units (RSUs).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2017-2018 LTIP</w:t>
      </w:r>
    </w:p>
    <w:p>
      <w:pPr>
        <w:spacing w:after="0" w:line="79"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The performance targets for the Company’s 2017-2018 LTIP were approved by the Compensation Committee of the Board of Directors (the” Compensation Committee”) on March 31, 2017 and covered a two-year period performance period, which ended on February 2, 2019. Awards for any achievement of performance targets are not granted until the performance targets are achieved and then are subject to additional vesting through August 31 following the end of the applicable performance period. The time-vested portion of the 2017-2018 LTIP vests in two installments with 50% of the time-vested portion vesting on April 1, 2019 and 50% vesting on April 1, 2020.</w:t>
      </w:r>
    </w:p>
    <w:p>
      <w:pPr>
        <w:spacing w:after="0" w:line="105"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On March 19, 2019, the Compensation Committee approved a 25% payout of its performance targets for the 2017-2018 LTIP, resulting in awards totaling $0.5 million. On that date, the Company granted 150,299 RSUs, which will vest, net of any forfeitures, on August 31, 2019. In conjunction with the grant of the RSUs, the Company reclassified $0.3 million of the liability accrual from “Accrued expenses and other current liabilities” to “Additional paid-in capital” in the first six months of fiscal 2019. See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76" w:right="199" w:bottom="1440" w:gutter="0" w:footer="0" w:header="0"/>
        </w:sectPr>
      </w:pPr>
    </w:p>
    <w:bookmarkStart w:id="14" w:name="page15"/>
    <w:bookmarkEnd w:id="14"/>
    <w:p>
      <w:pPr>
        <w:jc w:val="both"/>
        <w:ind w:right="60"/>
        <w:spacing w:after="0" w:line="279" w:lineRule="auto"/>
        <w:rPr>
          <w:sz w:val="20"/>
          <w:szCs w:val="20"/>
          <w:color w:val="auto"/>
        </w:rPr>
      </w:pPr>
      <w:r>
        <w:rPr>
          <w:rFonts w:ascii="Arial" w:cs="Arial" w:eastAsia="Arial" w:hAnsi="Arial"/>
          <w:sz w:val="12"/>
          <w:szCs w:val="12"/>
          <w:color w:val="auto"/>
        </w:rPr>
        <w:t>Consolidated Statement of Changes in Stockholders’ Equity. In addition to the performance awards, the Company expects to incur stock-based compensation of approximately $2.0 million for its time-based awards, which is being expensed over thirty-six months, through April 1, 2020.</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2018-2020 LTIP</w:t>
      </w:r>
    </w:p>
    <w:p>
      <w:pPr>
        <w:spacing w:after="0" w:line="152" w:lineRule="exact"/>
        <w:rPr>
          <w:sz w:val="20"/>
          <w:szCs w:val="20"/>
          <w:color w:val="auto"/>
        </w:rPr>
      </w:pPr>
    </w:p>
    <w:p>
      <w:pPr>
        <w:jc w:val="both"/>
        <w:ind w:right="60"/>
        <w:spacing w:after="0" w:line="265" w:lineRule="auto"/>
        <w:rPr>
          <w:sz w:val="20"/>
          <w:szCs w:val="20"/>
          <w:color w:val="auto"/>
        </w:rPr>
      </w:pPr>
      <w:r>
        <w:rPr>
          <w:rFonts w:ascii="Arial" w:cs="Arial" w:eastAsia="Arial" w:hAnsi="Arial"/>
          <w:sz w:val="12"/>
          <w:szCs w:val="12"/>
          <w:color w:val="auto"/>
        </w:rPr>
        <w:t>In June 2018, the Company amended its LTIP to, among other things, extend the performance period for awards to three years, beginning with grants in fiscal 2018. On October 24, 2018, the Compensation Committee established performance targets for the 2018-2020 LTIP. Awards for any achievement of performance targets will not be granted until the performance targets are achieved and then will be subject to additional vesting through August 31, 2021. The time-vested portion of the award vests in four equal installments, vesting on October 24, 2019, April 1, 2020, April 1, 2021 and April 1, 2022.</w:t>
      </w:r>
    </w:p>
    <w:p>
      <w:pPr>
        <w:spacing w:after="0" w:line="122" w:lineRule="exact"/>
        <w:rPr>
          <w:sz w:val="20"/>
          <w:szCs w:val="20"/>
          <w:color w:val="auto"/>
        </w:rPr>
      </w:pPr>
    </w:p>
    <w:p>
      <w:pPr>
        <w:jc w:val="both"/>
        <w:ind w:right="60"/>
        <w:spacing w:after="0" w:line="265" w:lineRule="auto"/>
        <w:rPr>
          <w:sz w:val="20"/>
          <w:szCs w:val="20"/>
          <w:color w:val="auto"/>
        </w:rPr>
      </w:pPr>
      <w:r>
        <w:rPr>
          <w:rFonts w:ascii="Arial" w:cs="Arial" w:eastAsia="Arial" w:hAnsi="Arial"/>
          <w:sz w:val="12"/>
          <w:szCs w:val="12"/>
          <w:color w:val="auto"/>
        </w:rPr>
        <w:t>Assuming that the Company achieves the performance target at target levels and all time-based awards vest, the compensation expense associated with the 2018-2020 LTIP is estimated to be approximately $4.1 million. Approximately half of the compensation expense relates to the time-vested RSUs, which is being expensed straight-line over forty-one months. Through the end of the second quarter of fiscal 2019, the Company has accrued $0.1 million for performance awards under the 2018-2020 LTIP.</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Stock-Based Compensation</w:t>
      </w:r>
    </w:p>
    <w:p>
      <w:pPr>
        <w:spacing w:after="0" w:line="156" w:lineRule="exact"/>
        <w:rPr>
          <w:sz w:val="20"/>
          <w:szCs w:val="20"/>
          <w:color w:val="auto"/>
        </w:rPr>
      </w:pPr>
    </w:p>
    <w:p>
      <w:pPr>
        <w:ind w:right="80"/>
        <w:spacing w:after="0" w:line="292" w:lineRule="auto"/>
        <w:rPr>
          <w:sz w:val="20"/>
          <w:szCs w:val="20"/>
          <w:color w:val="auto"/>
        </w:rPr>
      </w:pPr>
      <w:r>
        <w:rPr>
          <w:rFonts w:ascii="Arial" w:cs="Arial" w:eastAsia="Arial" w:hAnsi="Arial"/>
          <w:sz w:val="11"/>
          <w:szCs w:val="11"/>
          <w:color w:val="auto"/>
        </w:rPr>
        <w:t>The Company has one active stock-based compensation plan: the 2016 Incentive Compensation Plan (the “2016 Plan”). The initial share reserve under the 2016 Plan was 5,725,538 shares of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At August 3, 2019 the Company had 2,424,220 shares available under the 2016 Plan. Subsequent to the end of the second quarter of fiscal 2019, on August 8, 2019, the Company’s shareholders approved an amendment to increase the share reserve by an additional 2,800,000 shares.</w:t>
      </w:r>
    </w:p>
    <w:p>
      <w:pPr>
        <w:spacing w:after="0" w:line="109" w:lineRule="exact"/>
        <w:rPr>
          <w:sz w:val="20"/>
          <w:szCs w:val="20"/>
          <w:color w:val="auto"/>
        </w:rPr>
      </w:pPr>
    </w:p>
    <w:p>
      <w:pPr>
        <w:ind w:right="120"/>
        <w:spacing w:after="0" w:line="265" w:lineRule="auto"/>
        <w:rPr>
          <w:sz w:val="20"/>
          <w:szCs w:val="20"/>
          <w:color w:val="auto"/>
        </w:rPr>
      </w:pPr>
      <w:r>
        <w:rPr>
          <w:rFonts w:ascii="Arial" w:cs="Arial" w:eastAsia="Arial" w:hAnsi="Arial"/>
          <w:sz w:val="12"/>
          <w:szCs w:val="12"/>
          <w:color w:val="auto"/>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August 3, 2019, 784,251 stock options remained outstanding under the 2006 Plan.</w:t>
      </w:r>
    </w:p>
    <w:p>
      <w:pPr>
        <w:spacing w:after="0" w:line="122" w:lineRule="exact"/>
        <w:rPr>
          <w:sz w:val="20"/>
          <w:szCs w:val="20"/>
          <w:color w:val="auto"/>
        </w:rPr>
      </w:pPr>
    </w:p>
    <w:p>
      <w:pPr>
        <w:ind w:right="140"/>
        <w:spacing w:after="0" w:line="265" w:lineRule="auto"/>
        <w:rPr>
          <w:sz w:val="20"/>
          <w:szCs w:val="20"/>
          <w:color w:val="auto"/>
        </w:rPr>
      </w:pPr>
      <w:r>
        <w:rPr>
          <w:rFonts w:ascii="Arial" w:cs="Arial" w:eastAsia="Arial" w:hAnsi="Arial"/>
          <w:sz w:val="12"/>
          <w:szCs w:val="12"/>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summarize the share activity and stock option activity for the Company’s 2006 Plan and 2016 Plan, on a combined basis, for the first six months of fiscal 2019:</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7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3"/>
          </w:tcPr>
          <w:p>
            <w:pPr>
              <w:spacing w:after="0"/>
              <w:rPr>
                <w:sz w:val="20"/>
                <w:szCs w:val="20"/>
                <w:color w:val="auto"/>
              </w:rPr>
            </w:pPr>
            <w:r>
              <w:rPr>
                <w:rFonts w:ascii="Arial" w:cs="Arial" w:eastAsia="Arial" w:hAnsi="Arial"/>
                <w:sz w:val="11"/>
                <w:szCs w:val="11"/>
                <w:color w:val="auto"/>
                <w:w w:val="91"/>
              </w:rPr>
              <w:t>Weighted-</w:t>
            </w:r>
          </w:p>
        </w:tc>
        <w:tc>
          <w:tcPr>
            <w:tcW w:w="0" w:type="dxa"/>
            <w:vAlign w:val="bottom"/>
          </w:tcPr>
          <w:p>
            <w:pPr>
              <w:spacing w:after="0"/>
              <w:rPr>
                <w:sz w:val="1"/>
                <w:szCs w:val="1"/>
                <w:color w:val="auto"/>
              </w:rPr>
            </w:pPr>
          </w:p>
        </w:tc>
      </w:tr>
      <w:tr>
        <w:trPr>
          <w:trHeight w:val="137"/>
        </w:trPr>
        <w:tc>
          <w:tcPr>
            <w:tcW w:w="7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restart"/>
          </w:tcPr>
          <w:p>
            <w:pPr>
              <w:jc w:val="center"/>
              <w:ind w:right="80"/>
              <w:spacing w:after="0"/>
              <w:rPr>
                <w:sz w:val="20"/>
                <w:szCs w:val="20"/>
                <w:color w:val="auto"/>
              </w:rPr>
            </w:pPr>
            <w:r>
              <w:rPr>
                <w:rFonts w:ascii="Arial" w:cs="Arial" w:eastAsia="Arial" w:hAnsi="Arial"/>
                <w:sz w:val="11"/>
                <w:szCs w:val="11"/>
                <w:color w:val="auto"/>
                <w:w w:val="93"/>
              </w:rPr>
              <w:t>Deferred</w:t>
            </w:r>
          </w:p>
        </w:tc>
        <w:tc>
          <w:tcPr>
            <w:tcW w:w="440" w:type="dxa"/>
            <w:vAlign w:val="bottom"/>
            <w:gridSpan w:val="2"/>
            <w:vMerge w:val="restart"/>
          </w:tcPr>
          <w:p>
            <w:pPr>
              <w:jc w:val="center"/>
              <w:ind w:right="60"/>
              <w:spacing w:after="0"/>
              <w:rPr>
                <w:sz w:val="20"/>
                <w:szCs w:val="20"/>
                <w:color w:val="auto"/>
              </w:rPr>
            </w:pPr>
            <w:r>
              <w:rPr>
                <w:rFonts w:ascii="Arial" w:cs="Arial" w:eastAsia="Arial" w:hAnsi="Arial"/>
                <w:sz w:val="10"/>
                <w:szCs w:val="10"/>
                <w:color w:val="auto"/>
                <w:w w:val="89"/>
              </w:rPr>
              <w:t>Fully-</w:t>
            </w:r>
          </w:p>
        </w:tc>
        <w:tc>
          <w:tcPr>
            <w:tcW w:w="660" w:type="dxa"/>
            <w:vAlign w:val="bottom"/>
            <w:gridSpan w:val="3"/>
            <w:vMerge w:val="restart"/>
          </w:tcPr>
          <w:p>
            <w:pPr>
              <w:jc w:val="center"/>
              <w:ind w:right="60"/>
              <w:spacing w:after="0"/>
              <w:rPr>
                <w:sz w:val="20"/>
                <w:szCs w:val="20"/>
                <w:color w:val="auto"/>
              </w:rPr>
            </w:pPr>
            <w:r>
              <w:rPr>
                <w:rFonts w:ascii="Arial" w:cs="Arial" w:eastAsia="Arial" w:hAnsi="Arial"/>
                <w:sz w:val="11"/>
                <w:szCs w:val="11"/>
                <w:color w:val="auto"/>
                <w:w w:val="88"/>
              </w:rPr>
              <w:t>Performance</w:t>
            </w:r>
          </w:p>
        </w:tc>
        <w:tc>
          <w:tcPr>
            <w:tcW w:w="5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Total</w:t>
            </w:r>
          </w:p>
        </w:tc>
        <w:tc>
          <w:tcPr>
            <w:tcW w:w="60" w:type="dxa"/>
            <w:vAlign w:val="bottom"/>
          </w:tcPr>
          <w:p>
            <w:pPr>
              <w:spacing w:after="0"/>
              <w:rPr>
                <w:sz w:val="11"/>
                <w:szCs w:val="11"/>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1"/>
                <w:szCs w:val="11"/>
                <w:color w:val="auto"/>
                <w:w w:val="85"/>
              </w:rPr>
              <w:t>average</w:t>
            </w:r>
          </w:p>
        </w:tc>
        <w:tc>
          <w:tcPr>
            <w:tcW w:w="0" w:type="dxa"/>
            <w:vAlign w:val="bottom"/>
          </w:tcPr>
          <w:p>
            <w:pPr>
              <w:spacing w:after="0"/>
              <w:rPr>
                <w:sz w:val="1"/>
                <w:szCs w:val="1"/>
                <w:color w:val="auto"/>
              </w:rPr>
            </w:pPr>
          </w:p>
        </w:tc>
      </w:tr>
      <w:tr>
        <w:trPr>
          <w:trHeight w:val="35"/>
        </w:trPr>
        <w:tc>
          <w:tcPr>
            <w:tcW w:w="7800" w:type="dxa"/>
            <w:vAlign w:val="bottom"/>
          </w:tcPr>
          <w:p>
            <w:pPr>
              <w:spacing w:after="0"/>
              <w:rPr>
                <w:sz w:val="3"/>
                <w:szCs w:val="3"/>
                <w:color w:val="auto"/>
              </w:rPr>
            </w:pP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w w:val="84"/>
              </w:rPr>
              <w:t>Restricted</w:t>
            </w: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440" w:type="dxa"/>
            <w:vAlign w:val="bottom"/>
            <w:gridSpan w:val="2"/>
            <w:vMerge w:val="continue"/>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1"/>
                <w:szCs w:val="11"/>
                <w:color w:val="auto"/>
                <w:w w:val="88"/>
              </w:rPr>
              <w:t>number of</w:t>
            </w:r>
          </w:p>
        </w:tc>
        <w:tc>
          <w:tcPr>
            <w:tcW w:w="480" w:type="dxa"/>
            <w:vAlign w:val="bottom"/>
            <w:gridSpan w:val="3"/>
            <w:vMerge w:val="restart"/>
          </w:tcPr>
          <w:p>
            <w:pPr>
              <w:spacing w:after="0"/>
              <w:rPr>
                <w:sz w:val="20"/>
                <w:szCs w:val="20"/>
                <w:color w:val="auto"/>
              </w:rPr>
            </w:pPr>
            <w:r>
              <w:rPr>
                <w:rFonts w:ascii="Arial" w:cs="Arial" w:eastAsia="Arial" w:hAnsi="Arial"/>
                <w:sz w:val="11"/>
                <w:szCs w:val="11"/>
                <w:color w:val="auto"/>
                <w:w w:val="91"/>
              </w:rPr>
              <w:t>grant-date</w:t>
            </w:r>
          </w:p>
        </w:tc>
        <w:tc>
          <w:tcPr>
            <w:tcW w:w="0" w:type="dxa"/>
            <w:vAlign w:val="bottom"/>
          </w:tcPr>
          <w:p>
            <w:pPr>
              <w:spacing w:after="0" w:line="20" w:lineRule="exact"/>
              <w:rPr>
                <w:sz w:val="1"/>
                <w:szCs w:val="1"/>
                <w:color w:val="auto"/>
              </w:rPr>
            </w:pPr>
          </w:p>
        </w:tc>
      </w:tr>
      <w:tr>
        <w:trPr>
          <w:trHeight w:val="29"/>
        </w:trPr>
        <w:tc>
          <w:tcPr>
            <w:tcW w:w="7800" w:type="dxa"/>
            <w:vAlign w:val="bottom"/>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vMerge w:val="restart"/>
          </w:tcPr>
          <w:p>
            <w:pPr>
              <w:jc w:val="center"/>
              <w:ind w:right="80"/>
              <w:spacing w:after="0"/>
              <w:rPr>
                <w:sz w:val="20"/>
                <w:szCs w:val="20"/>
                <w:color w:val="auto"/>
              </w:rPr>
            </w:pPr>
            <w:r>
              <w:rPr>
                <w:rFonts w:ascii="Arial" w:cs="Arial" w:eastAsia="Arial" w:hAnsi="Arial"/>
                <w:sz w:val="11"/>
                <w:szCs w:val="11"/>
                <w:color w:val="auto"/>
                <w:w w:val="84"/>
              </w:rPr>
              <w:t>shares</w:t>
            </w:r>
          </w:p>
        </w:tc>
        <w:tc>
          <w:tcPr>
            <w:tcW w:w="4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11"/>
                <w:szCs w:val="11"/>
                <w:color w:val="auto"/>
                <w:w w:val="90"/>
              </w:rPr>
              <w:t>Share Units</w:t>
            </w:r>
          </w:p>
        </w:tc>
        <w:tc>
          <w:tcPr>
            <w:tcW w:w="580" w:type="dxa"/>
            <w:vAlign w:val="bottom"/>
            <w:gridSpan w:val="2"/>
            <w:vMerge w:val="continue"/>
          </w:tcPr>
          <w:p>
            <w:pPr>
              <w:spacing w:after="0"/>
              <w:rPr>
                <w:sz w:val="2"/>
                <w:szCs w:val="2"/>
                <w:color w:val="auto"/>
              </w:rPr>
            </w:pPr>
          </w:p>
        </w:tc>
        <w:tc>
          <w:tcPr>
            <w:tcW w:w="4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1"/>
        </w:trPr>
        <w:tc>
          <w:tcPr>
            <w:tcW w:w="780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w w:val="86"/>
              </w:rPr>
              <w:t xml:space="preserve">RSUs </w:t>
            </w:r>
            <w:r>
              <w:rPr>
                <w:rFonts w:ascii="Arial" w:cs="Arial" w:eastAsia="Arial" w:hAnsi="Arial"/>
                <w:sz w:val="18"/>
                <w:szCs w:val="18"/>
                <w:color w:val="auto"/>
                <w:w w:val="86"/>
                <w:vertAlign w:val="superscript"/>
              </w:rPr>
              <w:t>(1)</w:t>
            </w:r>
          </w:p>
        </w:tc>
        <w:tc>
          <w:tcPr>
            <w:tcW w:w="480" w:type="dxa"/>
            <w:vAlign w:val="bottom"/>
            <w:gridSpan w:val="2"/>
            <w:vMerge w:val="continue"/>
          </w:tcPr>
          <w:p>
            <w:pPr>
              <w:spacing w:after="0"/>
              <w:rPr>
                <w:sz w:val="6"/>
                <w:szCs w:val="6"/>
                <w:color w:val="auto"/>
              </w:rPr>
            </w:pPr>
          </w:p>
        </w:tc>
        <w:tc>
          <w:tcPr>
            <w:tcW w:w="440" w:type="dxa"/>
            <w:vAlign w:val="bottom"/>
            <w:gridSpan w:val="2"/>
            <w:vMerge w:val="restart"/>
          </w:tcPr>
          <w:p>
            <w:pPr>
              <w:jc w:val="center"/>
              <w:ind w:right="60"/>
              <w:spacing w:after="0" w:line="100" w:lineRule="exact"/>
              <w:rPr>
                <w:sz w:val="20"/>
                <w:szCs w:val="20"/>
                <w:color w:val="auto"/>
              </w:rPr>
            </w:pPr>
            <w:r>
              <w:rPr>
                <w:rFonts w:ascii="Arial" w:cs="Arial" w:eastAsia="Arial" w:hAnsi="Arial"/>
                <w:sz w:val="10"/>
                <w:szCs w:val="10"/>
                <w:color w:val="auto"/>
                <w:w w:val="88"/>
              </w:rPr>
              <w:t>vested</w:t>
            </w:r>
          </w:p>
        </w:tc>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shares</w:t>
            </w:r>
          </w:p>
        </w:tc>
        <w:tc>
          <w:tcPr>
            <w:tcW w:w="560" w:type="dxa"/>
            <w:vAlign w:val="bottom"/>
            <w:gridSpan w:val="2"/>
            <w:vMerge w:val="continue"/>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1"/>
                <w:szCs w:val="11"/>
                <w:color w:val="auto"/>
                <w:w w:val="84"/>
              </w:rPr>
              <w:t>shares</w:t>
            </w:r>
          </w:p>
        </w:tc>
        <w:tc>
          <w:tcPr>
            <w:tcW w:w="480" w:type="dxa"/>
            <w:vAlign w:val="bottom"/>
            <w:gridSpan w:val="3"/>
            <w:vMerge w:val="restart"/>
          </w:tcPr>
          <w:p>
            <w:pPr>
              <w:jc w:val="center"/>
              <w:ind w:right="20"/>
              <w:spacing w:after="0"/>
              <w:rPr>
                <w:sz w:val="20"/>
                <w:szCs w:val="20"/>
                <w:color w:val="auto"/>
              </w:rPr>
            </w:pPr>
            <w:r>
              <w:rPr>
                <w:rFonts w:ascii="Arial" w:cs="Arial" w:eastAsia="Arial" w:hAnsi="Arial"/>
                <w:sz w:val="11"/>
                <w:szCs w:val="11"/>
                <w:color w:val="auto"/>
                <w:w w:val="94"/>
              </w:rPr>
              <w:t>fair value</w:t>
            </w:r>
          </w:p>
        </w:tc>
        <w:tc>
          <w:tcPr>
            <w:tcW w:w="0" w:type="dxa"/>
            <w:vAlign w:val="bottom"/>
          </w:tcPr>
          <w:p>
            <w:pPr>
              <w:spacing w:after="0" w:line="20" w:lineRule="exact"/>
              <w:rPr>
                <w:sz w:val="1"/>
                <w:szCs w:val="1"/>
                <w:color w:val="auto"/>
              </w:rPr>
            </w:pPr>
          </w:p>
        </w:tc>
      </w:tr>
      <w:tr>
        <w:trPr>
          <w:trHeight w:val="112"/>
        </w:trPr>
        <w:tc>
          <w:tcPr>
            <w:tcW w:w="7800" w:type="dxa"/>
            <w:vAlign w:val="bottom"/>
            <w:vMerge w:val="restart"/>
          </w:tcPr>
          <w:p>
            <w:pPr>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400" w:type="dxa"/>
            <w:vAlign w:val="bottom"/>
          </w:tcPr>
          <w:p>
            <w:pPr>
              <w:jc w:val="center"/>
              <w:spacing w:after="0"/>
              <w:rPr>
                <w:sz w:val="20"/>
                <w:szCs w:val="20"/>
                <w:color w:val="auto"/>
              </w:rPr>
            </w:pPr>
            <w:r>
              <w:rPr>
                <w:rFonts w:ascii="Arial" w:cs="Arial" w:eastAsia="Arial" w:hAnsi="Arial"/>
                <w:sz w:val="9"/>
                <w:szCs w:val="9"/>
                <w:color w:val="auto"/>
              </w:rPr>
              <w:t>(2)</w:t>
            </w:r>
          </w:p>
        </w:tc>
        <w:tc>
          <w:tcPr>
            <w:tcW w:w="80" w:type="dxa"/>
            <w:vAlign w:val="bottom"/>
          </w:tcPr>
          <w:p>
            <w:pPr>
              <w:spacing w:after="0"/>
              <w:rPr>
                <w:sz w:val="9"/>
                <w:szCs w:val="9"/>
                <w:color w:val="auto"/>
              </w:rPr>
            </w:pPr>
          </w:p>
        </w:tc>
        <w:tc>
          <w:tcPr>
            <w:tcW w:w="440" w:type="dxa"/>
            <w:vAlign w:val="bottom"/>
            <w:gridSpan w:val="2"/>
          </w:tcPr>
          <w:p>
            <w:pPr>
              <w:jc w:val="center"/>
              <w:ind w:right="80"/>
              <w:spacing w:after="0" w:line="113" w:lineRule="exact"/>
              <w:rPr>
                <w:sz w:val="20"/>
                <w:szCs w:val="20"/>
                <w:color w:val="auto"/>
              </w:rPr>
            </w:pPr>
            <w:r>
              <w:rPr>
                <w:rFonts w:ascii="Arial" w:cs="Arial" w:eastAsia="Arial" w:hAnsi="Arial"/>
                <w:sz w:val="10"/>
                <w:szCs w:val="10"/>
                <w:color w:val="auto"/>
                <w:w w:val="84"/>
              </w:rPr>
              <w:t xml:space="preserve">shares </w:t>
            </w:r>
            <w:r>
              <w:rPr>
                <w:rFonts w:ascii="Arial" w:cs="Arial" w:eastAsia="Arial" w:hAnsi="Arial"/>
                <w:sz w:val="8"/>
                <w:szCs w:val="8"/>
                <w:color w:val="auto"/>
                <w:w w:val="84"/>
              </w:rPr>
              <w:t>(3)</w:t>
            </w:r>
          </w:p>
        </w:tc>
        <w:tc>
          <w:tcPr>
            <w:tcW w:w="580" w:type="dxa"/>
            <w:vAlign w:val="bottom"/>
            <w:gridSpan w:val="2"/>
          </w:tcPr>
          <w:p>
            <w:pPr>
              <w:jc w:val="center"/>
              <w:spacing w:after="0"/>
              <w:rPr>
                <w:sz w:val="20"/>
                <w:szCs w:val="20"/>
                <w:color w:val="auto"/>
              </w:rPr>
            </w:pPr>
            <w:r>
              <w:rPr>
                <w:rFonts w:ascii="Arial" w:cs="Arial" w:eastAsia="Arial" w:hAnsi="Arial"/>
                <w:sz w:val="9"/>
                <w:szCs w:val="9"/>
                <w:color w:val="auto"/>
              </w:rPr>
              <w:t>(4)</w:t>
            </w:r>
          </w:p>
        </w:tc>
        <w:tc>
          <w:tcPr>
            <w:tcW w:w="8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7800" w:type="dxa"/>
            <w:vAlign w:val="bottom"/>
            <w:vMerge w:val="continue"/>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78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Outstanding non-vested shares at beginning of year</w:t>
            </w: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30,000</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9"/>
              </w:rPr>
              <w:t>1,372,628</w:t>
            </w: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204,040</w:t>
            </w:r>
          </w:p>
        </w:tc>
        <w:tc>
          <w:tcPr>
            <w:tcW w:w="8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3"/>
              </w:rPr>
              <w:t>1,606,668</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2.93</w:t>
            </w:r>
          </w:p>
        </w:tc>
        <w:tc>
          <w:tcPr>
            <w:tcW w:w="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800" w:type="dxa"/>
            <w:vAlign w:val="bottom"/>
          </w:tcPr>
          <w:p>
            <w:pPr>
              <w:ind w:left="160"/>
              <w:spacing w:after="0"/>
              <w:rPr>
                <w:sz w:val="20"/>
                <w:szCs w:val="20"/>
                <w:color w:val="auto"/>
              </w:rPr>
            </w:pPr>
            <w:r>
              <w:rPr>
                <w:rFonts w:ascii="Arial" w:cs="Arial" w:eastAsia="Arial" w:hAnsi="Arial"/>
                <w:sz w:val="11"/>
                <w:szCs w:val="11"/>
                <w:color w:val="auto"/>
              </w:rPr>
              <w:t>Shares granted</w:t>
            </w: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390,299</w:t>
            </w: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43,455</w:t>
            </w: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65,995</w:t>
            </w:r>
          </w:p>
        </w:tc>
        <w:tc>
          <w:tcPr>
            <w:tcW w:w="6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720,000</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93"/>
              </w:rPr>
              <w:t>1,219,749</w:t>
            </w:r>
          </w:p>
        </w:tc>
        <w:tc>
          <w:tcPr>
            <w:tcW w:w="10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shd w:val="clear" w:color="auto" w:fill="CFF0FC"/>
          </w:tcPr>
          <w:p>
            <w:pPr>
              <w:ind w:left="160"/>
              <w:spacing w:after="0"/>
              <w:rPr>
                <w:sz w:val="20"/>
                <w:szCs w:val="20"/>
                <w:color w:val="auto"/>
              </w:rPr>
            </w:pPr>
            <w:r>
              <w:rPr>
                <w:rFonts w:ascii="Arial" w:cs="Arial" w:eastAsia="Arial" w:hAnsi="Arial"/>
                <w:sz w:val="11"/>
                <w:szCs w:val="11"/>
                <w:color w:val="auto"/>
              </w:rPr>
              <w:t>Shares vested/issued</w:t>
            </w: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(10,000)</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(441,094)</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(5,455)</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w w:val="97"/>
              </w:rPr>
              <w:t>(65,995)</w:t>
            </w:r>
          </w:p>
        </w:tc>
        <w:tc>
          <w:tcPr>
            <w:tcW w:w="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(522,544)</w:t>
            </w: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3.19</w:t>
            </w:r>
          </w:p>
        </w:tc>
        <w:tc>
          <w:tcPr>
            <w:tcW w:w="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800" w:type="dxa"/>
            <w:vAlign w:val="bottom"/>
          </w:tcPr>
          <w:p>
            <w:pPr>
              <w:ind w:left="160"/>
              <w:spacing w:after="0"/>
              <w:rPr>
                <w:sz w:val="20"/>
                <w:szCs w:val="20"/>
                <w:color w:val="auto"/>
              </w:rPr>
            </w:pPr>
            <w:r>
              <w:rPr>
                <w:rFonts w:ascii="Arial" w:cs="Arial" w:eastAsia="Arial" w:hAnsi="Arial"/>
                <w:sz w:val="11"/>
                <w:szCs w:val="11"/>
                <w:color w:val="auto"/>
              </w:rPr>
              <w:t>Shares canceled</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(20,000)</w:t>
            </w: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auto"/>
              </w:rPr>
              <w:t>(35,271)</w:t>
            </w:r>
          </w:p>
        </w:tc>
        <w:tc>
          <w:tcPr>
            <w:tcW w:w="4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3"/>
          </w:tcPr>
          <w:p>
            <w:pPr>
              <w:jc w:val="right"/>
              <w:spacing w:after="0"/>
              <w:rPr>
                <w:sz w:val="20"/>
                <w:szCs w:val="20"/>
                <w:color w:val="auto"/>
              </w:rPr>
            </w:pPr>
            <w:r>
              <w:rPr>
                <w:rFonts w:ascii="Arial" w:cs="Arial" w:eastAsia="Arial" w:hAnsi="Arial"/>
                <w:sz w:val="11"/>
                <w:szCs w:val="11"/>
                <w:color w:val="auto"/>
              </w:rPr>
              <w:t>(55,271) $</w:t>
            </w:r>
          </w:p>
        </w:tc>
        <w:tc>
          <w:tcPr>
            <w:tcW w:w="400" w:type="dxa"/>
            <w:vAlign w:val="bottom"/>
          </w:tcPr>
          <w:p>
            <w:pPr>
              <w:jc w:val="right"/>
              <w:spacing w:after="0"/>
              <w:rPr>
                <w:sz w:val="20"/>
                <w:szCs w:val="20"/>
                <w:color w:val="auto"/>
              </w:rPr>
            </w:pPr>
            <w:r>
              <w:rPr>
                <w:rFonts w:ascii="Arial" w:cs="Arial" w:eastAsia="Arial" w:hAnsi="Arial"/>
                <w:sz w:val="11"/>
                <w:szCs w:val="11"/>
                <w:color w:val="auto"/>
              </w:rPr>
              <w:t>2.77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7800" w:type="dxa"/>
            <w:vAlign w:val="bottom"/>
            <w:tcBorders>
              <w:top w:val="single" w:sz="8" w:color="CFF0FC"/>
            </w:tcBorders>
            <w:shd w:val="clear" w:color="auto" w:fill="CFF0FC"/>
          </w:tcPr>
          <w:p>
            <w:pPr>
              <w:ind w:left="160"/>
              <w:spacing w:after="0"/>
              <w:rPr>
                <w:sz w:val="20"/>
                <w:szCs w:val="20"/>
                <w:color w:val="auto"/>
              </w:rPr>
            </w:pPr>
            <w:r>
              <w:rPr>
                <w:rFonts w:ascii="Arial" w:cs="Arial" w:eastAsia="Arial" w:hAnsi="Arial"/>
                <w:sz w:val="11"/>
                <w:szCs w:val="11"/>
                <w:color w:val="auto"/>
              </w:rPr>
              <w:t>Outstanding non-vested shares at end of quarter</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CFF0FC"/>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89"/>
              </w:rPr>
              <w:t>1,286,562</w:t>
            </w:r>
          </w:p>
        </w:tc>
        <w:tc>
          <w:tcPr>
            <w:tcW w:w="80" w:type="dxa"/>
            <w:vAlign w:val="bottom"/>
            <w:tcBorders>
              <w:top w:val="single" w:sz="8" w:color="CFF0FC"/>
            </w:tcBorders>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242,040</w:t>
            </w:r>
          </w:p>
        </w:tc>
        <w:tc>
          <w:tcPr>
            <w:tcW w:w="80" w:type="dxa"/>
            <w:vAlign w:val="bottom"/>
            <w:tcBorders>
              <w:top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720,000</w:t>
            </w:r>
          </w:p>
        </w:tc>
        <w:tc>
          <w:tcPr>
            <w:tcW w:w="80" w:type="dxa"/>
            <w:vAlign w:val="bottom"/>
            <w:tcBorders>
              <w:top w:val="single" w:sz="8" w:color="CFF0FC"/>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3"/>
              </w:rPr>
              <w:t>2,248,602</w:t>
            </w: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2.28</w:t>
            </w:r>
          </w:p>
        </w:tc>
        <w:tc>
          <w:tcPr>
            <w:tcW w:w="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760" w:right="360" w:hanging="387"/>
        <w:spacing w:after="0" w:line="265" w:lineRule="auto"/>
        <w:tabs>
          <w:tab w:leader="none" w:pos="760"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During the first six months of fiscal 2019, the Company granted 150,299 RSUs in connection with the partial achievement of performance targets under the 2017-2018 LTIP, see Note 5, </w:t>
      </w:r>
      <w:r>
        <w:rPr>
          <w:rFonts w:ascii="Arial" w:cs="Arial" w:eastAsia="Arial" w:hAnsi="Arial"/>
          <w:sz w:val="12"/>
          <w:szCs w:val="12"/>
          <w:i w:val="1"/>
          <w:iCs w:val="1"/>
          <w:color w:val="auto"/>
        </w:rPr>
        <w:t>Long-Term Incentive Plans</w:t>
      </w:r>
      <w:r>
        <w:rPr>
          <w:rFonts w:ascii="Arial" w:cs="Arial" w:eastAsia="Arial" w:hAnsi="Arial"/>
          <w:sz w:val="12"/>
          <w:szCs w:val="12"/>
          <w:color w:val="auto"/>
        </w:rPr>
        <w:t>. In addition, the Company granted, as a signing award, 240,000 time-based RSUs to Mr. Kanter, which will vest equally over four years. As a result of net share settlement, of the 441,094 time-based RSUs which vested during the first six months of fiscal 2019, only 359,542 shares of common stock were issued.</w:t>
      </w:r>
    </w:p>
    <w:p>
      <w:pPr>
        <w:spacing w:after="0" w:line="50" w:lineRule="exact"/>
        <w:rPr>
          <w:rFonts w:ascii="Arial" w:cs="Arial" w:eastAsia="Arial" w:hAnsi="Arial"/>
          <w:sz w:val="12"/>
          <w:szCs w:val="12"/>
          <w:color w:val="auto"/>
        </w:rPr>
      </w:pPr>
    </w:p>
    <w:p>
      <w:pPr>
        <w:ind w:left="760" w:right="100" w:hanging="387"/>
        <w:spacing w:after="0" w:line="279" w:lineRule="auto"/>
        <w:tabs>
          <w:tab w:leader="none" w:pos="76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43,455 shares of deferred stock, with a fair value of $98,763, represent compensation to certain directors in lieu of cash, in accordance with their irrevocable elections. The shares of deferred stock will vest three years from the date of grant or at separation of service, based on the irrevocable election of each director.</w:t>
      </w:r>
    </w:p>
    <w:p>
      <w:pPr>
        <w:spacing w:after="0" w:line="114"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540"/>
          </w:cols>
          <w:pgMar w:left="220" w:top="131" w:right="139" w:bottom="1440" w:gutter="0" w:footer="0" w:header="0"/>
        </w:sectPr>
      </w:pPr>
    </w:p>
    <w:bookmarkStart w:id="15" w:name="page16"/>
    <w:bookmarkEnd w:id="15"/>
    <w:p>
      <w:pPr>
        <w:ind w:left="760" w:right="40" w:hanging="387"/>
        <w:spacing w:after="0" w:line="265" w:lineRule="auto"/>
        <w:tabs>
          <w:tab w:leader="none" w:pos="760" w:val="left"/>
        </w:tabs>
        <w:numPr>
          <w:ilvl w:val="0"/>
          <w:numId w:val="6"/>
        </w:numPr>
        <w:rPr>
          <w:rFonts w:ascii="Arial" w:cs="Arial" w:eastAsia="Arial" w:hAnsi="Arial"/>
          <w:sz w:val="12"/>
          <w:szCs w:val="12"/>
          <w:color w:val="auto"/>
        </w:rPr>
      </w:pPr>
      <w:r>
        <w:rPr>
          <w:rFonts w:ascii="Arial" w:cs="Arial" w:eastAsia="Arial" w:hAnsi="Arial"/>
          <w:sz w:val="12"/>
          <w:szCs w:val="12"/>
          <w:color w:val="auto"/>
        </w:rPr>
        <w:t>During the first six months of fiscal 2019, the Company granted 65,995 shares of stock, with a fair value of approximately $149,995, to certain directors as compensation in lieu of cash, in accordance with their irrevocable elections. Directors are required to elect 50% of their quarterly retainer in equity. Any shares in excess of the minimum required election are issued from the Company’s Fourth Amended and Restated Non-Employee Director Compensation Plan (“Non-Employee Director Compensation Plan”).</w:t>
      </w:r>
    </w:p>
    <w:p>
      <w:pPr>
        <w:spacing w:after="0" w:line="50" w:lineRule="exact"/>
        <w:rPr>
          <w:rFonts w:ascii="Arial" w:cs="Arial" w:eastAsia="Arial" w:hAnsi="Arial"/>
          <w:sz w:val="12"/>
          <w:szCs w:val="12"/>
          <w:color w:val="auto"/>
        </w:rPr>
      </w:pPr>
    </w:p>
    <w:p>
      <w:pPr>
        <w:ind w:left="760" w:right="60" w:hanging="387"/>
        <w:spacing w:after="0" w:line="258" w:lineRule="auto"/>
        <w:tabs>
          <w:tab w:leader="none" w:pos="760" w:val="left"/>
        </w:tabs>
        <w:numPr>
          <w:ilvl w:val="0"/>
          <w:numId w:val="6"/>
        </w:numPr>
        <w:rPr>
          <w:rFonts w:ascii="Arial" w:cs="Arial" w:eastAsia="Arial" w:hAnsi="Arial"/>
          <w:sz w:val="12"/>
          <w:szCs w:val="12"/>
          <w:color w:val="auto"/>
        </w:rPr>
      </w:pPr>
      <w:r>
        <w:rPr>
          <w:rFonts w:ascii="Arial" w:cs="Arial" w:eastAsia="Arial" w:hAnsi="Arial"/>
          <w:sz w:val="12"/>
          <w:szCs w:val="12"/>
          <w:color w:val="auto"/>
        </w:rPr>
        <w:t>On February 19, 2019, the Company granted 720,000 shares of performance stock units (“PSUs”), with a fair value of $1.0 million, to Mr. Kanter. The PSUs vest in installments when the following milestones are met: one-third of the PSUs vest when the trailing 90-day volume-weighted average closing stock price (“VWAP”) is $4.00, one-third of the PSUs vest when the VWAP is $6.00 and one-third when the VWAP is $8.00. All PSUs will expire on April 1, 2023 if no performance metric is achieved. The $1.0 million is being expensed over the respective derived service periods of each tranche of 16 months, 25 months and 30 months, respectively. The respective fair value and derived service periods assigned to the PSUs were determined using a Monte Carlo model based on: the Company’s historical volatility of 55.9%, a term of 4.1 years, stock price on the date of grant of $2.50 per share, a risk-free rate of 2.5% and a cost of equity of 9.5%.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0"/>
                <w:szCs w:val="10"/>
                <w:color w:val="auto"/>
                <w:w w:val="85"/>
              </w:rPr>
              <w:t>Weighted-average</w:t>
            </w:r>
          </w:p>
        </w:tc>
        <w:tc>
          <w:tcPr>
            <w:tcW w:w="1300" w:type="dxa"/>
            <w:vAlign w:val="bottom"/>
          </w:tcPr>
          <w:p>
            <w:pPr>
              <w:jc w:val="center"/>
              <w:spacing w:after="0"/>
              <w:rPr>
                <w:sz w:val="20"/>
                <w:szCs w:val="20"/>
                <w:color w:val="auto"/>
              </w:rPr>
            </w:pPr>
            <w:r>
              <w:rPr>
                <w:rFonts w:ascii="Arial" w:cs="Arial" w:eastAsia="Arial" w:hAnsi="Arial"/>
                <w:sz w:val="10"/>
                <w:szCs w:val="10"/>
                <w:color w:val="auto"/>
                <w:w w:val="85"/>
              </w:rPr>
              <w:t>Weighted-average</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0"/>
        </w:trPr>
        <w:tc>
          <w:tcPr>
            <w:tcW w:w="6020" w:type="dxa"/>
            <w:vAlign w:val="bottom"/>
          </w:tcPr>
          <w:p>
            <w:pPr>
              <w:spacing w:after="0"/>
              <w:rPr>
                <w:sz w:val="8"/>
                <w:szCs w:val="8"/>
                <w:color w:val="auto"/>
              </w:rPr>
            </w:pPr>
          </w:p>
        </w:tc>
        <w:tc>
          <w:tcPr>
            <w:tcW w:w="1420" w:type="dxa"/>
            <w:vAlign w:val="bottom"/>
            <w:gridSpan w:val="2"/>
          </w:tcPr>
          <w:p>
            <w:pPr>
              <w:jc w:val="right"/>
              <w:ind w:right="620"/>
              <w:spacing w:after="0" w:line="100" w:lineRule="exact"/>
              <w:rPr>
                <w:sz w:val="20"/>
                <w:szCs w:val="20"/>
                <w:color w:val="auto"/>
              </w:rPr>
            </w:pPr>
            <w:r>
              <w:rPr>
                <w:rFonts w:ascii="Arial" w:cs="Arial" w:eastAsia="Arial" w:hAnsi="Arial"/>
                <w:sz w:val="10"/>
                <w:szCs w:val="10"/>
                <w:color w:val="auto"/>
              </w:rPr>
              <w:t>Number of</w:t>
            </w:r>
          </w:p>
        </w:tc>
        <w:tc>
          <w:tcPr>
            <w:tcW w:w="140" w:type="dxa"/>
            <w:vAlign w:val="bottom"/>
          </w:tcPr>
          <w:p>
            <w:pPr>
              <w:spacing w:after="0"/>
              <w:rPr>
                <w:sz w:val="8"/>
                <w:szCs w:val="8"/>
                <w:color w:val="auto"/>
              </w:rPr>
            </w:pPr>
          </w:p>
        </w:tc>
        <w:tc>
          <w:tcPr>
            <w:tcW w:w="1160" w:type="dxa"/>
            <w:vAlign w:val="bottom"/>
            <w:gridSpan w:val="2"/>
          </w:tcPr>
          <w:p>
            <w:pPr>
              <w:jc w:val="center"/>
              <w:ind w:right="340"/>
              <w:spacing w:after="0" w:line="100" w:lineRule="exact"/>
              <w:rPr>
                <w:sz w:val="20"/>
                <w:szCs w:val="20"/>
                <w:color w:val="auto"/>
              </w:rPr>
            </w:pPr>
            <w:r>
              <w:rPr>
                <w:rFonts w:ascii="Arial" w:cs="Arial" w:eastAsia="Arial" w:hAnsi="Arial"/>
                <w:sz w:val="10"/>
                <w:szCs w:val="10"/>
                <w:color w:val="auto"/>
                <w:w w:val="87"/>
              </w:rPr>
              <w:t>exercise price</w:t>
            </w:r>
          </w:p>
        </w:tc>
        <w:tc>
          <w:tcPr>
            <w:tcW w:w="1300" w:type="dxa"/>
            <w:vAlign w:val="bottom"/>
          </w:tcPr>
          <w:p>
            <w:pPr>
              <w:jc w:val="center"/>
              <w:spacing w:after="0" w:line="100" w:lineRule="exact"/>
              <w:rPr>
                <w:sz w:val="20"/>
                <w:szCs w:val="20"/>
                <w:color w:val="auto"/>
              </w:rPr>
            </w:pPr>
            <w:r>
              <w:rPr>
                <w:rFonts w:ascii="Arial" w:cs="Arial" w:eastAsia="Arial" w:hAnsi="Arial"/>
                <w:sz w:val="10"/>
                <w:szCs w:val="10"/>
                <w:color w:val="auto"/>
                <w:w w:val="90"/>
              </w:rPr>
              <w:t>remaining</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tcPr>
          <w:p>
            <w:pPr>
              <w:jc w:val="center"/>
              <w:ind w:right="320"/>
              <w:spacing w:after="0" w:line="100" w:lineRule="exact"/>
              <w:rPr>
                <w:sz w:val="20"/>
                <w:szCs w:val="20"/>
                <w:color w:val="auto"/>
              </w:rPr>
            </w:pPr>
            <w:r>
              <w:rPr>
                <w:rFonts w:ascii="Arial" w:cs="Arial" w:eastAsia="Arial" w:hAnsi="Arial"/>
                <w:sz w:val="10"/>
                <w:szCs w:val="10"/>
                <w:color w:val="auto"/>
                <w:w w:val="86"/>
              </w:rPr>
              <w:t>Aggregate</w:t>
            </w:r>
          </w:p>
        </w:tc>
      </w:tr>
      <w:tr>
        <w:trPr>
          <w:trHeight w:val="112"/>
        </w:trPr>
        <w:tc>
          <w:tcPr>
            <w:tcW w:w="6020" w:type="dxa"/>
            <w:vAlign w:val="bottom"/>
          </w:tcPr>
          <w:p>
            <w:pPr>
              <w:spacing w:after="0"/>
              <w:rPr>
                <w:sz w:val="9"/>
                <w:szCs w:val="9"/>
                <w:color w:val="auto"/>
              </w:rPr>
            </w:pPr>
          </w:p>
        </w:tc>
        <w:tc>
          <w:tcPr>
            <w:tcW w:w="1420" w:type="dxa"/>
            <w:vAlign w:val="bottom"/>
            <w:gridSpan w:val="2"/>
          </w:tcPr>
          <w:p>
            <w:pPr>
              <w:jc w:val="right"/>
              <w:ind w:right="720"/>
              <w:spacing w:after="0" w:line="113" w:lineRule="exact"/>
              <w:rPr>
                <w:sz w:val="20"/>
                <w:szCs w:val="20"/>
                <w:color w:val="auto"/>
              </w:rPr>
            </w:pPr>
            <w:r>
              <w:rPr>
                <w:rFonts w:ascii="Arial" w:cs="Arial" w:eastAsia="Arial" w:hAnsi="Arial"/>
                <w:sz w:val="10"/>
                <w:szCs w:val="10"/>
                <w:color w:val="auto"/>
              </w:rPr>
              <w:t>shares</w:t>
            </w:r>
          </w:p>
        </w:tc>
        <w:tc>
          <w:tcPr>
            <w:tcW w:w="140" w:type="dxa"/>
            <w:vAlign w:val="bottom"/>
          </w:tcPr>
          <w:p>
            <w:pPr>
              <w:spacing w:after="0"/>
              <w:rPr>
                <w:sz w:val="9"/>
                <w:szCs w:val="9"/>
                <w:color w:val="auto"/>
              </w:rPr>
            </w:pPr>
          </w:p>
        </w:tc>
        <w:tc>
          <w:tcPr>
            <w:tcW w:w="1160" w:type="dxa"/>
            <w:vAlign w:val="bottom"/>
            <w:gridSpan w:val="2"/>
          </w:tcPr>
          <w:p>
            <w:pPr>
              <w:jc w:val="center"/>
              <w:ind w:right="360"/>
              <w:spacing w:after="0" w:line="113" w:lineRule="exact"/>
              <w:rPr>
                <w:sz w:val="20"/>
                <w:szCs w:val="20"/>
                <w:color w:val="auto"/>
              </w:rPr>
            </w:pPr>
            <w:r>
              <w:rPr>
                <w:rFonts w:ascii="Arial" w:cs="Arial" w:eastAsia="Arial" w:hAnsi="Arial"/>
                <w:sz w:val="10"/>
                <w:szCs w:val="10"/>
                <w:color w:val="auto"/>
                <w:w w:val="89"/>
              </w:rPr>
              <w:t>per option</w:t>
            </w:r>
          </w:p>
        </w:tc>
        <w:tc>
          <w:tcPr>
            <w:tcW w:w="1300" w:type="dxa"/>
            <w:vAlign w:val="bottom"/>
          </w:tcPr>
          <w:p>
            <w:pPr>
              <w:jc w:val="center"/>
              <w:spacing w:after="0" w:line="113" w:lineRule="exact"/>
              <w:rPr>
                <w:sz w:val="20"/>
                <w:szCs w:val="20"/>
                <w:color w:val="auto"/>
              </w:rPr>
            </w:pPr>
            <w:r>
              <w:rPr>
                <w:rFonts w:ascii="Arial" w:cs="Arial" w:eastAsia="Arial" w:hAnsi="Arial"/>
                <w:sz w:val="10"/>
                <w:szCs w:val="10"/>
                <w:color w:val="auto"/>
                <w:w w:val="89"/>
              </w:rPr>
              <w:t>contractual term</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tcPr>
          <w:p>
            <w:pPr>
              <w:jc w:val="center"/>
              <w:ind w:right="300"/>
              <w:spacing w:after="0" w:line="113" w:lineRule="exact"/>
              <w:rPr>
                <w:sz w:val="20"/>
                <w:szCs w:val="20"/>
                <w:color w:val="auto"/>
              </w:rPr>
            </w:pPr>
            <w:r>
              <w:rPr>
                <w:rFonts w:ascii="Arial" w:cs="Arial" w:eastAsia="Arial" w:hAnsi="Arial"/>
                <w:sz w:val="10"/>
                <w:szCs w:val="10"/>
                <w:color w:val="auto"/>
                <w:w w:val="89"/>
              </w:rPr>
              <w:t>intrinsic value</w:t>
            </w:r>
          </w:p>
        </w:tc>
      </w:tr>
      <w:tr>
        <w:trPr>
          <w:trHeight w:val="143"/>
        </w:trPr>
        <w:tc>
          <w:tcPr>
            <w:tcW w:w="6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Stock Options</w:t>
            </w:r>
          </w:p>
        </w:tc>
        <w:tc>
          <w:tcPr>
            <w:tcW w:w="11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6020" w:type="dxa"/>
            <w:vAlign w:val="bottom"/>
          </w:tcPr>
          <w:p>
            <w:pPr>
              <w:ind w:left="160"/>
              <w:spacing w:after="0"/>
              <w:rPr>
                <w:sz w:val="20"/>
                <w:szCs w:val="20"/>
                <w:color w:val="auto"/>
              </w:rPr>
            </w:pPr>
            <w:r>
              <w:rPr>
                <w:rFonts w:ascii="Arial" w:cs="Arial" w:eastAsia="Arial" w:hAnsi="Arial"/>
                <w:sz w:val="12"/>
                <w:szCs w:val="12"/>
                <w:color w:val="auto"/>
              </w:rPr>
              <w:t>Outstanding options at beginning of year</w:t>
            </w:r>
          </w:p>
        </w:tc>
        <w:tc>
          <w:tcPr>
            <w:tcW w:w="1180" w:type="dxa"/>
            <w:vAlign w:val="bottom"/>
          </w:tcPr>
          <w:p>
            <w:pPr>
              <w:jc w:val="right"/>
              <w:spacing w:after="0"/>
              <w:rPr>
                <w:sz w:val="20"/>
                <w:szCs w:val="20"/>
                <w:color w:val="auto"/>
              </w:rPr>
            </w:pPr>
            <w:r>
              <w:rPr>
                <w:rFonts w:ascii="Arial" w:cs="Arial" w:eastAsia="Arial" w:hAnsi="Arial"/>
                <w:sz w:val="12"/>
                <w:szCs w:val="12"/>
                <w:color w:val="auto"/>
              </w:rPr>
              <w:t>957,400</w:t>
            </w:r>
          </w:p>
        </w:tc>
        <w:tc>
          <w:tcPr>
            <w:tcW w:w="24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4.50</w:t>
            </w:r>
          </w:p>
        </w:tc>
        <w:tc>
          <w:tcPr>
            <w:tcW w:w="200" w:type="dxa"/>
            <w:vAlign w:val="bottom"/>
          </w:tcPr>
          <w:p>
            <w:pPr>
              <w:spacing w:after="0"/>
              <w:rPr>
                <w:sz w:val="13"/>
                <w:szCs w:val="13"/>
                <w:color w:val="auto"/>
              </w:rPr>
            </w:pPr>
          </w:p>
        </w:tc>
        <w:tc>
          <w:tcPr>
            <w:tcW w:w="1300" w:type="dxa"/>
            <w:vAlign w:val="bottom"/>
          </w:tcPr>
          <w:p>
            <w:pPr>
              <w:ind w:left="860"/>
              <w:spacing w:after="0"/>
              <w:rPr>
                <w:sz w:val="20"/>
                <w:szCs w:val="20"/>
                <w:color w:val="auto"/>
              </w:rPr>
            </w:pPr>
            <w:r>
              <w:rPr>
                <w:rFonts w:ascii="Arial" w:cs="Arial" w:eastAsia="Arial" w:hAnsi="Arial"/>
                <w:sz w:val="12"/>
                <w:szCs w:val="12"/>
                <w:color w:val="auto"/>
                <w:w w:val="84"/>
              </w:rPr>
              <w:t>5.1 years</w:t>
            </w: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16,878</w:t>
            </w:r>
          </w:p>
        </w:tc>
        <w:tc>
          <w:tcPr>
            <w:tcW w:w="120" w:type="dxa"/>
            <w:vAlign w:val="bottom"/>
          </w:tcPr>
          <w:p>
            <w:pPr>
              <w:spacing w:after="0"/>
              <w:rPr>
                <w:sz w:val="13"/>
                <w:szCs w:val="13"/>
                <w:color w:val="auto"/>
              </w:rPr>
            </w:pPr>
          </w:p>
        </w:tc>
      </w:tr>
      <w:tr>
        <w:trPr>
          <w:trHeight w:val="154"/>
        </w:trPr>
        <w:tc>
          <w:tcPr>
            <w:tcW w:w="60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Options granted</w:t>
            </w: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4"/>
        </w:trPr>
        <w:tc>
          <w:tcPr>
            <w:tcW w:w="6020" w:type="dxa"/>
            <w:vAlign w:val="bottom"/>
          </w:tcPr>
          <w:p>
            <w:pPr>
              <w:ind w:left="160"/>
              <w:spacing w:after="0"/>
              <w:rPr>
                <w:sz w:val="20"/>
                <w:szCs w:val="20"/>
                <w:color w:val="auto"/>
              </w:rPr>
            </w:pPr>
            <w:r>
              <w:rPr>
                <w:rFonts w:ascii="Arial" w:cs="Arial" w:eastAsia="Arial" w:hAnsi="Arial"/>
                <w:sz w:val="12"/>
                <w:szCs w:val="12"/>
                <w:color w:val="auto"/>
              </w:rPr>
              <w:t>Options expired and canceled</w:t>
            </w:r>
          </w:p>
        </w:tc>
        <w:tc>
          <w:tcPr>
            <w:tcW w:w="1420" w:type="dxa"/>
            <w:vAlign w:val="bottom"/>
            <w:gridSpan w:val="2"/>
          </w:tcPr>
          <w:p>
            <w:pPr>
              <w:jc w:val="right"/>
              <w:ind w:right="200"/>
              <w:spacing w:after="0"/>
              <w:rPr>
                <w:sz w:val="20"/>
                <w:szCs w:val="20"/>
                <w:color w:val="auto"/>
              </w:rPr>
            </w:pPr>
            <w:r>
              <w:rPr>
                <w:rFonts w:ascii="Arial" w:cs="Arial" w:eastAsia="Arial" w:hAnsi="Arial"/>
                <w:sz w:val="12"/>
                <w:szCs w:val="12"/>
                <w:color w:val="auto"/>
              </w:rPr>
              <w:t>(92,592)</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2.50</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4"/>
        </w:trPr>
        <w:tc>
          <w:tcPr>
            <w:tcW w:w="60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Options exercised</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r>
      <w:tr>
        <w:trPr>
          <w:trHeight w:val="143"/>
        </w:trPr>
        <w:tc>
          <w:tcPr>
            <w:tcW w:w="6020" w:type="dxa"/>
            <w:vAlign w:val="bottom"/>
          </w:tcPr>
          <w:p>
            <w:pPr>
              <w:ind w:left="160"/>
              <w:spacing w:after="0"/>
              <w:rPr>
                <w:sz w:val="20"/>
                <w:szCs w:val="20"/>
                <w:color w:val="auto"/>
              </w:rPr>
            </w:pPr>
            <w:r>
              <w:rPr>
                <w:rFonts w:ascii="Arial" w:cs="Arial" w:eastAsia="Arial" w:hAnsi="Arial"/>
                <w:sz w:val="12"/>
                <w:szCs w:val="12"/>
                <w:color w:val="auto"/>
              </w:rPr>
              <w:t>Outstanding options at end of quarter</w:t>
            </w:r>
          </w:p>
        </w:tc>
        <w:tc>
          <w:tcPr>
            <w:tcW w:w="1180" w:type="dxa"/>
            <w:vAlign w:val="bottom"/>
          </w:tcPr>
          <w:p>
            <w:pPr>
              <w:jc w:val="right"/>
              <w:spacing w:after="0"/>
              <w:rPr>
                <w:sz w:val="20"/>
                <w:szCs w:val="20"/>
                <w:color w:val="auto"/>
              </w:rPr>
            </w:pPr>
            <w:r>
              <w:rPr>
                <w:rFonts w:ascii="Arial" w:cs="Arial" w:eastAsia="Arial" w:hAnsi="Arial"/>
                <w:sz w:val="12"/>
                <w:szCs w:val="12"/>
                <w:color w:val="auto"/>
              </w:rPr>
              <w:t>864,808</w:t>
            </w:r>
          </w:p>
        </w:tc>
        <w:tc>
          <w:tcPr>
            <w:tcW w:w="24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4.71</w:t>
            </w:r>
          </w:p>
        </w:tc>
        <w:tc>
          <w:tcPr>
            <w:tcW w:w="200" w:type="dxa"/>
            <w:vAlign w:val="bottom"/>
          </w:tcPr>
          <w:p>
            <w:pPr>
              <w:spacing w:after="0"/>
              <w:rPr>
                <w:sz w:val="12"/>
                <w:szCs w:val="12"/>
                <w:color w:val="auto"/>
              </w:rPr>
            </w:pPr>
          </w:p>
        </w:tc>
        <w:tc>
          <w:tcPr>
            <w:tcW w:w="1300" w:type="dxa"/>
            <w:vAlign w:val="bottom"/>
          </w:tcPr>
          <w:p>
            <w:pPr>
              <w:ind w:left="860"/>
              <w:spacing w:after="0"/>
              <w:rPr>
                <w:sz w:val="20"/>
                <w:szCs w:val="20"/>
                <w:color w:val="auto"/>
              </w:rPr>
            </w:pPr>
            <w:r>
              <w:rPr>
                <w:rFonts w:ascii="Arial" w:cs="Arial" w:eastAsia="Arial" w:hAnsi="Arial"/>
                <w:sz w:val="12"/>
                <w:szCs w:val="12"/>
                <w:color w:val="auto"/>
                <w:w w:val="84"/>
              </w:rPr>
              <w:t>3.6 years</w:t>
            </w: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4"/>
        </w:trPr>
        <w:tc>
          <w:tcPr>
            <w:tcW w:w="60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Options exercisable at end of quarter</w:t>
            </w: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854,808</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4.74</w:t>
            </w:r>
          </w:p>
        </w:tc>
        <w:tc>
          <w:tcPr>
            <w:tcW w:w="200" w:type="dxa"/>
            <w:vAlign w:val="bottom"/>
            <w:shd w:val="clear" w:color="auto" w:fill="CFF0FC"/>
          </w:tcPr>
          <w:p>
            <w:pPr>
              <w:spacing w:after="0"/>
              <w:rPr>
                <w:sz w:val="13"/>
                <w:szCs w:val="13"/>
                <w:color w:val="auto"/>
              </w:rPr>
            </w:pPr>
          </w:p>
        </w:tc>
        <w:tc>
          <w:tcPr>
            <w:tcW w:w="1300" w:type="dxa"/>
            <w:vAlign w:val="bottom"/>
            <w:shd w:val="clear" w:color="auto" w:fill="CFF0FC"/>
          </w:tcPr>
          <w:p>
            <w:pPr>
              <w:ind w:left="860"/>
              <w:spacing w:after="0"/>
              <w:rPr>
                <w:sz w:val="20"/>
                <w:szCs w:val="20"/>
                <w:color w:val="auto"/>
              </w:rPr>
            </w:pPr>
            <w:r>
              <w:rPr>
                <w:rFonts w:ascii="Arial" w:cs="Arial" w:eastAsia="Arial" w:hAnsi="Arial"/>
                <w:sz w:val="12"/>
                <w:szCs w:val="12"/>
                <w:color w:val="auto"/>
                <w:w w:val="84"/>
              </w:rPr>
              <w:t>3.6 years</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Valuation Assumptions</w:t>
      </w:r>
    </w:p>
    <w:p>
      <w:pPr>
        <w:spacing w:after="0" w:line="79" w:lineRule="exact"/>
        <w:rPr>
          <w:sz w:val="20"/>
          <w:szCs w:val="20"/>
          <w:color w:val="auto"/>
        </w:rPr>
      </w:pPr>
    </w:p>
    <w:p>
      <w:pPr>
        <w:ind w:right="380"/>
        <w:spacing w:after="0" w:line="279" w:lineRule="auto"/>
        <w:rPr>
          <w:sz w:val="20"/>
          <w:szCs w:val="20"/>
          <w:color w:val="auto"/>
        </w:rPr>
      </w:pPr>
      <w:r>
        <w:rPr>
          <w:rFonts w:ascii="Arial" w:cs="Arial" w:eastAsia="Arial" w:hAnsi="Arial"/>
          <w:sz w:val="12"/>
          <w:szCs w:val="12"/>
          <w:color w:val="auto"/>
        </w:rPr>
        <w:t>For the first six months of fiscal 2019, the Company granted 720,000 PSUs, 390,299 RSUs and 43,455 shares of deferred stock. For the first six months of fiscal 2018, the Company granted 153,888 stock options, 67,305 shares of restricted stock, 334,625 RSUs and 54,798 shares of deferred stock.</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Unless otherwise specified by the Compensation Committee, RSUs, restricted stock and deferred stock are valued using the closing price of the Company’s common stock on the day immediately preceding the date of grant.</w:t>
      </w:r>
    </w:p>
    <w:p>
      <w:pPr>
        <w:spacing w:after="0" w:line="91" w:lineRule="exact"/>
        <w:rPr>
          <w:sz w:val="20"/>
          <w:szCs w:val="20"/>
          <w:color w:val="auto"/>
        </w:rPr>
      </w:pPr>
    </w:p>
    <w:p>
      <w:pPr>
        <w:ind w:right="160"/>
        <w:spacing w:after="0" w:line="279" w:lineRule="auto"/>
        <w:rPr>
          <w:sz w:val="20"/>
          <w:szCs w:val="20"/>
          <w:color w:val="auto"/>
        </w:rPr>
      </w:pPr>
      <w:r>
        <w:rPr>
          <w:rFonts w:ascii="Arial" w:cs="Arial" w:eastAsia="Arial" w:hAnsi="Arial"/>
          <w:sz w:val="12"/>
          <w:szCs w:val="12"/>
          <w:color w:val="auto"/>
        </w:rPr>
        <w:t>The fair value of each option granted is estimated on the date of grant using the Black-Scholes option-pricing model. There were no stock options granted in the first six months of fiscal 2019. The following assumptions were used for grants for the first six months of fiscal 2018: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440" w:type="dxa"/>
            <w:vAlign w:val="bottom"/>
          </w:tcPr>
          <w:p>
            <w:pPr>
              <w:spacing w:after="0"/>
              <w:rPr>
                <w:sz w:val="10"/>
                <w:szCs w:val="10"/>
                <w:color w:val="auto"/>
              </w:rPr>
            </w:pPr>
          </w:p>
        </w:tc>
        <w:tc>
          <w:tcPr>
            <w:tcW w:w="2040" w:type="dxa"/>
            <w:vAlign w:val="bottom"/>
            <w:gridSpan w:val="2"/>
          </w:tcPr>
          <w:p>
            <w:pPr>
              <w:ind w:left="660"/>
              <w:spacing w:after="0"/>
              <w:rPr>
                <w:sz w:val="20"/>
                <w:szCs w:val="20"/>
                <w:color w:val="auto"/>
              </w:rPr>
            </w:pPr>
            <w:r>
              <w:rPr>
                <w:rFonts w:ascii="Arial" w:cs="Arial" w:eastAsia="Arial" w:hAnsi="Arial"/>
                <w:sz w:val="10"/>
                <w:szCs w:val="10"/>
                <w:color w:val="auto"/>
              </w:rPr>
              <w:t>August 4, 2018</w:t>
            </w:r>
          </w:p>
        </w:tc>
      </w:tr>
      <w:tr>
        <w:trPr>
          <w:trHeight w:val="147"/>
        </w:trPr>
        <w:tc>
          <w:tcPr>
            <w:tcW w:w="9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Expected volatility</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48.9% - 57.1%</w:t>
            </w: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9440" w:type="dxa"/>
            <w:vAlign w:val="bottom"/>
          </w:tcPr>
          <w:p>
            <w:pPr>
              <w:spacing w:after="0"/>
              <w:rPr>
                <w:sz w:val="20"/>
                <w:szCs w:val="20"/>
                <w:color w:val="auto"/>
              </w:rPr>
            </w:pPr>
            <w:r>
              <w:rPr>
                <w:rFonts w:ascii="Arial" w:cs="Arial" w:eastAsia="Arial" w:hAnsi="Arial"/>
                <w:sz w:val="11"/>
                <w:szCs w:val="11"/>
                <w:color w:val="auto"/>
              </w:rPr>
              <w:t>Risk-free interest rate</w:t>
            </w:r>
          </w:p>
        </w:tc>
        <w:tc>
          <w:tcPr>
            <w:tcW w:w="1920" w:type="dxa"/>
            <w:vAlign w:val="bottom"/>
          </w:tcPr>
          <w:p>
            <w:pPr>
              <w:jc w:val="right"/>
              <w:spacing w:after="0"/>
              <w:rPr>
                <w:sz w:val="20"/>
                <w:szCs w:val="20"/>
                <w:color w:val="auto"/>
              </w:rPr>
            </w:pPr>
            <w:r>
              <w:rPr>
                <w:rFonts w:ascii="Arial" w:cs="Arial" w:eastAsia="Arial" w:hAnsi="Arial"/>
                <w:sz w:val="12"/>
                <w:szCs w:val="12"/>
                <w:color w:val="auto"/>
              </w:rPr>
              <w:t>2.55% - 2.63%</w:t>
            </w:r>
          </w:p>
        </w:tc>
        <w:tc>
          <w:tcPr>
            <w:tcW w:w="120" w:type="dxa"/>
            <w:vAlign w:val="bottom"/>
          </w:tcPr>
          <w:p>
            <w:pPr>
              <w:spacing w:after="0"/>
              <w:rPr>
                <w:sz w:val="13"/>
                <w:szCs w:val="13"/>
                <w:color w:val="auto"/>
              </w:rPr>
            </w:pPr>
          </w:p>
        </w:tc>
      </w:tr>
      <w:tr>
        <w:trPr>
          <w:trHeight w:val="154"/>
        </w:trPr>
        <w:tc>
          <w:tcPr>
            <w:tcW w:w="9440" w:type="dxa"/>
            <w:vAlign w:val="bottom"/>
            <w:shd w:val="clear" w:color="auto" w:fill="CFF0FC"/>
          </w:tcPr>
          <w:p>
            <w:pPr>
              <w:spacing w:after="0"/>
              <w:rPr>
                <w:sz w:val="20"/>
                <w:szCs w:val="20"/>
                <w:color w:val="auto"/>
              </w:rPr>
            </w:pPr>
            <w:r>
              <w:rPr>
                <w:rFonts w:ascii="Arial" w:cs="Arial" w:eastAsia="Arial" w:hAnsi="Arial"/>
                <w:sz w:val="11"/>
                <w:szCs w:val="11"/>
                <w:color w:val="auto"/>
              </w:rPr>
              <w:t>Expected life</w:t>
            </w:r>
          </w:p>
        </w:tc>
        <w:tc>
          <w:tcPr>
            <w:tcW w:w="2040" w:type="dxa"/>
            <w:vAlign w:val="bottom"/>
            <w:gridSpan w:val="2"/>
            <w:shd w:val="clear" w:color="auto" w:fill="CFF0FC"/>
          </w:tcPr>
          <w:p>
            <w:pPr>
              <w:ind w:left="1340"/>
              <w:spacing w:after="0"/>
              <w:rPr>
                <w:sz w:val="20"/>
                <w:szCs w:val="20"/>
                <w:color w:val="auto"/>
              </w:rPr>
            </w:pPr>
            <w:r>
              <w:rPr>
                <w:rFonts w:ascii="Arial" w:cs="Arial" w:eastAsia="Arial" w:hAnsi="Arial"/>
                <w:sz w:val="12"/>
                <w:szCs w:val="12"/>
                <w:color w:val="auto"/>
              </w:rPr>
              <w:t>3.0 - 4.5 yrs</w:t>
            </w:r>
          </w:p>
        </w:tc>
      </w:tr>
      <w:tr>
        <w:trPr>
          <w:trHeight w:val="141"/>
        </w:trPr>
        <w:tc>
          <w:tcPr>
            <w:tcW w:w="9440" w:type="dxa"/>
            <w:vAlign w:val="bottom"/>
          </w:tcPr>
          <w:p>
            <w:pPr>
              <w:spacing w:after="0"/>
              <w:rPr>
                <w:sz w:val="20"/>
                <w:szCs w:val="20"/>
                <w:color w:val="auto"/>
              </w:rPr>
            </w:pPr>
            <w:r>
              <w:rPr>
                <w:rFonts w:ascii="Arial" w:cs="Arial" w:eastAsia="Arial" w:hAnsi="Arial"/>
                <w:sz w:val="11"/>
                <w:szCs w:val="11"/>
                <w:color w:val="auto"/>
              </w:rPr>
              <w:t>Dividend rate</w:t>
            </w:r>
          </w:p>
        </w:tc>
        <w:tc>
          <w:tcPr>
            <w:tcW w:w="2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Non-Employee Director Compensation Plan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Company granted 15,397 shares of common stock, with a fair value of approximately $34,995, to certain of its non-employee directors as compensation in lieu of cash in the first six months of fiscal 2019.</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Stock Compensation Expense</w:t>
      </w:r>
    </w:p>
    <w:p>
      <w:pPr>
        <w:spacing w:after="0" w:line="79" w:lineRule="exact"/>
        <w:rPr>
          <w:sz w:val="20"/>
          <w:szCs w:val="20"/>
          <w:color w:val="auto"/>
        </w:rPr>
      </w:pPr>
    </w:p>
    <w:p>
      <w:pPr>
        <w:ind w:right="280"/>
        <w:spacing w:after="0" w:line="326" w:lineRule="auto"/>
        <w:rPr>
          <w:sz w:val="20"/>
          <w:szCs w:val="20"/>
          <w:color w:val="auto"/>
        </w:rPr>
      </w:pPr>
      <w:r>
        <w:rPr>
          <w:rFonts w:ascii="Arial" w:cs="Arial" w:eastAsia="Arial" w:hAnsi="Arial"/>
          <w:sz w:val="11"/>
          <w:szCs w:val="11"/>
          <w:color w:val="auto"/>
        </w:rPr>
        <w:t>The Company recognized total stock-based compensation expense of $0.9 million and $0.8 million for the first six months of fiscal 2019 and fiscal 2018, respectively. The total compensation cost related to time-vested stock options, restricted stock, RSU and PSU awards not yet recognized as of August 3, 2019 was approximately $2.5 million, net of estimated forfeitures, which will be expensed over a weighted average remaining life of 29 months.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color w:val="auto"/>
        </w:rPr>
        <w:t>7. Earnings per Share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reconciliation of the number of shares outstanding for basic and diluted earnings per share:</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5920" w:type="dxa"/>
            <w:vAlign w:val="bottom"/>
          </w:tcPr>
          <w:p>
            <w:pPr>
              <w:spacing w:after="0"/>
              <w:rPr>
                <w:sz w:val="11"/>
                <w:szCs w:val="11"/>
                <w:color w:val="auto"/>
              </w:rPr>
            </w:pPr>
          </w:p>
        </w:tc>
        <w:tc>
          <w:tcPr>
            <w:tcW w:w="2780" w:type="dxa"/>
            <w:vAlign w:val="bottom"/>
            <w:gridSpan w:val="4"/>
          </w:tcPr>
          <w:p>
            <w:pPr>
              <w:ind w:left="660"/>
              <w:spacing w:after="0"/>
              <w:rPr>
                <w:sz w:val="20"/>
                <w:szCs w:val="20"/>
                <w:color w:val="auto"/>
              </w:rPr>
            </w:pPr>
            <w:r>
              <w:rPr>
                <w:rFonts w:ascii="Arial" w:cs="Arial" w:eastAsia="Arial" w:hAnsi="Arial"/>
                <w:sz w:val="11"/>
                <w:szCs w:val="11"/>
                <w:color w:val="auto"/>
              </w:rPr>
              <w:t>For the three months ended</w:t>
            </w:r>
          </w:p>
        </w:tc>
        <w:tc>
          <w:tcPr>
            <w:tcW w:w="2700" w:type="dxa"/>
            <w:vAlign w:val="bottom"/>
            <w:gridSpan w:val="4"/>
          </w:tcPr>
          <w:p>
            <w:pPr>
              <w:ind w:left="740"/>
              <w:spacing w:after="0"/>
              <w:rPr>
                <w:sz w:val="20"/>
                <w:szCs w:val="20"/>
                <w:color w:val="auto"/>
              </w:rPr>
            </w:pPr>
            <w:r>
              <w:rPr>
                <w:rFonts w:ascii="Arial" w:cs="Arial" w:eastAsia="Arial" w:hAnsi="Arial"/>
                <w:sz w:val="11"/>
                <w:szCs w:val="11"/>
                <w:color w:val="auto"/>
              </w:rPr>
              <w:t>For the six months ended</w:t>
            </w:r>
          </w:p>
        </w:tc>
      </w:tr>
      <w:tr>
        <w:trPr>
          <w:trHeight w:val="145"/>
        </w:trPr>
        <w:tc>
          <w:tcPr>
            <w:tcW w:w="5920" w:type="dxa"/>
            <w:vAlign w:val="bottom"/>
          </w:tcPr>
          <w:p>
            <w:pPr>
              <w:spacing w:after="0"/>
              <w:rPr>
                <w:sz w:val="12"/>
                <w:szCs w:val="12"/>
                <w:color w:val="auto"/>
              </w:rPr>
            </w:pPr>
          </w:p>
        </w:tc>
        <w:tc>
          <w:tcPr>
            <w:tcW w:w="1380" w:type="dxa"/>
            <w:vAlign w:val="bottom"/>
            <w:gridSpan w:val="2"/>
          </w:tcPr>
          <w:p>
            <w:pPr>
              <w:ind w:left="220"/>
              <w:spacing w:after="0"/>
              <w:rPr>
                <w:sz w:val="20"/>
                <w:szCs w:val="20"/>
                <w:color w:val="auto"/>
              </w:rPr>
            </w:pPr>
            <w:r>
              <w:rPr>
                <w:rFonts w:ascii="Arial" w:cs="Arial" w:eastAsia="Arial" w:hAnsi="Arial"/>
                <w:sz w:val="11"/>
                <w:szCs w:val="11"/>
                <w:color w:val="auto"/>
              </w:rPr>
              <w:t>August 3, 2019</w:t>
            </w:r>
          </w:p>
        </w:tc>
        <w:tc>
          <w:tcPr>
            <w:tcW w:w="1400" w:type="dxa"/>
            <w:vAlign w:val="bottom"/>
            <w:gridSpan w:val="2"/>
          </w:tcPr>
          <w:p>
            <w:pPr>
              <w:ind w:left="240"/>
              <w:spacing w:after="0"/>
              <w:rPr>
                <w:sz w:val="20"/>
                <w:szCs w:val="20"/>
                <w:color w:val="auto"/>
              </w:rPr>
            </w:pPr>
            <w:r>
              <w:rPr>
                <w:rFonts w:ascii="Arial" w:cs="Arial" w:eastAsia="Arial" w:hAnsi="Arial"/>
                <w:sz w:val="11"/>
                <w:szCs w:val="11"/>
                <w:color w:val="auto"/>
              </w:rPr>
              <w:t>August 4, 2018</w:t>
            </w:r>
          </w:p>
        </w:tc>
        <w:tc>
          <w:tcPr>
            <w:tcW w:w="1420" w:type="dxa"/>
            <w:vAlign w:val="bottom"/>
            <w:gridSpan w:val="2"/>
          </w:tcPr>
          <w:p>
            <w:pPr>
              <w:ind w:left="240"/>
              <w:spacing w:after="0"/>
              <w:rPr>
                <w:sz w:val="20"/>
                <w:szCs w:val="20"/>
                <w:color w:val="auto"/>
              </w:rPr>
            </w:pPr>
            <w:r>
              <w:rPr>
                <w:rFonts w:ascii="Arial" w:cs="Arial" w:eastAsia="Arial" w:hAnsi="Arial"/>
                <w:sz w:val="11"/>
                <w:szCs w:val="11"/>
                <w:color w:val="auto"/>
              </w:rPr>
              <w:t>August 3, 2019</w:t>
            </w:r>
          </w:p>
        </w:tc>
        <w:tc>
          <w:tcPr>
            <w:tcW w:w="1280" w:type="dxa"/>
            <w:vAlign w:val="bottom"/>
            <w:gridSpan w:val="2"/>
          </w:tcPr>
          <w:p>
            <w:pPr>
              <w:ind w:left="240"/>
              <w:spacing w:after="0"/>
              <w:rPr>
                <w:sz w:val="20"/>
                <w:szCs w:val="20"/>
                <w:color w:val="auto"/>
              </w:rPr>
            </w:pPr>
            <w:r>
              <w:rPr>
                <w:rFonts w:ascii="Arial" w:cs="Arial" w:eastAsia="Arial" w:hAnsi="Arial"/>
                <w:sz w:val="11"/>
                <w:szCs w:val="11"/>
                <w:color w:val="auto"/>
              </w:rPr>
              <w:t>August 4, 2018</w:t>
            </w:r>
          </w:p>
        </w:tc>
      </w:tr>
      <w:tr>
        <w:trPr>
          <w:trHeight w:val="136"/>
        </w:trPr>
        <w:tc>
          <w:tcPr>
            <w:tcW w:w="5920" w:type="dxa"/>
            <w:vAlign w:val="bottom"/>
          </w:tcPr>
          <w:p>
            <w:pPr>
              <w:spacing w:after="0"/>
              <w:rPr>
                <w:sz w:val="20"/>
                <w:szCs w:val="20"/>
                <w:color w:val="auto"/>
              </w:rPr>
            </w:pPr>
            <w:r>
              <w:rPr>
                <w:rFonts w:ascii="Arial" w:cs="Arial" w:eastAsia="Arial" w:hAnsi="Arial"/>
                <w:sz w:val="11"/>
                <w:szCs w:val="11"/>
                <w:i w:val="1"/>
                <w:iCs w:val="1"/>
                <w:color w:val="auto"/>
              </w:rPr>
              <w:t>(in thousands</w:t>
            </w:r>
            <w:r>
              <w:rPr>
                <w:rFonts w:ascii="Arial" w:cs="Arial" w:eastAsia="Arial" w:hAnsi="Arial"/>
                <w:sz w:val="11"/>
                <w:szCs w:val="11"/>
                <w:b w:val="1"/>
                <w:bCs w:val="1"/>
                <w:i w:val="1"/>
                <w:iCs w:val="1"/>
                <w:color w:val="auto"/>
              </w:rPr>
              <w:t>)</w:t>
            </w:r>
          </w:p>
        </w:tc>
        <w:tc>
          <w:tcPr>
            <w:tcW w:w="11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7"/>
        </w:trPr>
        <w:tc>
          <w:tcPr>
            <w:tcW w:w="5920" w:type="dxa"/>
            <w:vAlign w:val="bottom"/>
            <w:shd w:val="clear" w:color="auto" w:fill="CFF0FC"/>
          </w:tcPr>
          <w:p>
            <w:pPr>
              <w:spacing w:after="0"/>
              <w:rPr>
                <w:sz w:val="20"/>
                <w:szCs w:val="20"/>
                <w:color w:val="auto"/>
              </w:rPr>
            </w:pPr>
            <w:r>
              <w:rPr>
                <w:rFonts w:ascii="Arial" w:cs="Arial" w:eastAsia="Arial" w:hAnsi="Arial"/>
                <w:sz w:val="11"/>
                <w:szCs w:val="11"/>
                <w:color w:val="auto"/>
              </w:rPr>
              <w:t>Common stock outstanding:</w:t>
            </w: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3"/>
        </w:trPr>
        <w:tc>
          <w:tcPr>
            <w:tcW w:w="5920" w:type="dxa"/>
            <w:vAlign w:val="bottom"/>
          </w:tcPr>
          <w:p>
            <w:pPr>
              <w:spacing w:after="0"/>
              <w:rPr>
                <w:sz w:val="20"/>
                <w:szCs w:val="20"/>
                <w:color w:val="auto"/>
              </w:rPr>
            </w:pPr>
            <w:r>
              <w:rPr>
                <w:rFonts w:ascii="Arial" w:cs="Arial" w:eastAsia="Arial" w:hAnsi="Arial"/>
                <w:sz w:val="11"/>
                <w:szCs w:val="11"/>
                <w:color w:val="auto"/>
              </w:rPr>
              <w:t>Basic weighted average common shares outstanding</w:t>
            </w:r>
          </w:p>
        </w:tc>
        <w:tc>
          <w:tcPr>
            <w:tcW w:w="1140" w:type="dxa"/>
            <w:vAlign w:val="bottom"/>
          </w:tcPr>
          <w:p>
            <w:pPr>
              <w:jc w:val="right"/>
              <w:spacing w:after="0"/>
              <w:rPr>
                <w:sz w:val="20"/>
                <w:szCs w:val="20"/>
                <w:color w:val="auto"/>
              </w:rPr>
            </w:pPr>
            <w:r>
              <w:rPr>
                <w:rFonts w:ascii="Arial" w:cs="Arial" w:eastAsia="Arial" w:hAnsi="Arial"/>
                <w:sz w:val="11"/>
                <w:szCs w:val="11"/>
                <w:color w:val="auto"/>
              </w:rPr>
              <w:t>49,867</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49,060</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49,734</w:t>
            </w:r>
          </w:p>
        </w:tc>
        <w:tc>
          <w:tcPr>
            <w:tcW w:w="2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48,926</w:t>
            </w:r>
          </w:p>
        </w:tc>
        <w:tc>
          <w:tcPr>
            <w:tcW w:w="120" w:type="dxa"/>
            <w:vAlign w:val="bottom"/>
          </w:tcPr>
          <w:p>
            <w:pPr>
              <w:spacing w:after="0"/>
              <w:rPr>
                <w:sz w:val="12"/>
                <w:szCs w:val="12"/>
                <w:color w:val="auto"/>
              </w:rPr>
            </w:pPr>
          </w:p>
        </w:tc>
      </w:tr>
      <w:tr>
        <w:trPr>
          <w:trHeight w:val="147"/>
        </w:trPr>
        <w:tc>
          <w:tcPr>
            <w:tcW w:w="5920" w:type="dxa"/>
            <w:vAlign w:val="bottom"/>
            <w:shd w:val="clear" w:color="auto" w:fill="CFF0FC"/>
          </w:tcPr>
          <w:p>
            <w:pPr>
              <w:spacing w:after="0" w:line="147" w:lineRule="exact"/>
              <w:rPr>
                <w:sz w:val="20"/>
                <w:szCs w:val="20"/>
                <w:color w:val="auto"/>
              </w:rPr>
            </w:pPr>
            <w:r>
              <w:rPr>
                <w:rFonts w:ascii="Arial" w:cs="Arial" w:eastAsia="Arial" w:hAnsi="Arial"/>
                <w:sz w:val="10"/>
                <w:szCs w:val="10"/>
                <w:color w:val="auto"/>
              </w:rPr>
              <w:t xml:space="preserve">Common stock equivalents – stock options and restricted stock </w:t>
            </w:r>
            <w:r>
              <w:rPr>
                <w:rFonts w:ascii="Arial" w:cs="Arial" w:eastAsia="Arial" w:hAnsi="Arial"/>
                <w:sz w:val="17"/>
                <w:szCs w:val="17"/>
                <w:color w:val="auto"/>
                <w:vertAlign w:val="superscript"/>
              </w:rPr>
              <w:t>(1)</w:t>
            </w: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308</w:t>
            </w:r>
          </w:p>
        </w:tc>
        <w:tc>
          <w:tcPr>
            <w:tcW w:w="24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r>
      <w:tr>
        <w:trPr>
          <w:trHeight w:val="130"/>
        </w:trPr>
        <w:tc>
          <w:tcPr>
            <w:tcW w:w="5920" w:type="dxa"/>
            <w:vAlign w:val="bottom"/>
          </w:tcPr>
          <w:p>
            <w:pPr>
              <w:spacing w:after="0"/>
              <w:rPr>
                <w:sz w:val="20"/>
                <w:szCs w:val="20"/>
                <w:color w:val="auto"/>
              </w:rPr>
            </w:pPr>
            <w:r>
              <w:rPr>
                <w:rFonts w:ascii="Arial" w:cs="Arial" w:eastAsia="Arial" w:hAnsi="Arial"/>
                <w:sz w:val="11"/>
                <w:szCs w:val="11"/>
                <w:color w:val="auto"/>
              </w:rPr>
              <w:t>Diluted weighted average common shares outstanding</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50,175</w:t>
            </w:r>
          </w:p>
        </w:tc>
        <w:tc>
          <w:tcPr>
            <w:tcW w:w="240" w:type="dxa"/>
            <w:vAlign w:val="bottom"/>
          </w:tcPr>
          <w:p>
            <w:pPr>
              <w:spacing w:after="0"/>
              <w:rPr>
                <w:sz w:val="11"/>
                <w:szCs w:val="1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49,060</w:t>
            </w:r>
          </w:p>
        </w:tc>
        <w:tc>
          <w:tcPr>
            <w:tcW w:w="240" w:type="dxa"/>
            <w:vAlign w:val="bottom"/>
          </w:tcPr>
          <w:p>
            <w:pPr>
              <w:spacing w:after="0"/>
              <w:rPr>
                <w:sz w:val="11"/>
                <w:szCs w:val="1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49,734</w:t>
            </w:r>
          </w:p>
        </w:tc>
        <w:tc>
          <w:tcPr>
            <w:tcW w:w="260" w:type="dxa"/>
            <w:vAlign w:val="bottom"/>
          </w:tcPr>
          <w:p>
            <w:pPr>
              <w:spacing w:after="0"/>
              <w:rPr>
                <w:sz w:val="11"/>
                <w:szCs w:val="1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48,926</w:t>
            </w:r>
          </w:p>
        </w:tc>
        <w:tc>
          <w:tcPr>
            <w:tcW w:w="120" w:type="dxa"/>
            <w:vAlign w:val="bottom"/>
          </w:tcPr>
          <w:p>
            <w:pPr>
              <w:spacing w:after="0"/>
              <w:rPr>
                <w:sz w:val="11"/>
                <w:szCs w:val="11"/>
                <w:color w:val="auto"/>
              </w:rPr>
            </w:pPr>
          </w:p>
        </w:tc>
      </w:tr>
    </w:tbl>
    <w:p>
      <w:pPr>
        <w:spacing w:after="0" w:line="140" w:lineRule="exact"/>
        <w:rPr>
          <w:sz w:val="20"/>
          <w:szCs w:val="20"/>
          <w:color w:val="auto"/>
        </w:rPr>
      </w:pPr>
    </w:p>
    <w:p>
      <w:pPr>
        <w:ind w:left="1020" w:right="160" w:hanging="511"/>
        <w:spacing w:after="0" w:line="279" w:lineRule="auto"/>
        <w:tabs>
          <w:tab w:leader="none" w:pos="10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Common stock equivalents of 489 shares for the three months ended August 4, 2018 and 415 and 458 shares for the six months ended August 3, 2019 and August 4, 2018, respectively, were excluded due to the net loss.</w:t>
      </w:r>
    </w:p>
    <w:p>
      <w:pPr>
        <w:spacing w:after="0" w:line="132" w:lineRule="exact"/>
        <w:rPr>
          <w:sz w:val="20"/>
          <w:szCs w:val="20"/>
          <w:color w:val="auto"/>
        </w:rPr>
      </w:pPr>
    </w:p>
    <w:p>
      <w:pPr>
        <w:ind w:right="420"/>
        <w:spacing w:after="0" w:line="326" w:lineRule="auto"/>
        <w:rPr>
          <w:sz w:val="20"/>
          <w:szCs w:val="20"/>
          <w:color w:val="auto"/>
        </w:rPr>
      </w:pPr>
      <w:r>
        <w:rPr>
          <w:rFonts w:ascii="Arial" w:cs="Arial" w:eastAsia="Arial" w:hAnsi="Arial"/>
          <w:sz w:val="11"/>
          <w:szCs w:val="11"/>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of the unearned compensation associated with either stock options, restricted stock units, restricted or deferred stock had an anti-dilutive effect.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800" w:type="dxa"/>
            <w:vAlign w:val="bottom"/>
          </w:tcPr>
          <w:p>
            <w:pPr>
              <w:spacing w:after="0"/>
              <w:rPr>
                <w:sz w:val="13"/>
                <w:szCs w:val="13"/>
                <w:color w:val="auto"/>
              </w:rPr>
            </w:pPr>
          </w:p>
        </w:tc>
        <w:tc>
          <w:tcPr>
            <w:tcW w:w="2460" w:type="dxa"/>
            <w:vAlign w:val="bottom"/>
            <w:gridSpan w:val="4"/>
          </w:tcPr>
          <w:p>
            <w:pPr>
              <w:jc w:val="right"/>
              <w:ind w:right="426"/>
              <w:spacing w:after="0"/>
              <w:rPr>
                <w:sz w:val="20"/>
                <w:szCs w:val="20"/>
                <w:color w:val="auto"/>
              </w:rPr>
            </w:pPr>
            <w:r>
              <w:rPr>
                <w:rFonts w:ascii="Arial" w:cs="Arial" w:eastAsia="Arial" w:hAnsi="Arial"/>
                <w:sz w:val="11"/>
                <w:szCs w:val="11"/>
                <w:color w:val="auto"/>
              </w:rPr>
              <w:t>For the three months ended</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60" w:type="dxa"/>
            <w:vAlign w:val="bottom"/>
            <w:gridSpan w:val="4"/>
          </w:tcPr>
          <w:p>
            <w:pPr>
              <w:ind w:left="780"/>
              <w:spacing w:after="0"/>
              <w:rPr>
                <w:sz w:val="20"/>
                <w:szCs w:val="20"/>
                <w:color w:val="auto"/>
              </w:rPr>
            </w:pPr>
            <w:r>
              <w:rPr>
                <w:rFonts w:ascii="Arial" w:cs="Arial" w:eastAsia="Arial" w:hAnsi="Arial"/>
                <w:sz w:val="10"/>
                <w:szCs w:val="10"/>
                <w:color w:val="auto"/>
              </w:rPr>
              <w:t>For the six months ended</w:t>
            </w:r>
          </w:p>
        </w:tc>
      </w:tr>
      <w:tr>
        <w:trPr>
          <w:trHeight w:val="135"/>
        </w:trPr>
        <w:tc>
          <w:tcPr>
            <w:tcW w:w="58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August 3, 2019</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August 4, 2018</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ind w:left="260"/>
              <w:spacing w:after="0"/>
              <w:rPr>
                <w:sz w:val="20"/>
                <w:szCs w:val="20"/>
                <w:color w:val="auto"/>
              </w:rPr>
            </w:pPr>
            <w:r>
              <w:rPr>
                <w:rFonts w:ascii="Arial" w:cs="Arial" w:eastAsia="Arial" w:hAnsi="Arial"/>
                <w:sz w:val="10"/>
                <w:szCs w:val="10"/>
                <w:color w:val="auto"/>
              </w:rPr>
              <w:t>August 3, 2019</w:t>
            </w:r>
          </w:p>
        </w:tc>
        <w:tc>
          <w:tcPr>
            <w:tcW w:w="1280" w:type="dxa"/>
            <w:vAlign w:val="bottom"/>
            <w:gridSpan w:val="2"/>
          </w:tcPr>
          <w:p>
            <w:pPr>
              <w:ind w:left="280"/>
              <w:spacing w:after="0"/>
              <w:rPr>
                <w:sz w:val="20"/>
                <w:szCs w:val="20"/>
                <w:color w:val="auto"/>
              </w:rPr>
            </w:pPr>
            <w:r>
              <w:rPr>
                <w:rFonts w:ascii="Arial" w:cs="Arial" w:eastAsia="Arial" w:hAnsi="Arial"/>
                <w:sz w:val="10"/>
                <w:szCs w:val="10"/>
                <w:color w:val="auto"/>
              </w:rPr>
              <w:t>August 4, 2018</w:t>
            </w:r>
          </w:p>
        </w:tc>
      </w:tr>
      <w:tr>
        <w:trPr>
          <w:trHeight w:val="132"/>
        </w:trPr>
        <w:tc>
          <w:tcPr>
            <w:tcW w:w="5800" w:type="dxa"/>
            <w:vAlign w:val="bottom"/>
          </w:tcPr>
          <w:p>
            <w:pPr>
              <w:spacing w:after="0"/>
              <w:rPr>
                <w:sz w:val="20"/>
                <w:szCs w:val="20"/>
                <w:color w:val="auto"/>
              </w:rPr>
            </w:pPr>
            <w:r>
              <w:rPr>
                <w:rFonts w:ascii="Arial" w:cs="Arial" w:eastAsia="Arial" w:hAnsi="Arial"/>
                <w:sz w:val="11"/>
                <w:szCs w:val="11"/>
                <w:i w:val="1"/>
                <w:iCs w:val="1"/>
                <w:color w:val="auto"/>
              </w:rPr>
              <w:t>(in thousands, except exercise prices)</w:t>
            </w:r>
          </w:p>
        </w:tc>
        <w:tc>
          <w:tcPr>
            <w:tcW w:w="9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56"/>
        </w:trPr>
        <w:tc>
          <w:tcPr>
            <w:tcW w:w="5800" w:type="dxa"/>
            <w:vAlign w:val="bottom"/>
            <w:shd w:val="clear" w:color="auto" w:fill="CFF0FC"/>
          </w:tcPr>
          <w:p>
            <w:pPr>
              <w:spacing w:after="0"/>
              <w:rPr>
                <w:sz w:val="20"/>
                <w:szCs w:val="20"/>
                <w:color w:val="auto"/>
              </w:rPr>
            </w:pPr>
            <w:r>
              <w:rPr>
                <w:rFonts w:ascii="Arial" w:cs="Arial" w:eastAsia="Arial" w:hAnsi="Arial"/>
                <w:sz w:val="11"/>
                <w:szCs w:val="11"/>
                <w:color w:val="auto"/>
              </w:rPr>
              <w:t>Stock options</w:t>
            </w:r>
          </w:p>
        </w:tc>
        <w:tc>
          <w:tcPr>
            <w:tcW w:w="980" w:type="dxa"/>
            <w:vAlign w:val="bottom"/>
            <w:shd w:val="clear" w:color="auto" w:fill="CFF0FC"/>
          </w:tcPr>
          <w:p>
            <w:pPr>
              <w:spacing w:after="0"/>
              <w:rPr>
                <w:sz w:val="13"/>
                <w:szCs w:val="13"/>
                <w:color w:val="auto"/>
              </w:rPr>
            </w:pPr>
          </w:p>
        </w:tc>
        <w:tc>
          <w:tcPr>
            <w:tcW w:w="42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865</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1,147</w:t>
            </w:r>
          </w:p>
        </w:tc>
        <w:tc>
          <w:tcPr>
            <w:tcW w:w="26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850</w:t>
            </w: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1,147</w:t>
            </w:r>
          </w:p>
        </w:tc>
        <w:tc>
          <w:tcPr>
            <w:tcW w:w="120" w:type="dxa"/>
            <w:vAlign w:val="bottom"/>
            <w:shd w:val="clear" w:color="auto" w:fill="CFF0FC"/>
          </w:tcPr>
          <w:p>
            <w:pPr>
              <w:spacing w:after="0"/>
              <w:rPr>
                <w:sz w:val="13"/>
                <w:szCs w:val="13"/>
                <w:color w:val="auto"/>
              </w:rPr>
            </w:pPr>
          </w:p>
        </w:tc>
      </w:tr>
      <w:tr>
        <w:trPr>
          <w:trHeight w:val="154"/>
        </w:trPr>
        <w:tc>
          <w:tcPr>
            <w:tcW w:w="5800" w:type="dxa"/>
            <w:vAlign w:val="bottom"/>
          </w:tcPr>
          <w:p>
            <w:pPr>
              <w:spacing w:after="0"/>
              <w:rPr>
                <w:sz w:val="20"/>
                <w:szCs w:val="20"/>
                <w:color w:val="auto"/>
              </w:rPr>
            </w:pPr>
            <w:r>
              <w:rPr>
                <w:rFonts w:ascii="Arial" w:cs="Arial" w:eastAsia="Arial" w:hAnsi="Arial"/>
                <w:sz w:val="11"/>
                <w:szCs w:val="11"/>
                <w:color w:val="auto"/>
              </w:rPr>
              <w:t>Restricted stock units</w:t>
            </w:r>
          </w:p>
        </w:tc>
        <w:tc>
          <w:tcPr>
            <w:tcW w:w="980" w:type="dxa"/>
            <w:vAlign w:val="bottom"/>
          </w:tcPr>
          <w:p>
            <w:pPr>
              <w:spacing w:after="0"/>
              <w:rPr>
                <w:sz w:val="13"/>
                <w:szCs w:val="13"/>
                <w:color w:val="auto"/>
              </w:rPr>
            </w:pPr>
          </w:p>
        </w:tc>
        <w:tc>
          <w:tcPr>
            <w:tcW w:w="420" w:type="dxa"/>
            <w:vAlign w:val="bottom"/>
          </w:tcPr>
          <w:p>
            <w:pPr>
              <w:jc w:val="right"/>
              <w:ind w:right="60"/>
              <w:spacing w:after="0"/>
              <w:rPr>
                <w:sz w:val="20"/>
                <w:szCs w:val="20"/>
                <w:color w:val="auto"/>
              </w:rPr>
            </w:pPr>
            <w:r>
              <w:rPr>
                <w:rFonts w:ascii="Arial" w:cs="Arial" w:eastAsia="Arial" w:hAnsi="Arial"/>
                <w:sz w:val="12"/>
                <w:szCs w:val="12"/>
                <w:color w:val="auto"/>
                <w:w w:val="93"/>
              </w:rPr>
              <w:t>1,056</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80</w:t>
            </w: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1,040</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80</w:t>
            </w:r>
          </w:p>
        </w:tc>
        <w:tc>
          <w:tcPr>
            <w:tcW w:w="120" w:type="dxa"/>
            <w:vAlign w:val="bottom"/>
          </w:tcPr>
          <w:p>
            <w:pPr>
              <w:spacing w:after="0"/>
              <w:rPr>
                <w:sz w:val="13"/>
                <w:szCs w:val="13"/>
                <w:color w:val="auto"/>
              </w:rPr>
            </w:pPr>
          </w:p>
        </w:tc>
      </w:tr>
      <w:tr>
        <w:trPr>
          <w:trHeight w:val="154"/>
        </w:trPr>
        <w:tc>
          <w:tcPr>
            <w:tcW w:w="5800" w:type="dxa"/>
            <w:vAlign w:val="bottom"/>
            <w:shd w:val="clear" w:color="auto" w:fill="CFF0FC"/>
          </w:tcPr>
          <w:p>
            <w:pPr>
              <w:spacing w:after="0"/>
              <w:rPr>
                <w:sz w:val="20"/>
                <w:szCs w:val="20"/>
                <w:color w:val="auto"/>
              </w:rPr>
            </w:pPr>
            <w:r>
              <w:rPr>
                <w:rFonts w:ascii="Arial" w:cs="Arial" w:eastAsia="Arial" w:hAnsi="Arial"/>
                <w:sz w:val="11"/>
                <w:szCs w:val="11"/>
                <w:color w:val="auto"/>
              </w:rPr>
              <w:t>Restricted and deferred stock</w:t>
            </w:r>
          </w:p>
        </w:tc>
        <w:tc>
          <w:tcPr>
            <w:tcW w:w="980" w:type="dxa"/>
            <w:vAlign w:val="bottom"/>
            <w:shd w:val="clear" w:color="auto" w:fill="CFF0FC"/>
          </w:tcPr>
          <w:p>
            <w:pPr>
              <w:spacing w:after="0"/>
              <w:rPr>
                <w:sz w:val="13"/>
                <w:szCs w:val="13"/>
                <w:color w:val="auto"/>
              </w:rPr>
            </w:pPr>
          </w:p>
        </w:tc>
        <w:tc>
          <w:tcPr>
            <w:tcW w:w="42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85</w:t>
            </w: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26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w:t>
            </w: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FF0FC"/>
          </w:tcPr>
          <w:p>
            <w:pPr>
              <w:spacing w:after="0"/>
              <w:rPr>
                <w:sz w:val="13"/>
                <w:szCs w:val="13"/>
                <w:color w:val="auto"/>
              </w:rPr>
            </w:pPr>
          </w:p>
        </w:tc>
      </w:tr>
      <w:tr>
        <w:trPr>
          <w:trHeight w:val="154"/>
        </w:trPr>
        <w:tc>
          <w:tcPr>
            <w:tcW w:w="5800" w:type="dxa"/>
            <w:vAlign w:val="bottom"/>
          </w:tcPr>
          <w:p>
            <w:pPr>
              <w:spacing w:after="0"/>
              <w:rPr>
                <w:sz w:val="20"/>
                <w:szCs w:val="20"/>
                <w:color w:val="auto"/>
              </w:rPr>
            </w:pPr>
            <w:r>
              <w:rPr>
                <w:rFonts w:ascii="Arial" w:cs="Arial" w:eastAsia="Arial" w:hAnsi="Arial"/>
                <w:sz w:val="11"/>
                <w:szCs w:val="11"/>
                <w:color w:val="auto"/>
              </w:rPr>
              <w:t>Range of exercise prices of such 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$1.85 -</w:t>
            </w:r>
          </w:p>
        </w:tc>
        <w:tc>
          <w:tcPr>
            <w:tcW w:w="420" w:type="dxa"/>
            <w:vAlign w:val="bottom"/>
          </w:tcPr>
          <w:p>
            <w:pPr>
              <w:jc w:val="right"/>
              <w:ind w:right="60"/>
              <w:spacing w:after="0"/>
              <w:rPr>
                <w:sz w:val="20"/>
                <w:szCs w:val="20"/>
                <w:color w:val="auto"/>
              </w:rPr>
            </w:pPr>
            <w:r>
              <w:rPr>
                <w:rFonts w:ascii="Arial" w:cs="Arial" w:eastAsia="Arial" w:hAnsi="Arial"/>
                <w:sz w:val="12"/>
                <w:szCs w:val="12"/>
                <w:color w:val="auto"/>
                <w:w w:val="93"/>
              </w:rPr>
              <w:t>$7.02</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$1.85 -</w:t>
            </w:r>
          </w:p>
        </w:tc>
        <w:tc>
          <w:tcPr>
            <w:tcW w:w="300" w:type="dxa"/>
            <w:vAlign w:val="bottom"/>
          </w:tcPr>
          <w:p>
            <w:pPr>
              <w:jc w:val="right"/>
              <w:spacing w:after="0"/>
              <w:rPr>
                <w:sz w:val="20"/>
                <w:szCs w:val="20"/>
                <w:color w:val="auto"/>
              </w:rPr>
            </w:pPr>
            <w:r>
              <w:rPr>
                <w:rFonts w:ascii="Arial" w:cs="Arial" w:eastAsia="Arial" w:hAnsi="Arial"/>
                <w:sz w:val="12"/>
                <w:szCs w:val="12"/>
                <w:color w:val="auto"/>
                <w:w w:val="93"/>
              </w:rPr>
              <w:t>$7.02</w:t>
            </w: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$2.00- $7.02</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$1.85 - $7.02</w:t>
            </w:r>
          </w:p>
        </w:tc>
        <w:tc>
          <w:tcPr>
            <w:tcW w:w="120" w:type="dxa"/>
            <w:vAlign w:val="bottom"/>
          </w:tcPr>
          <w:p>
            <w:pPr>
              <w:spacing w:after="0"/>
              <w:rPr>
                <w:sz w:val="13"/>
                <w:szCs w:val="13"/>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above options, which were outstanding at August 3, 2019, expire from March 19, 2020 to June 29, 2028.</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Shares of unvested restricted stock of 30,000 shares at August 4, 2018 were excluded from the computation of basic earnings per share. There were no unvested shares of restricted stock outstanding at August 3, 2019.</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color w:val="auto"/>
        </w:rPr>
        <w:t>The 720,000 PSUs are excluded from basic and diluted earnings per share until the market condition is achieved.</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Income Taxes</w:t>
      </w:r>
    </w:p>
    <w:p>
      <w:pPr>
        <w:spacing w:after="0" w:line="156" w:lineRule="exact"/>
        <w:rPr>
          <w:sz w:val="20"/>
          <w:szCs w:val="20"/>
          <w:color w:val="auto"/>
        </w:rPr>
      </w:pPr>
    </w:p>
    <w:p>
      <w:pPr>
        <w:ind w:right="220"/>
        <w:spacing w:after="0" w:line="300" w:lineRule="auto"/>
        <w:rPr>
          <w:sz w:val="20"/>
          <w:szCs w:val="20"/>
          <w:color w:val="auto"/>
        </w:rPr>
      </w:pPr>
      <w:r>
        <w:rPr>
          <w:rFonts w:ascii="Arial" w:cs="Arial" w:eastAsia="Arial" w:hAnsi="Arial"/>
          <w:sz w:val="11"/>
          <w:szCs w:val="11"/>
          <w:color w:val="auto"/>
        </w:rPr>
        <w:t>Since the end of fiscal 2014, the Company has maintained a full valuation allowance against its deferred tax assets. While the Company has projected it will return to profitability, generate taxable income and ultimately emerge from a three-year cumulative loss, based on the Company’s forecast for fiscal 2019, the Company believes that a full valuation allowance remains appropriate at this time. Realization of the Company’s deferred tax assets is dependent on generating sufficient taxable income in the near term. At August 3, 2019, the Company had total deferred tax assets of $58.3 million, total deferred tax liabilities of $10.4 million and a valuation allowance of $47.9 million.</w:t>
      </w:r>
    </w:p>
    <w:p>
      <w:pPr>
        <w:spacing w:after="0" w:line="105" w:lineRule="exact"/>
        <w:rPr>
          <w:sz w:val="20"/>
          <w:szCs w:val="20"/>
          <w:color w:val="auto"/>
        </w:rPr>
      </w:pPr>
    </w:p>
    <w:p>
      <w:pPr>
        <w:ind w:right="200"/>
        <w:spacing w:after="0" w:line="300" w:lineRule="auto"/>
        <w:rPr>
          <w:sz w:val="20"/>
          <w:szCs w:val="20"/>
          <w:color w:val="auto"/>
        </w:rPr>
      </w:pPr>
      <w:r>
        <w:rPr>
          <w:rFonts w:ascii="Arial" w:cs="Arial" w:eastAsia="Arial" w:hAnsi="Arial"/>
          <w:sz w:val="11"/>
          <w:szCs w:val="11"/>
          <w:color w:val="auto"/>
        </w:rPr>
        <w:t>As of August 3, 2019, for federal income tax purposes, the Company has net operating loss carryforwards of $141.5 million, which will expire from fiscal 2022 through fiscal 2036 and net operating loss carryforwards of $20.8 million that are not subject to expiration. For state income tax purposes, the Company has $91.5 million of net operating losses that are available to offset future taxable income, which will expire from fiscal 2019 through fiscal 2039. Additionally, the Company has $3.5 million of net operating loss carryforwards related to the Company’s operations in Canada, which will expire from fiscal 2025 through fiscal 2039.</w:t>
      </w:r>
    </w:p>
    <w:p>
      <w:pPr>
        <w:spacing w:after="0" w:line="105" w:lineRule="exact"/>
        <w:rPr>
          <w:sz w:val="20"/>
          <w:szCs w:val="20"/>
          <w:color w:val="auto"/>
        </w:rPr>
      </w:pPr>
    </w:p>
    <w:p>
      <w:pPr>
        <w:ind w:right="360"/>
        <w:spacing w:after="0" w:line="292" w:lineRule="auto"/>
        <w:rPr>
          <w:sz w:val="20"/>
          <w:szCs w:val="20"/>
          <w:color w:val="auto"/>
        </w:rPr>
      </w:pPr>
      <w:r>
        <w:rPr>
          <w:rFonts w:ascii="Arial" w:cs="Arial" w:eastAsia="Arial" w:hAnsi="Arial"/>
          <w:sz w:val="11"/>
          <w:szCs w:val="11"/>
          <w:color w:val="auto"/>
        </w:rPr>
        <w:t>The Company’s financial statements reflect the expected future tax consequences of uncertain tax positions that the Company has taken or expects to take on a tax return, based solely on the technical merits of the tax position. The liability for unrecognized tax benefits at August 3, 2019 was approximately $2.0 million and was associated with a prior tax position related to exiting the Company’s direct business in Europe during fiscal 2013. The amount of unrecognized tax benefits has been presented as a reduction in the reported amounts of the Company’s federal and state net operating losses carryforwards. No penalties or interest have been accrued on this liability because the carryforwards have not yet been utilized. The reversal of this liability would result in a tax benefit being recognized in the period in which the Company determines the liability is no longer necessary.</w:t>
      </w:r>
    </w:p>
    <w:p>
      <w:pPr>
        <w:spacing w:after="0" w:line="109" w:lineRule="exact"/>
        <w:rPr>
          <w:sz w:val="20"/>
          <w:szCs w:val="20"/>
          <w:color w:val="auto"/>
        </w:rPr>
      </w:pPr>
    </w:p>
    <w:p>
      <w:pPr>
        <w:ind w:right="220"/>
        <w:spacing w:after="0" w:line="279" w:lineRule="auto"/>
        <w:rPr>
          <w:sz w:val="20"/>
          <w:szCs w:val="20"/>
          <w:color w:val="auto"/>
        </w:rPr>
      </w:pPr>
      <w:r>
        <w:rPr>
          <w:rFonts w:ascii="Arial" w:cs="Arial" w:eastAsia="Arial" w:hAnsi="Arial"/>
          <w:sz w:val="12"/>
          <w:szCs w:val="12"/>
          <w:color w:val="auto"/>
        </w:rPr>
        <w:t>The discrete tax rate method was used for calculating tax expense for the second quarter and first six months of fiscal 2019 and fiscal 2018. The Company’s tax benefit for the second quarter and first six months of fiscal 2019 was the result of the deferred tax impact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7" w:name="page18"/>
    <w:bookmarkEnd w:id="17"/>
    <w:p>
      <w:pPr>
        <w:spacing w:after="0" w:line="265" w:lineRule="auto"/>
        <w:rPr>
          <w:sz w:val="20"/>
          <w:szCs w:val="20"/>
          <w:color w:val="auto"/>
        </w:rPr>
      </w:pPr>
      <w:r>
        <w:rPr>
          <w:rFonts w:ascii="Arial" w:cs="Arial" w:eastAsia="Arial" w:hAnsi="Arial"/>
          <w:sz w:val="12"/>
          <w:szCs w:val="12"/>
          <w:color w:val="auto"/>
        </w:rPr>
        <w:t>$30,000 and $81,000, respectively, in other comprehensive income (loss), which resulted in a corresponding decrease in valuation allowance. This income tax benefit was partially offset by tax expense, primarily for certain states’ margin tax. The income tax provision for the second quarter and first six months of fiscal 2018, primarily related to certain states’ margin tax, which was partially offset by the tax benefit recognized as a result of the deferred tax impact of $21,000 and $47,000, respectively, in other comprehensive income (loss) which resulted in a corresponding decrease in valuation allowance.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CEO Transition Costs</w:t>
      </w:r>
    </w:p>
    <w:p>
      <w:pPr>
        <w:spacing w:after="0" w:line="83" w:lineRule="exact"/>
        <w:rPr>
          <w:sz w:val="20"/>
          <w:szCs w:val="20"/>
          <w:color w:val="auto"/>
        </w:rPr>
      </w:pPr>
    </w:p>
    <w:p>
      <w:pPr>
        <w:ind w:right="120"/>
        <w:spacing w:after="0" w:line="342" w:lineRule="auto"/>
        <w:rPr>
          <w:sz w:val="20"/>
          <w:szCs w:val="20"/>
          <w:color w:val="auto"/>
        </w:rPr>
      </w:pPr>
      <w:r>
        <w:rPr>
          <w:rFonts w:ascii="Arial" w:cs="Arial" w:eastAsia="Arial" w:hAnsi="Arial"/>
          <w:sz w:val="10"/>
          <w:szCs w:val="10"/>
          <w:color w:val="auto"/>
        </w:rPr>
        <w:t>In connection with Mr. Levin’s retirement and the appointment of Mr. Kanter as the Company’s President and Chief Executive Officer, the Company has incurred certain transition costs. For the first six months of fiscal 2019 and 2018, the Company has incurred $0.7 million and $0.1 million, respectively, related to CEO search costs, Acting CEO consulting costs, housing allowance and legal fees. In addition, in accordance with the terms of the transition agreement between the Company and Mr. Levin, the Company is accruing for estimated future cash payments that Mr. Levin will be entitled to under his transition agreement and existing performance plans, if and when such targets are achieved.</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Corporate Restructuring</w:t>
      </w:r>
    </w:p>
    <w:p>
      <w:pPr>
        <w:spacing w:after="0" w:line="83" w:lineRule="exact"/>
        <w:rPr>
          <w:sz w:val="20"/>
          <w:szCs w:val="20"/>
          <w:color w:val="auto"/>
        </w:rPr>
      </w:pPr>
    </w:p>
    <w:p>
      <w:pPr>
        <w:ind w:right="220"/>
        <w:spacing w:after="0" w:line="279" w:lineRule="auto"/>
        <w:rPr>
          <w:sz w:val="20"/>
          <w:szCs w:val="20"/>
          <w:color w:val="auto"/>
        </w:rPr>
      </w:pPr>
      <w:r>
        <w:rPr>
          <w:rFonts w:ascii="Arial" w:cs="Arial" w:eastAsia="Arial" w:hAnsi="Arial"/>
          <w:sz w:val="12"/>
          <w:szCs w:val="12"/>
          <w:color w:val="auto"/>
        </w:rPr>
        <w:t>In the second quarter of fiscal 2018, the Company incurred a charge of $1.6 million in connection with its corporate restructuring to reduce its corporate work force by approximately 15%. The charge represented employee severance, one-time termination benefits and other employee-related costs associated with the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60"/>
          </w:cols>
          <w:pgMar w:left="220" w:top="276" w:right="21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83" w:lineRule="exact"/>
        <w:rPr>
          <w:sz w:val="20"/>
          <w:szCs w:val="20"/>
          <w:color w:val="auto"/>
        </w:rPr>
      </w:pPr>
    </w:p>
    <w:p>
      <w:pPr>
        <w:spacing w:after="0" w:line="282" w:lineRule="auto"/>
        <w:rPr>
          <w:sz w:val="20"/>
          <w:szCs w:val="20"/>
          <w:color w:val="auto"/>
        </w:rPr>
      </w:pPr>
      <w:r>
        <w:rPr>
          <w:rFonts w:ascii="Arial" w:cs="Arial" w:eastAsia="Arial" w:hAnsi="Arial"/>
          <w:sz w:val="11"/>
          <w:szCs w:val="11"/>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our expectations with respect to our strategic plans to grow our customer base and drive top-line sales; store counts, comparable sales growth and free cash flow for fiscal 2019 and the impact of the wholesale business on future growth.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February 2, 2019, included in our Annual Report on Form 10-K for the year ended February 2, 2019, as filed with the Securities and Exchange Commission on March 22, 2019 (our “Fiscal 2018 Annual Report”).</w:t>
      </w:r>
    </w:p>
    <w:p>
      <w:pPr>
        <w:spacing w:after="0" w:line="43" w:lineRule="exact"/>
        <w:rPr>
          <w:sz w:val="20"/>
          <w:szCs w:val="20"/>
          <w:color w:val="auto"/>
        </w:rPr>
      </w:pPr>
    </w:p>
    <w:p>
      <w:pPr>
        <w:ind w:right="40"/>
        <w:spacing w:after="0" w:line="265" w:lineRule="auto"/>
        <w:rPr>
          <w:sz w:val="20"/>
          <w:szCs w:val="20"/>
          <w:color w:val="auto"/>
        </w:rPr>
      </w:pPr>
      <w:r>
        <w:rPr>
          <w:rFonts w:ascii="Arial" w:cs="Arial" w:eastAsia="Arial" w:hAnsi="Arial"/>
          <w:sz w:val="12"/>
          <w:szCs w:val="12"/>
          <w:color w:val="auto"/>
        </w:rPr>
        <w:t>Numerous factors could cause our actual results to differ materially from such forward-looking statements. We encourage readers to refer to the “Risk Factors” section in Part I, Item 1A of our Fiscal 2018 Annual Report, that sets forth certain risks and uncertainties that may have an impact on future results and direction of our Company, including, without limitation, risks relating to the execution of our corporate strategy, and our ability to grow our wholesale segment, predict customer tastes and fashion trends, forecast sales growth trends, maintain and build our brand awareness and compete successfully in our market.</w:t>
      </w:r>
    </w:p>
    <w:p>
      <w:pPr>
        <w:spacing w:after="0" w:line="122" w:lineRule="exact"/>
        <w:rPr>
          <w:sz w:val="20"/>
          <w:szCs w:val="20"/>
          <w:color w:val="auto"/>
        </w:rPr>
      </w:pPr>
    </w:p>
    <w:p>
      <w:pPr>
        <w:ind w:right="140"/>
        <w:spacing w:after="0" w:line="265" w:lineRule="auto"/>
        <w:rPr>
          <w:sz w:val="20"/>
          <w:szCs w:val="20"/>
          <w:color w:val="auto"/>
        </w:rPr>
      </w:pPr>
      <w:r>
        <w:rPr>
          <w:rFonts w:ascii="Arial" w:cs="Arial" w:eastAsia="Arial" w:hAnsi="Arial"/>
          <w:sz w:val="12"/>
          <w:szCs w:val="12"/>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SUMMARY</w:t>
      </w:r>
    </w:p>
    <w:p>
      <w:pPr>
        <w:spacing w:after="0" w:line="83" w:lineRule="exact"/>
        <w:rPr>
          <w:sz w:val="20"/>
          <w:szCs w:val="20"/>
          <w:color w:val="auto"/>
        </w:rPr>
      </w:pPr>
    </w:p>
    <w:p>
      <w:pPr>
        <w:ind w:right="140"/>
        <w:spacing w:after="0" w:line="225" w:lineRule="auto"/>
        <w:rPr>
          <w:sz w:val="20"/>
          <w:szCs w:val="20"/>
          <w:color w:val="auto"/>
        </w:rPr>
      </w:pPr>
      <w:r>
        <w:rPr>
          <w:rFonts w:ascii="Arial" w:cs="Arial" w:eastAsia="Arial" w:hAnsi="Arial"/>
          <w:sz w:val="12"/>
          <w:szCs w:val="12"/>
          <w:color w:val="auto"/>
        </w:rPr>
        <w:t>Destination XL Group, Inc., together with our consolidated subsidiaries (the “Company”), is the largest specialty retailer of big and tall men’s clothing with retail, wholesale and direct operations in the United States and Canada. We operate under the trade names of Destination XL</w:t>
      </w:r>
      <w:r>
        <w:rPr>
          <w:rFonts w:ascii="Arial" w:cs="Arial" w:eastAsia="Arial" w:hAnsi="Arial"/>
          <w:sz w:val="17"/>
          <w:szCs w:val="17"/>
          <w:color w:val="auto"/>
          <w:vertAlign w:val="superscript"/>
        </w:rPr>
        <w:t>®</w:t>
      </w:r>
      <w:r>
        <w:rPr>
          <w:rFonts w:ascii="Arial" w:cs="Arial" w:eastAsia="Arial" w:hAnsi="Arial"/>
          <w:sz w:val="12"/>
          <w:szCs w:val="12"/>
          <w:color w:val="auto"/>
        </w:rPr>
        <w:t>, DXL</w:t>
      </w:r>
      <w:r>
        <w:rPr>
          <w:rFonts w:ascii="Arial" w:cs="Arial" w:eastAsia="Arial" w:hAnsi="Arial"/>
          <w:sz w:val="17"/>
          <w:szCs w:val="17"/>
          <w:color w:val="auto"/>
          <w:vertAlign w:val="superscript"/>
        </w:rPr>
        <w:t>®</w:t>
      </w:r>
      <w:r>
        <w:rPr>
          <w:rFonts w:ascii="Arial" w:cs="Arial" w:eastAsia="Arial" w:hAnsi="Arial"/>
          <w:sz w:val="12"/>
          <w:szCs w:val="12"/>
          <w:color w:val="auto"/>
        </w:rPr>
        <w:t>, DXL Outlets, Casual Male XL</w:t>
      </w:r>
      <w:r>
        <w:rPr>
          <w:rFonts w:ascii="Arial" w:cs="Arial" w:eastAsia="Arial" w:hAnsi="Arial"/>
          <w:sz w:val="17"/>
          <w:szCs w:val="17"/>
          <w:color w:val="auto"/>
          <w:vertAlign w:val="superscript"/>
        </w:rPr>
        <w:t>®</w:t>
      </w:r>
      <w:r>
        <w:rPr>
          <w:rFonts w:ascii="Arial" w:cs="Arial" w:eastAsia="Arial" w:hAnsi="Arial"/>
          <w:sz w:val="12"/>
          <w:szCs w:val="12"/>
          <w:color w:val="auto"/>
        </w:rPr>
        <w:t>, Casual Male XL Outlets and Rochester Clothing. At August 3, 2019, we operated 221 Destination XL stores, 16 DXL outlet stores, 59 Casual Male XL retail stores, 29 Casual Male XL outlet stores and 3 Rochester Clothing stores. Our e-commerce site, dxl.com, supports our stores, brands and product extensions.</w:t>
      </w:r>
    </w:p>
    <w:p>
      <w:pPr>
        <w:spacing w:after="0" w:line="138" w:lineRule="exact"/>
        <w:rPr>
          <w:sz w:val="20"/>
          <w:szCs w:val="20"/>
          <w:color w:val="auto"/>
        </w:rPr>
      </w:pPr>
    </w:p>
    <w:p>
      <w:pPr>
        <w:ind w:right="400"/>
        <w:spacing w:after="0" w:line="279" w:lineRule="auto"/>
        <w:rPr>
          <w:sz w:val="20"/>
          <w:szCs w:val="20"/>
          <w:color w:val="auto"/>
        </w:rPr>
      </w:pPr>
      <w:r>
        <w:rPr>
          <w:rFonts w:ascii="Arial" w:cs="Arial" w:eastAsia="Arial" w:hAnsi="Arial"/>
          <w:sz w:val="12"/>
          <w:szCs w:val="12"/>
          <w:color w:val="auto"/>
        </w:rPr>
        <w:t>Unless the context indicates otherwise, all references to “we,” “our,” “us” and “the Company” refer to Destination XL Group, Inc. and our consolidated subsidiaries. We refer to our fiscal years, which end on February 1, 2020 and February 2, 2019 as “fiscal 2019” and “fiscal 2018,” respectively. Both fiscal 2019 and fiscal 2018 are 52-week periods.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REPORTING</w:t>
      </w:r>
    </w:p>
    <w:p>
      <w:pPr>
        <w:spacing w:after="0" w:line="83" w:lineRule="exact"/>
        <w:rPr>
          <w:sz w:val="20"/>
          <w:szCs w:val="20"/>
          <w:color w:val="auto"/>
        </w:rPr>
      </w:pPr>
    </w:p>
    <w:p>
      <w:pPr>
        <w:ind w:right="60"/>
        <w:spacing w:after="0" w:line="342" w:lineRule="auto"/>
        <w:rPr>
          <w:sz w:val="20"/>
          <w:szCs w:val="20"/>
          <w:color w:val="auto"/>
        </w:rPr>
      </w:pPr>
      <w:r>
        <w:rPr>
          <w:rFonts w:ascii="Arial" w:cs="Arial" w:eastAsia="Arial" w:hAnsi="Arial"/>
          <w:sz w:val="10"/>
          <w:szCs w:val="10"/>
          <w:color w:val="auto"/>
        </w:rPr>
        <w:t>Historically, we have had two principal operating segments: our stores and direct businesses. We consider these two operating segments to be similar in terms of economic characteristics, production processes and operations, and have therefore aggregated them into one reportable segment, retail segment, consistent with our omni-channel business approach. In fiscal 2018, we launched a wholesale segment, which we consider a third operating segment. However, due to the immateriality of the wholesale segment’s revenues, profits and assets for the six months ended August 3, 2019 and August 4, 2018, its operating results have been aggregated with the retail segment for both periods.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COMPARABLE SALES</w:t>
      </w:r>
    </w:p>
    <w:p>
      <w:pPr>
        <w:spacing w:after="0" w:line="83" w:lineRule="exact"/>
        <w:rPr>
          <w:sz w:val="20"/>
          <w:szCs w:val="20"/>
          <w:color w:val="auto"/>
        </w:rPr>
      </w:pPr>
    </w:p>
    <w:p>
      <w:pPr>
        <w:ind w:right="40"/>
        <w:spacing w:after="0" w:line="292" w:lineRule="auto"/>
        <w:rPr>
          <w:sz w:val="20"/>
          <w:szCs w:val="20"/>
          <w:color w:val="auto"/>
        </w:rPr>
      </w:pPr>
      <w:r>
        <w:rPr>
          <w:rFonts w:ascii="Arial" w:cs="Arial" w:eastAsia="Arial" w:hAnsi="Arial"/>
          <w:sz w:val="11"/>
          <w:szCs w:val="11"/>
          <w:color w:val="auto"/>
        </w:rPr>
        <w:t>Total comparable sales include our retail stores that have been open for at least 13 months and our direct business. Stores that have been remodeled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After our announcement in the beginning of fiscal 2019 that we would be closing our Rochester clothing stores, we removed from our comparable sales the three Rochester stores that closed during the first six months of fiscal 2019. The method of calculating comparable sales varies across the retail industry and, as a result, our calculation of comparable sales is not necessarily comparable to similarly titled measures reported by other retailers.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60"/>
          </w:cols>
          <w:pgMar w:left="220" w:top="272" w:right="219" w:bottom="1440" w:gutter="0" w:footer="0" w:header="0"/>
        </w:sectPr>
      </w:pPr>
    </w:p>
    <w:bookmarkStart w:id="19" w:name="page20"/>
    <w:bookmarkEnd w:id="19"/>
    <w:p>
      <w:pPr>
        <w:ind w:right="40"/>
        <w:spacing w:after="0" w:line="257" w:lineRule="auto"/>
        <w:rPr>
          <w:sz w:val="20"/>
          <w:szCs w:val="20"/>
          <w:color w:val="auto"/>
        </w:rPr>
      </w:pPr>
      <w:r>
        <w:rPr>
          <w:rFonts w:ascii="Arial" w:cs="Arial" w:eastAsia="Arial" w:hAnsi="Arial"/>
          <w:sz w:val="12"/>
          <w:szCs w:val="12"/>
          <w:color w:val="auto"/>
        </w:rPr>
        <w:t>Our customer’s shopping experience continues to evolve across multiple channels and we are continually adapting to meet his needs. The majority of our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a store. Because this omni-channel approach to retailing is changing the boundaries of where a sale originates and where a sale is ultimately settled, we do not report comparable sales separately for our retail segment. However, as we continue to invest in building our e-commerce platform, bringing a heightened digital focus to our Company, additional disclosure on our e-commerce growth as it relates to our current initiatives is important. We define store sales as sales that originate and are fulfilled directly at the store level. E-commerce sales, which we also refer to as direct sales, are defined as sales that originate online, whether through our website, at the store level or through a third-party marketplace.</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83" w:lineRule="exact"/>
        <w:rPr>
          <w:sz w:val="20"/>
          <w:szCs w:val="20"/>
          <w:color w:val="auto"/>
        </w:rPr>
      </w:pPr>
    </w:p>
    <w:p>
      <w:pPr>
        <w:ind w:right="60"/>
        <w:spacing w:after="0" w:line="279" w:lineRule="auto"/>
        <w:rPr>
          <w:sz w:val="20"/>
          <w:szCs w:val="20"/>
          <w:color w:val="auto"/>
        </w:rPr>
      </w:pPr>
      <w:r>
        <w:rPr>
          <w:rFonts w:ascii="Arial" w:cs="Arial" w:eastAsia="Arial" w:hAnsi="Arial"/>
          <w:sz w:val="12"/>
          <w:szCs w:val="12"/>
          <w:color w:val="auto"/>
        </w:rPr>
        <w:t>The following is a summary of results for the second quarter and first six months of fiscal 2019 as compared to the second quarter and first six months of the prior year, including adjusted EBITDA, which is a non-GAAP measure. Please see “Non-GAAP Financial Measures” below for a reconciliation of net income (loss) to adjusted EBITDA.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80" w:type="dxa"/>
            <w:vAlign w:val="bottom"/>
            <w:gridSpan w:val="3"/>
          </w:tcPr>
          <w:p>
            <w:pPr>
              <w:jc w:val="right"/>
              <w:ind w:right="751"/>
              <w:spacing w:after="0"/>
              <w:rPr>
                <w:sz w:val="20"/>
                <w:szCs w:val="20"/>
                <w:color w:val="auto"/>
              </w:rPr>
            </w:pPr>
            <w:r>
              <w:rPr>
                <w:rFonts w:ascii="Arial" w:cs="Arial" w:eastAsia="Arial" w:hAnsi="Arial"/>
                <w:sz w:val="10"/>
                <w:szCs w:val="10"/>
                <w:color w:val="auto"/>
                <w:w w:val="87"/>
              </w:rPr>
              <w:t>For the three months ended</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00" w:type="dxa"/>
            <w:vAlign w:val="bottom"/>
            <w:gridSpan w:val="3"/>
          </w:tcPr>
          <w:p>
            <w:pPr>
              <w:jc w:val="right"/>
              <w:spacing w:after="0"/>
              <w:rPr>
                <w:sz w:val="20"/>
                <w:szCs w:val="20"/>
                <w:color w:val="auto"/>
              </w:rPr>
            </w:pPr>
            <w:r>
              <w:rPr>
                <w:rFonts w:ascii="Arial" w:cs="Arial" w:eastAsia="Arial" w:hAnsi="Arial"/>
                <w:sz w:val="10"/>
                <w:szCs w:val="10"/>
                <w:color w:val="auto"/>
              </w:rPr>
              <w:t>For the six months ended</w:t>
            </w: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060" w:type="dxa"/>
            <w:vAlign w:val="bottom"/>
          </w:tcPr>
          <w:p>
            <w:pPr>
              <w:jc w:val="right"/>
              <w:ind w:right="11"/>
              <w:spacing w:after="0" w:line="113" w:lineRule="exact"/>
              <w:rPr>
                <w:sz w:val="20"/>
                <w:szCs w:val="20"/>
                <w:color w:val="auto"/>
              </w:rPr>
            </w:pPr>
            <w:r>
              <w:rPr>
                <w:rFonts w:ascii="Arial" w:cs="Arial" w:eastAsia="Arial" w:hAnsi="Arial"/>
                <w:sz w:val="10"/>
                <w:szCs w:val="10"/>
                <w:color w:val="auto"/>
              </w:rPr>
              <w:t>August 3, 2019</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jc w:val="right"/>
              <w:ind w:right="111"/>
              <w:spacing w:after="0" w:line="113" w:lineRule="exact"/>
              <w:rPr>
                <w:sz w:val="20"/>
                <w:szCs w:val="20"/>
                <w:color w:val="auto"/>
              </w:rPr>
            </w:pPr>
            <w:r>
              <w:rPr>
                <w:rFonts w:ascii="Arial" w:cs="Arial" w:eastAsia="Arial" w:hAnsi="Arial"/>
                <w:sz w:val="10"/>
                <w:szCs w:val="10"/>
                <w:color w:val="auto"/>
              </w:rPr>
              <w:t>August 4, 2018</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gridSpan w:val="2"/>
          </w:tcPr>
          <w:p>
            <w:pPr>
              <w:jc w:val="right"/>
              <w:ind w:right="720"/>
              <w:spacing w:after="0" w:line="113" w:lineRule="exact"/>
              <w:rPr>
                <w:sz w:val="20"/>
                <w:szCs w:val="20"/>
                <w:color w:val="auto"/>
              </w:rPr>
            </w:pPr>
            <w:r>
              <w:rPr>
                <w:rFonts w:ascii="Arial" w:cs="Arial" w:eastAsia="Arial" w:hAnsi="Arial"/>
                <w:sz w:val="10"/>
                <w:szCs w:val="10"/>
                <w:color w:val="auto"/>
              </w:rPr>
              <w:t>August 3, 2019</w:t>
            </w:r>
          </w:p>
        </w:tc>
        <w:tc>
          <w:tcPr>
            <w:tcW w:w="400" w:type="dxa"/>
            <w:vAlign w:val="bottom"/>
          </w:tcPr>
          <w:p>
            <w:pPr>
              <w:spacing w:after="0"/>
              <w:rPr>
                <w:sz w:val="9"/>
                <w:szCs w:val="9"/>
                <w:color w:val="auto"/>
              </w:rPr>
            </w:pPr>
          </w:p>
        </w:tc>
        <w:tc>
          <w:tcPr>
            <w:tcW w:w="1220" w:type="dxa"/>
            <w:vAlign w:val="bottom"/>
            <w:gridSpan w:val="2"/>
          </w:tcPr>
          <w:p>
            <w:pPr>
              <w:jc w:val="right"/>
              <w:ind w:right="580"/>
              <w:spacing w:after="0" w:line="113" w:lineRule="exact"/>
              <w:rPr>
                <w:sz w:val="20"/>
                <w:szCs w:val="20"/>
                <w:color w:val="auto"/>
              </w:rPr>
            </w:pPr>
            <w:r>
              <w:rPr>
                <w:rFonts w:ascii="Arial" w:cs="Arial" w:eastAsia="Arial" w:hAnsi="Arial"/>
                <w:sz w:val="10"/>
                <w:szCs w:val="10"/>
                <w:color w:val="auto"/>
                <w:w w:val="92"/>
              </w:rPr>
              <w:t>August 4, 2018</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600" w:type="dxa"/>
            <w:vAlign w:val="bottom"/>
            <w:tcBorders>
              <w:top w:val="single" w:sz="8" w:color="CFF0FC"/>
            </w:tcBorders>
            <w:gridSpan w:val="3"/>
            <w:shd w:val="clear" w:color="auto" w:fill="CFF0FC"/>
          </w:tcPr>
          <w:p>
            <w:pPr>
              <w:spacing w:after="0" w:line="89" w:lineRule="exact"/>
              <w:rPr>
                <w:sz w:val="20"/>
                <w:szCs w:val="20"/>
                <w:color w:val="auto"/>
              </w:rPr>
            </w:pPr>
            <w:r>
              <w:rPr>
                <w:rFonts w:ascii="Arial" w:cs="Arial" w:eastAsia="Arial" w:hAnsi="Arial"/>
                <w:sz w:val="10"/>
                <w:szCs w:val="10"/>
                <w:i w:val="1"/>
                <w:iCs w:val="1"/>
                <w:color w:val="auto"/>
              </w:rPr>
              <w:t>(in millions, except per share data)</w:t>
            </w:r>
          </w:p>
        </w:tc>
        <w:tc>
          <w:tcPr>
            <w:tcW w:w="1060" w:type="dxa"/>
            <w:vAlign w:val="bottom"/>
            <w:tcBorders>
              <w:top w:val="single" w:sz="8" w:color="auto"/>
            </w:tcBorders>
            <w:shd w:val="clear" w:color="auto" w:fill="CFF0FC"/>
          </w:tcPr>
          <w:p>
            <w:pPr>
              <w:spacing w:after="0"/>
              <w:rPr>
                <w:sz w:val="7"/>
                <w:szCs w:val="7"/>
                <w:color w:val="auto"/>
              </w:rPr>
            </w:pPr>
          </w:p>
        </w:tc>
        <w:tc>
          <w:tcPr>
            <w:tcW w:w="400" w:type="dxa"/>
            <w:vAlign w:val="bottom"/>
            <w:tcBorders>
              <w:top w:val="single" w:sz="8" w:color="auto"/>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1180" w:type="dxa"/>
            <w:vAlign w:val="bottom"/>
            <w:tcBorders>
              <w:top w:val="single" w:sz="8" w:color="auto"/>
            </w:tcBorders>
            <w:shd w:val="clear" w:color="auto" w:fill="CFF0FC"/>
          </w:tcPr>
          <w:p>
            <w:pPr>
              <w:spacing w:after="0"/>
              <w:rPr>
                <w:sz w:val="7"/>
                <w:szCs w:val="7"/>
                <w:color w:val="auto"/>
              </w:rPr>
            </w:pPr>
          </w:p>
        </w:tc>
        <w:tc>
          <w:tcPr>
            <w:tcW w:w="340" w:type="dxa"/>
            <w:vAlign w:val="bottom"/>
            <w:tcBorders>
              <w:top w:val="single" w:sz="8" w:color="auto"/>
            </w:tcBorders>
            <w:shd w:val="clear" w:color="auto" w:fill="CFF0FC"/>
          </w:tcPr>
          <w:p>
            <w:pPr>
              <w:spacing w:after="0"/>
              <w:rPr>
                <w:sz w:val="7"/>
                <w:szCs w:val="7"/>
                <w:color w:val="auto"/>
              </w:rPr>
            </w:pPr>
          </w:p>
        </w:tc>
        <w:tc>
          <w:tcPr>
            <w:tcW w:w="220" w:type="dxa"/>
            <w:vAlign w:val="bottom"/>
            <w:tcBorders>
              <w:top w:val="single" w:sz="8" w:color="CFF0FC"/>
            </w:tcBorders>
            <w:shd w:val="clear" w:color="auto" w:fill="CFF0FC"/>
          </w:tcPr>
          <w:p>
            <w:pPr>
              <w:spacing w:after="0"/>
              <w:rPr>
                <w:sz w:val="7"/>
                <w:szCs w:val="7"/>
                <w:color w:val="auto"/>
              </w:rPr>
            </w:pPr>
          </w:p>
        </w:tc>
        <w:tc>
          <w:tcPr>
            <w:tcW w:w="240" w:type="dxa"/>
            <w:vAlign w:val="bottom"/>
            <w:tcBorders>
              <w:top w:val="single" w:sz="8" w:color="auto"/>
            </w:tcBorders>
            <w:shd w:val="clear" w:color="auto" w:fill="CFF0FC"/>
          </w:tcPr>
          <w:p>
            <w:pPr>
              <w:spacing w:after="0"/>
              <w:rPr>
                <w:sz w:val="7"/>
                <w:szCs w:val="7"/>
                <w:color w:val="auto"/>
              </w:rPr>
            </w:pPr>
          </w:p>
        </w:tc>
        <w:tc>
          <w:tcPr>
            <w:tcW w:w="1200" w:type="dxa"/>
            <w:vAlign w:val="bottom"/>
            <w:tcBorders>
              <w:top w:val="single" w:sz="8" w:color="auto"/>
            </w:tcBorders>
            <w:shd w:val="clear" w:color="auto" w:fill="CFF0FC"/>
          </w:tcPr>
          <w:p>
            <w:pPr>
              <w:spacing w:after="0"/>
              <w:rPr>
                <w:sz w:val="7"/>
                <w:szCs w:val="7"/>
                <w:color w:val="auto"/>
              </w:rPr>
            </w:pPr>
          </w:p>
        </w:tc>
        <w:tc>
          <w:tcPr>
            <w:tcW w:w="300" w:type="dxa"/>
            <w:vAlign w:val="bottom"/>
            <w:tcBorders>
              <w:top w:val="single" w:sz="8" w:color="CFF0FC"/>
            </w:tcBorders>
            <w:shd w:val="clear" w:color="auto" w:fill="CFF0FC"/>
          </w:tcPr>
          <w:p>
            <w:pPr>
              <w:spacing w:after="0"/>
              <w:rPr>
                <w:sz w:val="7"/>
                <w:szCs w:val="7"/>
                <w:color w:val="auto"/>
              </w:rPr>
            </w:pPr>
          </w:p>
        </w:tc>
        <w:tc>
          <w:tcPr>
            <w:tcW w:w="400" w:type="dxa"/>
            <w:vAlign w:val="bottom"/>
            <w:tcBorders>
              <w:top w:val="single" w:sz="8" w:color="auto"/>
            </w:tcBorders>
            <w:shd w:val="clear" w:color="auto" w:fill="CFF0FC"/>
          </w:tcPr>
          <w:p>
            <w:pPr>
              <w:spacing w:after="0"/>
              <w:rPr>
                <w:sz w:val="7"/>
                <w:szCs w:val="7"/>
                <w:color w:val="auto"/>
              </w:rPr>
            </w:pPr>
          </w:p>
        </w:tc>
        <w:tc>
          <w:tcPr>
            <w:tcW w:w="110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320" w:type="dxa"/>
            <w:vAlign w:val="bottom"/>
            <w:tcBorders>
              <w:top w:val="single" w:sz="8" w:color="auto"/>
            </w:tcBorders>
            <w:gridSpan w:val="2"/>
          </w:tcPr>
          <w:p>
            <w:pPr>
              <w:spacing w:after="0" w:line="98" w:lineRule="exact"/>
              <w:rPr>
                <w:sz w:val="20"/>
                <w:szCs w:val="20"/>
                <w:color w:val="auto"/>
              </w:rPr>
            </w:pPr>
            <w:r>
              <w:rPr>
                <w:rFonts w:ascii="Arial" w:cs="Arial" w:eastAsia="Arial" w:hAnsi="Arial"/>
                <w:sz w:val="10"/>
                <w:szCs w:val="10"/>
                <w:color w:val="auto"/>
              </w:rPr>
              <w:t>Net income (loss)</w:t>
            </w:r>
          </w:p>
        </w:tc>
        <w:tc>
          <w:tcPr>
            <w:tcW w:w="3280" w:type="dxa"/>
            <w:vAlign w:val="bottom"/>
            <w:tcBorders>
              <w:top w:val="single" w:sz="8" w:color="CFF0FC"/>
            </w:tcBorders>
          </w:tcPr>
          <w:p>
            <w:pPr>
              <w:spacing w:after="0"/>
              <w:rPr>
                <w:sz w:val="8"/>
                <w:szCs w:val="8"/>
                <w:color w:val="auto"/>
              </w:rPr>
            </w:pPr>
          </w:p>
        </w:tc>
        <w:tc>
          <w:tcPr>
            <w:tcW w:w="1060" w:type="dxa"/>
            <w:vAlign w:val="bottom"/>
            <w:tcBorders>
              <w:top w:val="single" w:sz="8" w:color="CFF0FC"/>
            </w:tcBorders>
          </w:tcPr>
          <w:p>
            <w:pPr>
              <w:jc w:val="right"/>
              <w:ind w:right="991"/>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CFF0FC"/>
            </w:tcBorders>
          </w:tcPr>
          <w:p>
            <w:pPr>
              <w:jc w:val="right"/>
              <w:spacing w:after="0" w:line="98" w:lineRule="exact"/>
              <w:rPr>
                <w:sz w:val="20"/>
                <w:szCs w:val="20"/>
                <w:color w:val="auto"/>
              </w:rPr>
            </w:pPr>
            <w:r>
              <w:rPr>
                <w:rFonts w:ascii="Arial" w:cs="Arial" w:eastAsia="Arial" w:hAnsi="Arial"/>
                <w:sz w:val="10"/>
                <w:szCs w:val="10"/>
                <w:color w:val="auto"/>
              </w:rPr>
              <w:t>0.0</w:t>
            </w:r>
          </w:p>
        </w:tc>
        <w:tc>
          <w:tcPr>
            <w:tcW w:w="300" w:type="dxa"/>
            <w:vAlign w:val="bottom"/>
            <w:tcBorders>
              <w:top w:val="single" w:sz="8" w:color="CFF0FC"/>
            </w:tcBorders>
          </w:tcPr>
          <w:p>
            <w:pPr>
              <w:spacing w:after="0"/>
              <w:rPr>
                <w:sz w:val="8"/>
                <w:szCs w:val="8"/>
                <w:color w:val="auto"/>
              </w:rPr>
            </w:pPr>
          </w:p>
        </w:tc>
        <w:tc>
          <w:tcPr>
            <w:tcW w:w="1180" w:type="dxa"/>
            <w:vAlign w:val="bottom"/>
            <w:tcBorders>
              <w:top w:val="single" w:sz="8" w:color="CFF0FC"/>
            </w:tcBorders>
          </w:tcPr>
          <w:p>
            <w:pPr>
              <w:jc w:val="right"/>
              <w:ind w:right="1111"/>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CFF0FC"/>
            </w:tcBorders>
            <w:gridSpan w:val="2"/>
          </w:tcPr>
          <w:p>
            <w:pPr>
              <w:jc w:val="right"/>
              <w:ind w:right="180"/>
              <w:spacing w:after="0" w:line="98" w:lineRule="exact"/>
              <w:rPr>
                <w:sz w:val="20"/>
                <w:szCs w:val="20"/>
                <w:color w:val="auto"/>
              </w:rPr>
            </w:pPr>
            <w:r>
              <w:rPr>
                <w:rFonts w:ascii="Arial" w:cs="Arial" w:eastAsia="Arial" w:hAnsi="Arial"/>
                <w:sz w:val="10"/>
                <w:szCs w:val="10"/>
                <w:color w:val="auto"/>
              </w:rPr>
              <w:t>(1.2)</w:t>
            </w:r>
          </w:p>
        </w:tc>
        <w:tc>
          <w:tcPr>
            <w:tcW w:w="240" w:type="dxa"/>
            <w:vAlign w:val="bottom"/>
            <w:tcBorders>
              <w:top w:val="single" w:sz="8" w:color="CFF0FC"/>
            </w:tcBorders>
          </w:tcPr>
          <w:p>
            <w:pPr>
              <w:jc w:val="right"/>
              <w:ind w:right="176"/>
              <w:spacing w:after="0"/>
              <w:rPr>
                <w:sz w:val="20"/>
                <w:szCs w:val="20"/>
                <w:color w:val="auto"/>
              </w:rPr>
            </w:pPr>
            <w:r>
              <w:rPr>
                <w:rFonts w:ascii="Arial" w:cs="Arial" w:eastAsia="Arial" w:hAnsi="Arial"/>
                <w:sz w:val="5"/>
                <w:szCs w:val="5"/>
                <w:color w:val="auto"/>
                <w:w w:val="70"/>
              </w:rPr>
              <w:t>$</w:t>
            </w:r>
          </w:p>
        </w:tc>
        <w:tc>
          <w:tcPr>
            <w:tcW w:w="1500" w:type="dxa"/>
            <w:vAlign w:val="bottom"/>
            <w:tcBorders>
              <w:top w:val="single" w:sz="8" w:color="CFF0FC"/>
            </w:tcBorders>
            <w:gridSpan w:val="2"/>
          </w:tcPr>
          <w:p>
            <w:pPr>
              <w:jc w:val="right"/>
              <w:ind w:right="260"/>
              <w:spacing w:after="0" w:line="98" w:lineRule="exact"/>
              <w:rPr>
                <w:sz w:val="20"/>
                <w:szCs w:val="20"/>
                <w:color w:val="auto"/>
              </w:rPr>
            </w:pPr>
            <w:r>
              <w:rPr>
                <w:rFonts w:ascii="Arial" w:cs="Arial" w:eastAsia="Arial" w:hAnsi="Arial"/>
                <w:sz w:val="10"/>
                <w:szCs w:val="10"/>
                <w:color w:val="auto"/>
              </w:rPr>
              <w:t>(3.0)</w:t>
            </w:r>
          </w:p>
        </w:tc>
        <w:tc>
          <w:tcPr>
            <w:tcW w:w="400" w:type="dxa"/>
            <w:vAlign w:val="bottom"/>
            <w:tcBorders>
              <w:top w:val="single" w:sz="8" w:color="CFF0FC"/>
            </w:tcBorders>
          </w:tcPr>
          <w:p>
            <w:pPr>
              <w:jc w:val="right"/>
              <w:ind w:right="292"/>
              <w:spacing w:after="0" w:line="98" w:lineRule="exact"/>
              <w:rPr>
                <w:sz w:val="20"/>
                <w:szCs w:val="20"/>
                <w:color w:val="auto"/>
              </w:rPr>
            </w:pPr>
            <w:r>
              <w:rPr>
                <w:rFonts w:ascii="Arial" w:cs="Arial" w:eastAsia="Arial" w:hAnsi="Arial"/>
                <w:sz w:val="10"/>
                <w:szCs w:val="10"/>
                <w:color w:val="auto"/>
                <w:w w:val="71"/>
              </w:rPr>
              <w:t>$</w:t>
            </w:r>
          </w:p>
        </w:tc>
        <w:tc>
          <w:tcPr>
            <w:tcW w:w="1220" w:type="dxa"/>
            <w:vAlign w:val="bottom"/>
            <w:tcBorders>
              <w:top w:val="single" w:sz="8" w:color="CFF0FC"/>
            </w:tcBorders>
            <w:gridSpan w:val="2"/>
          </w:tcPr>
          <w:p>
            <w:pPr>
              <w:jc w:val="right"/>
              <w:ind w:right="80"/>
              <w:spacing w:after="0" w:line="98" w:lineRule="exact"/>
              <w:rPr>
                <w:sz w:val="20"/>
                <w:szCs w:val="20"/>
                <w:color w:val="auto"/>
              </w:rPr>
            </w:pPr>
            <w:r>
              <w:rPr>
                <w:rFonts w:ascii="Arial" w:cs="Arial" w:eastAsia="Arial" w:hAnsi="Arial"/>
                <w:sz w:val="10"/>
                <w:szCs w:val="10"/>
                <w:color w:val="auto"/>
              </w:rPr>
              <w:t>(4.3)</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600" w:type="dxa"/>
            <w:vAlign w:val="bottom"/>
            <w:gridSpan w:val="3"/>
            <w:shd w:val="clear" w:color="auto" w:fill="CFF0FC"/>
          </w:tcPr>
          <w:p>
            <w:pPr>
              <w:spacing w:after="0" w:line="109" w:lineRule="exact"/>
              <w:rPr>
                <w:sz w:val="20"/>
                <w:szCs w:val="20"/>
                <w:color w:val="auto"/>
              </w:rPr>
            </w:pPr>
            <w:r>
              <w:rPr>
                <w:rFonts w:ascii="Arial" w:cs="Arial" w:eastAsia="Arial" w:hAnsi="Arial"/>
                <w:sz w:val="10"/>
                <w:szCs w:val="10"/>
                <w:color w:val="auto"/>
              </w:rPr>
              <w:t>Adjusted EBITDA (Non-GAAP basis)</w:t>
            </w:r>
          </w:p>
        </w:tc>
        <w:tc>
          <w:tcPr>
            <w:tcW w:w="1060" w:type="dxa"/>
            <w:vAlign w:val="bottom"/>
            <w:shd w:val="clear" w:color="auto" w:fill="CFF0FC"/>
          </w:tcPr>
          <w:p>
            <w:pPr>
              <w:jc w:val="right"/>
              <w:ind w:right="991"/>
              <w:spacing w:after="0"/>
              <w:rPr>
                <w:sz w:val="20"/>
                <w:szCs w:val="20"/>
                <w:color w:val="auto"/>
              </w:rPr>
            </w:pPr>
            <w:r>
              <w:rPr>
                <w:rFonts w:ascii="Arial" w:cs="Arial" w:eastAsia="Arial" w:hAnsi="Arial"/>
                <w:sz w:val="5"/>
                <w:szCs w:val="5"/>
                <w:color w:val="auto"/>
                <w:w w:val="70"/>
              </w:rPr>
              <w:t>$</w:t>
            </w:r>
          </w:p>
        </w:tc>
        <w:tc>
          <w:tcPr>
            <w:tcW w:w="40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7.1</w:t>
            </w:r>
          </w:p>
        </w:tc>
        <w:tc>
          <w:tcPr>
            <w:tcW w:w="30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1111"/>
              <w:spacing w:after="0"/>
              <w:rPr>
                <w:sz w:val="20"/>
                <w:szCs w:val="20"/>
                <w:color w:val="auto"/>
              </w:rPr>
            </w:pPr>
            <w:r>
              <w:rPr>
                <w:rFonts w:ascii="Arial" w:cs="Arial" w:eastAsia="Arial" w:hAnsi="Arial"/>
                <w:sz w:val="5"/>
                <w:szCs w:val="5"/>
                <w:color w:val="auto"/>
                <w:w w:val="70"/>
              </w:rPr>
              <w:t>$</w:t>
            </w:r>
          </w:p>
        </w:tc>
        <w:tc>
          <w:tcPr>
            <w:tcW w:w="34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8.7</w:t>
            </w: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jc w:val="right"/>
              <w:ind w:right="176"/>
              <w:spacing w:after="0"/>
              <w:rPr>
                <w:sz w:val="20"/>
                <w:szCs w:val="20"/>
                <w:color w:val="auto"/>
              </w:rPr>
            </w:pPr>
            <w:r>
              <w:rPr>
                <w:rFonts w:ascii="Arial" w:cs="Arial" w:eastAsia="Arial" w:hAnsi="Arial"/>
                <w:sz w:val="5"/>
                <w:szCs w:val="5"/>
                <w:color w:val="auto"/>
                <w:w w:val="70"/>
              </w:rPr>
              <w:t>$</w:t>
            </w:r>
          </w:p>
        </w:tc>
        <w:tc>
          <w:tcPr>
            <w:tcW w:w="120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11.9</w:t>
            </w: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jc w:val="right"/>
              <w:ind w:right="292"/>
              <w:spacing w:after="0" w:line="109" w:lineRule="exact"/>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14.0</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vMerge w:val="continue"/>
          </w:tcPr>
          <w:p>
            <w:pPr>
              <w:spacing w:after="0"/>
              <w:rPr>
                <w:sz w:val="8"/>
                <w:szCs w:val="8"/>
                <w:color w:val="auto"/>
              </w:rPr>
            </w:pPr>
          </w:p>
        </w:tc>
        <w:tc>
          <w:tcPr>
            <w:tcW w:w="4600" w:type="dxa"/>
            <w:vAlign w:val="bottom"/>
            <w:gridSpan w:val="3"/>
            <w:shd w:val="clear" w:color="auto" w:fill="CFF0FC"/>
          </w:tcPr>
          <w:p>
            <w:pPr>
              <w:spacing w:after="0" w:line="100" w:lineRule="exact"/>
              <w:rPr>
                <w:sz w:val="20"/>
                <w:szCs w:val="20"/>
                <w:color w:val="auto"/>
              </w:rPr>
            </w:pPr>
            <w:r>
              <w:rPr>
                <w:rFonts w:ascii="Arial" w:cs="Arial" w:eastAsia="Arial" w:hAnsi="Arial"/>
                <w:sz w:val="10"/>
                <w:szCs w:val="10"/>
                <w:color w:val="auto"/>
              </w:rPr>
              <w:t>Per diluted share:</w:t>
            </w:r>
          </w:p>
        </w:tc>
        <w:tc>
          <w:tcPr>
            <w:tcW w:w="106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118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32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0" w:type="dxa"/>
            <w:vAlign w:val="bottom"/>
            <w:vMerge w:val="continue"/>
          </w:tcPr>
          <w:p>
            <w:pPr>
              <w:spacing w:after="0"/>
              <w:rPr>
                <w:sz w:val="8"/>
                <w:szCs w:val="8"/>
                <w:color w:val="auto"/>
              </w:rPr>
            </w:pPr>
          </w:p>
        </w:tc>
        <w:tc>
          <w:tcPr>
            <w:tcW w:w="4600" w:type="dxa"/>
            <w:vAlign w:val="bottom"/>
            <w:gridSpan w:val="3"/>
          </w:tcPr>
          <w:p>
            <w:pPr>
              <w:spacing w:after="0" w:line="98" w:lineRule="exact"/>
              <w:rPr>
                <w:sz w:val="20"/>
                <w:szCs w:val="20"/>
                <w:color w:val="auto"/>
              </w:rPr>
            </w:pPr>
            <w:r>
              <w:rPr>
                <w:rFonts w:ascii="Arial" w:cs="Arial" w:eastAsia="Arial" w:hAnsi="Arial"/>
                <w:sz w:val="10"/>
                <w:szCs w:val="10"/>
                <w:color w:val="auto"/>
              </w:rPr>
              <w:t>Net income (loss)</w:t>
            </w:r>
          </w:p>
        </w:tc>
        <w:tc>
          <w:tcPr>
            <w:tcW w:w="1060" w:type="dxa"/>
            <w:vAlign w:val="bottom"/>
          </w:tcPr>
          <w:p>
            <w:pPr>
              <w:jc w:val="right"/>
              <w:ind w:right="991"/>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line="98" w:lineRule="exact"/>
              <w:rPr>
                <w:sz w:val="20"/>
                <w:szCs w:val="20"/>
                <w:color w:val="auto"/>
              </w:rPr>
            </w:pPr>
            <w:r>
              <w:rPr>
                <w:rFonts w:ascii="Arial" w:cs="Arial" w:eastAsia="Arial" w:hAnsi="Arial"/>
                <w:sz w:val="10"/>
                <w:szCs w:val="10"/>
                <w:color w:val="auto"/>
              </w:rPr>
              <w:t>0.00</w:t>
            </w:r>
          </w:p>
        </w:tc>
        <w:tc>
          <w:tcPr>
            <w:tcW w:w="300" w:type="dxa"/>
            <w:vAlign w:val="bottom"/>
          </w:tcPr>
          <w:p>
            <w:pPr>
              <w:spacing w:after="0"/>
              <w:rPr>
                <w:sz w:val="8"/>
                <w:szCs w:val="8"/>
                <w:color w:val="auto"/>
              </w:rPr>
            </w:pPr>
          </w:p>
        </w:tc>
        <w:tc>
          <w:tcPr>
            <w:tcW w:w="1180" w:type="dxa"/>
            <w:vAlign w:val="bottom"/>
          </w:tcPr>
          <w:p>
            <w:pPr>
              <w:jc w:val="right"/>
              <w:ind w:right="1111"/>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180"/>
              <w:spacing w:after="0" w:line="98" w:lineRule="exact"/>
              <w:rPr>
                <w:sz w:val="20"/>
                <w:szCs w:val="20"/>
                <w:color w:val="auto"/>
              </w:rPr>
            </w:pPr>
            <w:r>
              <w:rPr>
                <w:rFonts w:ascii="Arial" w:cs="Arial" w:eastAsia="Arial" w:hAnsi="Arial"/>
                <w:sz w:val="10"/>
                <w:szCs w:val="10"/>
                <w:color w:val="auto"/>
              </w:rPr>
              <w:t>(0.02)</w:t>
            </w:r>
          </w:p>
        </w:tc>
        <w:tc>
          <w:tcPr>
            <w:tcW w:w="240" w:type="dxa"/>
            <w:vAlign w:val="bottom"/>
          </w:tcPr>
          <w:p>
            <w:pPr>
              <w:jc w:val="right"/>
              <w:ind w:right="176"/>
              <w:spacing w:after="0"/>
              <w:rPr>
                <w:sz w:val="20"/>
                <w:szCs w:val="20"/>
                <w:color w:val="auto"/>
              </w:rPr>
            </w:pPr>
            <w:r>
              <w:rPr>
                <w:rFonts w:ascii="Arial" w:cs="Arial" w:eastAsia="Arial" w:hAnsi="Arial"/>
                <w:sz w:val="5"/>
                <w:szCs w:val="5"/>
                <w:color w:val="auto"/>
                <w:w w:val="70"/>
              </w:rPr>
              <w:t>$</w:t>
            </w:r>
          </w:p>
        </w:tc>
        <w:tc>
          <w:tcPr>
            <w:tcW w:w="1500" w:type="dxa"/>
            <w:vAlign w:val="bottom"/>
            <w:gridSpan w:val="2"/>
          </w:tcPr>
          <w:p>
            <w:pPr>
              <w:jc w:val="right"/>
              <w:ind w:right="260"/>
              <w:spacing w:after="0" w:line="98" w:lineRule="exact"/>
              <w:rPr>
                <w:sz w:val="20"/>
                <w:szCs w:val="20"/>
                <w:color w:val="auto"/>
              </w:rPr>
            </w:pPr>
            <w:r>
              <w:rPr>
                <w:rFonts w:ascii="Arial" w:cs="Arial" w:eastAsia="Arial" w:hAnsi="Arial"/>
                <w:sz w:val="10"/>
                <w:szCs w:val="10"/>
                <w:color w:val="auto"/>
              </w:rPr>
              <w:t>(0.06)</w:t>
            </w:r>
          </w:p>
        </w:tc>
        <w:tc>
          <w:tcPr>
            <w:tcW w:w="400" w:type="dxa"/>
            <w:vAlign w:val="bottom"/>
          </w:tcPr>
          <w:p>
            <w:pPr>
              <w:jc w:val="right"/>
              <w:ind w:right="292"/>
              <w:spacing w:after="0" w:line="98" w:lineRule="exact"/>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80"/>
              <w:spacing w:after="0" w:line="98" w:lineRule="exact"/>
              <w:rPr>
                <w:sz w:val="20"/>
                <w:szCs w:val="20"/>
                <w:color w:val="auto"/>
              </w:rPr>
            </w:pPr>
            <w:r>
              <w:rPr>
                <w:rFonts w:ascii="Arial" w:cs="Arial" w:eastAsia="Arial" w:hAnsi="Arial"/>
                <w:sz w:val="10"/>
                <w:szCs w:val="10"/>
                <w:color w:val="auto"/>
              </w:rPr>
              <w:t>(0.09)</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600" w:type="dxa"/>
            <w:vAlign w:val="bottom"/>
            <w:gridSpan w:val="3"/>
            <w:shd w:val="clear" w:color="auto" w:fill="CFF0FC"/>
          </w:tcPr>
          <w:p>
            <w:pPr>
              <w:spacing w:after="0" w:line="109" w:lineRule="exact"/>
              <w:rPr>
                <w:sz w:val="20"/>
                <w:szCs w:val="20"/>
                <w:color w:val="auto"/>
              </w:rPr>
            </w:pPr>
            <w:r>
              <w:rPr>
                <w:rFonts w:ascii="Arial" w:cs="Arial" w:eastAsia="Arial" w:hAnsi="Arial"/>
                <w:sz w:val="10"/>
                <w:szCs w:val="10"/>
                <w:color w:val="auto"/>
              </w:rPr>
              <w:t>Adjusted net income (loss) (Non-GAAP basis)</w:t>
            </w:r>
          </w:p>
        </w:tc>
        <w:tc>
          <w:tcPr>
            <w:tcW w:w="1060" w:type="dxa"/>
            <w:vAlign w:val="bottom"/>
            <w:shd w:val="clear" w:color="auto" w:fill="CFF0FC"/>
          </w:tcPr>
          <w:p>
            <w:pPr>
              <w:jc w:val="right"/>
              <w:ind w:right="991"/>
              <w:spacing w:after="0"/>
              <w:rPr>
                <w:sz w:val="20"/>
                <w:szCs w:val="20"/>
                <w:color w:val="auto"/>
              </w:rPr>
            </w:pPr>
            <w:r>
              <w:rPr>
                <w:rFonts w:ascii="Arial" w:cs="Arial" w:eastAsia="Arial" w:hAnsi="Arial"/>
                <w:sz w:val="5"/>
                <w:szCs w:val="5"/>
                <w:color w:val="auto"/>
                <w:w w:val="70"/>
              </w:rPr>
              <w:t>$</w:t>
            </w:r>
          </w:p>
        </w:tc>
        <w:tc>
          <w:tcPr>
            <w:tcW w:w="40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0.00</w:t>
            </w:r>
          </w:p>
        </w:tc>
        <w:tc>
          <w:tcPr>
            <w:tcW w:w="300" w:type="dxa"/>
            <w:vAlign w:val="bottom"/>
            <w:shd w:val="clear" w:color="auto" w:fill="CFF0FC"/>
          </w:tcPr>
          <w:p>
            <w:pPr>
              <w:spacing w:after="0"/>
              <w:rPr>
                <w:sz w:val="9"/>
                <w:szCs w:val="9"/>
                <w:color w:val="auto"/>
              </w:rPr>
            </w:pPr>
          </w:p>
        </w:tc>
        <w:tc>
          <w:tcPr>
            <w:tcW w:w="1180" w:type="dxa"/>
            <w:vAlign w:val="bottom"/>
            <w:shd w:val="clear" w:color="auto" w:fill="CFF0FC"/>
          </w:tcPr>
          <w:p>
            <w:pPr>
              <w:jc w:val="right"/>
              <w:ind w:right="1111"/>
              <w:spacing w:after="0"/>
              <w:rPr>
                <w:sz w:val="20"/>
                <w:szCs w:val="20"/>
                <w:color w:val="auto"/>
              </w:rPr>
            </w:pPr>
            <w:r>
              <w:rPr>
                <w:rFonts w:ascii="Arial" w:cs="Arial" w:eastAsia="Arial" w:hAnsi="Arial"/>
                <w:sz w:val="5"/>
                <w:szCs w:val="5"/>
                <w:color w:val="auto"/>
                <w:w w:val="70"/>
              </w:rPr>
              <w:t>$</w:t>
            </w:r>
          </w:p>
        </w:tc>
        <w:tc>
          <w:tcPr>
            <w:tcW w:w="34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0.01</w:t>
            </w: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jc w:val="right"/>
              <w:ind w:right="176"/>
              <w:spacing w:after="0"/>
              <w:rPr>
                <w:sz w:val="20"/>
                <w:szCs w:val="20"/>
                <w:color w:val="auto"/>
              </w:rPr>
            </w:pPr>
            <w:r>
              <w:rPr>
                <w:rFonts w:ascii="Arial" w:cs="Arial" w:eastAsia="Arial" w:hAnsi="Arial"/>
                <w:sz w:val="5"/>
                <w:szCs w:val="5"/>
                <w:color w:val="auto"/>
                <w:w w:val="70"/>
              </w:rPr>
              <w:t>$</w:t>
            </w:r>
          </w:p>
        </w:tc>
        <w:tc>
          <w:tcPr>
            <w:tcW w:w="1500" w:type="dxa"/>
            <w:vAlign w:val="bottom"/>
            <w:gridSpan w:val="2"/>
            <w:shd w:val="clear" w:color="auto" w:fill="CFF0FC"/>
          </w:tcPr>
          <w:p>
            <w:pPr>
              <w:jc w:val="right"/>
              <w:ind w:right="260"/>
              <w:spacing w:after="0" w:line="109" w:lineRule="exact"/>
              <w:rPr>
                <w:sz w:val="20"/>
                <w:szCs w:val="20"/>
                <w:color w:val="auto"/>
              </w:rPr>
            </w:pPr>
            <w:r>
              <w:rPr>
                <w:rFonts w:ascii="Arial" w:cs="Arial" w:eastAsia="Arial" w:hAnsi="Arial"/>
                <w:sz w:val="10"/>
                <w:szCs w:val="10"/>
                <w:color w:val="auto"/>
              </w:rPr>
              <w:t>(0.04)</w:t>
            </w:r>
          </w:p>
        </w:tc>
        <w:tc>
          <w:tcPr>
            <w:tcW w:w="400" w:type="dxa"/>
            <w:vAlign w:val="bottom"/>
            <w:shd w:val="clear" w:color="auto" w:fill="CFF0FC"/>
          </w:tcPr>
          <w:p>
            <w:pPr>
              <w:jc w:val="right"/>
              <w:ind w:right="292"/>
              <w:spacing w:after="0" w:line="109" w:lineRule="exact"/>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FF0FC"/>
          </w:tcPr>
          <w:p>
            <w:pPr>
              <w:jc w:val="right"/>
              <w:ind w:right="80"/>
              <w:spacing w:after="0" w:line="109" w:lineRule="exact"/>
              <w:rPr>
                <w:sz w:val="20"/>
                <w:szCs w:val="20"/>
                <w:color w:val="auto"/>
              </w:rPr>
            </w:pPr>
            <w:r>
              <w:rPr>
                <w:rFonts w:ascii="Arial" w:cs="Arial" w:eastAsia="Arial" w:hAnsi="Arial"/>
                <w:sz w:val="10"/>
                <w:szCs w:val="10"/>
                <w:color w:val="auto"/>
              </w:rPr>
              <w:t>(0.04)</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Executive Summary</w:t>
      </w:r>
    </w:p>
    <w:p>
      <w:pPr>
        <w:spacing w:after="0" w:line="79" w:lineRule="exact"/>
        <w:rPr>
          <w:sz w:val="20"/>
          <w:szCs w:val="20"/>
          <w:color w:val="auto"/>
        </w:rPr>
      </w:pPr>
    </w:p>
    <w:p>
      <w:pPr>
        <w:ind w:right="20"/>
        <w:spacing w:after="0" w:line="292" w:lineRule="auto"/>
        <w:rPr>
          <w:sz w:val="20"/>
          <w:szCs w:val="20"/>
          <w:color w:val="auto"/>
        </w:rPr>
      </w:pPr>
      <w:r>
        <w:rPr>
          <w:rFonts w:ascii="Arial" w:cs="Arial" w:eastAsia="Arial" w:hAnsi="Arial"/>
          <w:sz w:val="11"/>
          <w:szCs w:val="11"/>
          <w:color w:val="auto"/>
        </w:rPr>
        <w:t>While sales for the second quarter of fiscal 2019 were disappointing and below our expectations, we were pleased to see an improvement over the first quarter. Our second quarter comparable sales were flat to last year as compared to the first quarter, which had a comparable sales decline of (1.2)%. The flat comparable sales in the second quarter were driven by a positive comparable sales increase from our direct business, which helped to offset the low single-digit comparable sales decrease from our stores. As with many clothing retailers, the delay of warm weather that we experienced at the end of the first quarter continued into May and negatively affected sales among our seasonal merchandise categories early in the second quarter. As we have historically seen, however, as the warmer weather arrived, sales among these categories picked up through the balance of the second quarter.</w:t>
      </w:r>
    </w:p>
    <w:p>
      <w:pPr>
        <w:spacing w:after="0" w:line="36" w:lineRule="exact"/>
        <w:rPr>
          <w:sz w:val="20"/>
          <w:szCs w:val="20"/>
          <w:color w:val="auto"/>
        </w:rPr>
      </w:pPr>
    </w:p>
    <w:p>
      <w:pPr>
        <w:ind w:right="40"/>
        <w:spacing w:after="0" w:line="265" w:lineRule="auto"/>
        <w:rPr>
          <w:sz w:val="20"/>
          <w:szCs w:val="20"/>
          <w:color w:val="auto"/>
        </w:rPr>
      </w:pPr>
      <w:r>
        <w:rPr>
          <w:rFonts w:ascii="Arial" w:cs="Arial" w:eastAsia="Arial" w:hAnsi="Arial"/>
          <w:sz w:val="12"/>
          <w:szCs w:val="12"/>
          <w:color w:val="auto"/>
        </w:rPr>
        <w:t>Contributing to our total sales during the second quarter of fiscal 2019 was an increase of $2.7 million from our wholesale business. We are pleased with the steady progress we are making with this new business, with total sales for the first six months of fiscal 2019 of $5.1 million. It is important for us to ensure that we are building a strong infrastructure and financial discipline for this segment of our business. We believe that this business will be a strong complement to our retail business and will provide us an opportunity to expand our customer base.</w:t>
      </w:r>
    </w:p>
    <w:p>
      <w:pPr>
        <w:spacing w:after="0" w:line="50" w:lineRule="exact"/>
        <w:rPr>
          <w:sz w:val="20"/>
          <w:szCs w:val="20"/>
          <w:color w:val="auto"/>
        </w:rPr>
      </w:pPr>
    </w:p>
    <w:p>
      <w:pPr>
        <w:ind w:right="100"/>
        <w:spacing w:after="0" w:line="265" w:lineRule="auto"/>
        <w:rPr>
          <w:sz w:val="20"/>
          <w:szCs w:val="20"/>
          <w:color w:val="auto"/>
        </w:rPr>
      </w:pPr>
      <w:r>
        <w:rPr>
          <w:rFonts w:ascii="Arial" w:cs="Arial" w:eastAsia="Arial" w:hAnsi="Arial"/>
          <w:sz w:val="12"/>
          <w:szCs w:val="12"/>
          <w:color w:val="auto"/>
        </w:rPr>
        <w:t>The tough retail sales environment and colder weather impacted sales which fell below our expectations, and as a result, we increased our promotional stance during the second quarter in an effort to drive traffic and maintain a healthy inventory, which had a negative impact on our merchandise margins. In addition, while we saw improvement in our wholesale margin from the first quarter of fiscal 2019, our merchandise margin for the second quarter was impacted by our wholesale business, due to the nature of those margins being significantly lower than our retail business.</w:t>
      </w:r>
    </w:p>
    <w:p>
      <w:pPr>
        <w:spacing w:after="0" w:line="50" w:lineRule="exact"/>
        <w:rPr>
          <w:sz w:val="20"/>
          <w:szCs w:val="20"/>
          <w:color w:val="auto"/>
        </w:rPr>
      </w:pPr>
    </w:p>
    <w:p>
      <w:pPr>
        <w:ind w:right="140"/>
        <w:spacing w:after="0" w:line="261" w:lineRule="auto"/>
        <w:rPr>
          <w:sz w:val="20"/>
          <w:szCs w:val="20"/>
          <w:color w:val="auto"/>
        </w:rPr>
      </w:pPr>
      <w:r>
        <w:rPr>
          <w:rFonts w:ascii="Arial" w:cs="Arial" w:eastAsia="Arial" w:hAnsi="Arial"/>
          <w:sz w:val="12"/>
          <w:szCs w:val="12"/>
          <w:color w:val="auto"/>
        </w:rPr>
        <w:t>For the first six months of fiscal 2019, our cash flow from operations decreased by $5.9 million as compared to the prior year’s first six months, primarily due to a decrease in Adjusted EBITDA and the timing of working capital. Our inventory on August 3, 2019, increased approximately $7.5 million as compared to August 4, 2018. Approximately half of the increase in inventory was primarily due to the acceleration of receipts from China due to impending tariffs, wholesale inventory to be delivered in the third quarter, and replacement inventory of certain styles that were impacted by a cargo vessel fire in the first quarter. The balance was driven by a door-base expansion and an increase in style-presentation levels in our better and best collections as we drive branded collections.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Financial Outlook</w:t>
      </w:r>
    </w:p>
    <w:p>
      <w:pPr>
        <w:spacing w:after="0" w:line="79" w:lineRule="exact"/>
        <w:rPr>
          <w:sz w:val="20"/>
          <w:szCs w:val="20"/>
          <w:color w:val="auto"/>
        </w:rPr>
      </w:pPr>
    </w:p>
    <w:p>
      <w:pPr>
        <w:spacing w:after="0" w:line="300" w:lineRule="auto"/>
        <w:rPr>
          <w:sz w:val="20"/>
          <w:szCs w:val="20"/>
          <w:color w:val="auto"/>
        </w:rPr>
      </w:pPr>
      <w:r>
        <w:rPr>
          <w:rFonts w:ascii="Arial" w:cs="Arial" w:eastAsia="Arial" w:hAnsi="Arial"/>
          <w:sz w:val="11"/>
          <w:szCs w:val="11"/>
          <w:color w:val="auto"/>
        </w:rPr>
        <w:t>For fiscal 2019, we expect to deliver comparable sales growth in our omni-channel retail business and to generate free cash flow. Since Mr. Kanter joined the Company on April 1, 2019, we have made progress in developing the mission, vision and strategic plan that is now beginning to inform and define our transformation as we look forward and develop the strategy to engage the Big and Tall men across the omni-channel landscape. We are making capital investments in both our customer relationship capabilities and our data infrastructure and analytics capabilities. We believe that these investments are required as we move forward in this digitally-driven retail environment in which we operate today.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76" w:right="199" w:bottom="1440" w:gutter="0" w:footer="0" w:header="0"/>
        </w:sectPr>
      </w:pPr>
    </w:p>
    <w:bookmarkStart w:id="20" w:name="page21"/>
    <w:bookmarkEnd w:id="20"/>
    <w:p>
      <w:pPr>
        <w:spacing w:after="0" w:line="279" w:lineRule="auto"/>
        <w:rPr>
          <w:sz w:val="20"/>
          <w:szCs w:val="20"/>
          <w:color w:val="auto"/>
        </w:rPr>
      </w:pPr>
      <w:r>
        <w:rPr>
          <w:rFonts w:ascii="Arial" w:cs="Arial" w:eastAsia="Arial" w:hAnsi="Arial"/>
          <w:sz w:val="12"/>
          <w:szCs w:val="12"/>
          <w:color w:val="auto"/>
        </w:rPr>
        <w:t>In fiscal 2019, we plan to open 2 new DXL retail stores, rebrand 12 Casual Male XL retail stores to DXL retail stores and rebrand 1 Casual Male XL outlet to a DXL outlet store. We also plan to close 5 Casual Male XL retail stores (two of which will be closed in connection with the opening of the two DXL stores), 1 DXL store and our 5 remaining Rochester Clothing stores.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Financial Summary</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80" w:type="dxa"/>
            <w:vAlign w:val="bottom"/>
          </w:tcPr>
          <w:p>
            <w:pPr>
              <w:spacing w:after="0"/>
              <w:rPr>
                <w:sz w:val="10"/>
                <w:szCs w:val="10"/>
                <w:color w:val="auto"/>
              </w:rPr>
            </w:pPr>
          </w:p>
        </w:tc>
        <w:tc>
          <w:tcPr>
            <w:tcW w:w="1200" w:type="dxa"/>
            <w:vAlign w:val="bottom"/>
          </w:tcPr>
          <w:p>
            <w:pPr>
              <w:jc w:val="right"/>
              <w:ind w:right="50"/>
              <w:spacing w:after="0"/>
              <w:rPr>
                <w:sz w:val="20"/>
                <w:szCs w:val="20"/>
                <w:color w:val="auto"/>
              </w:rPr>
            </w:pPr>
            <w:r>
              <w:rPr>
                <w:rFonts w:ascii="Arial" w:cs="Arial" w:eastAsia="Arial" w:hAnsi="Arial"/>
                <w:sz w:val="10"/>
                <w:szCs w:val="10"/>
                <w:color w:val="auto"/>
              </w:rPr>
              <w:t>Second Quarter</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0"/>
                <w:szCs w:val="10"/>
                <w:color w:val="auto"/>
              </w:rPr>
              <w:t>First Six Months</w:t>
            </w:r>
          </w:p>
        </w:tc>
      </w:tr>
      <w:tr>
        <w:trPr>
          <w:trHeight w:val="98"/>
        </w:trPr>
        <w:tc>
          <w:tcPr>
            <w:tcW w:w="7880" w:type="dxa"/>
            <w:vAlign w:val="bottom"/>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960" w:type="dxa"/>
            <w:vAlign w:val="bottom"/>
            <w:tcBorders>
              <w:top w:val="single" w:sz="8" w:color="auto"/>
            </w:tcBorders>
            <w:gridSpan w:val="3"/>
          </w:tcPr>
          <w:p>
            <w:pPr>
              <w:jc w:val="right"/>
              <w:ind w:right="130"/>
              <w:spacing w:after="0" w:line="98" w:lineRule="exact"/>
              <w:rPr>
                <w:sz w:val="20"/>
                <w:szCs w:val="20"/>
                <w:color w:val="auto"/>
              </w:rPr>
            </w:pPr>
            <w:r>
              <w:rPr>
                <w:rFonts w:ascii="Arial" w:cs="Arial" w:eastAsia="Arial" w:hAnsi="Arial"/>
                <w:sz w:val="10"/>
                <w:szCs w:val="10"/>
                <w:i w:val="1"/>
                <w:iCs w:val="1"/>
                <w:color w:val="auto"/>
              </w:rPr>
              <w:t>(in millions)</w:t>
            </w:r>
          </w:p>
        </w:tc>
        <w:tc>
          <w:tcPr>
            <w:tcW w:w="13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54"/>
        </w:trPr>
        <w:tc>
          <w:tcPr>
            <w:tcW w:w="78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Sales for fiscal 2018</w:t>
            </w:r>
          </w:p>
        </w:tc>
        <w:tc>
          <w:tcPr>
            <w:tcW w:w="1200" w:type="dxa"/>
            <w:vAlign w:val="bottom"/>
            <w:shd w:val="clear" w:color="auto" w:fill="CFF0FC"/>
          </w:tcPr>
          <w:p>
            <w:pPr>
              <w:jc w:val="right"/>
              <w:ind w:right="1090"/>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122.2</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235.5</w:t>
            </w:r>
          </w:p>
        </w:tc>
        <w:tc>
          <w:tcPr>
            <w:tcW w:w="120" w:type="dxa"/>
            <w:vAlign w:val="bottom"/>
            <w:shd w:val="clear" w:color="auto" w:fill="CFF0FC"/>
          </w:tcPr>
          <w:p>
            <w:pPr>
              <w:spacing w:after="0"/>
              <w:rPr>
                <w:sz w:val="13"/>
                <w:szCs w:val="13"/>
                <w:color w:val="auto"/>
              </w:rPr>
            </w:pPr>
          </w:p>
        </w:tc>
      </w:tr>
      <w:tr>
        <w:trPr>
          <w:trHeight w:val="154"/>
        </w:trPr>
        <w:tc>
          <w:tcPr>
            <w:tcW w:w="7880" w:type="dxa"/>
            <w:vAlign w:val="bottom"/>
          </w:tcPr>
          <w:p>
            <w:pPr>
              <w:spacing w:after="0"/>
              <w:rPr>
                <w:sz w:val="20"/>
                <w:szCs w:val="20"/>
                <w:color w:val="auto"/>
              </w:rPr>
            </w:pPr>
            <w:r>
              <w:rPr>
                <w:rFonts w:ascii="Arial" w:cs="Arial" w:eastAsia="Arial" w:hAnsi="Arial"/>
                <w:sz w:val="12"/>
                <w:szCs w:val="12"/>
                <w:color w:val="auto"/>
              </w:rPr>
              <w:t>Less 2018 sales for stores that have closed /converted</w:t>
            </w:r>
          </w:p>
        </w:tc>
        <w:tc>
          <w:tcPr>
            <w:tcW w:w="12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(1.8)</w:t>
            </w:r>
          </w:p>
        </w:tc>
        <w:tc>
          <w:tcPr>
            <w:tcW w:w="28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2"/>
                <w:szCs w:val="12"/>
                <w:color w:val="auto"/>
              </w:rPr>
              <w:t>(3.3)</w:t>
            </w:r>
          </w:p>
        </w:tc>
      </w:tr>
      <w:tr>
        <w:trPr>
          <w:trHeight w:val="143"/>
        </w:trPr>
        <w:tc>
          <w:tcPr>
            <w:tcW w:w="7880" w:type="dxa"/>
            <w:vAlign w:val="bottom"/>
            <w:tcBorders>
              <w:top w:val="single" w:sz="8" w:color="CFF0FC"/>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jc w:val="right"/>
              <w:ind w:right="1090"/>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120.4</w:t>
            </w:r>
          </w:p>
        </w:tc>
        <w:tc>
          <w:tcPr>
            <w:tcW w:w="2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232.2</w:t>
            </w: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7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7880" w:type="dxa"/>
            <w:vAlign w:val="bottom"/>
            <w:shd w:val="clear" w:color="auto" w:fill="CFF0FC"/>
          </w:tcPr>
          <w:p>
            <w:pPr>
              <w:spacing w:after="0"/>
              <w:rPr>
                <w:sz w:val="20"/>
                <w:szCs w:val="20"/>
                <w:color w:val="auto"/>
              </w:rPr>
            </w:pPr>
            <w:r>
              <w:rPr>
                <w:rFonts w:ascii="Arial" w:cs="Arial" w:eastAsia="Arial" w:hAnsi="Arial"/>
                <w:sz w:val="12"/>
                <w:szCs w:val="12"/>
                <w:color w:val="auto"/>
              </w:rPr>
              <w:t>Change in comparable sales</w:t>
            </w:r>
          </w:p>
        </w:tc>
        <w:tc>
          <w:tcPr>
            <w:tcW w:w="12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w:t>
            </w:r>
          </w:p>
        </w:tc>
      </w:tr>
      <w:tr>
        <w:trPr>
          <w:trHeight w:val="154"/>
        </w:trPr>
        <w:tc>
          <w:tcPr>
            <w:tcW w:w="7880" w:type="dxa"/>
            <w:vAlign w:val="bottom"/>
          </w:tcPr>
          <w:p>
            <w:pPr>
              <w:spacing w:after="0"/>
              <w:rPr>
                <w:sz w:val="20"/>
                <w:szCs w:val="20"/>
                <w:color w:val="auto"/>
              </w:rPr>
            </w:pPr>
            <w:r>
              <w:rPr>
                <w:rFonts w:ascii="Arial" w:cs="Arial" w:eastAsia="Arial" w:hAnsi="Arial"/>
                <w:sz w:val="12"/>
                <w:szCs w:val="12"/>
                <w:color w:val="auto"/>
              </w:rPr>
              <w:t>Change in wholesale revenue</w:t>
            </w:r>
          </w:p>
        </w:tc>
        <w:tc>
          <w:tcPr>
            <w:tcW w:w="12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2.7</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5.1</w:t>
            </w:r>
          </w:p>
        </w:tc>
        <w:tc>
          <w:tcPr>
            <w:tcW w:w="120" w:type="dxa"/>
            <w:vAlign w:val="bottom"/>
          </w:tcPr>
          <w:p>
            <w:pPr>
              <w:spacing w:after="0"/>
              <w:rPr>
                <w:sz w:val="13"/>
                <w:szCs w:val="13"/>
                <w:color w:val="auto"/>
              </w:rPr>
            </w:pPr>
          </w:p>
        </w:tc>
      </w:tr>
      <w:tr>
        <w:trPr>
          <w:trHeight w:val="154"/>
        </w:trPr>
        <w:tc>
          <w:tcPr>
            <w:tcW w:w="7880" w:type="dxa"/>
            <w:vAlign w:val="bottom"/>
            <w:shd w:val="clear" w:color="auto" w:fill="CFF0FC"/>
          </w:tcPr>
          <w:p>
            <w:pPr>
              <w:spacing w:after="0"/>
              <w:rPr>
                <w:sz w:val="20"/>
                <w:szCs w:val="20"/>
                <w:color w:val="auto"/>
              </w:rPr>
            </w:pPr>
            <w:r>
              <w:rPr>
                <w:rFonts w:ascii="Arial" w:cs="Arial" w:eastAsia="Arial" w:hAnsi="Arial"/>
                <w:sz w:val="12"/>
                <w:szCs w:val="12"/>
                <w:color w:val="auto"/>
              </w:rPr>
              <w:t>Non-comparable sales</w:t>
            </w:r>
          </w:p>
        </w:tc>
        <w:tc>
          <w:tcPr>
            <w:tcW w:w="120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0.3</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0.3</w:t>
            </w:r>
          </w:p>
        </w:tc>
        <w:tc>
          <w:tcPr>
            <w:tcW w:w="120" w:type="dxa"/>
            <w:vAlign w:val="bottom"/>
            <w:shd w:val="clear" w:color="auto" w:fill="CFF0FC"/>
          </w:tcPr>
          <w:p>
            <w:pPr>
              <w:spacing w:after="0"/>
              <w:rPr>
                <w:sz w:val="13"/>
                <w:szCs w:val="13"/>
                <w:color w:val="auto"/>
              </w:rPr>
            </w:pPr>
          </w:p>
        </w:tc>
      </w:tr>
      <w:tr>
        <w:trPr>
          <w:trHeight w:val="154"/>
        </w:trPr>
        <w:tc>
          <w:tcPr>
            <w:tcW w:w="7880" w:type="dxa"/>
            <w:vAlign w:val="bottom"/>
          </w:tcPr>
          <w:p>
            <w:pPr>
              <w:spacing w:after="0"/>
              <w:rPr>
                <w:sz w:val="20"/>
                <w:szCs w:val="20"/>
                <w:color w:val="auto"/>
              </w:rPr>
            </w:pPr>
            <w:r>
              <w:rPr>
                <w:rFonts w:ascii="Arial" w:cs="Arial" w:eastAsia="Arial" w:hAnsi="Arial"/>
                <w:sz w:val="12"/>
                <w:szCs w:val="12"/>
                <w:color w:val="auto"/>
              </w:rPr>
              <w:t>Other, net</w:t>
            </w:r>
          </w:p>
        </w:tc>
        <w:tc>
          <w:tcPr>
            <w:tcW w:w="12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(0.2)</w:t>
            </w:r>
          </w:p>
        </w:tc>
        <w:tc>
          <w:tcPr>
            <w:tcW w:w="28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2"/>
                <w:szCs w:val="12"/>
                <w:color w:val="auto"/>
              </w:rPr>
              <w:t>(0.2)</w:t>
            </w:r>
          </w:p>
        </w:tc>
      </w:tr>
      <w:tr>
        <w:trPr>
          <w:trHeight w:val="150"/>
        </w:trPr>
        <w:tc>
          <w:tcPr>
            <w:tcW w:w="7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Sales for fiscal 2019</w:t>
            </w:r>
          </w:p>
        </w:tc>
        <w:tc>
          <w:tcPr>
            <w:tcW w:w="1200" w:type="dxa"/>
            <w:vAlign w:val="bottom"/>
            <w:tcBorders>
              <w:top w:val="single" w:sz="8" w:color="auto"/>
              <w:bottom w:val="single" w:sz="8" w:color="auto"/>
            </w:tcBorders>
            <w:shd w:val="clear" w:color="auto" w:fill="CFF0FC"/>
          </w:tcPr>
          <w:p>
            <w:pPr>
              <w:jc w:val="right"/>
              <w:ind w:right="1090"/>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123.2</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236.2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bl>
    <w:p>
      <w:pPr>
        <w:spacing w:after="0" w:line="136"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Total sales for the second quarter of fiscal 2019 increased 0.9% to $123.2 million from $122.2 million in the second quarter of fiscal 2018. The increase of $1.0 million in total sales was principally due to an increase in wholesale revenue of $2.7 million partially offset by a decrease of $1.8 million in sales from closed stores. Comparable sales for the second quarter of fiscal 2019 were flat. Our sales were negatively impacted by the delayed arrival of warm weather at the start of the second quarter but were pleased to see steady improvement over the course of the second quarter.</w:t>
      </w:r>
    </w:p>
    <w:p>
      <w:pPr>
        <w:spacing w:after="0" w:line="122" w:lineRule="exact"/>
        <w:rPr>
          <w:sz w:val="20"/>
          <w:szCs w:val="20"/>
          <w:color w:val="auto"/>
        </w:rPr>
      </w:pPr>
    </w:p>
    <w:p>
      <w:pPr>
        <w:ind w:right="220"/>
        <w:spacing w:after="0" w:line="279" w:lineRule="auto"/>
        <w:rPr>
          <w:sz w:val="20"/>
          <w:szCs w:val="20"/>
          <w:color w:val="auto"/>
        </w:rPr>
      </w:pPr>
      <w:r>
        <w:rPr>
          <w:rFonts w:ascii="Arial" w:cs="Arial" w:eastAsia="Arial" w:hAnsi="Arial"/>
          <w:sz w:val="12"/>
          <w:szCs w:val="12"/>
          <w:color w:val="auto"/>
        </w:rPr>
        <w:t>For the first six months of fiscal 2019, our total sales increased 0.3% to $236.2 million as compared to $235.5 million for the first six months of fiscal 2018. The increase of $0.7 million was principally due to an increase in wholesale revenue of $5.1 million partially offset by a decrease in sales from closed stores of $3.3 million and a decrease in comparable sales of (0.5)%, or $1.2 million.</w:t>
      </w:r>
    </w:p>
    <w:p>
      <w:pPr>
        <w:spacing w:after="0" w:line="41" w:lineRule="exact"/>
        <w:rPr>
          <w:sz w:val="20"/>
          <w:szCs w:val="20"/>
          <w:color w:val="auto"/>
        </w:rPr>
      </w:pPr>
    </w:p>
    <w:p>
      <w:pPr>
        <w:ind w:right="100"/>
        <w:spacing w:after="0" w:line="382" w:lineRule="auto"/>
        <w:rPr>
          <w:sz w:val="20"/>
          <w:szCs w:val="20"/>
          <w:color w:val="auto"/>
        </w:rPr>
      </w:pPr>
      <w:r>
        <w:rPr>
          <w:rFonts w:ascii="Arial" w:cs="Arial" w:eastAsia="Arial" w:hAnsi="Arial"/>
          <w:sz w:val="10"/>
          <w:szCs w:val="10"/>
          <w:color w:val="auto"/>
        </w:rPr>
        <w:t>As we continue to invest in our digital capabilities, we believe it is important to monitor direct sales as a percentage of total retail sales. On a trailing twelve-month basis, direct sales as a percentage of total retail sales were 22.0% at the end of the second quarter of fiscal 2019 as compared to 21.2% at the end of the second quarter of the prior year. For the first six months of fiscal 2019, our direct sales were 21.3%, up from 20.5% for the first six months of the prior year.</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Gross Profit Margin</w:t>
      </w:r>
    </w:p>
    <w:p>
      <w:pPr>
        <w:spacing w:after="0" w:line="79" w:lineRule="exact"/>
        <w:rPr>
          <w:sz w:val="20"/>
          <w:szCs w:val="20"/>
          <w:color w:val="auto"/>
        </w:rPr>
      </w:pPr>
    </w:p>
    <w:p>
      <w:pPr>
        <w:ind w:right="140"/>
        <w:spacing w:after="0" w:line="292" w:lineRule="auto"/>
        <w:rPr>
          <w:sz w:val="20"/>
          <w:szCs w:val="20"/>
          <w:color w:val="auto"/>
        </w:rPr>
      </w:pPr>
      <w:r>
        <w:rPr>
          <w:rFonts w:ascii="Arial" w:cs="Arial" w:eastAsia="Arial" w:hAnsi="Arial"/>
          <w:sz w:val="11"/>
          <w:szCs w:val="11"/>
          <w:color w:val="auto"/>
        </w:rPr>
        <w:t>For the second quarter of fiscal 2019, our gross margin rate, inclusive of occupancy costs, was 44.3% as compared to a gross margin rate of 46.3% for the second quarter of fiscal 2018. The decrease of 200 basis points was due to a decrease in merchandise margins of 270 basis points partially offset by a 70 basis point improvement in occupancy costs as a percent of sales. The 270 basis point decrease in merchandise margin, as compared to the prior year’s second quarter, was due to the higher promotional activity of approximately 190 basis points and 80 basis points due to the impact of our wholesale segment, which by its nature has lower merchandise margins than our retail business. The improvement in occupancy costs, as a percentage of sales, was due to a decrease of $0.8 million in total occupancy costs, primarily related to closed stores, as compared to the prior year’s second quarter.</w:t>
      </w:r>
    </w:p>
    <w:p>
      <w:pPr>
        <w:spacing w:after="0" w:line="36" w:lineRule="exact"/>
        <w:rPr>
          <w:sz w:val="20"/>
          <w:szCs w:val="20"/>
          <w:color w:val="auto"/>
        </w:rPr>
      </w:pPr>
    </w:p>
    <w:p>
      <w:pPr>
        <w:ind w:right="80"/>
        <w:spacing w:after="0" w:line="261" w:lineRule="auto"/>
        <w:rPr>
          <w:sz w:val="20"/>
          <w:szCs w:val="20"/>
          <w:color w:val="auto"/>
        </w:rPr>
      </w:pPr>
      <w:r>
        <w:rPr>
          <w:rFonts w:ascii="Arial" w:cs="Arial" w:eastAsia="Arial" w:hAnsi="Arial"/>
          <w:sz w:val="12"/>
          <w:szCs w:val="12"/>
          <w:color w:val="auto"/>
        </w:rPr>
        <w:t>For the first six months of fiscal 2019, our gross margin rate, inclusive of occupancy costs, was 44.0% as compared to a gross margin rate of 45.5% for the first six months of fiscal 2018. The decrease of 150 basis points was due to a decrease in merchandise margins of 220 basis points partially offset by a 70 basis point improvement in occupancy costs as a percent of sales. The 220 basis point decrease in merchandise margin was due to 120 basis points related to an increase promotional activity due to the lower than expected sales volume and 100 basis points due to the impact of our wholesale segment. The improvement in occupancy costs, as a percentage of sales, was due to a decrease of $1.4 million in total occupancy costs, primarily related to closed stores, as compared to the prior year’s first six months.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Selling, General and Administrative Expenses</w:t>
      </w:r>
    </w:p>
    <w:p>
      <w:pPr>
        <w:spacing w:after="0" w:line="79" w:lineRule="exact"/>
        <w:rPr>
          <w:sz w:val="20"/>
          <w:szCs w:val="20"/>
          <w:color w:val="auto"/>
        </w:rPr>
      </w:pPr>
    </w:p>
    <w:p>
      <w:pPr>
        <w:ind w:right="140"/>
        <w:spacing w:after="0" w:line="300" w:lineRule="auto"/>
        <w:rPr>
          <w:sz w:val="20"/>
          <w:szCs w:val="20"/>
          <w:color w:val="auto"/>
        </w:rPr>
      </w:pPr>
      <w:r>
        <w:rPr>
          <w:rFonts w:ascii="Arial" w:cs="Arial" w:eastAsia="Arial" w:hAnsi="Arial"/>
          <w:sz w:val="11"/>
          <w:szCs w:val="11"/>
          <w:color w:val="auto"/>
        </w:rPr>
        <w:t>As a percentage of sales, SG&amp;A expenses for the second quarter of fiscal 2019 were 38.5% as compared to 39.1% for the second quarter of fiscal 2018. On a dollar basis, SG&amp;A decreased by $0.3 million for the second quarter of fiscal 2019. This decrease was primarily attributable to a $0.6 million decrease in marketing costs and a $0.3 million decrease in incentive accruals partially offset by an increase of $0.2 million in expenses related to our wholesales business. In addition, as a result of adopting ASC 842 at the beginning of fiscal 2019, we are no longer receiving a $0.4 million quarterly benefit from amortizing a deferred gain related to the sale-leaseback of our corporate office.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21" w:name="page22"/>
    <w:bookmarkEnd w:id="21"/>
    <w:p>
      <w:pPr>
        <w:ind w:right="20"/>
        <w:spacing w:after="0" w:line="261" w:lineRule="auto"/>
        <w:rPr>
          <w:sz w:val="20"/>
          <w:szCs w:val="20"/>
          <w:color w:val="auto"/>
        </w:rPr>
      </w:pPr>
      <w:r>
        <w:rPr>
          <w:rFonts w:ascii="Arial" w:cs="Arial" w:eastAsia="Arial" w:hAnsi="Arial"/>
          <w:sz w:val="12"/>
          <w:szCs w:val="12"/>
          <w:color w:val="auto"/>
        </w:rPr>
        <w:t>For the first six months of fiscal 2019, SG&amp;A expenses were 39.0% as compared to 39.6% for the first six months of fiscal 2018. On a dollar basis, SG&amp;A expense decreased $1.1 million, primarily due to savings of $2.3 million recognized in the first quarter due to the corporate restructuring in May 2018, a $0.5 million decrease in marketing costs and a decrease of $0.3 million in incentive accruals. These savings were partially offset by an increase of $0.6 million in expenses related to our wholesale business, the prior period’s recognition of $0.7 million of deferred gain on the sale-leaseback, as discussed above, and an insurance gains of $0.6 million in the prior year which did not repeat in fiscal 2019.</w:t>
      </w:r>
    </w:p>
    <w:p>
      <w:pPr>
        <w:spacing w:after="0" w:line="52" w:lineRule="exact"/>
        <w:rPr>
          <w:sz w:val="20"/>
          <w:szCs w:val="20"/>
          <w:color w:val="auto"/>
        </w:rPr>
      </w:pPr>
    </w:p>
    <w:p>
      <w:pPr>
        <w:ind w:right="140"/>
        <w:spacing w:after="0" w:line="261" w:lineRule="auto"/>
        <w:rPr>
          <w:sz w:val="20"/>
          <w:szCs w:val="20"/>
          <w:color w:val="auto"/>
        </w:rPr>
      </w:pPr>
      <w:r>
        <w:rPr>
          <w:rFonts w:ascii="Arial" w:cs="Arial" w:eastAsia="Arial" w:hAnsi="Arial"/>
          <w:sz w:val="12"/>
          <w:szCs w:val="12"/>
          <w:color w:val="auto"/>
        </w:rPr>
        <w:t>SG&amp;A expenses are managed through two primary cost centers: Customer Facing Costs and Corporate Supporting Costs. Customer Facing Costs, which include store payroll, marketing, and other store operating costs, represented 23.3% of sales for the first six months of fiscal 2019 as compared to 23.6% of sales for the first six months of last year. On an annual basis, management targets marketing expenses to be at approximately 5% of sales. Corporate Supporting Costs, which include the distribution center, support, and other corporate overhead costs, represented 15.7% of sales for the first six months of fiscal 2019 compared to 16.0% of sales for the first six months of last year. The Company continues to examine and rationalize its entire SG&amp;A cost structure to improve its EBITDA margins and overall profitability.</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Depreciation and Amortization</w:t>
      </w:r>
    </w:p>
    <w:p>
      <w:pPr>
        <w:spacing w:after="0" w:line="79" w:lineRule="exact"/>
        <w:rPr>
          <w:sz w:val="20"/>
          <w:szCs w:val="20"/>
          <w:color w:val="auto"/>
        </w:rPr>
      </w:pPr>
    </w:p>
    <w:p>
      <w:pPr>
        <w:ind w:right="100"/>
        <w:spacing w:after="0" w:line="265" w:lineRule="auto"/>
        <w:rPr>
          <w:sz w:val="20"/>
          <w:szCs w:val="20"/>
          <w:color w:val="auto"/>
        </w:rPr>
      </w:pPr>
      <w:r>
        <w:rPr>
          <w:rFonts w:ascii="Arial" w:cs="Arial" w:eastAsia="Arial" w:hAnsi="Arial"/>
          <w:sz w:val="12"/>
          <w:szCs w:val="12"/>
          <w:color w:val="auto"/>
        </w:rPr>
        <w:t>Depreciation and amortization for the second quarter and first six months of fiscal 2019 of $6.2 million and $12.5 million, respectively, decreased from $7.4 million and $14.7 million, respectively, for the second quarter and first six months of fiscal 2018. With the majority of our new store growth complete, our depreciation costs are decreasing. In addition, depreciation and amortization in the prior year included amortization on our Casual Male trademark, which is now fully amortized.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Expense, Net</w:t>
      </w:r>
    </w:p>
    <w:p>
      <w:pPr>
        <w:spacing w:after="0" w:line="79"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Net interest expense for the second quarter and first six months of fiscal 2019 of $0.9 million and $1.7 million, respectively, decreased slightly from $1.0 million and $1.8 million, respectively, for the second quarter and first six months of fiscal 2018. The slight decrease in interest costs was due to a decrease in average borrowings outstanding offset by an increase in the average effective borrowing rate.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We established a full valuation allowance against our deferred tax assets at the end of fiscal 2013. Based on our forecast for fiscal 2019, we believe that a full valuation allowance continues to remain appropriate at this time.</w:t>
      </w:r>
    </w:p>
    <w:p>
      <w:pPr>
        <w:spacing w:after="0" w:line="163" w:lineRule="exact"/>
        <w:rPr>
          <w:sz w:val="20"/>
          <w:szCs w:val="20"/>
          <w:color w:val="auto"/>
        </w:rPr>
      </w:pPr>
    </w:p>
    <w:p>
      <w:pPr>
        <w:ind w:right="80"/>
        <w:spacing w:after="0" w:line="292" w:lineRule="auto"/>
        <w:rPr>
          <w:sz w:val="20"/>
          <w:szCs w:val="20"/>
          <w:color w:val="auto"/>
        </w:rPr>
      </w:pPr>
      <w:r>
        <w:rPr>
          <w:rFonts w:ascii="Arial" w:cs="Arial" w:eastAsia="Arial" w:hAnsi="Arial"/>
          <w:sz w:val="11"/>
          <w:szCs w:val="11"/>
          <w:color w:val="auto"/>
        </w:rPr>
        <w:t>The discrete tax rate method was used for calculating tax expense. Due to current period losses, our current tax provision for the first six months of fiscal 2019 and fiscal 2018 was primarily due to current state margin tax, based on gross receipts less certain deductions. The total income tax benefit for the second quarter and first six months of fiscal 2019 included a deferred tax impact of $30,000 and $81,000, respectively, in other comprehensive income (loss), which resulted in a tax benefit on the Consolidated Statement of Operations related to the corresponding decrease in valuation allowance. Similarly, the total income tax provision for the second quarter and first six months of fiscal 2018 included a deferred tax impact of $21,000 and $47,000, respectively, in other comprehensive income (loss) which resulted in a tax benefit due to its corresponding decrease in valuation allowance.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Income (Loss)</w:t>
      </w:r>
    </w:p>
    <w:p>
      <w:pPr>
        <w:spacing w:after="0" w:line="79" w:lineRule="exact"/>
        <w:rPr>
          <w:sz w:val="20"/>
          <w:szCs w:val="20"/>
          <w:color w:val="auto"/>
        </w:rPr>
      </w:pPr>
    </w:p>
    <w:p>
      <w:pPr>
        <w:ind w:right="100"/>
        <w:spacing w:after="0" w:line="279" w:lineRule="auto"/>
        <w:rPr>
          <w:sz w:val="20"/>
          <w:szCs w:val="20"/>
          <w:color w:val="auto"/>
        </w:rPr>
      </w:pPr>
      <w:r>
        <w:rPr>
          <w:rFonts w:ascii="Arial" w:cs="Arial" w:eastAsia="Arial" w:hAnsi="Arial"/>
          <w:sz w:val="12"/>
          <w:szCs w:val="12"/>
          <w:color w:val="auto"/>
        </w:rPr>
        <w:t>For the second quarter of fiscal 2019, we had net income of $0.0 million, or $0.00 per diluted share, compared with a net loss of $(1.2) million, or $(0.02) per diluted share, for the second quarter of fiscal 2018. For the first six months of fiscal 2019, we had a net loss of $(3.0) million, or $(0.06) per diluted share, as compared with a net loss of $(4.3) million, or $(0.09) per diluted share.</w:t>
      </w:r>
    </w:p>
    <w:p>
      <w:pPr>
        <w:spacing w:after="0" w:line="41" w:lineRule="exact"/>
        <w:rPr>
          <w:sz w:val="20"/>
          <w:szCs w:val="20"/>
          <w:color w:val="auto"/>
        </w:rPr>
      </w:pPr>
    </w:p>
    <w:p>
      <w:pPr>
        <w:ind w:right="160"/>
        <w:spacing w:after="0" w:line="382" w:lineRule="auto"/>
        <w:rPr>
          <w:sz w:val="20"/>
          <w:szCs w:val="20"/>
          <w:color w:val="auto"/>
        </w:rPr>
      </w:pPr>
      <w:r>
        <w:rPr>
          <w:rFonts w:ascii="Arial" w:cs="Arial" w:eastAsia="Arial" w:hAnsi="Arial"/>
          <w:sz w:val="10"/>
          <w:szCs w:val="10"/>
          <w:color w:val="auto"/>
        </w:rPr>
        <w:t>On a non-GAAP basis, before CEO transition costs and restructuring charges and assuming a normalized tax rate of 26% for all periods, adjusted net income (loss) per share for the second quarter and first six months of fiscal 2019 was $0.00 per diluted share and ($0.04) per diluted share, respectively, as compared to adjusted net income (loss) of $0.01 per diluted share and ($0.04) per diluted share, respectively, for the second quarter and first six months of 2018.</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Inventory</w:t>
      </w:r>
    </w:p>
    <w:p>
      <w:pPr>
        <w:spacing w:after="0" w:line="79"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Our inventory on August 3, 2019, increased approximately $7.5 million to $110.4 million, as compared to $102.9 million at August 4, 2018. Approximately half of the increase in inventory was primarily due to the acceleration of receipts from China due to impending tariffs, wholesale inventory to be delivered in the third quarter, and replacement inventory of certain styles that were impacted by a cargo vessel fire in the first quarter. The balance was driven by a door-base expansion and an increase in style-presentation levels in our better and best collections as we drive branded collections. At August 3, 2019, our clearance inventory represented 10.9% of our total inventory, as compared to 10.1% at August 4, 2018.</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22" w:name="page23"/>
    <w:bookmarkEnd w:id="22"/>
    <w:p>
      <w:pPr>
        <w:ind w:left="8"/>
        <w:spacing w:after="0"/>
        <w:rPr>
          <w:sz w:val="20"/>
          <w:szCs w:val="20"/>
          <w:color w:val="auto"/>
        </w:rPr>
      </w:pPr>
      <w:r>
        <w:rPr>
          <w:rFonts w:ascii="Arial" w:cs="Arial" w:eastAsia="Arial" w:hAnsi="Arial"/>
          <w:sz w:val="12"/>
          <w:szCs w:val="12"/>
          <w:b w:val="1"/>
          <w:bCs w:val="1"/>
          <w:color w:val="auto"/>
        </w:rPr>
        <w:t>SEASONALITY</w:t>
      </w:r>
    </w:p>
    <w:p>
      <w:pPr>
        <w:spacing w:after="0" w:line="83" w:lineRule="exact"/>
        <w:rPr>
          <w:sz w:val="20"/>
          <w:szCs w:val="20"/>
          <w:color w:val="auto"/>
        </w:rPr>
      </w:pPr>
    </w:p>
    <w:p>
      <w:pPr>
        <w:ind w:left="8" w:right="20"/>
        <w:spacing w:after="0" w:line="279" w:lineRule="auto"/>
        <w:rPr>
          <w:sz w:val="20"/>
          <w:szCs w:val="20"/>
          <w:color w:val="auto"/>
        </w:rPr>
      </w:pPr>
      <w:r>
        <w:rPr>
          <w:rFonts w:ascii="Arial" w:cs="Arial" w:eastAsia="Arial" w:hAnsi="Arial"/>
          <w:sz w:val="12"/>
          <w:szCs w:val="12"/>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LIQUIDITY AND CAPITAL RESOURCES</w:t>
      </w:r>
    </w:p>
    <w:p>
      <w:pPr>
        <w:spacing w:after="0" w:line="83" w:lineRule="exact"/>
        <w:rPr>
          <w:sz w:val="20"/>
          <w:szCs w:val="20"/>
          <w:color w:val="auto"/>
        </w:rPr>
      </w:pPr>
    </w:p>
    <w:p>
      <w:pPr>
        <w:ind w:left="8" w:right="280"/>
        <w:spacing w:after="0" w:line="261" w:lineRule="auto"/>
        <w:rPr>
          <w:sz w:val="20"/>
          <w:szCs w:val="20"/>
          <w:color w:val="auto"/>
        </w:rPr>
      </w:pPr>
      <w:r>
        <w:rPr>
          <w:rFonts w:ascii="Arial" w:cs="Arial" w:eastAsia="Arial" w:hAnsi="Arial"/>
          <w:sz w:val="12"/>
          <w:szCs w:val="12"/>
          <w:color w:val="auto"/>
        </w:rPr>
        <w:t>Our primary sources of liquidity are cash generated from operations and availability under our credit facility with Bank of America, N.A., (“Credit Facility”), which was most recently amended in May 2019 (“Credit Facility”). Our current cash needs are primarily for working capital (essentially inventory requirements), capital expenditures and growth initiatives. We plan to manage our working capital and it is expected that excess cash from operations will be directed toward our growth initiatives and debt reductions. We currently believe that our existing cash generated by operations together with our Credit Facility will be sufficient within current forecasts for us to meet our foreseeable liquidity requirements.</w:t>
      </w:r>
    </w:p>
    <w:p>
      <w:pPr>
        <w:spacing w:after="0" w:line="124" w:lineRule="exact"/>
        <w:rPr>
          <w:sz w:val="20"/>
          <w:szCs w:val="20"/>
          <w:color w:val="auto"/>
        </w:rPr>
      </w:pPr>
    </w:p>
    <w:p>
      <w:pPr>
        <w:ind w:left="8"/>
        <w:spacing w:after="0" w:line="280" w:lineRule="auto"/>
        <w:rPr>
          <w:sz w:val="20"/>
          <w:szCs w:val="20"/>
          <w:color w:val="auto"/>
        </w:rPr>
      </w:pPr>
      <w:r>
        <w:rPr>
          <w:rFonts w:ascii="Arial" w:cs="Arial" w:eastAsia="Arial" w:hAnsi="Arial"/>
          <w:sz w:val="11"/>
          <w:szCs w:val="11"/>
          <w:color w:val="auto"/>
        </w:rPr>
        <w:t>For the first six months of fiscal 2019, cash flow from operations decreased by approximately $5.9 million to $0.9 million as compared to $6.8 million for the first six months of fiscal 2018. Free cash flow, a non-GAAP measure, decreased by $6.1 million to $(6.7) million for the first six months of fiscal 2019 as compared to $(0.6) million for the first six months of fiscal 2018. The primary reason for this decrease of $6.1 million in free cash flow was due to a decrease in Adjusted EBITDA and the timing of working capital. At August 3, 2019, accrued expenses were substantially lower than the prior year due to certain rent and lease related liabilities that were eliminated upon adoption of ASC</w:t>
      </w:r>
    </w:p>
    <w:p>
      <w:pPr>
        <w:spacing w:after="0" w:line="1" w:lineRule="exact"/>
        <w:rPr>
          <w:sz w:val="20"/>
          <w:szCs w:val="20"/>
          <w:color w:val="auto"/>
        </w:rPr>
      </w:pPr>
    </w:p>
    <w:p>
      <w:pPr>
        <w:jc w:val="both"/>
        <w:ind w:left="8" w:right="20" w:hanging="8"/>
        <w:spacing w:after="0" w:line="258" w:lineRule="auto"/>
        <w:tabs>
          <w:tab w:leader="none" w:pos="279"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addition, an increase of $3.0 million in incentive payments related to fiscal 2018 also contributed to the decrease in free cash flow. As mentioned above, our inventory levels increased as compared to prior year levels as a result of increasing in-store style presentation for certain brands in our better and best collections, as well as accelerated receipts due to impending tariffs and wholesale inventory to be delivered in the third quarter. Capital expenditures for the first six months of fiscal 2019 increased slightly to $7.6 million as compared to $7.4 million for the first six months of fiscal 2018.</w:t>
      </w:r>
    </w:p>
    <w:p>
      <w:pPr>
        <w:spacing w:after="0" w:line="126" w:lineRule="exact"/>
        <w:rPr>
          <w:sz w:val="20"/>
          <w:szCs w:val="20"/>
          <w:color w:val="auto"/>
        </w:rPr>
      </w:pPr>
    </w:p>
    <w:p>
      <w:pPr>
        <w:ind w:left="8" w:right="140"/>
        <w:spacing w:after="0" w:line="259" w:lineRule="auto"/>
        <w:rPr>
          <w:sz w:val="20"/>
          <w:szCs w:val="20"/>
          <w:color w:val="auto"/>
        </w:rPr>
      </w:pPr>
      <w:r>
        <w:rPr>
          <w:rFonts w:ascii="Arial" w:cs="Arial" w:eastAsia="Arial" w:hAnsi="Arial"/>
          <w:sz w:val="12"/>
          <w:szCs w:val="12"/>
          <w:color w:val="auto"/>
        </w:rPr>
        <w:t>This decrease in free cash flow, as a result of the timing in working capital, resulted in an increase of $3.1 million in total debt outstanding at August 3, 2019 as compared to August 4, 2018. The following is a summary of our total debt outstanding at August 3, 2019 with the associated unamortized debt issuance costs:</w:t>
      </w:r>
    </w:p>
    <w:tbl>
      <w:tblPr>
        <w:tblLayout w:type="fixed"/>
        <w:tblInd w:w="8" w:type="dxa"/>
        <w:tblCellMar>
          <w:top w:w="0" w:type="dxa"/>
          <w:left w:w="0" w:type="dxa"/>
          <w:bottom w:w="0" w:type="dxa"/>
          <w:right w:w="0" w:type="dxa"/>
        </w:tblCellMar>
      </w:tblPr>
      <w:tr>
        <w:trPr>
          <w:trHeight w:val="110"/>
        </w:trPr>
        <w:tc>
          <w:tcPr>
            <w:tcW w:w="5160" w:type="dxa"/>
            <w:vAlign w:val="bottom"/>
            <w:tcBorders>
              <w:bottom w:val="single" w:sz="8" w:color="auto"/>
            </w:tcBorders>
          </w:tcPr>
          <w:p>
            <w:pPr>
              <w:spacing w:after="0" w:line="110" w:lineRule="exact"/>
              <w:rPr>
                <w:sz w:val="20"/>
                <w:szCs w:val="20"/>
                <w:color w:val="auto"/>
              </w:rPr>
            </w:pPr>
            <w:r>
              <w:rPr>
                <w:rFonts w:ascii="Arial" w:cs="Arial" w:eastAsia="Arial" w:hAnsi="Arial"/>
                <w:sz w:val="10"/>
                <w:szCs w:val="10"/>
                <w:i w:val="1"/>
                <w:iCs w:val="1"/>
                <w:color w:val="auto"/>
              </w:rPr>
              <w:t>(in thousands)</w:t>
            </w:r>
          </w:p>
        </w:tc>
        <w:tc>
          <w:tcPr>
            <w:tcW w:w="180" w:type="dxa"/>
            <w:vAlign w:val="bottom"/>
            <w:tcBorders>
              <w:bottom w:val="single" w:sz="8" w:color="CFF0FC"/>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jc w:val="right"/>
              <w:ind w:right="503"/>
              <w:spacing w:after="0" w:line="110" w:lineRule="exact"/>
              <w:rPr>
                <w:sz w:val="20"/>
                <w:szCs w:val="20"/>
                <w:color w:val="auto"/>
              </w:rPr>
            </w:pPr>
            <w:r>
              <w:rPr>
                <w:rFonts w:ascii="Arial" w:cs="Arial" w:eastAsia="Arial" w:hAnsi="Arial"/>
                <w:sz w:val="10"/>
                <w:szCs w:val="10"/>
                <w:color w:val="auto"/>
              </w:rPr>
              <w:t>Gross Debt Outstanding</w:t>
            </w:r>
          </w:p>
        </w:tc>
        <w:tc>
          <w:tcPr>
            <w:tcW w:w="28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ind w:left="140"/>
              <w:spacing w:after="0" w:line="110" w:lineRule="exact"/>
              <w:rPr>
                <w:sz w:val="20"/>
                <w:szCs w:val="20"/>
                <w:color w:val="auto"/>
              </w:rPr>
            </w:pPr>
            <w:r>
              <w:rPr>
                <w:rFonts w:ascii="Arial" w:cs="Arial" w:eastAsia="Arial" w:hAnsi="Arial"/>
                <w:sz w:val="10"/>
                <w:szCs w:val="10"/>
                <w:color w:val="auto"/>
              </w:rPr>
              <w:t>Less Debt Issuance Costs</w:t>
            </w:r>
          </w:p>
        </w:tc>
        <w:tc>
          <w:tcPr>
            <w:tcW w:w="180" w:type="dxa"/>
            <w:vAlign w:val="bottom"/>
            <w:tcBorders>
              <w:bottom w:val="single" w:sz="8" w:color="CFF0FC"/>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jc w:val="right"/>
              <w:ind w:right="363"/>
              <w:spacing w:after="0" w:line="110" w:lineRule="exact"/>
              <w:rPr>
                <w:sz w:val="20"/>
                <w:szCs w:val="20"/>
                <w:color w:val="auto"/>
              </w:rPr>
            </w:pPr>
            <w:r>
              <w:rPr>
                <w:rFonts w:ascii="Arial" w:cs="Arial" w:eastAsia="Arial" w:hAnsi="Arial"/>
                <w:sz w:val="10"/>
                <w:szCs w:val="10"/>
                <w:color w:val="auto"/>
              </w:rPr>
              <w:t>Net Debt Outstanding</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53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Credit facility</w:t>
            </w: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49,770</w:t>
            </w:r>
          </w:p>
        </w:tc>
        <w:tc>
          <w:tcPr>
            <w:tcW w:w="500" w:type="dxa"/>
            <w:vAlign w:val="bottom"/>
            <w:gridSpan w:val="2"/>
            <w:shd w:val="clear" w:color="auto" w:fill="CFF0FC"/>
          </w:tcPr>
          <w:p>
            <w:pPr>
              <w:jc w:val="right"/>
              <w:ind w:right="110"/>
              <w:spacing w:after="0"/>
              <w:rPr>
                <w:sz w:val="20"/>
                <w:szCs w:val="20"/>
                <w:color w:val="auto"/>
              </w:rPr>
            </w:pPr>
            <w:r>
              <w:rPr>
                <w:rFonts w:ascii="Arial" w:cs="Arial" w:eastAsia="Arial" w:hAnsi="Arial"/>
                <w:sz w:val="12"/>
                <w:szCs w:val="12"/>
                <w:color w:val="auto"/>
              </w:rPr>
              <w:t>$</w:t>
            </w: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(319)</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49,451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340" w:type="dxa"/>
            <w:vAlign w:val="bottom"/>
            <w:gridSpan w:val="2"/>
          </w:tcPr>
          <w:p>
            <w:pPr>
              <w:spacing w:after="0"/>
              <w:rPr>
                <w:sz w:val="20"/>
                <w:szCs w:val="20"/>
                <w:color w:val="auto"/>
              </w:rPr>
            </w:pPr>
            <w:r>
              <w:rPr>
                <w:rFonts w:ascii="Arial" w:cs="Arial" w:eastAsia="Arial" w:hAnsi="Arial"/>
                <w:sz w:val="12"/>
                <w:szCs w:val="12"/>
                <w:color w:val="auto"/>
              </w:rPr>
              <w:t>FILO Loan</w:t>
            </w:r>
          </w:p>
        </w:tc>
        <w:tc>
          <w:tcPr>
            <w:tcW w:w="30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15,000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2"/>
                <w:szCs w:val="12"/>
                <w:color w:val="auto"/>
              </w:rPr>
              <w:t>(215)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14,785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shd w:val="clear" w:color="auto" w:fill="CFF0FC"/>
          </w:tcPr>
          <w:p>
            <w:pPr>
              <w:spacing w:after="0"/>
              <w:rPr>
                <w:sz w:val="20"/>
                <w:szCs w:val="20"/>
                <w:color w:val="auto"/>
              </w:rPr>
            </w:pPr>
            <w:r>
              <w:rPr>
                <w:rFonts w:ascii="Arial" w:cs="Arial" w:eastAsia="Arial" w:hAnsi="Arial"/>
                <w:sz w:val="12"/>
                <w:szCs w:val="12"/>
                <w:color w:val="auto"/>
              </w:rPr>
              <w:t>Total debt</w:t>
            </w:r>
          </w:p>
        </w:tc>
        <w:tc>
          <w:tcPr>
            <w:tcW w:w="3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40" w:type="dxa"/>
            <w:vAlign w:val="bottom"/>
            <w:gridSpan w:val="2"/>
            <w:vMerge w:val="continue"/>
            <w:shd w:val="clear" w:color="auto" w:fill="CFF0FC"/>
          </w:tcPr>
          <w:p>
            <w:pPr>
              <w:spacing w:after="0"/>
              <w:rPr>
                <w:sz w:val="12"/>
                <w:szCs w:val="12"/>
                <w:color w:val="auto"/>
              </w:rPr>
            </w:pP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color w:val="auto"/>
                <w:w w:val="71"/>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64,770</w:t>
            </w: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(534)</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64,236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 w:right="40"/>
        <w:spacing w:after="0" w:line="258" w:lineRule="auto"/>
        <w:rPr>
          <w:sz w:val="20"/>
          <w:szCs w:val="20"/>
          <w:color w:val="auto"/>
        </w:rPr>
      </w:pPr>
      <w:r>
        <w:rPr>
          <w:rFonts w:ascii="Arial" w:cs="Arial" w:eastAsia="Arial" w:hAnsi="Arial"/>
          <w:sz w:val="12"/>
          <w:szCs w:val="12"/>
          <w:color w:val="auto"/>
        </w:rPr>
        <w:t xml:space="preserve">Our Credit Facility provides for a maximum committed borrowing of $125.0 million, which, pursuant to an accordion feature, may be increased to $175.0 million upon our request and the agreement of the lender(s) participating in the increase (the “Revolving Facility”). The Credit Facility includes a sublimit of $20.0 million for commercial and standby letters of credit and a sublimit of up to $15.0 million for swingline loans. Borrowings made pursuant to the Revolving Facility under the Credit Facility will bear interest, calculated under either the Federal Funds rate or the LIBOR rate, at a rate equal to the following: (a) the Federal Funds rate plus a varying percentage based on the Company’s excess availability, of either 0.25% or </w:t>
      </w:r>
      <w:r>
        <w:rPr>
          <w:rFonts w:ascii="Arial" w:cs="Arial" w:eastAsia="Arial" w:hAnsi="Arial"/>
          <w:sz w:val="12"/>
          <w:szCs w:val="12"/>
          <w:color w:val="000033"/>
        </w:rPr>
        <w:t>0.50%,</w:t>
      </w:r>
      <w:r>
        <w:rPr>
          <w:rFonts w:ascii="Arial" w:cs="Arial" w:eastAsia="Arial" w:hAnsi="Arial"/>
          <w:sz w:val="12"/>
          <w:szCs w:val="12"/>
          <w:color w:val="auto"/>
        </w:rPr>
        <w:t xml:space="preserve"> or (b) the LIBOR rate (the Company being able to select interest periods of 1 week, 1 month, 2 months, 3 months or 6 months) plus a varying percentage based on the Company’s excess availability, of either </w:t>
      </w:r>
      <w:r>
        <w:rPr>
          <w:rFonts w:ascii="Arial" w:cs="Arial" w:eastAsia="Arial" w:hAnsi="Arial"/>
          <w:sz w:val="12"/>
          <w:szCs w:val="12"/>
          <w:color w:val="000033"/>
        </w:rPr>
        <w:t>1.25% or 1.50%. The current maturity date is May 24, 2023.</w:t>
      </w:r>
    </w:p>
    <w:p>
      <w:pPr>
        <w:spacing w:after="0" w:line="128" w:lineRule="exact"/>
        <w:rPr>
          <w:sz w:val="20"/>
          <w:szCs w:val="20"/>
          <w:color w:val="auto"/>
        </w:rPr>
      </w:pPr>
    </w:p>
    <w:p>
      <w:pPr>
        <w:ind w:left="8" w:right="40"/>
        <w:spacing w:after="0" w:line="265" w:lineRule="auto"/>
        <w:rPr>
          <w:sz w:val="20"/>
          <w:szCs w:val="20"/>
          <w:color w:val="auto"/>
        </w:rPr>
      </w:pPr>
      <w:r>
        <w:rPr>
          <w:rFonts w:ascii="Arial" w:cs="Arial" w:eastAsia="Arial" w:hAnsi="Arial"/>
          <w:sz w:val="12"/>
          <w:szCs w:val="12"/>
          <w:color w:val="auto"/>
        </w:rPr>
        <w:t>We had outstanding borrowings of $49.8 million under the Credit Facility at August 3, 2019. At August 3, 2019, outstanding standby letters of credit were $2.6 million and outstanding documentary letters of credit were $1.3 million. The average monthly borrowing outstanding under the Credit Facility during the first six months ended August 3, 2019 was approximately $56.4 million, resulting in an average unused excess availability of approximately $37.6 million. Unused excess availability at August 3, 2019 was $44.5 million.</w:t>
      </w:r>
    </w:p>
    <w:p>
      <w:pPr>
        <w:spacing w:after="0" w:line="195" w:lineRule="exact"/>
        <w:rPr>
          <w:sz w:val="20"/>
          <w:szCs w:val="20"/>
          <w:color w:val="auto"/>
        </w:rPr>
      </w:pPr>
    </w:p>
    <w:p>
      <w:pPr>
        <w:ind w:left="268"/>
        <w:spacing w:after="0"/>
        <w:rPr>
          <w:sz w:val="20"/>
          <w:szCs w:val="20"/>
          <w:color w:val="auto"/>
        </w:rPr>
      </w:pPr>
      <w:r>
        <w:rPr>
          <w:rFonts w:ascii="Arial" w:cs="Arial" w:eastAsia="Arial" w:hAnsi="Arial"/>
          <w:sz w:val="12"/>
          <w:szCs w:val="12"/>
          <w:b w:val="1"/>
          <w:bCs w:val="1"/>
          <w:i w:val="1"/>
          <w:iCs w:val="1"/>
          <w:u w:val="single" w:color="auto"/>
          <w:color w:val="auto"/>
        </w:rPr>
        <w:t>FILO Loan</w:t>
      </w:r>
    </w:p>
    <w:p>
      <w:pPr>
        <w:spacing w:after="0" w:line="152" w:lineRule="exact"/>
        <w:rPr>
          <w:sz w:val="20"/>
          <w:szCs w:val="20"/>
          <w:color w:val="auto"/>
        </w:rPr>
      </w:pPr>
    </w:p>
    <w:p>
      <w:pPr>
        <w:jc w:val="both"/>
        <w:ind w:left="8" w:right="240"/>
        <w:spacing w:after="0" w:line="265" w:lineRule="auto"/>
        <w:rPr>
          <w:sz w:val="20"/>
          <w:szCs w:val="20"/>
          <w:color w:val="auto"/>
        </w:rPr>
      </w:pPr>
      <w:r>
        <w:rPr>
          <w:rFonts w:ascii="Arial" w:cs="Arial" w:eastAsia="Arial" w:hAnsi="Arial"/>
          <w:sz w:val="12"/>
          <w:szCs w:val="12"/>
          <w:color w:val="auto"/>
        </w:rPr>
        <w:t>The Credit Facility also includes a FILO loan for $15.0 million. The total borrowing capacity under the FILO loan is based on a borrowing base, generally defined as a specified percentage of the value of eligible accounts, including certain trade names, that steps down over time, plus a specified percentage of the value of eligible inventory that steps down over time. There can be no voluntary prepayments on the FILO loan during the first year. After its one-year anniversary, the FILO loan can be repaid, in whole or in part, subject to certain payment conditions.</w:t>
      </w:r>
    </w:p>
    <w:p>
      <w:pPr>
        <w:spacing w:after="0" w:line="122" w:lineRule="exact"/>
        <w:rPr>
          <w:sz w:val="20"/>
          <w:szCs w:val="20"/>
          <w:color w:val="auto"/>
        </w:rPr>
      </w:pPr>
    </w:p>
    <w:p>
      <w:pPr>
        <w:ind w:left="8" w:right="260"/>
        <w:spacing w:after="0" w:line="279" w:lineRule="auto"/>
        <w:rPr>
          <w:sz w:val="20"/>
          <w:szCs w:val="20"/>
          <w:color w:val="auto"/>
        </w:rPr>
      </w:pPr>
      <w:r>
        <w:rPr>
          <w:rFonts w:ascii="Arial" w:cs="Arial" w:eastAsia="Arial" w:hAnsi="Arial"/>
          <w:sz w:val="12"/>
          <w:szCs w:val="12"/>
          <w:color w:val="000033"/>
        </w:rPr>
        <w:t xml:space="preserve">Borrowings made under the FILO loan will bear interest, </w:t>
      </w:r>
      <w:r>
        <w:rPr>
          <w:rFonts w:ascii="Arial" w:cs="Arial" w:eastAsia="Arial" w:hAnsi="Arial"/>
          <w:sz w:val="12"/>
          <w:szCs w:val="12"/>
          <w:color w:val="000000"/>
        </w:rPr>
        <w:t>calculated under either the Federal Funds rate or the LIBOR rate, at a rate equal to the following: (a) the Federal Funds rate plus a varying percentage based on the Company’s</w:t>
      </w:r>
      <w:r>
        <w:rPr>
          <w:rFonts w:ascii="Arial" w:cs="Arial" w:eastAsia="Arial" w:hAnsi="Arial"/>
          <w:sz w:val="12"/>
          <w:szCs w:val="12"/>
          <w:color w:val="000033"/>
        </w:rPr>
        <w:t xml:space="preserve"> </w:t>
      </w:r>
      <w:r>
        <w:rPr>
          <w:rFonts w:ascii="Arial" w:cs="Arial" w:eastAsia="Arial" w:hAnsi="Arial"/>
          <w:sz w:val="12"/>
          <w:szCs w:val="12"/>
          <w:color w:val="000000"/>
        </w:rPr>
        <w:t>excess availability, of either 1.75% or 2.00% or (b) the LIBOR rate (the Company being able to select interest periods of 1 week, 1 month, 2 months, 3 months or 6</w:t>
      </w:r>
    </w:p>
    <w:p>
      <w:pPr>
        <w:spacing w:after="0" w:line="11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32853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8"/>
          </w:cols>
          <w:pgMar w:left="212" w:top="344" w:right="199" w:bottom="1440" w:gutter="0" w:footer="0" w:header="0"/>
        </w:sectPr>
      </w:pPr>
    </w:p>
    <w:bookmarkStart w:id="23" w:name="page24"/>
    <w:bookmarkEnd w:id="23"/>
    <w:p>
      <w:pPr>
        <w:ind w:left="8" w:right="380"/>
        <w:spacing w:after="0" w:line="279" w:lineRule="auto"/>
        <w:rPr>
          <w:sz w:val="20"/>
          <w:szCs w:val="20"/>
          <w:color w:val="auto"/>
        </w:rPr>
      </w:pPr>
      <w:r>
        <w:rPr>
          <w:rFonts w:ascii="Arial" w:cs="Arial" w:eastAsia="Arial" w:hAnsi="Arial"/>
          <w:sz w:val="12"/>
          <w:szCs w:val="12"/>
          <w:color w:val="auto"/>
        </w:rPr>
        <w:t>months) plus a varying percentage based on the Company’s excess availability, of either 2.75% or 3.00%. At August 3, 2019, the outstanding balance of $15.0 million was in a 1-week LIBOR-based contract with an interest rate of 5.06%.</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Capital Expenditures</w:t>
      </w:r>
    </w:p>
    <w:p>
      <w:pPr>
        <w:spacing w:after="0" w:line="7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the open stores and related square footage at August 3, 2019 and August 4, 2018, respectively:</w:t>
      </w:r>
    </w:p>
    <w:p>
      <w:pPr>
        <w:spacing w:after="0" w:line="7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20" w:type="dxa"/>
            <w:vAlign w:val="bottom"/>
            <w:gridSpan w:val="3"/>
          </w:tcPr>
          <w:p>
            <w:pPr>
              <w:ind w:left="100"/>
              <w:spacing w:after="0"/>
              <w:rPr>
                <w:sz w:val="20"/>
                <w:szCs w:val="20"/>
                <w:color w:val="auto"/>
              </w:rPr>
            </w:pPr>
            <w:r>
              <w:rPr>
                <w:rFonts w:ascii="Arial" w:cs="Arial" w:eastAsia="Arial" w:hAnsi="Arial"/>
                <w:sz w:val="10"/>
                <w:szCs w:val="10"/>
                <w:color w:val="auto"/>
              </w:rPr>
              <w:t>August 3, 2019</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gridSpan w:val="3"/>
          </w:tcPr>
          <w:p>
            <w:pPr>
              <w:ind w:left="1000"/>
              <w:spacing w:after="0"/>
              <w:rPr>
                <w:sz w:val="20"/>
                <w:szCs w:val="20"/>
                <w:color w:val="auto"/>
              </w:rPr>
            </w:pPr>
            <w:r>
              <w:rPr>
                <w:rFonts w:ascii="Arial" w:cs="Arial" w:eastAsia="Arial" w:hAnsi="Arial"/>
                <w:sz w:val="10"/>
                <w:szCs w:val="10"/>
                <w:color w:val="auto"/>
              </w:rPr>
              <w:t>August 4, 2018</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0"/>
        </w:trPr>
        <w:tc>
          <w:tcPr>
            <w:tcW w:w="5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jc w:val="center"/>
              <w:ind w:left="212"/>
              <w:spacing w:after="0" w:line="100" w:lineRule="exact"/>
              <w:rPr>
                <w:sz w:val="20"/>
                <w:szCs w:val="20"/>
                <w:color w:val="auto"/>
              </w:rPr>
            </w:pPr>
            <w:r>
              <w:rPr>
                <w:rFonts w:ascii="Arial" w:cs="Arial" w:eastAsia="Arial" w:hAnsi="Arial"/>
                <w:sz w:val="10"/>
                <w:szCs w:val="10"/>
                <w:color w:val="auto"/>
                <w:w w:val="89"/>
              </w:rPr>
              <w:t>Number of</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gridSpan w:val="2"/>
          </w:tcPr>
          <w:p>
            <w:pPr>
              <w:ind w:left="140"/>
              <w:spacing w:after="0" w:line="100" w:lineRule="exact"/>
              <w:rPr>
                <w:sz w:val="20"/>
                <w:szCs w:val="20"/>
                <w:color w:val="auto"/>
              </w:rPr>
            </w:pPr>
            <w:r>
              <w:rPr>
                <w:rFonts w:ascii="Arial" w:cs="Arial" w:eastAsia="Arial" w:hAnsi="Arial"/>
                <w:sz w:val="10"/>
                <w:szCs w:val="10"/>
                <w:color w:val="auto"/>
              </w:rPr>
              <w:t>Square</w:t>
            </w:r>
          </w:p>
        </w:tc>
        <w:tc>
          <w:tcPr>
            <w:tcW w:w="1720" w:type="dxa"/>
            <w:vAlign w:val="bottom"/>
            <w:gridSpan w:val="3"/>
          </w:tcPr>
          <w:p>
            <w:pPr>
              <w:ind w:left="360"/>
              <w:spacing w:after="0" w:line="100" w:lineRule="exact"/>
              <w:rPr>
                <w:sz w:val="20"/>
                <w:szCs w:val="20"/>
                <w:color w:val="auto"/>
              </w:rPr>
            </w:pPr>
            <w:r>
              <w:rPr>
                <w:rFonts w:ascii="Arial" w:cs="Arial" w:eastAsia="Arial" w:hAnsi="Arial"/>
                <w:sz w:val="10"/>
                <w:szCs w:val="10"/>
                <w:color w:val="auto"/>
              </w:rPr>
              <w:t>Number of</w:t>
            </w:r>
          </w:p>
        </w:tc>
        <w:tc>
          <w:tcPr>
            <w:tcW w:w="980" w:type="dxa"/>
            <w:vAlign w:val="bottom"/>
            <w:gridSpan w:val="2"/>
          </w:tcPr>
          <w:p>
            <w:pPr>
              <w:ind w:left="140"/>
              <w:spacing w:after="0" w:line="100" w:lineRule="exact"/>
              <w:rPr>
                <w:sz w:val="20"/>
                <w:szCs w:val="20"/>
                <w:color w:val="auto"/>
              </w:rPr>
            </w:pPr>
            <w:r>
              <w:rPr>
                <w:rFonts w:ascii="Arial" w:cs="Arial" w:eastAsia="Arial" w:hAnsi="Arial"/>
                <w:sz w:val="10"/>
                <w:szCs w:val="10"/>
                <w:color w:val="auto"/>
              </w:rPr>
              <w:t>Square</w:t>
            </w:r>
          </w:p>
        </w:tc>
      </w:tr>
      <w:tr>
        <w:trPr>
          <w:trHeight w:val="112"/>
        </w:trPr>
        <w:tc>
          <w:tcPr>
            <w:tcW w:w="5820" w:type="dxa"/>
            <w:vAlign w:val="bottom"/>
            <w:tcBorders>
              <w:bottom w:val="single" w:sz="8" w:color="auto"/>
            </w:tcBorders>
          </w:tcPr>
          <w:p>
            <w:pPr>
              <w:spacing w:after="0" w:line="113" w:lineRule="exact"/>
              <w:rPr>
                <w:sz w:val="20"/>
                <w:szCs w:val="20"/>
                <w:color w:val="auto"/>
              </w:rPr>
            </w:pPr>
            <w:r>
              <w:rPr>
                <w:rFonts w:ascii="Arial" w:cs="Arial" w:eastAsia="Arial" w:hAnsi="Arial"/>
                <w:sz w:val="10"/>
                <w:szCs w:val="10"/>
                <w:color w:val="auto"/>
              </w:rPr>
              <w:t>Store Concept</w:t>
            </w:r>
          </w:p>
        </w:tc>
        <w:tc>
          <w:tcPr>
            <w:tcW w:w="140" w:type="dxa"/>
            <w:vAlign w:val="bottom"/>
          </w:tcPr>
          <w:p>
            <w:pPr>
              <w:spacing w:after="0"/>
              <w:rPr>
                <w:sz w:val="9"/>
                <w:szCs w:val="9"/>
                <w:color w:val="auto"/>
              </w:rPr>
            </w:pPr>
          </w:p>
        </w:tc>
        <w:tc>
          <w:tcPr>
            <w:tcW w:w="880" w:type="dxa"/>
            <w:vAlign w:val="bottom"/>
            <w:tcBorders>
              <w:bottom w:val="single" w:sz="8" w:color="auto"/>
            </w:tcBorders>
          </w:tcPr>
          <w:p>
            <w:pPr>
              <w:jc w:val="center"/>
              <w:ind w:left="232"/>
              <w:spacing w:after="0" w:line="113" w:lineRule="exact"/>
              <w:rPr>
                <w:sz w:val="20"/>
                <w:szCs w:val="20"/>
                <w:color w:val="auto"/>
              </w:rPr>
            </w:pPr>
            <w:r>
              <w:rPr>
                <w:rFonts w:ascii="Arial" w:cs="Arial" w:eastAsia="Arial" w:hAnsi="Arial"/>
                <w:sz w:val="10"/>
                <w:szCs w:val="10"/>
                <w:color w:val="auto"/>
                <w:w w:val="82"/>
              </w:rPr>
              <w:t>Stores</w:t>
            </w:r>
          </w:p>
        </w:tc>
        <w:tc>
          <w:tcPr>
            <w:tcW w:w="2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383"/>
              <w:spacing w:after="0" w:line="113" w:lineRule="exact"/>
              <w:rPr>
                <w:sz w:val="20"/>
                <w:szCs w:val="20"/>
                <w:color w:val="auto"/>
              </w:rPr>
            </w:pPr>
            <w:r>
              <w:rPr>
                <w:rFonts w:ascii="Arial" w:cs="Arial" w:eastAsia="Arial" w:hAnsi="Arial"/>
                <w:sz w:val="10"/>
                <w:szCs w:val="10"/>
                <w:color w:val="auto"/>
              </w:rPr>
              <w:t>Footage</w:t>
            </w:r>
          </w:p>
        </w:tc>
        <w:tc>
          <w:tcPr>
            <w:tcW w:w="240" w:type="dxa"/>
            <w:vAlign w:val="bottom"/>
          </w:tcPr>
          <w:p>
            <w:pPr>
              <w:spacing w:after="0"/>
              <w:rPr>
                <w:sz w:val="9"/>
                <w:szCs w:val="9"/>
                <w:color w:val="auto"/>
              </w:rPr>
            </w:pPr>
          </w:p>
        </w:tc>
        <w:tc>
          <w:tcPr>
            <w:tcW w:w="1160" w:type="dxa"/>
            <w:vAlign w:val="bottom"/>
            <w:tcBorders>
              <w:bottom w:val="single" w:sz="8" w:color="auto"/>
            </w:tcBorders>
          </w:tcPr>
          <w:p>
            <w:pPr>
              <w:jc w:val="right"/>
              <w:ind w:right="404"/>
              <w:spacing w:after="0" w:line="113" w:lineRule="exact"/>
              <w:rPr>
                <w:sz w:val="20"/>
                <w:szCs w:val="20"/>
                <w:color w:val="auto"/>
              </w:rPr>
            </w:pPr>
            <w:r>
              <w:rPr>
                <w:rFonts w:ascii="Arial" w:cs="Arial" w:eastAsia="Arial" w:hAnsi="Arial"/>
                <w:sz w:val="10"/>
                <w:szCs w:val="10"/>
                <w:color w:val="auto"/>
              </w:rPr>
              <w:t>Stores</w:t>
            </w:r>
          </w:p>
        </w:tc>
        <w:tc>
          <w:tcPr>
            <w:tcW w:w="2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383"/>
              <w:spacing w:after="0" w:line="113" w:lineRule="exact"/>
              <w:rPr>
                <w:sz w:val="20"/>
                <w:szCs w:val="20"/>
                <w:color w:val="auto"/>
              </w:rPr>
            </w:pPr>
            <w:r>
              <w:rPr>
                <w:rFonts w:ascii="Arial" w:cs="Arial" w:eastAsia="Arial" w:hAnsi="Arial"/>
                <w:sz w:val="10"/>
                <w:szCs w:val="10"/>
                <w:color w:val="auto"/>
              </w:rPr>
              <w:t>Footage</w:t>
            </w:r>
          </w:p>
        </w:tc>
        <w:tc>
          <w:tcPr>
            <w:tcW w:w="120" w:type="dxa"/>
            <w:vAlign w:val="bottom"/>
          </w:tcPr>
          <w:p>
            <w:pPr>
              <w:spacing w:after="0"/>
              <w:rPr>
                <w:sz w:val="9"/>
                <w:szCs w:val="9"/>
                <w:color w:val="auto"/>
              </w:rPr>
            </w:pPr>
          </w:p>
        </w:tc>
      </w:tr>
      <w:tr>
        <w:trPr>
          <w:trHeight w:val="134"/>
        </w:trPr>
        <w:tc>
          <w:tcPr>
            <w:tcW w:w="5960" w:type="dxa"/>
            <w:vAlign w:val="bottom"/>
            <w:gridSpan w:val="2"/>
          </w:tcPr>
          <w:p>
            <w:pPr>
              <w:spacing w:after="0"/>
              <w:rPr>
                <w:sz w:val="20"/>
                <w:szCs w:val="20"/>
                <w:color w:val="auto"/>
              </w:rPr>
            </w:pPr>
            <w:r>
              <w:rPr>
                <w:rFonts w:ascii="Arial" w:cs="Arial" w:eastAsia="Arial" w:hAnsi="Arial"/>
                <w:sz w:val="10"/>
                <w:szCs w:val="10"/>
                <w:i w:val="1"/>
                <w:iCs w:val="1"/>
                <w:color w:val="auto"/>
              </w:rPr>
              <w:t>(square footage in thousands)</w:t>
            </w: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5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DXL Retail</w:t>
            </w:r>
          </w:p>
        </w:tc>
        <w:tc>
          <w:tcPr>
            <w:tcW w:w="88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221</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1,704</w:t>
            </w:r>
          </w:p>
        </w:tc>
        <w:tc>
          <w:tcPr>
            <w:tcW w:w="2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1,687</w:t>
            </w:r>
          </w:p>
        </w:tc>
        <w:tc>
          <w:tcPr>
            <w:tcW w:w="120" w:type="dxa"/>
            <w:vAlign w:val="bottom"/>
            <w:shd w:val="clear" w:color="auto" w:fill="CFF0FC"/>
          </w:tcPr>
          <w:p>
            <w:pPr>
              <w:spacing w:after="0"/>
              <w:rPr>
                <w:sz w:val="14"/>
                <w:szCs w:val="14"/>
                <w:color w:val="auto"/>
              </w:rPr>
            </w:pPr>
          </w:p>
        </w:tc>
      </w:tr>
      <w:tr>
        <w:trPr>
          <w:trHeight w:val="154"/>
        </w:trPr>
        <w:tc>
          <w:tcPr>
            <w:tcW w:w="5960" w:type="dxa"/>
            <w:vAlign w:val="bottom"/>
            <w:gridSpan w:val="2"/>
          </w:tcPr>
          <w:p>
            <w:pPr>
              <w:spacing w:after="0"/>
              <w:rPr>
                <w:sz w:val="20"/>
                <w:szCs w:val="20"/>
                <w:color w:val="auto"/>
              </w:rPr>
            </w:pPr>
            <w:r>
              <w:rPr>
                <w:rFonts w:ascii="Arial" w:cs="Arial" w:eastAsia="Arial" w:hAnsi="Arial"/>
                <w:sz w:val="12"/>
                <w:szCs w:val="12"/>
                <w:color w:val="auto"/>
              </w:rPr>
              <w:t>DXL Outlets</w:t>
            </w:r>
          </w:p>
        </w:tc>
        <w:tc>
          <w:tcPr>
            <w:tcW w:w="8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16</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82</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15</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78</w:t>
            </w:r>
          </w:p>
        </w:tc>
        <w:tc>
          <w:tcPr>
            <w:tcW w:w="120" w:type="dxa"/>
            <w:vAlign w:val="bottom"/>
          </w:tcPr>
          <w:p>
            <w:pPr>
              <w:spacing w:after="0"/>
              <w:rPr>
                <w:sz w:val="13"/>
                <w:szCs w:val="13"/>
                <w:color w:val="auto"/>
              </w:rPr>
            </w:pPr>
          </w:p>
        </w:tc>
      </w:tr>
      <w:tr>
        <w:trPr>
          <w:trHeight w:val="154"/>
        </w:trPr>
        <w:tc>
          <w:tcPr>
            <w:tcW w:w="5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Casual Male XL Retail</w:t>
            </w:r>
          </w:p>
        </w:tc>
        <w:tc>
          <w:tcPr>
            <w:tcW w:w="880" w:type="dxa"/>
            <w:vAlign w:val="bottom"/>
            <w:shd w:val="clear" w:color="auto" w:fill="CFF0FC"/>
          </w:tcPr>
          <w:p>
            <w:pPr>
              <w:spacing w:after="0"/>
              <w:rPr>
                <w:sz w:val="13"/>
                <w:szCs w:val="13"/>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196</w:t>
            </w: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w:t>
            </w:r>
          </w:p>
        </w:tc>
        <w:tc>
          <w:tcPr>
            <w:tcW w:w="120" w:type="dxa"/>
            <w:vAlign w:val="bottom"/>
            <w:shd w:val="clear" w:color="auto" w:fill="CFF0FC"/>
          </w:tcPr>
          <w:p>
            <w:pPr>
              <w:spacing w:after="0"/>
              <w:rPr>
                <w:sz w:val="13"/>
                <w:szCs w:val="13"/>
                <w:color w:val="auto"/>
              </w:rPr>
            </w:pPr>
          </w:p>
        </w:tc>
      </w:tr>
      <w:tr>
        <w:trPr>
          <w:trHeight w:val="154"/>
        </w:trPr>
        <w:tc>
          <w:tcPr>
            <w:tcW w:w="5960" w:type="dxa"/>
            <w:vAlign w:val="bottom"/>
            <w:gridSpan w:val="2"/>
          </w:tcPr>
          <w:p>
            <w:pPr>
              <w:spacing w:after="0"/>
              <w:rPr>
                <w:sz w:val="20"/>
                <w:szCs w:val="20"/>
                <w:color w:val="auto"/>
              </w:rPr>
            </w:pPr>
            <w:r>
              <w:rPr>
                <w:rFonts w:ascii="Arial" w:cs="Arial" w:eastAsia="Arial" w:hAnsi="Arial"/>
                <w:sz w:val="12"/>
                <w:szCs w:val="12"/>
                <w:color w:val="auto"/>
              </w:rPr>
              <w:t>Casual Male Outlets</w:t>
            </w:r>
          </w:p>
        </w:tc>
        <w:tc>
          <w:tcPr>
            <w:tcW w:w="8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29</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88</w:t>
            </w: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31</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95</w:t>
            </w:r>
          </w:p>
        </w:tc>
        <w:tc>
          <w:tcPr>
            <w:tcW w:w="120" w:type="dxa"/>
            <w:vAlign w:val="bottom"/>
          </w:tcPr>
          <w:p>
            <w:pPr>
              <w:spacing w:after="0"/>
              <w:rPr>
                <w:sz w:val="13"/>
                <w:szCs w:val="13"/>
                <w:color w:val="auto"/>
              </w:rPr>
            </w:pPr>
          </w:p>
        </w:tc>
      </w:tr>
      <w:tr>
        <w:trPr>
          <w:trHeight w:val="154"/>
        </w:trPr>
        <w:tc>
          <w:tcPr>
            <w:tcW w:w="59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Rochester Clothing</w:t>
            </w:r>
          </w:p>
        </w:tc>
        <w:tc>
          <w:tcPr>
            <w:tcW w:w="88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24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36</w:t>
            </w:r>
          </w:p>
        </w:tc>
        <w:tc>
          <w:tcPr>
            <w:tcW w:w="240" w:type="dxa"/>
            <w:vAlign w:val="bottom"/>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24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51</w:t>
            </w:r>
          </w:p>
        </w:tc>
        <w:tc>
          <w:tcPr>
            <w:tcW w:w="120" w:type="dxa"/>
            <w:vAlign w:val="bottom"/>
            <w:shd w:val="clear" w:color="auto" w:fill="CFF0FC"/>
          </w:tcPr>
          <w:p>
            <w:pPr>
              <w:spacing w:after="0"/>
              <w:rPr>
                <w:sz w:val="13"/>
                <w:szCs w:val="13"/>
                <w:color w:val="auto"/>
              </w:rPr>
            </w:pPr>
          </w:p>
        </w:tc>
      </w:tr>
      <w:tr>
        <w:trPr>
          <w:trHeight w:val="143"/>
        </w:trPr>
        <w:tc>
          <w:tcPr>
            <w:tcW w:w="5960" w:type="dxa"/>
            <w:vAlign w:val="bottom"/>
            <w:gridSpan w:val="2"/>
          </w:tcPr>
          <w:p>
            <w:pPr>
              <w:spacing w:after="0"/>
              <w:rPr>
                <w:sz w:val="20"/>
                <w:szCs w:val="20"/>
                <w:color w:val="auto"/>
              </w:rPr>
            </w:pPr>
            <w:r>
              <w:rPr>
                <w:rFonts w:ascii="Arial" w:cs="Arial" w:eastAsia="Arial" w:hAnsi="Arial"/>
                <w:sz w:val="12"/>
                <w:szCs w:val="12"/>
                <w:color w:val="auto"/>
              </w:rPr>
              <w:t>Total Stores</w:t>
            </w:r>
          </w:p>
        </w:tc>
        <w:tc>
          <w:tcPr>
            <w:tcW w:w="8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328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2,106</w:t>
            </w: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339</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2,159</w:t>
            </w:r>
          </w:p>
        </w:tc>
        <w:tc>
          <w:tcPr>
            <w:tcW w:w="120" w:type="dxa"/>
            <w:vAlign w:val="bottom"/>
          </w:tcPr>
          <w:p>
            <w:pPr>
              <w:spacing w:after="0"/>
              <w:rPr>
                <w:sz w:val="12"/>
                <w:szCs w:val="12"/>
                <w:color w:val="auto"/>
              </w:rPr>
            </w:pPr>
          </w:p>
        </w:tc>
      </w:tr>
    </w:tbl>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color w:val="auto"/>
        </w:rPr>
        <w:t>Below is a summary of store openings and closings from February 2, 2019 to August 3, 2019:</w:t>
      </w:r>
    </w:p>
    <w:p>
      <w:pPr>
        <w:spacing w:after="0" w:line="28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jc w:val="center"/>
              <w:ind w:left="132"/>
              <w:spacing w:after="0"/>
              <w:rPr>
                <w:sz w:val="20"/>
                <w:szCs w:val="20"/>
                <w:color w:val="auto"/>
              </w:rPr>
            </w:pPr>
            <w:r>
              <w:rPr>
                <w:rFonts w:ascii="Arial" w:cs="Arial" w:eastAsia="Arial" w:hAnsi="Arial"/>
                <w:sz w:val="10"/>
                <w:szCs w:val="10"/>
                <w:color w:val="auto"/>
                <w:w w:val="89"/>
              </w:rPr>
              <w:t>Casual Male</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0"/>
                <w:szCs w:val="10"/>
                <w:color w:val="auto"/>
              </w:rPr>
              <w:t>Casual Male</w:t>
            </w:r>
          </w:p>
        </w:tc>
        <w:tc>
          <w:tcPr>
            <w:tcW w:w="1120" w:type="dxa"/>
            <w:vAlign w:val="bottom"/>
            <w:gridSpan w:val="2"/>
          </w:tcPr>
          <w:p>
            <w:pPr>
              <w:jc w:val="right"/>
              <w:ind w:right="480"/>
              <w:spacing w:after="0"/>
              <w:rPr>
                <w:sz w:val="20"/>
                <w:szCs w:val="20"/>
                <w:color w:val="auto"/>
              </w:rPr>
            </w:pPr>
            <w:r>
              <w:rPr>
                <w:rFonts w:ascii="Arial" w:cs="Arial" w:eastAsia="Arial" w:hAnsi="Arial"/>
                <w:sz w:val="10"/>
                <w:szCs w:val="10"/>
                <w:color w:val="auto"/>
              </w:rPr>
              <w:t>Rochester</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2"/>
        </w:trPr>
        <w:tc>
          <w:tcPr>
            <w:tcW w:w="4640" w:type="dxa"/>
            <w:vAlign w:val="bottom"/>
            <w:tcBorders>
              <w:bottom w:val="single" w:sz="8" w:color="auto"/>
            </w:tcBorders>
          </w:tcPr>
          <w:p>
            <w:pPr>
              <w:spacing w:after="0" w:line="113" w:lineRule="exact"/>
              <w:rPr>
                <w:sz w:val="20"/>
                <w:szCs w:val="20"/>
                <w:color w:val="auto"/>
              </w:rPr>
            </w:pPr>
            <w:r>
              <w:rPr>
                <w:rFonts w:ascii="Arial" w:cs="Arial" w:eastAsia="Arial" w:hAnsi="Arial"/>
                <w:sz w:val="10"/>
                <w:szCs w:val="10"/>
                <w:color w:val="auto"/>
              </w:rPr>
              <w:t>Number of Stores:</w:t>
            </w:r>
          </w:p>
        </w:tc>
        <w:tc>
          <w:tcPr>
            <w:tcW w:w="120" w:type="dxa"/>
            <w:vAlign w:val="bottom"/>
            <w:tcBorders>
              <w:bottom w:val="single" w:sz="8" w:color="CFF0FC"/>
            </w:tcBorders>
          </w:tcPr>
          <w:p>
            <w:pPr>
              <w:spacing w:after="0"/>
              <w:rPr>
                <w:sz w:val="9"/>
                <w:szCs w:val="9"/>
                <w:color w:val="auto"/>
              </w:rPr>
            </w:pPr>
          </w:p>
        </w:tc>
        <w:tc>
          <w:tcPr>
            <w:tcW w:w="920" w:type="dxa"/>
            <w:vAlign w:val="bottom"/>
            <w:tcBorders>
              <w:bottom w:val="single" w:sz="8" w:color="auto"/>
            </w:tcBorders>
          </w:tcPr>
          <w:p>
            <w:pPr>
              <w:jc w:val="right"/>
              <w:ind w:right="301"/>
              <w:spacing w:after="0" w:line="113" w:lineRule="exact"/>
              <w:rPr>
                <w:sz w:val="20"/>
                <w:szCs w:val="20"/>
                <w:color w:val="auto"/>
              </w:rPr>
            </w:pPr>
            <w:r>
              <w:rPr>
                <w:rFonts w:ascii="Arial" w:cs="Arial" w:eastAsia="Arial" w:hAnsi="Arial"/>
                <w:sz w:val="10"/>
                <w:szCs w:val="10"/>
                <w:color w:val="auto"/>
              </w:rPr>
              <w:t>DXL</w:t>
            </w:r>
          </w:p>
        </w:tc>
        <w:tc>
          <w:tcPr>
            <w:tcW w:w="240" w:type="dxa"/>
            <w:vAlign w:val="bottom"/>
            <w:tcBorders>
              <w:bottom w:val="single" w:sz="8" w:color="CFF0FC"/>
            </w:tcBorders>
          </w:tcPr>
          <w:p>
            <w:pPr>
              <w:spacing w:after="0"/>
              <w:rPr>
                <w:sz w:val="9"/>
                <w:szCs w:val="9"/>
                <w:color w:val="auto"/>
              </w:rPr>
            </w:pPr>
          </w:p>
        </w:tc>
        <w:tc>
          <w:tcPr>
            <w:tcW w:w="740" w:type="dxa"/>
            <w:vAlign w:val="bottom"/>
            <w:tcBorders>
              <w:bottom w:val="single" w:sz="8" w:color="auto"/>
            </w:tcBorders>
          </w:tcPr>
          <w:p>
            <w:pPr>
              <w:ind w:left="200"/>
              <w:spacing w:after="0" w:line="113" w:lineRule="exact"/>
              <w:rPr>
                <w:sz w:val="20"/>
                <w:szCs w:val="20"/>
                <w:color w:val="auto"/>
              </w:rPr>
            </w:pPr>
            <w:r>
              <w:rPr>
                <w:rFonts w:ascii="Arial" w:cs="Arial" w:eastAsia="Arial" w:hAnsi="Arial"/>
                <w:sz w:val="10"/>
                <w:szCs w:val="10"/>
                <w:color w:val="auto"/>
                <w:w w:val="96"/>
              </w:rPr>
              <w:t>DXL Outlets</w:t>
            </w: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720" w:type="dxa"/>
            <w:vAlign w:val="bottom"/>
            <w:tcBorders>
              <w:bottom w:val="single" w:sz="8" w:color="auto"/>
            </w:tcBorders>
          </w:tcPr>
          <w:p>
            <w:pPr>
              <w:jc w:val="center"/>
              <w:ind w:left="132"/>
              <w:spacing w:after="0" w:line="113" w:lineRule="exact"/>
              <w:rPr>
                <w:sz w:val="20"/>
                <w:szCs w:val="20"/>
                <w:color w:val="auto"/>
              </w:rPr>
            </w:pPr>
            <w:r>
              <w:rPr>
                <w:rFonts w:ascii="Arial" w:cs="Arial" w:eastAsia="Arial" w:hAnsi="Arial"/>
                <w:sz w:val="10"/>
                <w:szCs w:val="10"/>
                <w:color w:val="auto"/>
                <w:w w:val="93"/>
              </w:rPr>
              <w:t>XL Retail</w:t>
            </w: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900" w:type="dxa"/>
            <w:vAlign w:val="bottom"/>
            <w:tcBorders>
              <w:bottom w:val="single" w:sz="8" w:color="auto"/>
            </w:tcBorders>
          </w:tcPr>
          <w:p>
            <w:pPr>
              <w:jc w:val="right"/>
              <w:ind w:right="183"/>
              <w:spacing w:after="0" w:line="113" w:lineRule="exact"/>
              <w:rPr>
                <w:sz w:val="20"/>
                <w:szCs w:val="20"/>
                <w:color w:val="auto"/>
              </w:rPr>
            </w:pPr>
            <w:r>
              <w:rPr>
                <w:rFonts w:ascii="Arial" w:cs="Arial" w:eastAsia="Arial" w:hAnsi="Arial"/>
                <w:sz w:val="10"/>
                <w:szCs w:val="10"/>
                <w:color w:val="auto"/>
              </w:rPr>
              <w:t>XL Outlets</w:t>
            </w:r>
          </w:p>
        </w:tc>
        <w:tc>
          <w:tcPr>
            <w:tcW w:w="220" w:type="dxa"/>
            <w:vAlign w:val="bottom"/>
            <w:tcBorders>
              <w:bottom w:val="single" w:sz="8" w:color="CFF0FC"/>
            </w:tcBorders>
          </w:tcPr>
          <w:p>
            <w:pPr>
              <w:spacing w:after="0"/>
              <w:rPr>
                <w:sz w:val="9"/>
                <w:szCs w:val="9"/>
                <w:color w:val="auto"/>
              </w:rPr>
            </w:pPr>
          </w:p>
        </w:tc>
        <w:tc>
          <w:tcPr>
            <w:tcW w:w="900" w:type="dxa"/>
            <w:vAlign w:val="bottom"/>
            <w:tcBorders>
              <w:bottom w:val="single" w:sz="8" w:color="auto"/>
            </w:tcBorders>
          </w:tcPr>
          <w:p>
            <w:pPr>
              <w:jc w:val="right"/>
              <w:ind w:right="223"/>
              <w:spacing w:after="0" w:line="113" w:lineRule="exact"/>
              <w:rPr>
                <w:sz w:val="20"/>
                <w:szCs w:val="20"/>
                <w:color w:val="auto"/>
              </w:rPr>
            </w:pPr>
            <w:r>
              <w:rPr>
                <w:rFonts w:ascii="Arial" w:cs="Arial" w:eastAsia="Arial" w:hAnsi="Arial"/>
                <w:sz w:val="10"/>
                <w:szCs w:val="10"/>
                <w:color w:val="auto"/>
              </w:rPr>
              <w:t>Clothing</w:t>
            </w:r>
          </w:p>
        </w:tc>
        <w:tc>
          <w:tcPr>
            <w:tcW w:w="220" w:type="dxa"/>
            <w:vAlign w:val="bottom"/>
            <w:tcBorders>
              <w:bottom w:val="single" w:sz="8" w:color="CFF0FC"/>
            </w:tcBorders>
          </w:tcPr>
          <w:p>
            <w:pPr>
              <w:spacing w:after="0"/>
              <w:rPr>
                <w:sz w:val="9"/>
                <w:szCs w:val="9"/>
                <w:color w:val="auto"/>
              </w:rPr>
            </w:pPr>
          </w:p>
        </w:tc>
        <w:tc>
          <w:tcPr>
            <w:tcW w:w="900" w:type="dxa"/>
            <w:vAlign w:val="bottom"/>
            <w:tcBorders>
              <w:bottom w:val="single" w:sz="8" w:color="auto"/>
            </w:tcBorders>
          </w:tcPr>
          <w:p>
            <w:pPr>
              <w:jc w:val="right"/>
              <w:ind w:right="161"/>
              <w:spacing w:after="0" w:line="113" w:lineRule="exact"/>
              <w:rPr>
                <w:sz w:val="20"/>
                <w:szCs w:val="20"/>
                <w:color w:val="auto"/>
              </w:rPr>
            </w:pPr>
            <w:r>
              <w:rPr>
                <w:rFonts w:ascii="Arial" w:cs="Arial" w:eastAsia="Arial" w:hAnsi="Arial"/>
                <w:sz w:val="10"/>
                <w:szCs w:val="10"/>
                <w:color w:val="auto"/>
              </w:rPr>
              <w:t>Total Stores</w:t>
            </w:r>
          </w:p>
        </w:tc>
        <w:tc>
          <w:tcPr>
            <w:tcW w:w="100" w:type="dxa"/>
            <w:vAlign w:val="bottom"/>
            <w:tcBorders>
              <w:bottom w:val="single" w:sz="8" w:color="CFF0FC"/>
            </w:tcBorders>
          </w:tcPr>
          <w:p>
            <w:pPr>
              <w:spacing w:after="0"/>
              <w:rPr>
                <w:sz w:val="9"/>
                <w:szCs w:val="9"/>
                <w:color w:val="auto"/>
              </w:rPr>
            </w:pPr>
          </w:p>
        </w:tc>
      </w:tr>
      <w:tr>
        <w:trPr>
          <w:trHeight w:val="143"/>
        </w:trPr>
        <w:tc>
          <w:tcPr>
            <w:tcW w:w="47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At February 2, 2019</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w:t>
            </w:r>
          </w:p>
        </w:tc>
        <w:tc>
          <w:tcPr>
            <w:tcW w:w="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2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332</w:t>
            </w:r>
          </w:p>
        </w:tc>
        <w:tc>
          <w:tcPr>
            <w:tcW w:w="100" w:type="dxa"/>
            <w:vAlign w:val="bottom"/>
            <w:shd w:val="clear" w:color="auto" w:fill="CFF0FC"/>
          </w:tcPr>
          <w:p>
            <w:pPr>
              <w:spacing w:after="0"/>
              <w:rPr>
                <w:sz w:val="12"/>
                <w:szCs w:val="12"/>
                <w:color w:val="auto"/>
              </w:rPr>
            </w:pPr>
          </w:p>
        </w:tc>
      </w:tr>
      <w:tr>
        <w:trPr>
          <w:trHeight w:val="172"/>
        </w:trPr>
        <w:tc>
          <w:tcPr>
            <w:tcW w:w="4760" w:type="dxa"/>
            <w:vAlign w:val="bottom"/>
            <w:gridSpan w:val="2"/>
          </w:tcPr>
          <w:p>
            <w:pPr>
              <w:ind w:left="160"/>
              <w:spacing w:after="0"/>
              <w:rPr>
                <w:sz w:val="20"/>
                <w:szCs w:val="20"/>
                <w:color w:val="auto"/>
              </w:rPr>
            </w:pPr>
            <w:r>
              <w:rPr>
                <w:rFonts w:ascii="Arial" w:cs="Arial" w:eastAsia="Arial" w:hAnsi="Arial"/>
                <w:sz w:val="12"/>
                <w:szCs w:val="12"/>
                <w:color w:val="auto"/>
              </w:rPr>
              <w:t>New stores</w:t>
            </w:r>
            <w:r>
              <w:rPr>
                <w:rFonts w:ascii="Arial" w:cs="Arial" w:eastAsia="Arial" w:hAnsi="Arial"/>
                <w:sz w:val="10"/>
                <w:szCs w:val="10"/>
                <w:color w:val="auto"/>
              </w:rPr>
              <w:t>(1)</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1140" w:type="dxa"/>
            <w:vAlign w:val="bottom"/>
            <w:gridSpan w:val="3"/>
          </w:tcPr>
          <w:p>
            <w:pPr>
              <w:jc w:val="right"/>
              <w:ind w:right="932"/>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72"/>
        </w:trPr>
        <w:tc>
          <w:tcPr>
            <w:tcW w:w="47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 xml:space="preserve">Rebranded stores </w:t>
            </w:r>
            <w:r>
              <w:rPr>
                <w:rFonts w:ascii="Arial" w:cs="Arial" w:eastAsia="Arial" w:hAnsi="Arial"/>
                <w:sz w:val="10"/>
                <w:szCs w:val="10"/>
                <w:color w:val="auto"/>
              </w:rPr>
              <w:t>(2)</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(4)</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r>
      <w:tr>
        <w:trPr>
          <w:trHeight w:val="154"/>
        </w:trPr>
        <w:tc>
          <w:tcPr>
            <w:tcW w:w="4760" w:type="dxa"/>
            <w:vAlign w:val="bottom"/>
            <w:gridSpan w:val="2"/>
          </w:tcPr>
          <w:p>
            <w:pPr>
              <w:ind w:left="160"/>
              <w:spacing w:after="0"/>
              <w:rPr>
                <w:sz w:val="20"/>
                <w:szCs w:val="20"/>
                <w:color w:val="auto"/>
              </w:rPr>
            </w:pPr>
            <w:r>
              <w:rPr>
                <w:rFonts w:ascii="Arial" w:cs="Arial" w:eastAsia="Arial" w:hAnsi="Arial"/>
                <w:sz w:val="12"/>
                <w:szCs w:val="12"/>
                <w:color w:val="auto"/>
              </w:rPr>
              <w:t>Replaced stores</w:t>
            </w:r>
            <w:r>
              <w:rPr>
                <w:rFonts w:ascii="Arial" w:cs="Arial" w:eastAsia="Arial" w:hAnsi="Arial"/>
                <w:sz w:val="10"/>
                <w:szCs w:val="10"/>
                <w:color w:val="auto"/>
              </w:rPr>
              <w:t>(3)</w:t>
            </w:r>
          </w:p>
        </w:tc>
        <w:tc>
          <w:tcPr>
            <w:tcW w:w="920" w:type="dxa"/>
            <w:vAlign w:val="bottom"/>
          </w:tcPr>
          <w:p>
            <w:pPr>
              <w:jc w:val="right"/>
              <w:spacing w:after="0"/>
              <w:rPr>
                <w:sz w:val="20"/>
                <w:szCs w:val="20"/>
                <w:color w:val="auto"/>
              </w:rPr>
            </w:pPr>
            <w:r>
              <w:rPr>
                <w:rFonts w:ascii="Arial" w:cs="Arial" w:eastAsia="Arial" w:hAnsi="Arial"/>
                <w:sz w:val="12"/>
                <w:szCs w:val="12"/>
                <w:color w:val="auto"/>
              </w:rPr>
              <w:t>1</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gridSpan w:val="3"/>
          </w:tcPr>
          <w:p>
            <w:pPr>
              <w:jc w:val="right"/>
              <w:ind w:right="932"/>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(1)</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54"/>
        </w:trPr>
        <w:tc>
          <w:tcPr>
            <w:tcW w:w="476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Closed retail stores</w:t>
            </w:r>
            <w:r>
              <w:rPr>
                <w:rFonts w:ascii="Arial" w:cs="Arial" w:eastAsia="Arial" w:hAnsi="Arial"/>
                <w:sz w:val="10"/>
                <w:szCs w:val="10"/>
                <w:color w:val="auto"/>
              </w:rPr>
              <w:t>(4)</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jc w:val="right"/>
              <w:ind w:right="932"/>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(2)</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w:t>
            </w:r>
          </w:p>
        </w:tc>
      </w:tr>
      <w:tr>
        <w:trPr>
          <w:trHeight w:val="143"/>
        </w:trPr>
        <w:tc>
          <w:tcPr>
            <w:tcW w:w="4760" w:type="dxa"/>
            <w:vAlign w:val="bottom"/>
            <w:gridSpan w:val="2"/>
          </w:tcPr>
          <w:p>
            <w:pPr>
              <w:spacing w:after="0"/>
              <w:rPr>
                <w:sz w:val="20"/>
                <w:szCs w:val="20"/>
                <w:color w:val="auto"/>
              </w:rPr>
            </w:pPr>
            <w:r>
              <w:rPr>
                <w:rFonts w:ascii="Arial" w:cs="Arial" w:eastAsia="Arial" w:hAnsi="Arial"/>
                <w:sz w:val="12"/>
                <w:szCs w:val="12"/>
                <w:color w:val="auto"/>
              </w:rPr>
              <w:t>At August 3,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221</w:t>
            </w:r>
          </w:p>
        </w:tc>
        <w:tc>
          <w:tcPr>
            <w:tcW w:w="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59</w:t>
            </w:r>
          </w:p>
        </w:tc>
        <w:tc>
          <w:tcPr>
            <w:tcW w:w="240" w:type="dxa"/>
            <w:vAlign w:val="bottom"/>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328</w:t>
            </w:r>
          </w:p>
        </w:tc>
        <w:tc>
          <w:tcPr>
            <w:tcW w:w="100" w:type="dxa"/>
            <w:vAlign w:val="bottom"/>
          </w:tcPr>
          <w:p>
            <w:pPr>
              <w:spacing w:after="0"/>
              <w:rPr>
                <w:sz w:val="12"/>
                <w:szCs w:val="12"/>
                <w:color w:val="auto"/>
              </w:rPr>
            </w:pPr>
          </w:p>
        </w:tc>
      </w:tr>
    </w:tbl>
    <w:p>
      <w:pPr>
        <w:spacing w:after="0" w:line="136" w:lineRule="exact"/>
        <w:rPr>
          <w:sz w:val="20"/>
          <w:szCs w:val="20"/>
          <w:color w:val="auto"/>
        </w:rPr>
      </w:pPr>
    </w:p>
    <w:p>
      <w:pPr>
        <w:ind w:left="508" w:hanging="508"/>
        <w:spacing w:after="0"/>
        <w:tabs>
          <w:tab w:leader="none" w:pos="508"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stores opened in new markets.</w:t>
      </w:r>
    </w:p>
    <w:p>
      <w:pPr>
        <w:spacing w:after="0" w:line="15" w:lineRule="exact"/>
        <w:rPr>
          <w:rFonts w:ascii="Arial" w:cs="Arial" w:eastAsia="Arial" w:hAnsi="Arial"/>
          <w:sz w:val="12"/>
          <w:szCs w:val="12"/>
          <w:color w:val="auto"/>
        </w:rPr>
      </w:pPr>
    </w:p>
    <w:p>
      <w:pPr>
        <w:ind w:left="508" w:hanging="508"/>
        <w:spacing w:after="0"/>
        <w:tabs>
          <w:tab w:leader="none" w:pos="508"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Casual Male XL stores that were remodeled and rebranded to DXL stores.</w:t>
      </w:r>
    </w:p>
    <w:p>
      <w:pPr>
        <w:spacing w:after="0" w:line="6" w:lineRule="exact"/>
        <w:rPr>
          <w:rFonts w:ascii="Arial" w:cs="Arial" w:eastAsia="Arial" w:hAnsi="Arial"/>
          <w:sz w:val="12"/>
          <w:szCs w:val="12"/>
          <w:color w:val="auto"/>
        </w:rPr>
      </w:pPr>
    </w:p>
    <w:p>
      <w:pPr>
        <w:ind w:left="508" w:hanging="508"/>
        <w:spacing w:after="0"/>
        <w:tabs>
          <w:tab w:leader="none" w:pos="508"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DXL stores opened in existing markets with the corresponding Casual Male XL stores closed in such markets in connection with those DXL store openings.</w:t>
      </w:r>
    </w:p>
    <w:p>
      <w:pPr>
        <w:spacing w:after="0" w:line="6" w:lineRule="exact"/>
        <w:rPr>
          <w:rFonts w:ascii="Arial" w:cs="Arial" w:eastAsia="Arial" w:hAnsi="Arial"/>
          <w:sz w:val="12"/>
          <w:szCs w:val="12"/>
          <w:color w:val="auto"/>
        </w:rPr>
      </w:pPr>
    </w:p>
    <w:p>
      <w:pPr>
        <w:ind w:left="508" w:hanging="508"/>
        <w:spacing w:after="0"/>
        <w:tabs>
          <w:tab w:leader="none" w:pos="508"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closed stores for which there were no corresponding openings in the same market.</w:t>
      </w:r>
    </w:p>
    <w:p>
      <w:pPr>
        <w:spacing w:after="0" w:line="143" w:lineRule="exact"/>
        <w:rPr>
          <w:sz w:val="20"/>
          <w:szCs w:val="20"/>
          <w:color w:val="auto"/>
        </w:rPr>
      </w:pPr>
    </w:p>
    <w:p>
      <w:pPr>
        <w:ind w:left="8" w:right="120"/>
        <w:spacing w:after="0" w:line="265" w:lineRule="auto"/>
        <w:rPr>
          <w:sz w:val="20"/>
          <w:szCs w:val="20"/>
          <w:color w:val="auto"/>
        </w:rPr>
      </w:pPr>
      <w:r>
        <w:rPr>
          <w:rFonts w:ascii="Arial" w:cs="Arial" w:eastAsia="Arial" w:hAnsi="Arial"/>
          <w:sz w:val="12"/>
          <w:szCs w:val="12"/>
          <w:color w:val="auto"/>
        </w:rPr>
        <w:t>Our capital expenditures for the first six months of fiscal 2019 were $7.6 million as compared to $7.4 million for the first six months of fiscal 2018. During the first six months of fiscal 2019, we opened one new DXL store, rebranded 4 Casual Male XL retail stores to DXL retail stores and one Casual Male XL outlet to a DXL outlet as compared to opening 2 DXL retail stores, 1 DXL outlet and 3 Casual Male XL stores rebranded to DXL stores during the first six months of fiscal 2018.</w:t>
      </w:r>
    </w:p>
    <w:p>
      <w:pPr>
        <w:spacing w:after="0" w:line="122" w:lineRule="exact"/>
        <w:rPr>
          <w:sz w:val="20"/>
          <w:szCs w:val="20"/>
          <w:color w:val="auto"/>
        </w:rPr>
      </w:pPr>
    </w:p>
    <w:p>
      <w:pPr>
        <w:ind w:left="8" w:right="140"/>
        <w:spacing w:after="0" w:line="279" w:lineRule="auto"/>
        <w:rPr>
          <w:sz w:val="20"/>
          <w:szCs w:val="20"/>
          <w:color w:val="auto"/>
        </w:rPr>
      </w:pPr>
      <w:r>
        <w:rPr>
          <w:rFonts w:ascii="Arial" w:cs="Arial" w:eastAsia="Arial" w:hAnsi="Arial"/>
          <w:sz w:val="12"/>
          <w:szCs w:val="12"/>
          <w:color w:val="auto"/>
        </w:rPr>
        <w:t>In the second half of fiscal 2019, we plan to open 1 new DXL retail store and remodel 8 Casual Male XL to DXL retail stores. In addition, we expect to close 2 Casual Male XL retail stores (1 of which will be closed in connection with the opening of the DXL store), 1 DXL store and our 3 remaining Rochester Clothing stores.</w:t>
      </w: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43180</wp:posOffset>
            </wp:positionV>
            <wp:extent cx="732853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8"/>
          </w:cols>
          <w:pgMar w:left="212" w:top="275" w:right="19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Effective February 3, 2019, the Company adopted ASU 2016-02, “Leases (Topic 842).” As a result of the adoption, we established our leases as right-of-use assets of $214.1 million and established corresponding lease liabilities of</w:t>
      </w:r>
    </w:p>
    <w:p>
      <w:pPr>
        <w:spacing w:after="0" w:line="27" w:lineRule="exact"/>
        <w:rPr>
          <w:sz w:val="20"/>
          <w:szCs w:val="20"/>
          <w:color w:val="auto"/>
        </w:rPr>
      </w:pPr>
    </w:p>
    <w:p>
      <w:pPr>
        <w:ind w:right="120"/>
        <w:spacing w:after="0" w:line="256" w:lineRule="auto"/>
        <w:rPr>
          <w:sz w:val="20"/>
          <w:szCs w:val="20"/>
          <w:color w:val="auto"/>
        </w:rPr>
      </w:pPr>
      <w:r>
        <w:rPr>
          <w:rFonts w:ascii="Arial" w:cs="Arial" w:eastAsia="Arial" w:hAnsi="Arial"/>
          <w:sz w:val="12"/>
          <w:szCs w:val="12"/>
          <w:color w:val="auto"/>
        </w:rPr>
        <w:t>$254.5 million on our Consolidated Balance Sheet at February 3, 2019. The $40.3 million difference between the right-of-use assets and lease liabilities was primarily attributable to the elimination of certain existing lease-related assets and liabilities as a net adjustment to the right-of-use assets. In the first six months of fiscal 2019, we recognized a net credit to opening accumulated deficit of $5.3 million to recognize: (i) the remaining deferred gain of $10.3 million from a sale-leaseback transaction (ii) the recognition of impairments, upon adoption, of certain right-to-use assets of $3.8 million and (iii) the write-off of initial direct costs of $1.2 million. See Note 1 to the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Non-GAAP Financial Measures</w:t>
      </w:r>
    </w:p>
    <w:p>
      <w:pPr>
        <w:spacing w:after="0" w:line="156" w:lineRule="exact"/>
        <w:rPr>
          <w:sz w:val="20"/>
          <w:szCs w:val="20"/>
          <w:color w:val="auto"/>
        </w:rPr>
      </w:pPr>
    </w:p>
    <w:p>
      <w:pPr>
        <w:spacing w:after="0" w:line="287" w:lineRule="auto"/>
        <w:rPr>
          <w:sz w:val="20"/>
          <w:szCs w:val="20"/>
          <w:color w:val="auto"/>
        </w:rPr>
      </w:pPr>
      <w:r>
        <w:rPr>
          <w:rFonts w:ascii="Arial" w:cs="Arial" w:eastAsia="Arial" w:hAnsi="Arial"/>
          <w:sz w:val="11"/>
          <w:szCs w:val="11"/>
          <w:color w:val="auto"/>
        </w:rPr>
        <w:t xml:space="preserve">Adjusted net income (loss), adjusted net (income) loss per diluted share, free cash flow and Adjusted EBITDA are non-GAAP measures. These non-GAAP measures are not presented in accordance with GAAP and should not be considered superior to or as a substitute for net loss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 Reconciliations of these non-GAAP measures are presented in the following tables </w:t>
      </w:r>
      <w:r>
        <w:rPr>
          <w:rFonts w:ascii="Arial" w:cs="Arial" w:eastAsia="Arial" w:hAnsi="Arial"/>
          <w:sz w:val="11"/>
          <w:szCs w:val="11"/>
          <w:i w:val="1"/>
          <w:iCs w:val="1"/>
          <w:color w:val="auto"/>
        </w:rPr>
        <w:t>(certain columns may not foot due to rounding)</w:t>
      </w:r>
      <w:r>
        <w:rPr>
          <w:rFonts w:ascii="Arial" w:cs="Arial" w:eastAsia="Arial" w:hAnsi="Arial"/>
          <w:sz w:val="11"/>
          <w:szCs w:val="11"/>
          <w:color w:val="auto"/>
        </w:rPr>
        <w:t>:</w:t>
      </w:r>
    </w:p>
    <w:p>
      <w:pPr>
        <w:spacing w:after="0" w:line="113" w:lineRule="exact"/>
        <w:rPr>
          <w:sz w:val="20"/>
          <w:szCs w:val="20"/>
          <w:color w:val="auto"/>
        </w:rPr>
      </w:pPr>
    </w:p>
    <w:p>
      <w:pPr>
        <w:ind w:right="20" w:firstLine="16"/>
        <w:spacing w:after="0" w:line="257" w:lineRule="auto"/>
        <w:rPr>
          <w:sz w:val="20"/>
          <w:szCs w:val="20"/>
          <w:color w:val="auto"/>
        </w:rPr>
      </w:pPr>
      <w:r>
        <w:rPr>
          <w:rFonts w:ascii="Arial" w:cs="Arial" w:eastAsia="Arial" w:hAnsi="Arial"/>
          <w:sz w:val="12"/>
          <w:szCs w:val="12"/>
          <w:i w:val="1"/>
          <w:iCs w:val="1"/>
          <w:u w:val="single" w:color="auto"/>
          <w:color w:val="auto"/>
        </w:rPr>
        <w:t>Adjusted net income (loss) and adjusted net income (loss) per diluted share</w:t>
      </w:r>
      <w:r>
        <w:rPr>
          <w:rFonts w:ascii="Arial" w:cs="Arial" w:eastAsia="Arial" w:hAnsi="Arial"/>
          <w:sz w:val="12"/>
          <w:szCs w:val="12"/>
          <w:color w:val="auto"/>
        </w:rPr>
        <w:t>. Adjusted net income (loss) and adjusted net income (loss) per share reflect an adjustment assuming a normal tax rate of 26% and the add-back of CEO transition</w:t>
      </w:r>
      <w:r>
        <w:rPr>
          <w:rFonts w:ascii="Arial" w:cs="Arial" w:eastAsia="Arial" w:hAnsi="Arial"/>
          <w:sz w:val="12"/>
          <w:szCs w:val="12"/>
          <w:i w:val="1"/>
          <w:iCs w:val="1"/>
          <w:color w:val="auto"/>
        </w:rPr>
        <w:t xml:space="preserve"> </w:t>
      </w:r>
      <w:r>
        <w:rPr>
          <w:rFonts w:ascii="Arial" w:cs="Arial" w:eastAsia="Arial" w:hAnsi="Arial"/>
          <w:sz w:val="12"/>
          <w:szCs w:val="12"/>
          <w:color w:val="auto"/>
        </w:rPr>
        <w:t>and corporate restructuring costs. We have fully reserved against our deferred tax assets and, therefore, net loss is not reflective of earnings assuming a “normal” tax position. Adjusted net income (loss) provides investors with a useful indication of the financial performance of the business, on a comparative basis, assuming a normalized tax rate of 26%.</w:t>
      </w:r>
    </w:p>
    <w:tbl>
      <w:tblPr>
        <w:tblLayout w:type="fixed"/>
        <w:tblInd w:w="0" w:type="dxa"/>
        <w:tblCellMar>
          <w:top w:w="0" w:type="dxa"/>
          <w:left w:w="0" w:type="dxa"/>
          <w:bottom w:w="0" w:type="dxa"/>
          <w:right w:w="0" w:type="dxa"/>
        </w:tblCellMar>
      </w:tblPr>
      <w:tr>
        <w:trPr>
          <w:trHeight w:val="106"/>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tcPr>
          <w:p>
            <w:pPr>
              <w:jc w:val="right"/>
              <w:ind w:right="440"/>
              <w:spacing w:after="0" w:line="106" w:lineRule="exact"/>
              <w:rPr>
                <w:sz w:val="20"/>
                <w:szCs w:val="20"/>
                <w:color w:val="auto"/>
              </w:rPr>
            </w:pPr>
            <w:r>
              <w:rPr>
                <w:rFonts w:ascii="Arial" w:cs="Arial" w:eastAsia="Arial" w:hAnsi="Arial"/>
                <w:sz w:val="10"/>
                <w:szCs w:val="10"/>
                <w:color w:val="auto"/>
                <w:w w:val="98"/>
              </w:rPr>
              <w:t>For the three months ended</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4"/>
          </w:tcPr>
          <w:p>
            <w:pPr>
              <w:jc w:val="right"/>
              <w:spacing w:after="0" w:line="106" w:lineRule="exact"/>
              <w:rPr>
                <w:sz w:val="20"/>
                <w:szCs w:val="20"/>
                <w:color w:val="auto"/>
              </w:rPr>
            </w:pPr>
            <w:r>
              <w:rPr>
                <w:rFonts w:ascii="Arial" w:cs="Arial" w:eastAsia="Arial" w:hAnsi="Arial"/>
                <w:sz w:val="10"/>
                <w:szCs w:val="10"/>
                <w:color w:val="auto"/>
              </w:rPr>
              <w:t>For the six months ended</w:t>
            </w: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40" w:type="dxa"/>
            <w:vAlign w:val="bottom"/>
            <w:gridSpan w:val="6"/>
          </w:tcPr>
          <w:p>
            <w:pPr>
              <w:ind w:left="60"/>
              <w:spacing w:after="0" w:line="113" w:lineRule="exact"/>
              <w:rPr>
                <w:sz w:val="20"/>
                <w:szCs w:val="20"/>
                <w:color w:val="auto"/>
              </w:rPr>
            </w:pPr>
            <w:r>
              <w:rPr>
                <w:rFonts w:ascii="Arial" w:cs="Arial" w:eastAsia="Arial" w:hAnsi="Arial"/>
                <w:sz w:val="10"/>
                <w:szCs w:val="10"/>
                <w:color w:val="auto"/>
              </w:rPr>
              <w:t>August 3, 2019</w:t>
            </w:r>
          </w:p>
        </w:tc>
        <w:tc>
          <w:tcPr>
            <w:tcW w:w="180" w:type="dxa"/>
            <w:vAlign w:val="bottom"/>
          </w:tcPr>
          <w:p>
            <w:pPr>
              <w:spacing w:after="0"/>
              <w:rPr>
                <w:sz w:val="9"/>
                <w:szCs w:val="9"/>
                <w:color w:val="auto"/>
              </w:rPr>
            </w:pPr>
          </w:p>
        </w:tc>
        <w:tc>
          <w:tcPr>
            <w:tcW w:w="1520" w:type="dxa"/>
            <w:vAlign w:val="bottom"/>
            <w:gridSpan w:val="5"/>
          </w:tcPr>
          <w:p>
            <w:pPr>
              <w:jc w:val="right"/>
              <w:ind w:right="620"/>
              <w:spacing w:after="0" w:line="113" w:lineRule="exact"/>
              <w:rPr>
                <w:sz w:val="20"/>
                <w:szCs w:val="20"/>
                <w:color w:val="auto"/>
              </w:rPr>
            </w:pPr>
            <w:r>
              <w:rPr>
                <w:rFonts w:ascii="Arial" w:cs="Arial" w:eastAsia="Arial" w:hAnsi="Arial"/>
                <w:sz w:val="10"/>
                <w:szCs w:val="10"/>
                <w:color w:val="auto"/>
              </w:rPr>
              <w:t>August 4, 2018</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gridSpan w:val="5"/>
          </w:tcPr>
          <w:p>
            <w:pPr>
              <w:jc w:val="right"/>
              <w:ind w:right="620"/>
              <w:spacing w:after="0" w:line="113" w:lineRule="exact"/>
              <w:rPr>
                <w:sz w:val="20"/>
                <w:szCs w:val="20"/>
                <w:color w:val="auto"/>
              </w:rPr>
            </w:pPr>
            <w:r>
              <w:rPr>
                <w:rFonts w:ascii="Arial" w:cs="Arial" w:eastAsia="Arial" w:hAnsi="Arial"/>
                <w:sz w:val="10"/>
                <w:szCs w:val="10"/>
                <w:color w:val="auto"/>
              </w:rPr>
              <w:t>August 3, 2019</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gridSpan w:val="5"/>
          </w:tcPr>
          <w:p>
            <w:pPr>
              <w:jc w:val="right"/>
              <w:ind w:right="620"/>
              <w:spacing w:after="0" w:line="113" w:lineRule="exact"/>
              <w:rPr>
                <w:sz w:val="20"/>
                <w:szCs w:val="20"/>
                <w:color w:val="auto"/>
              </w:rPr>
            </w:pPr>
            <w:r>
              <w:rPr>
                <w:rFonts w:ascii="Arial" w:cs="Arial" w:eastAsia="Arial" w:hAnsi="Arial"/>
                <w:sz w:val="10"/>
                <w:szCs w:val="10"/>
                <w:color w:val="auto"/>
                <w:w w:val="98"/>
              </w:rPr>
              <w:t>August 4, 2018</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jc w:val="center"/>
              <w:ind w:right="53"/>
              <w:spacing w:after="0" w:line="86" w:lineRule="exact"/>
              <w:rPr>
                <w:sz w:val="20"/>
                <w:szCs w:val="20"/>
                <w:color w:val="auto"/>
              </w:rPr>
            </w:pPr>
            <w:r>
              <w:rPr>
                <w:rFonts w:ascii="Arial" w:cs="Arial" w:eastAsia="Arial" w:hAnsi="Arial"/>
                <w:sz w:val="8"/>
                <w:szCs w:val="8"/>
                <w:color w:val="auto"/>
              </w:rPr>
              <w:t>Per diluted</w:t>
            </w:r>
          </w:p>
        </w:tc>
        <w:tc>
          <w:tcPr>
            <w:tcW w:w="2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93"/>
              <w:spacing w:after="0" w:line="86" w:lineRule="exact"/>
              <w:rPr>
                <w:sz w:val="20"/>
                <w:szCs w:val="20"/>
                <w:color w:val="auto"/>
              </w:rPr>
            </w:pPr>
            <w:r>
              <w:rPr>
                <w:rFonts w:ascii="Arial" w:cs="Arial" w:eastAsia="Arial" w:hAnsi="Arial"/>
                <w:sz w:val="8"/>
                <w:szCs w:val="8"/>
                <w:color w:val="auto"/>
              </w:rPr>
              <w:t>Per diluted</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right"/>
              <w:ind w:right="53"/>
              <w:spacing w:after="0" w:line="86" w:lineRule="exact"/>
              <w:rPr>
                <w:sz w:val="20"/>
                <w:szCs w:val="20"/>
                <w:color w:val="auto"/>
              </w:rPr>
            </w:pPr>
            <w:r>
              <w:rPr>
                <w:rFonts w:ascii="Arial" w:cs="Arial" w:eastAsia="Arial" w:hAnsi="Arial"/>
                <w:sz w:val="8"/>
                <w:szCs w:val="8"/>
                <w:color w:val="auto"/>
              </w:rPr>
              <w:t>Per diluted</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right"/>
              <w:ind w:right="73"/>
              <w:spacing w:after="0" w:line="86" w:lineRule="exact"/>
              <w:rPr>
                <w:sz w:val="20"/>
                <w:szCs w:val="20"/>
                <w:color w:val="auto"/>
              </w:rPr>
            </w:pPr>
            <w:r>
              <w:rPr>
                <w:rFonts w:ascii="Arial" w:cs="Arial" w:eastAsia="Arial" w:hAnsi="Arial"/>
                <w:sz w:val="8"/>
                <w:szCs w:val="8"/>
                <w:color w:val="auto"/>
              </w:rPr>
              <w:t>Per diluted</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3620" w:type="dxa"/>
            <w:vAlign w:val="bottom"/>
            <w:gridSpan w:val="3"/>
            <w:vMerge w:val="restart"/>
          </w:tcPr>
          <w:p>
            <w:pPr>
              <w:spacing w:after="0"/>
              <w:rPr>
                <w:sz w:val="20"/>
                <w:szCs w:val="20"/>
                <w:color w:val="auto"/>
              </w:rPr>
            </w:pPr>
            <w:r>
              <w:rPr>
                <w:rFonts w:ascii="Arial" w:cs="Arial" w:eastAsia="Arial" w:hAnsi="Arial"/>
                <w:sz w:val="10"/>
                <w:szCs w:val="10"/>
                <w:i w:val="1"/>
                <w:iCs w:val="1"/>
                <w:color w:val="auto"/>
              </w:rPr>
              <w:t>(in thousands, except per share data)</w:t>
            </w:r>
          </w:p>
        </w:tc>
        <w:tc>
          <w:tcPr>
            <w:tcW w:w="1240" w:type="dxa"/>
            <w:vAlign w:val="bottom"/>
            <w:gridSpan w:val="2"/>
          </w:tcPr>
          <w:p>
            <w:pPr>
              <w:jc w:val="right"/>
              <w:ind w:right="36"/>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320"/>
              <w:spacing w:after="0" w:line="113" w:lineRule="exact"/>
              <w:rPr>
                <w:sz w:val="20"/>
                <w:szCs w:val="20"/>
                <w:color w:val="auto"/>
              </w:rPr>
            </w:pPr>
            <w:r>
              <w:rPr>
                <w:rFonts w:ascii="Arial" w:cs="Arial" w:eastAsia="Arial" w:hAnsi="Arial"/>
                <w:sz w:val="10"/>
                <w:szCs w:val="10"/>
                <w:color w:val="auto"/>
                <w:w w:val="79"/>
              </w:rPr>
              <w:t>share</w:t>
            </w:r>
          </w:p>
        </w:tc>
        <w:tc>
          <w:tcPr>
            <w:tcW w:w="180" w:type="dxa"/>
            <w:vAlign w:val="bottom"/>
          </w:tcPr>
          <w:p>
            <w:pPr>
              <w:spacing w:after="0"/>
              <w:rPr>
                <w:sz w:val="9"/>
                <w:szCs w:val="9"/>
                <w:color w:val="auto"/>
              </w:rPr>
            </w:pPr>
          </w:p>
        </w:tc>
        <w:tc>
          <w:tcPr>
            <w:tcW w:w="460" w:type="dxa"/>
            <w:vAlign w:val="bottom"/>
          </w:tcPr>
          <w:p>
            <w:pPr>
              <w:jc w:val="right"/>
              <w:ind w:right="252"/>
              <w:spacing w:after="0" w:line="113" w:lineRule="exact"/>
              <w:rPr>
                <w:sz w:val="20"/>
                <w:szCs w:val="20"/>
                <w:color w:val="auto"/>
              </w:rPr>
            </w:pPr>
            <w:r>
              <w:rPr>
                <w:rFonts w:ascii="Arial" w:cs="Arial" w:eastAsia="Arial" w:hAnsi="Arial"/>
                <w:sz w:val="10"/>
                <w:szCs w:val="10"/>
                <w:color w:val="auto"/>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right"/>
              <w:ind w:right="380"/>
              <w:spacing w:after="0" w:line="113" w:lineRule="exact"/>
              <w:rPr>
                <w:sz w:val="20"/>
                <w:szCs w:val="20"/>
                <w:color w:val="auto"/>
              </w:rPr>
            </w:pPr>
            <w:r>
              <w:rPr>
                <w:rFonts w:ascii="Arial" w:cs="Arial" w:eastAsia="Arial" w:hAnsi="Arial"/>
                <w:sz w:val="10"/>
                <w:szCs w:val="10"/>
                <w:color w:val="auto"/>
              </w:rPr>
              <w:t>share</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jc w:val="right"/>
              <w:ind w:right="272"/>
              <w:spacing w:after="0" w:line="113"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right"/>
              <w:ind w:right="340"/>
              <w:spacing w:after="0" w:line="113" w:lineRule="exact"/>
              <w:rPr>
                <w:sz w:val="20"/>
                <w:szCs w:val="20"/>
                <w:color w:val="auto"/>
              </w:rPr>
            </w:pPr>
            <w:r>
              <w:rPr>
                <w:rFonts w:ascii="Arial" w:cs="Arial" w:eastAsia="Arial" w:hAnsi="Arial"/>
                <w:sz w:val="10"/>
                <w:szCs w:val="10"/>
                <w:color w:val="auto"/>
              </w:rPr>
              <w:t>share</w:t>
            </w:r>
          </w:p>
        </w:tc>
        <w:tc>
          <w:tcPr>
            <w:tcW w:w="500" w:type="dxa"/>
            <w:vAlign w:val="bottom"/>
            <w:gridSpan w:val="2"/>
          </w:tcPr>
          <w:p>
            <w:pPr>
              <w:jc w:val="right"/>
              <w:spacing w:after="0" w:line="113"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340"/>
              <w:spacing w:after="0" w:line="113" w:lineRule="exact"/>
              <w:rPr>
                <w:sz w:val="20"/>
                <w:szCs w:val="20"/>
                <w:color w:val="auto"/>
              </w:rPr>
            </w:pPr>
            <w:r>
              <w:rPr>
                <w:rFonts w:ascii="Arial" w:cs="Arial" w:eastAsia="Arial" w:hAnsi="Arial"/>
                <w:sz w:val="10"/>
                <w:szCs w:val="10"/>
                <w:color w:val="auto"/>
              </w:rPr>
              <w:t>share</w:t>
            </w:r>
          </w:p>
        </w:tc>
        <w:tc>
          <w:tcPr>
            <w:tcW w:w="0" w:type="dxa"/>
            <w:vAlign w:val="bottom"/>
          </w:tcPr>
          <w:p>
            <w:pPr>
              <w:spacing w:after="0"/>
              <w:rPr>
                <w:sz w:val="1"/>
                <w:szCs w:val="1"/>
                <w:color w:val="auto"/>
              </w:rPr>
            </w:pPr>
          </w:p>
        </w:tc>
      </w:tr>
      <w:tr>
        <w:trPr>
          <w:trHeight w:val="89"/>
        </w:trPr>
        <w:tc>
          <w:tcPr>
            <w:tcW w:w="3620" w:type="dxa"/>
            <w:vAlign w:val="bottom"/>
            <w:gridSpan w:val="3"/>
            <w:vMerge w:val="continue"/>
          </w:tcPr>
          <w:p>
            <w:pPr>
              <w:spacing w:after="0"/>
              <w:rPr>
                <w:sz w:val="7"/>
                <w:szCs w:val="7"/>
                <w:color w:val="auto"/>
              </w:rPr>
            </w:pPr>
          </w:p>
        </w:tc>
        <w:tc>
          <w:tcPr>
            <w:tcW w:w="86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400" w:type="dxa"/>
            <w:vAlign w:val="bottom"/>
            <w:tcBorders>
              <w:top w:val="single" w:sz="8" w:color="auto"/>
            </w:tcBorders>
            <w:shd w:val="clear" w:color="auto" w:fill="CFF0FC"/>
          </w:tcPr>
          <w:p>
            <w:pPr>
              <w:spacing w:after="0" w:line="98" w:lineRule="exact"/>
              <w:rPr>
                <w:sz w:val="20"/>
                <w:szCs w:val="20"/>
                <w:color w:val="auto"/>
              </w:rPr>
            </w:pPr>
            <w:r>
              <w:rPr>
                <w:rFonts w:ascii="Arial" w:cs="Arial" w:eastAsia="Arial" w:hAnsi="Arial"/>
                <w:sz w:val="10"/>
                <w:szCs w:val="10"/>
                <w:color w:val="auto"/>
                <w:w w:val="97"/>
              </w:rPr>
              <w:t>Net income (loss) (GAAP basis)</w:t>
            </w:r>
          </w:p>
        </w:tc>
        <w:tc>
          <w:tcPr>
            <w:tcW w:w="2200" w:type="dxa"/>
            <w:vAlign w:val="bottom"/>
            <w:shd w:val="clear" w:color="auto" w:fill="CFF0FC"/>
          </w:tcPr>
          <w:p>
            <w:pPr>
              <w:spacing w:after="0"/>
              <w:rPr>
                <w:sz w:val="8"/>
                <w:szCs w:val="8"/>
                <w:color w:val="auto"/>
              </w:rPr>
            </w:pPr>
          </w:p>
        </w:tc>
        <w:tc>
          <w:tcPr>
            <w:tcW w:w="1240" w:type="dxa"/>
            <w:vAlign w:val="bottom"/>
            <w:gridSpan w:val="2"/>
            <w:shd w:val="clear" w:color="auto" w:fill="CFF0FC"/>
          </w:tcPr>
          <w:p>
            <w:pPr>
              <w:jc w:val="right"/>
              <w:ind w:right="316"/>
              <w:spacing w:after="0" w:line="98" w:lineRule="exact"/>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jc w:val="right"/>
              <w:spacing w:after="0" w:line="98" w:lineRule="exact"/>
              <w:rPr>
                <w:sz w:val="20"/>
                <w:szCs w:val="20"/>
                <w:color w:val="auto"/>
              </w:rPr>
            </w:pPr>
            <w:r>
              <w:rPr>
                <w:rFonts w:ascii="Arial" w:cs="Arial" w:eastAsia="Arial" w:hAnsi="Arial"/>
                <w:sz w:val="10"/>
                <w:szCs w:val="10"/>
                <w:color w:val="auto"/>
              </w:rPr>
              <w:t>38</w:t>
            </w:r>
          </w:p>
        </w:tc>
        <w:tc>
          <w:tcPr>
            <w:tcW w:w="140" w:type="dxa"/>
            <w:vAlign w:val="bottom"/>
            <w:shd w:val="clear" w:color="auto" w:fill="CFF0FC"/>
          </w:tcPr>
          <w:p>
            <w:pPr>
              <w:spacing w:after="0"/>
              <w:rPr>
                <w:sz w:val="8"/>
                <w:szCs w:val="8"/>
                <w:color w:val="auto"/>
              </w:rPr>
            </w:pPr>
          </w:p>
        </w:tc>
        <w:tc>
          <w:tcPr>
            <w:tcW w:w="180" w:type="dxa"/>
            <w:vAlign w:val="bottom"/>
            <w:gridSpan w:val="2"/>
            <w:shd w:val="clear" w:color="auto" w:fill="CFF0FC"/>
          </w:tcPr>
          <w:p>
            <w:pPr>
              <w:jc w:val="right"/>
              <w:spacing w:after="0" w:line="98" w:lineRule="exact"/>
              <w:rPr>
                <w:sz w:val="20"/>
                <w:szCs w:val="20"/>
                <w:color w:val="auto"/>
              </w:rPr>
            </w:pPr>
            <w:r>
              <w:rPr>
                <w:rFonts w:ascii="Arial" w:cs="Arial" w:eastAsia="Arial" w:hAnsi="Arial"/>
                <w:sz w:val="10"/>
                <w:szCs w:val="10"/>
                <w:color w:val="auto"/>
              </w:rPr>
              <w:t>$</w:t>
            </w:r>
          </w:p>
        </w:tc>
        <w:tc>
          <w:tcPr>
            <w:tcW w:w="560" w:type="dxa"/>
            <w:vAlign w:val="bottom"/>
            <w:shd w:val="clear" w:color="auto" w:fill="CFF0FC"/>
          </w:tcPr>
          <w:p>
            <w:pPr>
              <w:jc w:val="right"/>
              <w:spacing w:after="0" w:line="98" w:lineRule="exact"/>
              <w:rPr>
                <w:sz w:val="20"/>
                <w:szCs w:val="20"/>
                <w:color w:val="auto"/>
              </w:rPr>
            </w:pPr>
            <w:r>
              <w:rPr>
                <w:rFonts w:ascii="Arial" w:cs="Arial" w:eastAsia="Arial" w:hAnsi="Arial"/>
                <w:sz w:val="10"/>
                <w:szCs w:val="10"/>
                <w:color w:val="auto"/>
              </w:rPr>
              <w:t>0.00</w:t>
            </w:r>
          </w:p>
        </w:tc>
        <w:tc>
          <w:tcPr>
            <w:tcW w:w="240" w:type="dxa"/>
            <w:vAlign w:val="bottom"/>
            <w:shd w:val="clear" w:color="auto" w:fill="CFF0FC"/>
          </w:tcPr>
          <w:p>
            <w:pPr>
              <w:spacing w:after="0"/>
              <w:rPr>
                <w:sz w:val="8"/>
                <w:szCs w:val="8"/>
                <w:color w:val="auto"/>
              </w:rPr>
            </w:pPr>
          </w:p>
        </w:tc>
        <w:tc>
          <w:tcPr>
            <w:tcW w:w="180" w:type="dxa"/>
            <w:vAlign w:val="bottom"/>
            <w:shd w:val="clear" w:color="auto" w:fill="CFF0FC"/>
          </w:tcPr>
          <w:p>
            <w:pPr>
              <w:jc w:val="right"/>
              <w:ind w:right="72"/>
              <w:spacing w:after="0" w:line="9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200"/>
              <w:spacing w:after="0" w:line="98" w:lineRule="exact"/>
              <w:rPr>
                <w:sz w:val="20"/>
                <w:szCs w:val="20"/>
                <w:color w:val="auto"/>
              </w:rPr>
            </w:pPr>
            <w:r>
              <w:rPr>
                <w:rFonts w:ascii="Arial" w:cs="Arial" w:eastAsia="Arial" w:hAnsi="Arial"/>
                <w:sz w:val="10"/>
                <w:szCs w:val="10"/>
                <w:color w:val="auto"/>
              </w:rPr>
              <w:t>(1,185)</w:t>
            </w:r>
          </w:p>
        </w:tc>
        <w:tc>
          <w:tcPr>
            <w:tcW w:w="80" w:type="dxa"/>
            <w:vAlign w:val="bottom"/>
            <w:shd w:val="clear" w:color="auto" w:fill="CFF0FC"/>
          </w:tcPr>
          <w:p>
            <w:pPr>
              <w:jc w:val="right"/>
              <w:spacing w:after="0" w:line="9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FF0FC"/>
          </w:tcPr>
          <w:p>
            <w:pPr>
              <w:jc w:val="right"/>
              <w:ind w:right="120"/>
              <w:spacing w:after="0" w:line="98" w:lineRule="exact"/>
              <w:rPr>
                <w:sz w:val="20"/>
                <w:szCs w:val="20"/>
                <w:color w:val="auto"/>
              </w:rPr>
            </w:pPr>
            <w:r>
              <w:rPr>
                <w:rFonts w:ascii="Arial" w:cs="Arial" w:eastAsia="Arial" w:hAnsi="Arial"/>
                <w:sz w:val="10"/>
                <w:szCs w:val="10"/>
                <w:color w:val="auto"/>
              </w:rPr>
              <w:t>(0.02)</w:t>
            </w:r>
          </w:p>
        </w:tc>
        <w:tc>
          <w:tcPr>
            <w:tcW w:w="280" w:type="dxa"/>
            <w:vAlign w:val="bottom"/>
            <w:gridSpan w:val="2"/>
            <w:shd w:val="clear" w:color="auto" w:fill="CFF0FC"/>
          </w:tcPr>
          <w:p>
            <w:pPr>
              <w:jc w:val="right"/>
              <w:ind w:right="116"/>
              <w:spacing w:after="0" w:line="98"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FF0FC"/>
          </w:tcPr>
          <w:p>
            <w:pPr>
              <w:jc w:val="right"/>
              <w:ind w:right="220"/>
              <w:spacing w:after="0" w:line="98" w:lineRule="exact"/>
              <w:rPr>
                <w:sz w:val="20"/>
                <w:szCs w:val="20"/>
                <w:color w:val="auto"/>
              </w:rPr>
            </w:pPr>
            <w:r>
              <w:rPr>
                <w:rFonts w:ascii="Arial" w:cs="Arial" w:eastAsia="Arial" w:hAnsi="Arial"/>
                <w:sz w:val="10"/>
                <w:szCs w:val="10"/>
                <w:color w:val="auto"/>
              </w:rPr>
              <w:t>(3,043)</w:t>
            </w: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gridSpan w:val="2"/>
            <w:shd w:val="clear" w:color="auto" w:fill="CFF0FC"/>
          </w:tcPr>
          <w:p>
            <w:pPr>
              <w:jc w:val="right"/>
              <w:ind w:right="120"/>
              <w:spacing w:after="0" w:line="98" w:lineRule="exact"/>
              <w:rPr>
                <w:sz w:val="20"/>
                <w:szCs w:val="20"/>
                <w:color w:val="auto"/>
              </w:rPr>
            </w:pPr>
            <w:r>
              <w:rPr>
                <w:rFonts w:ascii="Arial" w:cs="Arial" w:eastAsia="Arial" w:hAnsi="Arial"/>
                <w:sz w:val="10"/>
                <w:szCs w:val="10"/>
                <w:color w:val="auto"/>
              </w:rPr>
              <w:t>(0.06)</w:t>
            </w:r>
          </w:p>
        </w:tc>
        <w:tc>
          <w:tcPr>
            <w:tcW w:w="500" w:type="dxa"/>
            <w:vAlign w:val="bottom"/>
            <w:gridSpan w:val="2"/>
            <w:shd w:val="clear" w:color="auto" w:fill="CFF0FC"/>
          </w:tcPr>
          <w:p>
            <w:pPr>
              <w:jc w:val="right"/>
              <w:ind w:right="292"/>
              <w:spacing w:after="0" w:line="9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FF0FC"/>
          </w:tcPr>
          <w:p>
            <w:pPr>
              <w:jc w:val="right"/>
              <w:ind w:right="200"/>
              <w:spacing w:after="0" w:line="98" w:lineRule="exact"/>
              <w:rPr>
                <w:sz w:val="20"/>
                <w:szCs w:val="20"/>
                <w:color w:val="auto"/>
              </w:rPr>
            </w:pPr>
            <w:r>
              <w:rPr>
                <w:rFonts w:ascii="Arial" w:cs="Arial" w:eastAsia="Arial" w:hAnsi="Arial"/>
                <w:sz w:val="10"/>
                <w:szCs w:val="10"/>
                <w:color w:val="auto"/>
                <w:w w:val="94"/>
              </w:rPr>
              <w:t>(4,295)</w:t>
            </w:r>
          </w:p>
        </w:tc>
        <w:tc>
          <w:tcPr>
            <w:tcW w:w="80" w:type="dxa"/>
            <w:vAlign w:val="bottom"/>
            <w:shd w:val="clear" w:color="auto" w:fill="CFF0FC"/>
          </w:tcPr>
          <w:p>
            <w:pPr>
              <w:jc w:val="right"/>
              <w:spacing w:after="0" w:line="9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80"/>
              <w:spacing w:after="0" w:line="98" w:lineRule="exact"/>
              <w:rPr>
                <w:sz w:val="20"/>
                <w:szCs w:val="20"/>
                <w:color w:val="auto"/>
              </w:rPr>
            </w:pPr>
            <w:r>
              <w:rPr>
                <w:rFonts w:ascii="Arial" w:cs="Arial" w:eastAsia="Arial" w:hAnsi="Arial"/>
                <w:sz w:val="10"/>
                <w:szCs w:val="10"/>
                <w:color w:val="auto"/>
              </w:rPr>
              <w:t>(0.09)</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0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Adjust:</w:t>
            </w: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00" w:type="dxa"/>
            <w:vAlign w:val="bottom"/>
            <w:gridSpan w:val="2"/>
            <w:shd w:val="clear" w:color="auto" w:fill="CFF0FC"/>
          </w:tcPr>
          <w:p>
            <w:pPr>
              <w:spacing w:after="0" w:line="109" w:lineRule="exact"/>
              <w:rPr>
                <w:sz w:val="20"/>
                <w:szCs w:val="20"/>
                <w:color w:val="auto"/>
              </w:rPr>
            </w:pPr>
            <w:r>
              <w:rPr>
                <w:rFonts w:ascii="Arial" w:cs="Arial" w:eastAsia="Arial" w:hAnsi="Arial"/>
                <w:sz w:val="10"/>
                <w:szCs w:val="10"/>
                <w:color w:val="auto"/>
              </w:rPr>
              <w:t>CEO transition costs</w:t>
            </w:r>
          </w:p>
        </w:tc>
        <w:tc>
          <w:tcPr>
            <w:tcW w:w="8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0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702</w:t>
            </w:r>
          </w:p>
        </w:tc>
        <w:tc>
          <w:tcPr>
            <w:tcW w:w="2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130</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00" w:type="dxa"/>
            <w:vAlign w:val="bottom"/>
            <w:gridSpan w:val="2"/>
          </w:tcPr>
          <w:p>
            <w:pPr>
              <w:spacing w:after="0" w:line="109" w:lineRule="exact"/>
              <w:rPr>
                <w:sz w:val="20"/>
                <w:szCs w:val="20"/>
                <w:color w:val="auto"/>
              </w:rPr>
            </w:pPr>
            <w:r>
              <w:rPr>
                <w:rFonts w:ascii="Arial" w:cs="Arial" w:eastAsia="Arial" w:hAnsi="Arial"/>
                <w:sz w:val="10"/>
                <w:szCs w:val="10"/>
                <w:color w:val="auto"/>
              </w:rPr>
              <w:t>Corporate restructuring</w:t>
            </w: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jc w:val="right"/>
              <w:spacing w:after="0" w:line="109" w:lineRule="exact"/>
              <w:rPr>
                <w:sz w:val="20"/>
                <w:szCs w:val="20"/>
                <w:color w:val="auto"/>
              </w:rPr>
            </w:pPr>
            <w:r>
              <w:rPr>
                <w:rFonts w:ascii="Arial" w:cs="Arial" w:eastAsia="Arial" w:hAnsi="Arial"/>
                <w:sz w:val="10"/>
                <w:szCs w:val="10"/>
                <w:color w:val="auto"/>
              </w:rPr>
              <w:t>1,570</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Arial" w:cs="Arial" w:eastAsia="Arial" w:hAnsi="Arial"/>
                <w:sz w:val="10"/>
                <w:szCs w:val="10"/>
                <w:color w:val="auto"/>
              </w:rPr>
              <w:t>1,630</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00" w:type="dxa"/>
            <w:vAlign w:val="bottom"/>
            <w:gridSpan w:val="2"/>
            <w:shd w:val="clear" w:color="auto" w:fill="CFF0FC"/>
          </w:tcPr>
          <w:p>
            <w:pPr>
              <w:spacing w:after="0" w:line="109" w:lineRule="exact"/>
              <w:rPr>
                <w:sz w:val="20"/>
                <w:szCs w:val="20"/>
                <w:color w:val="auto"/>
              </w:rPr>
            </w:pPr>
            <w:r>
              <w:rPr>
                <w:rFonts w:ascii="Arial" w:cs="Arial" w:eastAsia="Arial" w:hAnsi="Arial"/>
                <w:sz w:val="10"/>
                <w:szCs w:val="10"/>
                <w:color w:val="auto"/>
              </w:rPr>
              <w:t>Add back actual income tax provision (benefit)</w:t>
            </w:r>
          </w:p>
        </w:tc>
        <w:tc>
          <w:tcPr>
            <w:tcW w:w="8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360" w:type="dxa"/>
            <w:vAlign w:val="bottom"/>
            <w:gridSpan w:val="2"/>
            <w:shd w:val="clear" w:color="auto" w:fill="CFF0FC"/>
          </w:tcPr>
          <w:p>
            <w:pPr>
              <w:jc w:val="right"/>
              <w:ind w:right="100"/>
              <w:spacing w:after="0" w:line="109" w:lineRule="exact"/>
              <w:rPr>
                <w:sz w:val="20"/>
                <w:szCs w:val="20"/>
                <w:color w:val="auto"/>
              </w:rPr>
            </w:pPr>
            <w:r>
              <w:rPr>
                <w:rFonts w:ascii="Arial" w:cs="Arial" w:eastAsia="Arial" w:hAnsi="Arial"/>
                <w:sz w:val="10"/>
                <w:szCs w:val="10"/>
                <w:color w:val="auto"/>
              </w:rPr>
              <w:t>(8)</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6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5</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60" w:type="dxa"/>
            <w:vAlign w:val="bottom"/>
            <w:gridSpan w:val="2"/>
            <w:shd w:val="clear" w:color="auto" w:fill="CFF0FC"/>
          </w:tcPr>
          <w:p>
            <w:pPr>
              <w:jc w:val="right"/>
              <w:ind w:right="220"/>
              <w:spacing w:after="0" w:line="109" w:lineRule="exact"/>
              <w:rPr>
                <w:sz w:val="20"/>
                <w:szCs w:val="20"/>
                <w:color w:val="auto"/>
              </w:rPr>
            </w:pPr>
            <w:r>
              <w:rPr>
                <w:rFonts w:ascii="Arial" w:cs="Arial" w:eastAsia="Arial" w:hAnsi="Arial"/>
                <w:sz w:val="10"/>
                <w:szCs w:val="10"/>
                <w:color w:val="auto"/>
              </w:rPr>
              <w:t>(29)</w:t>
            </w: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3</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00" w:type="dxa"/>
            <w:vAlign w:val="bottom"/>
            <w:gridSpan w:val="2"/>
          </w:tcPr>
          <w:p>
            <w:pPr>
              <w:spacing w:after="0" w:line="109" w:lineRule="exact"/>
              <w:rPr>
                <w:sz w:val="20"/>
                <w:szCs w:val="20"/>
                <w:color w:val="auto"/>
              </w:rPr>
            </w:pPr>
            <w:r>
              <w:rPr>
                <w:rFonts w:ascii="Arial" w:cs="Arial" w:eastAsia="Arial" w:hAnsi="Arial"/>
                <w:sz w:val="10"/>
                <w:szCs w:val="10"/>
                <w:color w:val="auto"/>
              </w:rPr>
              <w:t>Add income tax benefit (provision), assuming a normal tax rate of 26%</w:t>
            </w: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(101)</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jc w:val="right"/>
              <w:spacing w:after="0" w:line="109" w:lineRule="exact"/>
              <w:rPr>
                <w:sz w:val="20"/>
                <w:szCs w:val="20"/>
                <w:color w:val="auto"/>
              </w:rPr>
            </w:pPr>
            <w:r>
              <w:rPr>
                <w:rFonts w:ascii="Arial" w:cs="Arial" w:eastAsia="Arial" w:hAnsi="Arial"/>
                <w:sz w:val="10"/>
                <w:szCs w:val="10"/>
                <w:color w:val="auto"/>
              </w:rPr>
              <w:t>616</w:t>
            </w: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jc w:val="right"/>
              <w:spacing w:after="0" w:line="109" w:lineRule="exact"/>
              <w:rPr>
                <w:sz w:val="20"/>
                <w:szCs w:val="20"/>
                <w:color w:val="auto"/>
              </w:rPr>
            </w:pPr>
            <w:r>
              <w:rPr>
                <w:rFonts w:ascii="Arial" w:cs="Arial" w:eastAsia="Arial" w:hAnsi="Arial"/>
                <w:sz w:val="10"/>
                <w:szCs w:val="10"/>
                <w:color w:val="auto"/>
              </w:rPr>
              <w:t>658</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22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380" w:type="dxa"/>
            <w:vAlign w:val="bottom"/>
            <w:tcBorders>
              <w:bottom w:val="single" w:sz="8" w:color="auto"/>
            </w:tcBorders>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56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46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600" w:type="dxa"/>
            <w:vAlign w:val="bottom"/>
            <w:tcBorders>
              <w:bottom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tcBorders>
              <w:bottom w:val="single" w:sz="8" w:color="auto"/>
            </w:tcBorders>
            <w:shd w:val="clear" w:color="auto" w:fill="CFF0FC"/>
          </w:tcPr>
          <w:p>
            <w:pPr>
              <w:spacing w:after="0"/>
              <w:rPr>
                <w:sz w:val="9"/>
                <w:szCs w:val="9"/>
                <w:color w:val="auto"/>
              </w:rPr>
            </w:pPr>
          </w:p>
        </w:tc>
        <w:tc>
          <w:tcPr>
            <w:tcW w:w="500" w:type="dxa"/>
            <w:vAlign w:val="bottom"/>
            <w:tcBorders>
              <w:bottom w:val="single" w:sz="8" w:color="auto"/>
            </w:tcBorders>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0" w:type="dxa"/>
            <w:vAlign w:val="bottom"/>
            <w:tcBorders>
              <w:bottom w:val="single" w:sz="8" w:color="auto"/>
            </w:tcBorders>
            <w:shd w:val="clear" w:color="auto" w:fill="CFF0FC"/>
          </w:tcPr>
          <w:p>
            <w:pPr>
              <w:spacing w:after="0"/>
              <w:rPr>
                <w:sz w:val="9"/>
                <w:szCs w:val="9"/>
                <w:color w:val="auto"/>
              </w:rPr>
            </w:pPr>
          </w:p>
        </w:tc>
        <w:tc>
          <w:tcPr>
            <w:tcW w:w="540" w:type="dxa"/>
            <w:vAlign w:val="bottom"/>
            <w:tcBorders>
              <w:bottom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tcBorders>
              <w:bottom w:val="single" w:sz="8" w:color="auto"/>
            </w:tcBorders>
            <w:shd w:val="clear" w:color="auto" w:fill="CFF0FC"/>
          </w:tcPr>
          <w:p>
            <w:pPr>
              <w:spacing w:after="0"/>
              <w:rPr>
                <w:sz w:val="9"/>
                <w:szCs w:val="9"/>
                <w:color w:val="auto"/>
              </w:rPr>
            </w:pPr>
          </w:p>
        </w:tc>
        <w:tc>
          <w:tcPr>
            <w:tcW w:w="28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580" w:type="dxa"/>
            <w:vAlign w:val="bottom"/>
            <w:tcBorders>
              <w:bottom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620" w:type="dxa"/>
            <w:vAlign w:val="bottom"/>
            <w:gridSpan w:val="3"/>
          </w:tcPr>
          <w:p>
            <w:pPr>
              <w:spacing w:after="0" w:line="98" w:lineRule="exact"/>
              <w:rPr>
                <w:sz w:val="20"/>
                <w:szCs w:val="20"/>
                <w:color w:val="auto"/>
              </w:rPr>
            </w:pPr>
            <w:r>
              <w:rPr>
                <w:rFonts w:ascii="Arial" w:cs="Arial" w:eastAsia="Arial" w:hAnsi="Arial"/>
                <w:sz w:val="10"/>
                <w:szCs w:val="10"/>
                <w:color w:val="auto"/>
              </w:rPr>
              <w:t>Adjusted net income (loss) (non-GAAP basis)</w:t>
            </w:r>
          </w:p>
        </w:tc>
        <w:tc>
          <w:tcPr>
            <w:tcW w:w="860" w:type="dxa"/>
            <w:vAlign w:val="bottom"/>
          </w:tcPr>
          <w:p>
            <w:pPr>
              <w:spacing w:after="0"/>
              <w:rPr>
                <w:sz w:val="8"/>
                <w:szCs w:val="8"/>
                <w:color w:val="auto"/>
              </w:rPr>
            </w:pPr>
          </w:p>
        </w:tc>
        <w:tc>
          <w:tcPr>
            <w:tcW w:w="380" w:type="dxa"/>
            <w:vAlign w:val="bottom"/>
          </w:tcPr>
          <w:p>
            <w:pPr>
              <w:jc w:val="right"/>
              <w:ind w:right="316"/>
              <w:spacing w:after="0"/>
              <w:rPr>
                <w:sz w:val="20"/>
                <w:szCs w:val="20"/>
                <w:color w:val="auto"/>
              </w:rPr>
            </w:pPr>
            <w:r>
              <w:rPr>
                <w:rFonts w:ascii="Arial" w:cs="Arial" w:eastAsia="Arial" w:hAnsi="Arial"/>
                <w:sz w:val="5"/>
                <w:szCs w:val="5"/>
                <w:color w:val="auto"/>
                <w:w w:val="70"/>
              </w:rPr>
              <w:t>$</w:t>
            </w:r>
          </w:p>
        </w:tc>
        <w:tc>
          <w:tcPr>
            <w:tcW w:w="220" w:type="dxa"/>
            <w:vAlign w:val="bottom"/>
          </w:tcPr>
          <w:p>
            <w:pPr>
              <w:jc w:val="right"/>
              <w:spacing w:after="0" w:line="98" w:lineRule="exact"/>
              <w:rPr>
                <w:sz w:val="20"/>
                <w:szCs w:val="20"/>
                <w:color w:val="auto"/>
              </w:rPr>
            </w:pPr>
            <w:r>
              <w:rPr>
                <w:rFonts w:ascii="Arial" w:cs="Arial" w:eastAsia="Arial" w:hAnsi="Arial"/>
                <w:sz w:val="10"/>
                <w:szCs w:val="10"/>
                <w:color w:val="auto"/>
              </w:rPr>
              <w:t>22</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jc w:val="right"/>
              <w:spacing w:after="0" w:line="98" w:lineRule="exact"/>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98" w:lineRule="exact"/>
              <w:rPr>
                <w:sz w:val="20"/>
                <w:szCs w:val="20"/>
                <w:color w:val="auto"/>
              </w:rPr>
            </w:pPr>
            <w:r>
              <w:rPr>
                <w:rFonts w:ascii="Arial" w:cs="Arial" w:eastAsia="Arial" w:hAnsi="Arial"/>
                <w:sz w:val="10"/>
                <w:szCs w:val="10"/>
                <w:color w:val="auto"/>
              </w:rPr>
              <w:t>0.00</w:t>
            </w:r>
          </w:p>
        </w:tc>
        <w:tc>
          <w:tcPr>
            <w:tcW w:w="240" w:type="dxa"/>
            <w:vAlign w:val="bottom"/>
          </w:tcPr>
          <w:p>
            <w:pPr>
              <w:spacing w:after="0"/>
              <w:rPr>
                <w:sz w:val="8"/>
                <w:szCs w:val="8"/>
                <w:color w:val="auto"/>
              </w:rPr>
            </w:pPr>
          </w:p>
        </w:tc>
        <w:tc>
          <w:tcPr>
            <w:tcW w:w="180" w:type="dxa"/>
            <w:vAlign w:val="bottom"/>
          </w:tcPr>
          <w:p>
            <w:pPr>
              <w:jc w:val="right"/>
              <w:ind w:right="72"/>
              <w:spacing w:after="0" w:line="98" w:lineRule="exact"/>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98" w:lineRule="exact"/>
              <w:rPr>
                <w:sz w:val="20"/>
                <w:szCs w:val="20"/>
                <w:color w:val="auto"/>
              </w:rPr>
            </w:pPr>
            <w:r>
              <w:rPr>
                <w:rFonts w:ascii="Arial" w:cs="Arial" w:eastAsia="Arial" w:hAnsi="Arial"/>
                <w:sz w:val="10"/>
                <w:szCs w:val="10"/>
                <w:color w:val="auto"/>
              </w:rPr>
              <w:t>289</w:t>
            </w:r>
          </w:p>
        </w:tc>
        <w:tc>
          <w:tcPr>
            <w:tcW w:w="240" w:type="dxa"/>
            <w:vAlign w:val="bottom"/>
          </w:tcPr>
          <w:p>
            <w:pPr>
              <w:spacing w:after="0"/>
              <w:rPr>
                <w:sz w:val="8"/>
                <w:szCs w:val="8"/>
                <w:color w:val="auto"/>
              </w:rPr>
            </w:pPr>
          </w:p>
        </w:tc>
        <w:tc>
          <w:tcPr>
            <w:tcW w:w="80" w:type="dxa"/>
            <w:vAlign w:val="bottom"/>
          </w:tcPr>
          <w:p>
            <w:pPr>
              <w:jc w:val="right"/>
              <w:spacing w:after="0" w:line="98" w:lineRule="exact"/>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98" w:lineRule="exact"/>
              <w:rPr>
                <w:sz w:val="20"/>
                <w:szCs w:val="20"/>
                <w:color w:val="auto"/>
              </w:rPr>
            </w:pPr>
            <w:r>
              <w:rPr>
                <w:rFonts w:ascii="Arial" w:cs="Arial" w:eastAsia="Arial" w:hAnsi="Arial"/>
                <w:sz w:val="10"/>
                <w:szCs w:val="10"/>
                <w:color w:val="auto"/>
              </w:rPr>
              <w:t>0.01</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jc w:val="right"/>
              <w:ind w:right="116"/>
              <w:spacing w:after="0"/>
              <w:rPr>
                <w:sz w:val="20"/>
                <w:szCs w:val="20"/>
                <w:color w:val="auto"/>
              </w:rPr>
            </w:pPr>
            <w:r>
              <w:rPr>
                <w:rFonts w:ascii="Arial" w:cs="Arial" w:eastAsia="Arial" w:hAnsi="Arial"/>
                <w:sz w:val="5"/>
                <w:szCs w:val="5"/>
                <w:color w:val="auto"/>
                <w:w w:val="70"/>
              </w:rPr>
              <w:t>$</w:t>
            </w:r>
          </w:p>
        </w:tc>
        <w:tc>
          <w:tcPr>
            <w:tcW w:w="500" w:type="dxa"/>
            <w:vAlign w:val="bottom"/>
          </w:tcPr>
          <w:p>
            <w:pPr>
              <w:jc w:val="right"/>
              <w:spacing w:after="0" w:line="98" w:lineRule="exact"/>
              <w:rPr>
                <w:sz w:val="20"/>
                <w:szCs w:val="20"/>
                <w:color w:val="auto"/>
              </w:rPr>
            </w:pPr>
            <w:r>
              <w:rPr>
                <w:rFonts w:ascii="Arial" w:cs="Arial" w:eastAsia="Arial" w:hAnsi="Arial"/>
                <w:sz w:val="10"/>
                <w:szCs w:val="10"/>
                <w:color w:val="auto"/>
              </w:rPr>
              <w:t>(1,754)</w:t>
            </w:r>
          </w:p>
        </w:tc>
        <w:tc>
          <w:tcPr>
            <w:tcW w:w="26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98" w:lineRule="exact"/>
              <w:rPr>
                <w:sz w:val="20"/>
                <w:szCs w:val="20"/>
                <w:color w:val="auto"/>
              </w:rPr>
            </w:pPr>
            <w:r>
              <w:rPr>
                <w:rFonts w:ascii="Arial" w:cs="Arial" w:eastAsia="Arial" w:hAnsi="Arial"/>
                <w:sz w:val="10"/>
                <w:szCs w:val="10"/>
                <w:color w:val="auto"/>
              </w:rPr>
              <w:t>(0.04)</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ind w:right="292"/>
              <w:spacing w:after="0" w:line="98" w:lineRule="exact"/>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line="98" w:lineRule="exact"/>
              <w:rPr>
                <w:sz w:val="20"/>
                <w:szCs w:val="20"/>
                <w:color w:val="auto"/>
              </w:rPr>
            </w:pPr>
            <w:r>
              <w:rPr>
                <w:rFonts w:ascii="Arial" w:cs="Arial" w:eastAsia="Arial" w:hAnsi="Arial"/>
                <w:sz w:val="10"/>
                <w:szCs w:val="10"/>
                <w:color w:val="auto"/>
                <w:w w:val="81"/>
              </w:rPr>
              <w:t>(1,874)</w:t>
            </w:r>
          </w:p>
        </w:tc>
        <w:tc>
          <w:tcPr>
            <w:tcW w:w="240" w:type="dxa"/>
            <w:vAlign w:val="bottom"/>
          </w:tcPr>
          <w:p>
            <w:pPr>
              <w:spacing w:after="0"/>
              <w:rPr>
                <w:sz w:val="8"/>
                <w:szCs w:val="8"/>
                <w:color w:val="auto"/>
              </w:rPr>
            </w:pPr>
          </w:p>
        </w:tc>
        <w:tc>
          <w:tcPr>
            <w:tcW w:w="80" w:type="dxa"/>
            <w:vAlign w:val="bottom"/>
          </w:tcPr>
          <w:p>
            <w:pPr>
              <w:jc w:val="right"/>
              <w:spacing w:after="0" w:line="98" w:lineRule="exact"/>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98" w:lineRule="exact"/>
              <w:rPr>
                <w:sz w:val="20"/>
                <w:szCs w:val="20"/>
                <w:color w:val="auto"/>
              </w:rPr>
            </w:pPr>
            <w:r>
              <w:rPr>
                <w:rFonts w:ascii="Arial" w:cs="Arial" w:eastAsia="Arial" w:hAnsi="Arial"/>
                <w:sz w:val="10"/>
                <w:szCs w:val="10"/>
                <w:color w:val="auto"/>
              </w:rPr>
              <w:t>(0.04)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22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3600" w:type="dxa"/>
            <w:vAlign w:val="bottom"/>
            <w:gridSpan w:val="2"/>
          </w:tcPr>
          <w:p>
            <w:pPr>
              <w:spacing w:after="0" w:line="109" w:lineRule="exact"/>
              <w:rPr>
                <w:sz w:val="20"/>
                <w:szCs w:val="20"/>
                <w:color w:val="auto"/>
              </w:rPr>
            </w:pPr>
            <w:r>
              <w:rPr>
                <w:rFonts w:ascii="Arial" w:cs="Arial" w:eastAsia="Arial" w:hAnsi="Arial"/>
                <w:sz w:val="10"/>
                <w:szCs w:val="10"/>
                <w:color w:val="auto"/>
              </w:rPr>
              <w:t>Weighted average number of common shares</w:t>
            </w: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00" w:type="dxa"/>
            <w:vAlign w:val="bottom"/>
            <w:gridSpan w:val="2"/>
            <w:shd w:val="clear" w:color="auto" w:fill="CFF0FC"/>
          </w:tcPr>
          <w:p>
            <w:pPr>
              <w:ind w:left="40"/>
              <w:spacing w:after="0" w:line="109" w:lineRule="exact"/>
              <w:rPr>
                <w:sz w:val="20"/>
                <w:szCs w:val="20"/>
                <w:color w:val="auto"/>
              </w:rPr>
            </w:pPr>
            <w:r>
              <w:rPr>
                <w:rFonts w:ascii="Arial" w:cs="Arial" w:eastAsia="Arial" w:hAnsi="Arial"/>
                <w:sz w:val="10"/>
                <w:szCs w:val="10"/>
                <w:color w:val="auto"/>
              </w:rPr>
              <w:t>outstanding on a diluted basis</w:t>
            </w:r>
          </w:p>
        </w:tc>
        <w:tc>
          <w:tcPr>
            <w:tcW w:w="8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50,175</w:t>
            </w: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49,060</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49,734</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48,926</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ind w:right="100"/>
        <w:spacing w:after="0" w:line="279" w:lineRule="auto"/>
        <w:rPr>
          <w:sz w:val="20"/>
          <w:szCs w:val="20"/>
          <w:color w:val="auto"/>
        </w:rPr>
      </w:pPr>
      <w:r>
        <w:rPr>
          <w:rFonts w:ascii="Arial" w:cs="Arial" w:eastAsia="Arial" w:hAnsi="Arial"/>
          <w:sz w:val="12"/>
          <w:szCs w:val="12"/>
          <w:i w:val="1"/>
          <w:iCs w:val="1"/>
          <w:u w:val="single" w:color="auto"/>
          <w:color w:val="auto"/>
        </w:rPr>
        <w:t>Free Cash Flow.</w:t>
      </w:r>
      <w:r>
        <w:rPr>
          <w:rFonts w:ascii="Arial" w:cs="Arial" w:eastAsia="Arial" w:hAnsi="Arial"/>
          <w:sz w:val="12"/>
          <w:szCs w:val="12"/>
          <w:i w:val="1"/>
          <w:iCs w:val="1"/>
          <w:color w:val="auto"/>
        </w:rPr>
        <w:t xml:space="preserve"> </w:t>
      </w:r>
      <w:r>
        <w:rPr>
          <w:rFonts w:ascii="Arial" w:cs="Arial" w:eastAsia="Arial" w:hAnsi="Arial"/>
          <w:sz w:val="12"/>
          <w:szCs w:val="12"/>
          <w:color w:val="auto"/>
        </w:rPr>
        <w:t>We define free cash flow as cash flow from operating activities less capital expenditures. Free cash flow excludes the mandatory and discretionary repayment of debt. Free cash flow is a metric that management uses to</w:t>
      </w:r>
      <w:r>
        <w:rPr>
          <w:rFonts w:ascii="Arial" w:cs="Arial" w:eastAsia="Arial" w:hAnsi="Arial"/>
          <w:sz w:val="12"/>
          <w:szCs w:val="12"/>
          <w:i w:val="1"/>
          <w:iCs w:val="1"/>
          <w:color w:val="auto"/>
        </w:rPr>
        <w:t xml:space="preserve"> </w:t>
      </w:r>
      <w:r>
        <w:rPr>
          <w:rFonts w:ascii="Arial" w:cs="Arial" w:eastAsia="Arial" w:hAnsi="Arial"/>
          <w:sz w:val="12"/>
          <w:szCs w:val="12"/>
          <w:color w:val="auto"/>
        </w:rPr>
        <w:t>monitor liquidity. We expect to fund our ongoing capital expenditures with cash flow from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reconciles free cash flow: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60" w:type="dxa"/>
            <w:vAlign w:val="bottom"/>
            <w:gridSpan w:val="4"/>
          </w:tcPr>
          <w:p>
            <w:pPr>
              <w:jc w:val="right"/>
              <w:ind w:right="234"/>
              <w:spacing w:after="0"/>
              <w:rPr>
                <w:sz w:val="20"/>
                <w:szCs w:val="20"/>
                <w:color w:val="auto"/>
              </w:rPr>
            </w:pPr>
            <w:r>
              <w:rPr>
                <w:rFonts w:ascii="Arial" w:cs="Arial" w:eastAsia="Arial" w:hAnsi="Arial"/>
                <w:sz w:val="10"/>
                <w:szCs w:val="10"/>
                <w:color w:val="auto"/>
              </w:rPr>
              <w:t>For the six months ended</w:t>
            </w: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2"/>
        </w:trPr>
        <w:tc>
          <w:tcPr>
            <w:tcW w:w="6660" w:type="dxa"/>
            <w:vAlign w:val="bottom"/>
          </w:tcPr>
          <w:p>
            <w:pPr>
              <w:spacing w:after="0" w:line="113" w:lineRule="exact"/>
              <w:rPr>
                <w:sz w:val="20"/>
                <w:szCs w:val="20"/>
                <w:color w:val="auto"/>
              </w:rPr>
            </w:pPr>
            <w:r>
              <w:rPr>
                <w:rFonts w:ascii="Arial" w:cs="Arial" w:eastAsia="Arial" w:hAnsi="Arial"/>
                <w:sz w:val="10"/>
                <w:szCs w:val="10"/>
                <w:i w:val="1"/>
                <w:iCs w:val="1"/>
                <w:color w:val="auto"/>
              </w:rPr>
              <w:t>(in millions)</w:t>
            </w:r>
          </w:p>
        </w:tc>
        <w:tc>
          <w:tcPr>
            <w:tcW w:w="420" w:type="dxa"/>
            <w:vAlign w:val="bottom"/>
          </w:tcPr>
          <w:p>
            <w:pPr>
              <w:spacing w:after="0"/>
              <w:rPr>
                <w:sz w:val="9"/>
                <w:szCs w:val="9"/>
                <w:color w:val="auto"/>
              </w:rPr>
            </w:pPr>
          </w:p>
        </w:tc>
        <w:tc>
          <w:tcPr>
            <w:tcW w:w="2120" w:type="dxa"/>
            <w:vAlign w:val="bottom"/>
            <w:gridSpan w:val="2"/>
          </w:tcPr>
          <w:p>
            <w:pPr>
              <w:jc w:val="right"/>
              <w:ind w:right="1160"/>
              <w:spacing w:after="0" w:line="113" w:lineRule="exact"/>
              <w:rPr>
                <w:sz w:val="20"/>
                <w:szCs w:val="20"/>
                <w:color w:val="auto"/>
              </w:rPr>
            </w:pPr>
            <w:r>
              <w:rPr>
                <w:rFonts w:ascii="Arial" w:cs="Arial" w:eastAsia="Arial" w:hAnsi="Arial"/>
                <w:sz w:val="10"/>
                <w:szCs w:val="10"/>
                <w:color w:val="auto"/>
              </w:rPr>
              <w:t>August 3, 2019</w:t>
            </w: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40" w:type="dxa"/>
            <w:vAlign w:val="bottom"/>
            <w:gridSpan w:val="2"/>
          </w:tcPr>
          <w:p>
            <w:pPr>
              <w:jc w:val="right"/>
              <w:ind w:right="900"/>
              <w:spacing w:after="0" w:line="113" w:lineRule="exact"/>
              <w:rPr>
                <w:sz w:val="20"/>
                <w:szCs w:val="20"/>
                <w:color w:val="auto"/>
              </w:rPr>
            </w:pPr>
            <w:r>
              <w:rPr>
                <w:rFonts w:ascii="Arial" w:cs="Arial" w:eastAsia="Arial" w:hAnsi="Arial"/>
                <w:sz w:val="10"/>
                <w:szCs w:val="10"/>
                <w:color w:val="auto"/>
              </w:rPr>
              <w:t>August 4, 2018</w:t>
            </w:r>
          </w:p>
        </w:tc>
      </w:tr>
      <w:tr>
        <w:trPr>
          <w:trHeight w:val="98"/>
        </w:trPr>
        <w:tc>
          <w:tcPr>
            <w:tcW w:w="6660" w:type="dxa"/>
            <w:vAlign w:val="bottom"/>
            <w:tcBorders>
              <w:top w:val="single" w:sz="8" w:color="CFF0FC"/>
            </w:tcBorders>
            <w:shd w:val="clear" w:color="auto" w:fill="CFF0FC"/>
          </w:tcPr>
          <w:p>
            <w:pPr>
              <w:spacing w:after="0" w:line="98" w:lineRule="exact"/>
              <w:rPr>
                <w:sz w:val="20"/>
                <w:szCs w:val="20"/>
                <w:color w:val="auto"/>
              </w:rPr>
            </w:pPr>
            <w:r>
              <w:rPr>
                <w:rFonts w:ascii="Arial" w:cs="Arial" w:eastAsia="Arial" w:hAnsi="Arial"/>
                <w:sz w:val="10"/>
                <w:szCs w:val="10"/>
                <w:color w:val="auto"/>
              </w:rPr>
              <w:t>Cash flow from operating activities (GAAP basis)</w:t>
            </w:r>
          </w:p>
        </w:tc>
        <w:tc>
          <w:tcPr>
            <w:tcW w:w="420" w:type="dxa"/>
            <w:vAlign w:val="bottom"/>
            <w:tcBorders>
              <w:top w:val="single" w:sz="8" w:color="auto"/>
            </w:tcBorders>
            <w:shd w:val="clear" w:color="auto" w:fill="CFF0FC"/>
          </w:tcPr>
          <w:p>
            <w:pPr>
              <w:jc w:val="right"/>
              <w:ind w:right="312"/>
              <w:spacing w:after="0" w:line="98" w:lineRule="exact"/>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0.9</w:t>
            </w:r>
          </w:p>
        </w:tc>
        <w:tc>
          <w:tcPr>
            <w:tcW w:w="360" w:type="dxa"/>
            <w:vAlign w:val="bottom"/>
            <w:tcBorders>
              <w:top w:val="single" w:sz="8" w:color="CFF0FC"/>
            </w:tcBorders>
            <w:shd w:val="clear" w:color="auto" w:fill="CFF0FC"/>
          </w:tcPr>
          <w:p>
            <w:pPr>
              <w:spacing w:after="0"/>
              <w:rPr>
                <w:sz w:val="8"/>
                <w:szCs w:val="8"/>
                <w:color w:val="auto"/>
              </w:rPr>
            </w:pPr>
          </w:p>
        </w:tc>
        <w:tc>
          <w:tcPr>
            <w:tcW w:w="20" w:type="dxa"/>
            <w:vAlign w:val="bottom"/>
            <w:tcBorders>
              <w:top w:val="single" w:sz="8" w:color="CFF0FC"/>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jc w:val="right"/>
              <w:ind w:right="494"/>
              <w:spacing w:after="0"/>
              <w:rPr>
                <w:sz w:val="20"/>
                <w:szCs w:val="20"/>
                <w:color w:val="auto"/>
              </w:rPr>
            </w:pPr>
            <w:r>
              <w:rPr>
                <w:rFonts w:ascii="Arial" w:cs="Arial" w:eastAsia="Arial" w:hAnsi="Arial"/>
                <w:sz w:val="1"/>
                <w:szCs w:val="1"/>
                <w:color w:val="auto"/>
                <w:w w:val="4294967288"/>
              </w:rPr>
              <w:t>$</w:t>
            </w:r>
          </w:p>
        </w:tc>
        <w:tc>
          <w:tcPr>
            <w:tcW w:w="1620" w:type="dxa"/>
            <w:vAlign w:val="bottom"/>
            <w:tcBorders>
              <w:top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6.8</w:t>
            </w:r>
          </w:p>
        </w:tc>
        <w:tc>
          <w:tcPr>
            <w:tcW w:w="120" w:type="dxa"/>
            <w:vAlign w:val="bottom"/>
            <w:tcBorders>
              <w:top w:val="single" w:sz="8" w:color="CFF0FC"/>
            </w:tcBorders>
            <w:shd w:val="clear" w:color="auto" w:fill="CFF0FC"/>
          </w:tcPr>
          <w:p>
            <w:pPr>
              <w:spacing w:after="0"/>
              <w:rPr>
                <w:sz w:val="8"/>
                <w:szCs w:val="8"/>
                <w:color w:val="auto"/>
              </w:rPr>
            </w:pPr>
          </w:p>
        </w:tc>
      </w:tr>
      <w:tr>
        <w:trPr>
          <w:trHeight w:val="109"/>
        </w:trPr>
        <w:tc>
          <w:tcPr>
            <w:tcW w:w="6660" w:type="dxa"/>
            <w:vAlign w:val="bottom"/>
          </w:tcPr>
          <w:p>
            <w:pPr>
              <w:spacing w:after="0" w:line="109" w:lineRule="exact"/>
              <w:rPr>
                <w:sz w:val="20"/>
                <w:szCs w:val="20"/>
                <w:color w:val="auto"/>
              </w:rPr>
            </w:pPr>
            <w:r>
              <w:rPr>
                <w:rFonts w:ascii="Arial" w:cs="Arial" w:eastAsia="Arial" w:hAnsi="Arial"/>
                <w:sz w:val="10"/>
                <w:szCs w:val="10"/>
                <w:color w:val="auto"/>
              </w:rPr>
              <w:t>Capital expenditures, infrastructure projects</w:t>
            </w:r>
          </w:p>
        </w:tc>
        <w:tc>
          <w:tcPr>
            <w:tcW w:w="420" w:type="dxa"/>
            <w:vAlign w:val="bottom"/>
          </w:tcPr>
          <w:p>
            <w:pPr>
              <w:spacing w:after="0"/>
              <w:rPr>
                <w:sz w:val="9"/>
                <w:szCs w:val="9"/>
                <w:color w:val="auto"/>
              </w:rPr>
            </w:pPr>
          </w:p>
        </w:tc>
        <w:tc>
          <w:tcPr>
            <w:tcW w:w="2120" w:type="dxa"/>
            <w:vAlign w:val="bottom"/>
            <w:gridSpan w:val="2"/>
          </w:tcPr>
          <w:p>
            <w:pPr>
              <w:jc w:val="right"/>
              <w:ind w:right="320"/>
              <w:spacing w:after="0" w:line="109" w:lineRule="exact"/>
              <w:rPr>
                <w:sz w:val="20"/>
                <w:szCs w:val="20"/>
                <w:color w:val="auto"/>
              </w:rPr>
            </w:pPr>
            <w:r>
              <w:rPr>
                <w:rFonts w:ascii="Arial" w:cs="Arial" w:eastAsia="Arial" w:hAnsi="Arial"/>
                <w:sz w:val="10"/>
                <w:szCs w:val="10"/>
                <w:color w:val="auto"/>
              </w:rPr>
              <w:t>(5.2)</w:t>
            </w: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4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(6.1)</w:t>
            </w:r>
          </w:p>
        </w:tc>
      </w:tr>
      <w:tr>
        <w:trPr>
          <w:trHeight w:val="109"/>
        </w:trPr>
        <w:tc>
          <w:tcPr>
            <w:tcW w:w="666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Capital expenditures for DXL stores</w:t>
            </w:r>
          </w:p>
        </w:tc>
        <w:tc>
          <w:tcPr>
            <w:tcW w:w="420" w:type="dxa"/>
            <w:vAlign w:val="bottom"/>
            <w:shd w:val="clear" w:color="auto" w:fill="CFF0FC"/>
          </w:tcPr>
          <w:p>
            <w:pPr>
              <w:spacing w:after="0"/>
              <w:rPr>
                <w:sz w:val="9"/>
                <w:szCs w:val="9"/>
                <w:color w:val="auto"/>
              </w:rPr>
            </w:pPr>
          </w:p>
        </w:tc>
        <w:tc>
          <w:tcPr>
            <w:tcW w:w="2120" w:type="dxa"/>
            <w:vAlign w:val="bottom"/>
            <w:gridSpan w:val="2"/>
            <w:shd w:val="clear" w:color="auto" w:fill="CFF0FC"/>
          </w:tcPr>
          <w:p>
            <w:pPr>
              <w:jc w:val="right"/>
              <w:ind w:right="320"/>
              <w:spacing w:after="0" w:line="109" w:lineRule="exact"/>
              <w:rPr>
                <w:sz w:val="20"/>
                <w:szCs w:val="20"/>
                <w:color w:val="auto"/>
              </w:rPr>
            </w:pPr>
            <w:r>
              <w:rPr>
                <w:rFonts w:ascii="Arial" w:cs="Arial" w:eastAsia="Arial" w:hAnsi="Arial"/>
                <w:sz w:val="10"/>
                <w:szCs w:val="10"/>
                <w:color w:val="auto"/>
              </w:rPr>
              <w:t>(2.4)</w:t>
            </w:r>
          </w:p>
        </w:tc>
        <w:tc>
          <w:tcPr>
            <w:tcW w:w="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740" w:type="dxa"/>
            <w:vAlign w:val="bottom"/>
            <w:gridSpan w:val="2"/>
            <w:shd w:val="clear" w:color="auto" w:fill="CFF0FC"/>
          </w:tcPr>
          <w:p>
            <w:pPr>
              <w:jc w:val="right"/>
              <w:ind w:right="80"/>
              <w:spacing w:after="0" w:line="109" w:lineRule="exact"/>
              <w:rPr>
                <w:sz w:val="20"/>
                <w:szCs w:val="20"/>
                <w:color w:val="auto"/>
              </w:rPr>
            </w:pPr>
            <w:r>
              <w:rPr>
                <w:rFonts w:ascii="Arial" w:cs="Arial" w:eastAsia="Arial" w:hAnsi="Arial"/>
                <w:sz w:val="10"/>
                <w:szCs w:val="10"/>
                <w:color w:val="auto"/>
              </w:rPr>
              <w:t>(1.3)</w:t>
            </w:r>
          </w:p>
        </w:tc>
      </w:tr>
      <w:tr>
        <w:trPr>
          <w:trHeight w:val="105"/>
        </w:trPr>
        <w:tc>
          <w:tcPr>
            <w:tcW w:w="6660" w:type="dxa"/>
            <w:vAlign w:val="bottom"/>
          </w:tcPr>
          <w:p>
            <w:pPr>
              <w:ind w:left="60"/>
              <w:spacing w:after="0" w:line="98" w:lineRule="exact"/>
              <w:rPr>
                <w:sz w:val="20"/>
                <w:szCs w:val="20"/>
                <w:color w:val="auto"/>
              </w:rPr>
            </w:pPr>
            <w:r>
              <w:rPr>
                <w:rFonts w:ascii="Arial" w:cs="Arial" w:eastAsia="Arial" w:hAnsi="Arial"/>
                <w:sz w:val="10"/>
                <w:szCs w:val="10"/>
                <w:color w:val="auto"/>
              </w:rPr>
              <w:t>Free Cash Flow (non-GAAP basis)</w:t>
            </w:r>
          </w:p>
        </w:tc>
        <w:tc>
          <w:tcPr>
            <w:tcW w:w="420" w:type="dxa"/>
            <w:vAlign w:val="bottom"/>
            <w:tcBorders>
              <w:top w:val="single" w:sz="8" w:color="auto"/>
              <w:bottom w:val="single" w:sz="8" w:color="auto"/>
            </w:tcBorders>
          </w:tcPr>
          <w:p>
            <w:pPr>
              <w:jc w:val="right"/>
              <w:ind w:right="312"/>
              <w:spacing w:after="0" w:line="98" w:lineRule="exact"/>
              <w:rPr>
                <w:sz w:val="20"/>
                <w:szCs w:val="20"/>
                <w:color w:val="auto"/>
              </w:rPr>
            </w:pPr>
            <w:r>
              <w:rPr>
                <w:rFonts w:ascii="Arial" w:cs="Arial" w:eastAsia="Arial" w:hAnsi="Arial"/>
                <w:sz w:val="10"/>
                <w:szCs w:val="10"/>
                <w:color w:val="auto"/>
                <w:w w:val="71"/>
              </w:rPr>
              <w:t>$</w:t>
            </w:r>
          </w:p>
        </w:tc>
        <w:tc>
          <w:tcPr>
            <w:tcW w:w="17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(6.7)</w:t>
            </w:r>
          </w:p>
        </w:tc>
        <w:tc>
          <w:tcPr>
            <w:tcW w:w="3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
                <w:szCs w:val="1"/>
                <w:color w:val="auto"/>
                <w:w w:val="4294967288"/>
              </w:rPr>
              <w:t>$</w:t>
            </w:r>
          </w:p>
        </w:tc>
        <w:tc>
          <w:tcPr>
            <w:tcW w:w="16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(0.6)</w:t>
            </w:r>
          </w:p>
        </w:tc>
        <w:tc>
          <w:tcPr>
            <w:tcW w:w="120" w:type="dxa"/>
            <w:vAlign w:val="bottom"/>
          </w:tcPr>
          <w:p>
            <w:pPr>
              <w:spacing w:after="0"/>
              <w:rPr>
                <w:sz w:val="9"/>
                <w:szCs w:val="9"/>
                <w:color w:val="auto"/>
              </w:rPr>
            </w:pPr>
          </w:p>
        </w:tc>
      </w:tr>
    </w:tbl>
    <w:p>
      <w:pPr>
        <w:spacing w:after="0" w:line="299" w:lineRule="exact"/>
        <w:rPr>
          <w:sz w:val="20"/>
          <w:szCs w:val="20"/>
          <w:color w:val="auto"/>
        </w:rPr>
      </w:pPr>
    </w:p>
    <w:p>
      <w:pPr>
        <w:ind w:right="460"/>
        <w:spacing w:after="0" w:line="279" w:lineRule="auto"/>
        <w:rPr>
          <w:sz w:val="20"/>
          <w:szCs w:val="20"/>
          <w:color w:val="auto"/>
        </w:rPr>
      </w:pPr>
      <w:r>
        <w:rPr>
          <w:rFonts w:ascii="Arial" w:cs="Arial" w:eastAsia="Arial" w:hAnsi="Arial"/>
          <w:sz w:val="12"/>
          <w:szCs w:val="12"/>
          <w:i w:val="1"/>
          <w:iCs w:val="1"/>
          <w:u w:val="single" w:color="auto"/>
          <w:color w:val="auto"/>
        </w:rPr>
        <w:t>Adjusted EBITDA</w:t>
      </w:r>
      <w:r>
        <w:rPr>
          <w:rFonts w:ascii="Arial" w:cs="Arial" w:eastAsia="Arial" w:hAnsi="Arial"/>
          <w:sz w:val="12"/>
          <w:szCs w:val="12"/>
          <w:i w:val="1"/>
          <w:iCs w:val="1"/>
          <w:color w:val="auto"/>
        </w:rPr>
        <w:t xml:space="preserve">. </w:t>
      </w:r>
      <w:r>
        <w:rPr>
          <w:rFonts w:ascii="Arial" w:cs="Arial" w:eastAsia="Arial" w:hAnsi="Arial"/>
          <w:sz w:val="12"/>
          <w:szCs w:val="12"/>
          <w:color w:val="auto"/>
        </w:rPr>
        <w:t>Adjusted EBITDA is calculated as earnings before interest, taxes, depreciation and amortization and is before CEO transition costs, restructuring charges and any impairment of assets. We believe that adjusted</w:t>
      </w:r>
      <w:r>
        <w:rPr>
          <w:rFonts w:ascii="Arial" w:cs="Arial" w:eastAsia="Arial" w:hAnsi="Arial"/>
          <w:sz w:val="12"/>
          <w:szCs w:val="12"/>
          <w:i w:val="1"/>
          <w:iCs w:val="1"/>
          <w:color w:val="auto"/>
        </w:rPr>
        <w:t xml:space="preserve"> </w:t>
      </w:r>
      <w:r>
        <w:rPr>
          <w:rFonts w:ascii="Arial" w:cs="Arial" w:eastAsia="Arial" w:hAnsi="Arial"/>
          <w:sz w:val="12"/>
          <w:szCs w:val="12"/>
          <w:color w:val="auto"/>
        </w:rPr>
        <w:t>EBITDA is useful to investors 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561" w:right="199" w:bottom="1440" w:gutter="0" w:footer="0" w:header="0"/>
        </w:sectPr>
      </w:pPr>
    </w:p>
    <w:bookmarkStart w:id="25" w:name="page26"/>
    <w:bookmarkEnd w:id="25"/>
    <w:p>
      <w:pPr>
        <w:ind w:right="60"/>
        <w:spacing w:after="0" w:line="279" w:lineRule="auto"/>
        <w:rPr>
          <w:sz w:val="20"/>
          <w:szCs w:val="20"/>
          <w:color w:val="auto"/>
        </w:rPr>
      </w:pPr>
      <w:r>
        <w:rPr>
          <w:rFonts w:ascii="Arial" w:cs="Arial" w:eastAsia="Arial" w:hAnsi="Arial"/>
          <w:sz w:val="12"/>
          <w:szCs w:val="12"/>
          <w:color w:val="auto"/>
        </w:rPr>
        <w:t>evaluating our performance. With the significant capital investment we have made over the past several years in connection with DXL store openings, we have had increased levels of depreciation and interest, and therefore, management uses adjusted EBITDA as a key metric to measure profitability and economic productivity.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3"/>
          </w:tcPr>
          <w:p>
            <w:pPr>
              <w:jc w:val="right"/>
              <w:ind w:right="16"/>
              <w:spacing w:after="0"/>
              <w:rPr>
                <w:sz w:val="20"/>
                <w:szCs w:val="20"/>
                <w:color w:val="auto"/>
              </w:rPr>
            </w:pPr>
            <w:r>
              <w:rPr>
                <w:rFonts w:ascii="Arial" w:cs="Arial" w:eastAsia="Arial" w:hAnsi="Arial"/>
                <w:sz w:val="10"/>
                <w:szCs w:val="10"/>
                <w:color w:val="auto"/>
                <w:w w:val="85"/>
              </w:rPr>
              <w:t>For the three months ended</w:t>
            </w: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80" w:type="dxa"/>
            <w:vAlign w:val="bottom"/>
            <w:gridSpan w:val="3"/>
          </w:tcPr>
          <w:p>
            <w:pPr>
              <w:jc w:val="right"/>
              <w:ind w:right="16"/>
              <w:spacing w:after="0"/>
              <w:rPr>
                <w:sz w:val="20"/>
                <w:szCs w:val="20"/>
                <w:color w:val="auto"/>
              </w:rPr>
            </w:pPr>
            <w:r>
              <w:rPr>
                <w:rFonts w:ascii="Arial" w:cs="Arial" w:eastAsia="Arial" w:hAnsi="Arial"/>
                <w:sz w:val="10"/>
                <w:szCs w:val="10"/>
                <w:color w:val="auto"/>
              </w:rPr>
              <w:t>For the six months ended</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46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060" w:type="dxa"/>
            <w:vAlign w:val="bottom"/>
            <w:tcBorders>
              <w:bottom w:val="single" w:sz="8" w:color="auto"/>
            </w:tcBorders>
          </w:tcPr>
          <w:p>
            <w:pPr>
              <w:jc w:val="right"/>
              <w:ind w:right="8"/>
              <w:spacing w:after="0" w:line="113" w:lineRule="exact"/>
              <w:rPr>
                <w:sz w:val="20"/>
                <w:szCs w:val="20"/>
                <w:color w:val="auto"/>
              </w:rPr>
            </w:pPr>
            <w:r>
              <w:rPr>
                <w:rFonts w:ascii="Arial" w:cs="Arial" w:eastAsia="Arial" w:hAnsi="Arial"/>
                <w:sz w:val="10"/>
                <w:szCs w:val="10"/>
                <w:color w:val="auto"/>
              </w:rPr>
              <w:t>August 3, 2019</w:t>
            </w: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ind w:right="412"/>
              <w:spacing w:after="0" w:line="113" w:lineRule="exact"/>
              <w:rPr>
                <w:sz w:val="20"/>
                <w:szCs w:val="20"/>
                <w:color w:val="auto"/>
              </w:rPr>
            </w:pPr>
            <w:r>
              <w:rPr>
                <w:rFonts w:ascii="Arial" w:cs="Arial" w:eastAsia="Arial" w:hAnsi="Arial"/>
                <w:sz w:val="10"/>
                <w:szCs w:val="10"/>
                <w:color w:val="auto"/>
                <w:w w:val="86"/>
              </w:rPr>
              <w:t>August 4, 2018</w:t>
            </w:r>
          </w:p>
        </w:tc>
        <w:tc>
          <w:tcPr>
            <w:tcW w:w="4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jc w:val="right"/>
              <w:ind w:right="352"/>
              <w:spacing w:after="0" w:line="113" w:lineRule="exact"/>
              <w:rPr>
                <w:sz w:val="20"/>
                <w:szCs w:val="20"/>
                <w:color w:val="auto"/>
              </w:rPr>
            </w:pPr>
            <w:r>
              <w:rPr>
                <w:rFonts w:ascii="Arial" w:cs="Arial" w:eastAsia="Arial" w:hAnsi="Arial"/>
                <w:sz w:val="10"/>
                <w:szCs w:val="10"/>
                <w:color w:val="auto"/>
              </w:rPr>
              <w:t>August 3, 2019</w:t>
            </w:r>
          </w:p>
        </w:tc>
        <w:tc>
          <w:tcPr>
            <w:tcW w:w="3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ind w:right="392"/>
              <w:spacing w:after="0" w:line="113" w:lineRule="exact"/>
              <w:rPr>
                <w:sz w:val="20"/>
                <w:szCs w:val="20"/>
                <w:color w:val="auto"/>
              </w:rPr>
            </w:pPr>
            <w:r>
              <w:rPr>
                <w:rFonts w:ascii="Arial" w:cs="Arial" w:eastAsia="Arial" w:hAnsi="Arial"/>
                <w:sz w:val="10"/>
                <w:szCs w:val="10"/>
                <w:color w:val="auto"/>
                <w:w w:val="89"/>
              </w:rPr>
              <w:t>August 4, 2018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4540" w:type="dxa"/>
            <w:vAlign w:val="bottom"/>
            <w:gridSpan w:val="2"/>
          </w:tcPr>
          <w:p>
            <w:pPr>
              <w:spacing w:after="0" w:line="98" w:lineRule="exact"/>
              <w:rPr>
                <w:sz w:val="20"/>
                <w:szCs w:val="20"/>
                <w:color w:val="auto"/>
              </w:rPr>
            </w:pPr>
            <w:r>
              <w:rPr>
                <w:rFonts w:ascii="Arial" w:cs="Arial" w:eastAsia="Arial" w:hAnsi="Arial"/>
                <w:sz w:val="10"/>
                <w:szCs w:val="10"/>
                <w:i w:val="1"/>
                <w:iCs w:val="1"/>
                <w:color w:val="auto"/>
              </w:rPr>
              <w:t>(in millions)</w:t>
            </w:r>
          </w:p>
        </w:tc>
        <w:tc>
          <w:tcPr>
            <w:tcW w:w="1060" w:type="dxa"/>
            <w:vAlign w:val="bottom"/>
            <w:vMerge w:val="restart"/>
          </w:tcPr>
          <w:p>
            <w:pPr>
              <w:jc w:val="right"/>
              <w:ind w:right="988"/>
              <w:spacing w:after="0"/>
              <w:rPr>
                <w:sz w:val="20"/>
                <w:szCs w:val="20"/>
                <w:color w:val="auto"/>
              </w:rPr>
            </w:pPr>
            <w:r>
              <w:rPr>
                <w:rFonts w:ascii="Arial" w:cs="Arial" w:eastAsia="Arial" w:hAnsi="Arial"/>
                <w:sz w:val="5"/>
                <w:szCs w:val="5"/>
                <w:color w:val="auto"/>
                <w:w w:val="70"/>
              </w:rPr>
              <w:t>$</w:t>
            </w:r>
          </w:p>
        </w:tc>
        <w:tc>
          <w:tcPr>
            <w:tcW w:w="380" w:type="dxa"/>
            <w:vAlign w:val="bottom"/>
            <w:vMerge w:val="restart"/>
          </w:tcPr>
          <w:p>
            <w:pPr>
              <w:jc w:val="right"/>
              <w:spacing w:after="0"/>
              <w:rPr>
                <w:sz w:val="20"/>
                <w:szCs w:val="20"/>
                <w:color w:val="auto"/>
              </w:rPr>
            </w:pPr>
            <w:r>
              <w:rPr>
                <w:rFonts w:ascii="Arial" w:cs="Arial" w:eastAsia="Arial" w:hAnsi="Arial"/>
                <w:sz w:val="10"/>
                <w:szCs w:val="10"/>
                <w:color w:val="auto"/>
              </w:rPr>
              <w:t>0.0</w:t>
            </w:r>
          </w:p>
        </w:tc>
        <w:tc>
          <w:tcPr>
            <w:tcW w:w="740" w:type="dxa"/>
            <w:vAlign w:val="bottom"/>
            <w:gridSpan w:val="2"/>
            <w:vMerge w:val="restart"/>
          </w:tcPr>
          <w:p>
            <w:pPr>
              <w:jc w:val="right"/>
              <w:ind w:right="356"/>
              <w:spacing w:after="0"/>
              <w:rPr>
                <w:sz w:val="20"/>
                <w:szCs w:val="20"/>
                <w:color w:val="auto"/>
              </w:rPr>
            </w:pPr>
            <w:r>
              <w:rPr>
                <w:rFonts w:ascii="Arial" w:cs="Arial" w:eastAsia="Arial" w:hAnsi="Arial"/>
                <w:sz w:val="10"/>
                <w:szCs w:val="10"/>
                <w:color w:val="auto"/>
              </w:rPr>
              <w:t>$</w:t>
            </w:r>
          </w:p>
        </w:tc>
        <w:tc>
          <w:tcPr>
            <w:tcW w:w="1500" w:type="dxa"/>
            <w:vAlign w:val="bottom"/>
            <w:gridSpan w:val="2"/>
            <w:vMerge w:val="restart"/>
          </w:tcPr>
          <w:p>
            <w:pPr>
              <w:jc w:val="right"/>
              <w:ind w:right="400"/>
              <w:spacing w:after="0"/>
              <w:rPr>
                <w:sz w:val="20"/>
                <w:szCs w:val="20"/>
                <w:color w:val="auto"/>
              </w:rPr>
            </w:pPr>
            <w:r>
              <w:rPr>
                <w:rFonts w:ascii="Arial" w:cs="Arial" w:eastAsia="Arial" w:hAnsi="Arial"/>
                <w:sz w:val="10"/>
                <w:szCs w:val="10"/>
                <w:color w:val="auto"/>
              </w:rPr>
              <w:t>(1.2)</w:t>
            </w:r>
          </w:p>
        </w:tc>
        <w:tc>
          <w:tcPr>
            <w:tcW w:w="220" w:type="dxa"/>
            <w:vAlign w:val="bottom"/>
            <w:vMerge w:val="restart"/>
          </w:tcPr>
          <w:p>
            <w:pPr>
              <w:jc w:val="right"/>
              <w:ind w:right="156"/>
              <w:spacing w:after="0"/>
              <w:rPr>
                <w:sz w:val="20"/>
                <w:szCs w:val="20"/>
                <w:color w:val="auto"/>
              </w:rPr>
            </w:pPr>
            <w:r>
              <w:rPr>
                <w:rFonts w:ascii="Arial" w:cs="Arial" w:eastAsia="Arial" w:hAnsi="Arial"/>
                <w:sz w:val="5"/>
                <w:szCs w:val="5"/>
                <w:color w:val="auto"/>
                <w:w w:val="70"/>
              </w:rPr>
              <w:t>$</w:t>
            </w:r>
          </w:p>
        </w:tc>
        <w:tc>
          <w:tcPr>
            <w:tcW w:w="1480" w:type="dxa"/>
            <w:vAlign w:val="bottom"/>
            <w:gridSpan w:val="2"/>
            <w:vMerge w:val="restart"/>
          </w:tcPr>
          <w:p>
            <w:pPr>
              <w:jc w:val="right"/>
              <w:ind w:right="260"/>
              <w:spacing w:after="0"/>
              <w:rPr>
                <w:sz w:val="20"/>
                <w:szCs w:val="20"/>
                <w:color w:val="auto"/>
              </w:rPr>
            </w:pPr>
            <w:r>
              <w:rPr>
                <w:rFonts w:ascii="Arial" w:cs="Arial" w:eastAsia="Arial" w:hAnsi="Arial"/>
                <w:sz w:val="10"/>
                <w:szCs w:val="10"/>
                <w:color w:val="auto"/>
              </w:rPr>
              <w:t>(3.0)</w:t>
            </w:r>
          </w:p>
        </w:tc>
        <w:tc>
          <w:tcPr>
            <w:tcW w:w="400" w:type="dxa"/>
            <w:vAlign w:val="bottom"/>
            <w:vMerge w:val="restart"/>
          </w:tcPr>
          <w:p>
            <w:pPr>
              <w:jc w:val="right"/>
              <w:ind w:right="336"/>
              <w:spacing w:after="0"/>
              <w:rPr>
                <w:sz w:val="20"/>
                <w:szCs w:val="20"/>
                <w:color w:val="auto"/>
              </w:rPr>
            </w:pPr>
            <w:r>
              <w:rPr>
                <w:rFonts w:ascii="Arial" w:cs="Arial" w:eastAsia="Arial" w:hAnsi="Arial"/>
                <w:sz w:val="5"/>
                <w:szCs w:val="5"/>
                <w:color w:val="auto"/>
                <w:w w:val="70"/>
              </w:rPr>
              <w:t>$</w:t>
            </w:r>
          </w:p>
        </w:tc>
        <w:tc>
          <w:tcPr>
            <w:tcW w:w="1160" w:type="dxa"/>
            <w:vAlign w:val="bottom"/>
            <w:gridSpan w:val="2"/>
            <w:vMerge w:val="restart"/>
          </w:tcPr>
          <w:p>
            <w:pPr>
              <w:jc w:val="right"/>
              <w:ind w:right="80"/>
              <w:spacing w:after="0"/>
              <w:rPr>
                <w:sz w:val="20"/>
                <w:szCs w:val="20"/>
                <w:color w:val="auto"/>
              </w:rPr>
            </w:pPr>
            <w:r>
              <w:rPr>
                <w:rFonts w:ascii="Arial" w:cs="Arial" w:eastAsia="Arial" w:hAnsi="Arial"/>
                <w:sz w:val="10"/>
                <w:szCs w:val="10"/>
                <w:color w:val="auto"/>
              </w:rPr>
              <w:t>(4.3)</w:t>
            </w:r>
          </w:p>
        </w:tc>
        <w:tc>
          <w:tcPr>
            <w:tcW w:w="0" w:type="dxa"/>
            <w:vAlign w:val="bottom"/>
          </w:tcPr>
          <w:p>
            <w:pPr>
              <w:spacing w:after="0"/>
              <w:rPr>
                <w:sz w:val="1"/>
                <w:szCs w:val="1"/>
                <w:color w:val="auto"/>
              </w:rPr>
            </w:pPr>
          </w:p>
        </w:tc>
      </w:tr>
      <w:tr>
        <w:trPr>
          <w:trHeight w:val="98"/>
        </w:trPr>
        <w:tc>
          <w:tcPr>
            <w:tcW w:w="460" w:type="dxa"/>
            <w:vAlign w:val="bottom"/>
            <w:tcBorders>
              <w:top w:val="single" w:sz="8" w:color="auto"/>
            </w:tcBorders>
          </w:tcPr>
          <w:p>
            <w:pPr>
              <w:spacing w:after="0" w:line="98" w:lineRule="exact"/>
              <w:rPr>
                <w:sz w:val="20"/>
                <w:szCs w:val="20"/>
                <w:color w:val="auto"/>
              </w:rPr>
            </w:pPr>
            <w:r>
              <w:rPr>
                <w:rFonts w:ascii="Arial" w:cs="Arial" w:eastAsia="Arial" w:hAnsi="Arial"/>
                <w:sz w:val="10"/>
                <w:szCs w:val="10"/>
                <w:color w:val="auto"/>
                <w:w w:val="86"/>
              </w:rPr>
              <w:t>Net income</w:t>
            </w:r>
          </w:p>
        </w:tc>
        <w:tc>
          <w:tcPr>
            <w:tcW w:w="4080" w:type="dxa"/>
            <w:vAlign w:val="bottom"/>
          </w:tcPr>
          <w:p>
            <w:pPr>
              <w:spacing w:after="0" w:line="98" w:lineRule="exact"/>
              <w:rPr>
                <w:sz w:val="20"/>
                <w:szCs w:val="20"/>
                <w:color w:val="auto"/>
              </w:rPr>
            </w:pPr>
            <w:r>
              <w:rPr>
                <w:rFonts w:ascii="Arial" w:cs="Arial" w:eastAsia="Arial" w:hAnsi="Arial"/>
                <w:sz w:val="10"/>
                <w:szCs w:val="10"/>
                <w:color w:val="auto"/>
              </w:rPr>
              <w:t>(loss) (GAAP basis)</w:t>
            </w:r>
          </w:p>
        </w:tc>
        <w:tc>
          <w:tcPr>
            <w:tcW w:w="106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540" w:type="dxa"/>
            <w:vAlign w:val="bottom"/>
            <w:gridSpan w:val="2"/>
            <w:shd w:val="clear" w:color="auto" w:fill="CFF0FC"/>
          </w:tcPr>
          <w:p>
            <w:pPr>
              <w:spacing w:after="0" w:line="109" w:lineRule="exact"/>
              <w:rPr>
                <w:sz w:val="20"/>
                <w:szCs w:val="20"/>
                <w:color w:val="auto"/>
              </w:rPr>
            </w:pPr>
            <w:r>
              <w:rPr>
                <w:rFonts w:ascii="Arial" w:cs="Arial" w:eastAsia="Arial" w:hAnsi="Arial"/>
                <w:sz w:val="10"/>
                <w:szCs w:val="10"/>
                <w:color w:val="auto"/>
              </w:rPr>
              <w:t>Add back:</w:t>
            </w:r>
          </w:p>
        </w:tc>
        <w:tc>
          <w:tcPr>
            <w:tcW w:w="106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540" w:type="dxa"/>
            <w:vAlign w:val="bottom"/>
            <w:gridSpan w:val="2"/>
          </w:tcPr>
          <w:p>
            <w:pPr>
              <w:spacing w:after="0" w:line="109" w:lineRule="exact"/>
              <w:rPr>
                <w:sz w:val="20"/>
                <w:szCs w:val="20"/>
                <w:color w:val="auto"/>
              </w:rPr>
            </w:pPr>
            <w:r>
              <w:rPr>
                <w:rFonts w:ascii="Arial" w:cs="Arial" w:eastAsia="Arial" w:hAnsi="Arial"/>
                <w:sz w:val="10"/>
                <w:szCs w:val="10"/>
                <w:color w:val="auto"/>
              </w:rPr>
              <w:t>CEO transition costs</w:t>
            </w:r>
          </w:p>
        </w:tc>
        <w:tc>
          <w:tcPr>
            <w:tcW w:w="106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jc w:val="right"/>
              <w:spacing w:after="0" w:line="109" w:lineRule="exact"/>
              <w:rPr>
                <w:sz w:val="20"/>
                <w:szCs w:val="20"/>
                <w:color w:val="auto"/>
              </w:rPr>
            </w:pPr>
            <w:r>
              <w:rPr>
                <w:rFonts w:ascii="Arial" w:cs="Arial" w:eastAsia="Arial" w:hAnsi="Arial"/>
                <w:sz w:val="10"/>
                <w:szCs w:val="10"/>
                <w:color w:val="auto"/>
              </w:rPr>
              <w:t>0.7</w:t>
            </w: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jc w:val="right"/>
              <w:spacing w:after="0" w:line="109" w:lineRule="exact"/>
              <w:rPr>
                <w:sz w:val="20"/>
                <w:szCs w:val="20"/>
                <w:color w:val="auto"/>
              </w:rPr>
            </w:pPr>
            <w:r>
              <w:rPr>
                <w:rFonts w:ascii="Arial" w:cs="Arial" w:eastAsia="Arial" w:hAnsi="Arial"/>
                <w:sz w:val="10"/>
                <w:szCs w:val="10"/>
                <w:color w:val="auto"/>
              </w:rPr>
              <w:t>0.1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540" w:type="dxa"/>
            <w:vAlign w:val="bottom"/>
            <w:gridSpan w:val="2"/>
            <w:shd w:val="clear" w:color="auto" w:fill="CFF0FC"/>
          </w:tcPr>
          <w:p>
            <w:pPr>
              <w:spacing w:after="0" w:line="109" w:lineRule="exact"/>
              <w:rPr>
                <w:sz w:val="20"/>
                <w:szCs w:val="20"/>
                <w:color w:val="auto"/>
              </w:rPr>
            </w:pPr>
            <w:r>
              <w:rPr>
                <w:rFonts w:ascii="Arial" w:cs="Arial" w:eastAsia="Arial" w:hAnsi="Arial"/>
                <w:sz w:val="10"/>
                <w:szCs w:val="10"/>
                <w:color w:val="auto"/>
              </w:rPr>
              <w:t>Corporate restructuring</w:t>
            </w:r>
          </w:p>
        </w:tc>
        <w:tc>
          <w:tcPr>
            <w:tcW w:w="10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w:t>
            </w:r>
          </w:p>
        </w:tc>
        <w:tc>
          <w:tcPr>
            <w:tcW w:w="3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6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1.6</w:t>
            </w: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1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w:t>
            </w: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06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1.6</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540" w:type="dxa"/>
            <w:vAlign w:val="bottom"/>
            <w:gridSpan w:val="2"/>
          </w:tcPr>
          <w:p>
            <w:pPr>
              <w:spacing w:after="0" w:line="109" w:lineRule="exact"/>
              <w:rPr>
                <w:sz w:val="20"/>
                <w:szCs w:val="20"/>
                <w:color w:val="auto"/>
              </w:rPr>
            </w:pPr>
            <w:r>
              <w:rPr>
                <w:rFonts w:ascii="Arial" w:cs="Arial" w:eastAsia="Arial" w:hAnsi="Arial"/>
                <w:sz w:val="10"/>
                <w:szCs w:val="10"/>
                <w:color w:val="auto"/>
              </w:rPr>
              <w:t>Provision for income taxes</w:t>
            </w:r>
          </w:p>
        </w:tc>
        <w:tc>
          <w:tcPr>
            <w:tcW w:w="106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gridSpan w:val="2"/>
          </w:tcPr>
          <w:p>
            <w:pPr>
              <w:jc w:val="right"/>
              <w:ind w:right="260"/>
              <w:spacing w:after="0" w:line="109" w:lineRule="exact"/>
              <w:rPr>
                <w:sz w:val="20"/>
                <w:szCs w:val="20"/>
                <w:color w:val="auto"/>
              </w:rPr>
            </w:pPr>
            <w:r>
              <w:rPr>
                <w:rFonts w:ascii="Arial" w:cs="Arial" w:eastAsia="Arial" w:hAnsi="Arial"/>
                <w:sz w:val="10"/>
                <w:szCs w:val="10"/>
                <w:color w:val="auto"/>
              </w:rPr>
              <w:t>(0.0)</w:t>
            </w:r>
          </w:p>
        </w:tc>
        <w:tc>
          <w:tcPr>
            <w:tcW w:w="400" w:type="dxa"/>
            <w:vAlign w:val="bottom"/>
          </w:tcPr>
          <w:p>
            <w:pPr>
              <w:spacing w:after="0"/>
              <w:rPr>
                <w:sz w:val="9"/>
                <w:szCs w:val="9"/>
                <w:color w:val="auto"/>
              </w:rPr>
            </w:pPr>
          </w:p>
        </w:tc>
        <w:tc>
          <w:tcPr>
            <w:tcW w:w="1060" w:type="dxa"/>
            <w:vAlign w:val="bottom"/>
          </w:tcPr>
          <w:p>
            <w:pPr>
              <w:jc w:val="right"/>
              <w:spacing w:after="0" w:line="109" w:lineRule="exact"/>
              <w:rPr>
                <w:sz w:val="20"/>
                <w:szCs w:val="20"/>
                <w:color w:val="auto"/>
              </w:rPr>
            </w:pPr>
            <w:r>
              <w:rPr>
                <w:rFonts w:ascii="Arial" w:cs="Arial" w:eastAsia="Arial" w:hAnsi="Arial"/>
                <w:sz w:val="10"/>
                <w:szCs w:val="10"/>
                <w:color w:val="auto"/>
              </w:rPr>
              <w:t>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540" w:type="dxa"/>
            <w:vAlign w:val="bottom"/>
            <w:gridSpan w:val="2"/>
            <w:shd w:val="clear" w:color="auto" w:fill="CFF0FC"/>
          </w:tcPr>
          <w:p>
            <w:pPr>
              <w:spacing w:after="0" w:line="109" w:lineRule="exact"/>
              <w:rPr>
                <w:sz w:val="20"/>
                <w:szCs w:val="20"/>
                <w:color w:val="auto"/>
              </w:rPr>
            </w:pPr>
            <w:r>
              <w:rPr>
                <w:rFonts w:ascii="Arial" w:cs="Arial" w:eastAsia="Arial" w:hAnsi="Arial"/>
                <w:sz w:val="10"/>
                <w:szCs w:val="10"/>
                <w:color w:val="auto"/>
              </w:rPr>
              <w:t>Interest expense</w:t>
            </w:r>
          </w:p>
        </w:tc>
        <w:tc>
          <w:tcPr>
            <w:tcW w:w="1060" w:type="dxa"/>
            <w:vAlign w:val="bottom"/>
            <w:shd w:val="clear" w:color="auto" w:fill="CFF0FC"/>
          </w:tcPr>
          <w:p>
            <w:pPr>
              <w:spacing w:after="0"/>
              <w:rPr>
                <w:sz w:val="9"/>
                <w:szCs w:val="9"/>
                <w:color w:val="auto"/>
              </w:rPr>
            </w:pPr>
          </w:p>
        </w:tc>
        <w:tc>
          <w:tcPr>
            <w:tcW w:w="3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0.9</w:t>
            </w:r>
          </w:p>
        </w:tc>
        <w:tc>
          <w:tcPr>
            <w:tcW w:w="3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6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1.0</w:t>
            </w:r>
          </w:p>
        </w:tc>
        <w:tc>
          <w:tcPr>
            <w:tcW w:w="4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1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1.7</w:t>
            </w:r>
          </w:p>
        </w:tc>
        <w:tc>
          <w:tcPr>
            <w:tcW w:w="3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06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540" w:type="dxa"/>
            <w:vAlign w:val="bottom"/>
            <w:tcBorders>
              <w:bottom w:val="single" w:sz="8" w:color="CFF0FC"/>
            </w:tcBorders>
            <w:gridSpan w:val="2"/>
          </w:tcPr>
          <w:p>
            <w:pPr>
              <w:spacing w:after="0" w:line="109" w:lineRule="exact"/>
              <w:rPr>
                <w:sz w:val="20"/>
                <w:szCs w:val="20"/>
                <w:color w:val="auto"/>
              </w:rPr>
            </w:pPr>
            <w:r>
              <w:rPr>
                <w:rFonts w:ascii="Arial" w:cs="Arial" w:eastAsia="Arial" w:hAnsi="Arial"/>
                <w:sz w:val="10"/>
                <w:szCs w:val="10"/>
                <w:color w:val="auto"/>
              </w:rPr>
              <w:t>Depreciation and amortization</w:t>
            </w:r>
          </w:p>
        </w:tc>
        <w:tc>
          <w:tcPr>
            <w:tcW w:w="10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6.2</w:t>
            </w:r>
          </w:p>
        </w:tc>
        <w:tc>
          <w:tcPr>
            <w:tcW w:w="320" w:type="dxa"/>
            <w:vAlign w:val="bottom"/>
            <w:tcBorders>
              <w:bottom w:val="single" w:sz="8" w:color="CFF0FC"/>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7.4</w:t>
            </w:r>
          </w:p>
        </w:tc>
        <w:tc>
          <w:tcPr>
            <w:tcW w:w="44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12.5</w:t>
            </w:r>
          </w:p>
        </w:tc>
        <w:tc>
          <w:tcPr>
            <w:tcW w:w="300" w:type="dxa"/>
            <w:vAlign w:val="bottom"/>
            <w:tcBorders>
              <w:bottom w:val="single" w:sz="8" w:color="CFF0FC"/>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14.7</w:t>
            </w:r>
          </w:p>
        </w:tc>
        <w:tc>
          <w:tcPr>
            <w:tcW w:w="10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540" w:type="dxa"/>
            <w:vAlign w:val="bottom"/>
            <w:tcBorders>
              <w:bottom w:val="single" w:sz="8" w:color="CFF0FC"/>
            </w:tcBorders>
            <w:gridSpan w:val="2"/>
            <w:shd w:val="clear" w:color="auto" w:fill="CFF0FC"/>
          </w:tcPr>
          <w:p>
            <w:pPr>
              <w:spacing w:after="0" w:line="98" w:lineRule="exact"/>
              <w:rPr>
                <w:sz w:val="20"/>
                <w:szCs w:val="20"/>
                <w:color w:val="auto"/>
              </w:rPr>
            </w:pPr>
            <w:r>
              <w:rPr>
                <w:rFonts w:ascii="Arial" w:cs="Arial" w:eastAsia="Arial" w:hAnsi="Arial"/>
                <w:sz w:val="10"/>
                <w:szCs w:val="10"/>
                <w:color w:val="auto"/>
              </w:rPr>
              <w:t>Adjusted EBITDA (non-GAAP basis)</w:t>
            </w:r>
          </w:p>
        </w:tc>
        <w:tc>
          <w:tcPr>
            <w:tcW w:w="1060" w:type="dxa"/>
            <w:vAlign w:val="bottom"/>
            <w:tcBorders>
              <w:bottom w:val="single" w:sz="8" w:color="auto"/>
            </w:tcBorders>
            <w:shd w:val="clear" w:color="auto" w:fill="CFF0FC"/>
          </w:tcPr>
          <w:p>
            <w:pPr>
              <w:jc w:val="right"/>
              <w:ind w:right="988"/>
              <w:spacing w:after="0"/>
              <w:rPr>
                <w:sz w:val="20"/>
                <w:szCs w:val="20"/>
                <w:color w:val="auto"/>
              </w:rPr>
            </w:pPr>
            <w:r>
              <w:rPr>
                <w:rFonts w:ascii="Arial" w:cs="Arial" w:eastAsia="Arial" w:hAnsi="Arial"/>
                <w:sz w:val="5"/>
                <w:szCs w:val="5"/>
                <w:color w:val="auto"/>
                <w:w w:val="70"/>
              </w:rPr>
              <w:t>$</w:t>
            </w:r>
          </w:p>
        </w:tc>
        <w:tc>
          <w:tcPr>
            <w:tcW w:w="380" w:type="dxa"/>
            <w:vAlign w:val="bottom"/>
            <w:tcBorders>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7.1</w:t>
            </w:r>
          </w:p>
        </w:tc>
        <w:tc>
          <w:tcPr>
            <w:tcW w:w="320" w:type="dxa"/>
            <w:vAlign w:val="bottom"/>
            <w:tcBorders>
              <w:bottom w:val="single" w:sz="8" w:color="CFF0FC"/>
            </w:tcBorders>
            <w:shd w:val="clear" w:color="auto" w:fill="CFF0FC"/>
          </w:tcPr>
          <w:p>
            <w:pPr>
              <w:spacing w:after="0"/>
              <w:rPr>
                <w:sz w:val="9"/>
                <w:szCs w:val="9"/>
                <w:color w:val="auto"/>
              </w:rPr>
            </w:pPr>
          </w:p>
        </w:tc>
        <w:tc>
          <w:tcPr>
            <w:tcW w:w="420" w:type="dxa"/>
            <w:vAlign w:val="bottom"/>
            <w:tcBorders>
              <w:bottom w:val="single" w:sz="8" w:color="auto"/>
            </w:tcBorders>
            <w:shd w:val="clear" w:color="auto" w:fill="CFF0FC"/>
          </w:tcPr>
          <w:p>
            <w:pPr>
              <w:jc w:val="right"/>
              <w:ind w:right="356"/>
              <w:spacing w:after="0"/>
              <w:rPr>
                <w:sz w:val="20"/>
                <w:szCs w:val="20"/>
                <w:color w:val="auto"/>
              </w:rPr>
            </w:pPr>
            <w:r>
              <w:rPr>
                <w:rFonts w:ascii="Arial" w:cs="Arial" w:eastAsia="Arial" w:hAnsi="Arial"/>
                <w:sz w:val="5"/>
                <w:szCs w:val="5"/>
                <w:color w:val="auto"/>
                <w:w w:val="70"/>
              </w:rPr>
              <w:t>$</w:t>
            </w:r>
          </w:p>
        </w:tc>
        <w:tc>
          <w:tcPr>
            <w:tcW w:w="1060" w:type="dxa"/>
            <w:vAlign w:val="bottom"/>
            <w:tcBorders>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8.7</w:t>
            </w:r>
          </w:p>
        </w:tc>
        <w:tc>
          <w:tcPr>
            <w:tcW w:w="44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jc w:val="right"/>
              <w:ind w:right="156"/>
              <w:spacing w:after="0"/>
              <w:rPr>
                <w:sz w:val="20"/>
                <w:szCs w:val="20"/>
                <w:color w:val="auto"/>
              </w:rPr>
            </w:pPr>
            <w:r>
              <w:rPr>
                <w:rFonts w:ascii="Arial" w:cs="Arial" w:eastAsia="Arial" w:hAnsi="Arial"/>
                <w:sz w:val="5"/>
                <w:szCs w:val="5"/>
                <w:color w:val="auto"/>
                <w:w w:val="70"/>
              </w:rPr>
              <w:t>$</w:t>
            </w:r>
          </w:p>
        </w:tc>
        <w:tc>
          <w:tcPr>
            <w:tcW w:w="1180" w:type="dxa"/>
            <w:vAlign w:val="bottom"/>
            <w:tcBorders>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11.9</w:t>
            </w:r>
          </w:p>
        </w:tc>
        <w:tc>
          <w:tcPr>
            <w:tcW w:w="300" w:type="dxa"/>
            <w:vAlign w:val="bottom"/>
            <w:tcBorders>
              <w:bottom w:val="single" w:sz="8" w:color="CFF0FC"/>
            </w:tcBorders>
            <w:shd w:val="clear" w:color="auto" w:fill="CFF0FC"/>
          </w:tcPr>
          <w:p>
            <w:pPr>
              <w:spacing w:after="0"/>
              <w:rPr>
                <w:sz w:val="9"/>
                <w:szCs w:val="9"/>
                <w:color w:val="auto"/>
              </w:rPr>
            </w:pPr>
          </w:p>
        </w:tc>
        <w:tc>
          <w:tcPr>
            <w:tcW w:w="400" w:type="dxa"/>
            <w:vAlign w:val="bottom"/>
            <w:tcBorders>
              <w:bottom w:val="single" w:sz="8" w:color="auto"/>
            </w:tcBorders>
            <w:shd w:val="clear" w:color="auto" w:fill="CFF0FC"/>
          </w:tcPr>
          <w:p>
            <w:pPr>
              <w:jc w:val="right"/>
              <w:ind w:right="336"/>
              <w:spacing w:after="0"/>
              <w:rPr>
                <w:sz w:val="20"/>
                <w:szCs w:val="20"/>
                <w:color w:val="auto"/>
              </w:rPr>
            </w:pPr>
            <w:r>
              <w:rPr>
                <w:rFonts w:ascii="Arial" w:cs="Arial" w:eastAsia="Arial" w:hAnsi="Arial"/>
                <w:sz w:val="5"/>
                <w:szCs w:val="5"/>
                <w:color w:val="auto"/>
                <w:w w:val="70"/>
              </w:rPr>
              <w:t>$</w:t>
            </w:r>
          </w:p>
        </w:tc>
        <w:tc>
          <w:tcPr>
            <w:tcW w:w="1060" w:type="dxa"/>
            <w:vAlign w:val="bottom"/>
            <w:tcBorders>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14.0</w:t>
            </w: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83"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Interest Rates</w:t>
      </w:r>
    </w:p>
    <w:p>
      <w:pPr>
        <w:spacing w:after="0" w:line="79" w:lineRule="exact"/>
        <w:rPr>
          <w:sz w:val="20"/>
          <w:szCs w:val="20"/>
          <w:color w:val="auto"/>
        </w:rPr>
      </w:pPr>
    </w:p>
    <w:p>
      <w:pPr>
        <w:ind w:right="140"/>
        <w:spacing w:after="0" w:line="265" w:lineRule="auto"/>
        <w:rPr>
          <w:sz w:val="20"/>
          <w:szCs w:val="20"/>
          <w:color w:val="auto"/>
        </w:rPr>
      </w:pPr>
      <w:r>
        <w:rPr>
          <w:rFonts w:ascii="Arial" w:cs="Arial" w:eastAsia="Arial" w:hAnsi="Arial"/>
          <w:sz w:val="12"/>
          <w:szCs w:val="12"/>
          <w:color w:val="auto"/>
        </w:rPr>
        <w:t>We utilize cash from operations and from our Revolving Facility of our Credit Facility to fund our working capital needs. Our Credit Facility is not used for trading or speculative purposes. As part of our Credit Facility, we also have an outstanding $15.0 million FILO loan. In addition, we have available letters of credit as sources of financing for our working capital requirements. Borrowings under the Credit Facility, which expires May 24, 2023, bear interest at variable rates based on Bank of America’s prime rate or LIBOR.</w:t>
      </w:r>
    </w:p>
    <w:p>
      <w:pPr>
        <w:spacing w:after="0" w:line="50" w:lineRule="exact"/>
        <w:rPr>
          <w:sz w:val="20"/>
          <w:szCs w:val="20"/>
          <w:color w:val="auto"/>
        </w:rPr>
      </w:pPr>
    </w:p>
    <w:p>
      <w:pPr>
        <w:ind w:right="220"/>
        <w:spacing w:after="0" w:line="279" w:lineRule="auto"/>
        <w:rPr>
          <w:sz w:val="20"/>
          <w:szCs w:val="20"/>
          <w:color w:val="auto"/>
        </w:rPr>
      </w:pPr>
      <w:r>
        <w:rPr>
          <w:rFonts w:ascii="Arial" w:cs="Arial" w:eastAsia="Arial" w:hAnsi="Arial"/>
          <w:sz w:val="12"/>
          <w:szCs w:val="12"/>
          <w:color w:val="auto"/>
        </w:rPr>
        <w:t>At August 3, 2019, we had outstanding borrowings of approximately $49.8 million, of which approximately $45.0 million were in LIBOR-based contracts with an interest rate of approximately 3.56%. The remainder was prime-based borrowings, with a rate of 5.75%. At August 3, 2019, the $15.0 million outstanding borrowings under the FILO loan were in a LIBOR-based contract with an interest rate of 5.06%.</w:t>
      </w:r>
    </w:p>
    <w:p>
      <w:pPr>
        <w:spacing w:after="0" w:line="41" w:lineRule="exact"/>
        <w:rPr>
          <w:sz w:val="20"/>
          <w:szCs w:val="20"/>
          <w:color w:val="auto"/>
        </w:rPr>
      </w:pPr>
    </w:p>
    <w:p>
      <w:pPr>
        <w:ind w:right="140"/>
        <w:spacing w:after="0" w:line="279" w:lineRule="auto"/>
        <w:rPr>
          <w:sz w:val="20"/>
          <w:szCs w:val="20"/>
          <w:color w:val="auto"/>
        </w:rPr>
      </w:pPr>
      <w:r>
        <w:rPr>
          <w:rFonts w:ascii="Arial" w:cs="Arial" w:eastAsia="Arial" w:hAnsi="Arial"/>
          <w:sz w:val="12"/>
          <w:szCs w:val="12"/>
          <w:color w:val="auto"/>
        </w:rPr>
        <w:t>Based upon a sensitivity analysis as of August 3, 2019, assuming average outstanding borrowing during the first six months of fiscal 2018 of $56.4 million under our Credit Facility and $15.0 million outstanding under our FILO loan, a 50 basis point increase in interest rates would have resulted in a potential increase in interest expense of approximately $357,000 on an annualized basis.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Foreign Currency</w:t>
      </w:r>
    </w:p>
    <w:p>
      <w:pPr>
        <w:spacing w:after="0" w:line="79" w:lineRule="exact"/>
        <w:rPr>
          <w:sz w:val="20"/>
          <w:szCs w:val="20"/>
          <w:color w:val="auto"/>
        </w:rPr>
      </w:pPr>
    </w:p>
    <w:p>
      <w:pPr>
        <w:ind w:right="80"/>
        <w:spacing w:after="0" w:line="326" w:lineRule="auto"/>
        <w:rPr>
          <w:sz w:val="20"/>
          <w:szCs w:val="20"/>
          <w:color w:val="auto"/>
        </w:rPr>
      </w:pPr>
      <w:r>
        <w:rPr>
          <w:rFonts w:ascii="Arial" w:cs="Arial" w:eastAsia="Arial" w:hAnsi="Arial"/>
          <w:sz w:val="11"/>
          <w:szCs w:val="11"/>
          <w:color w:val="auto"/>
        </w:rPr>
        <w:t>Our Rochester Clothing store located in London, England conducts business in British pounds and our two DXL stores located in Ontario, Canada conduct business in Canadian dollars. As of August 3, 2019, sales from these stores were immaterial to consolidated sales. As such, we believe that movement in foreign currency exchange rates will not have a material adverse effect on our financial position or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Evaluation of Disclosure Controls and Procedures</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2"/>
          <w:szCs w:val="12"/>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August 3, 2019.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August 3, 2019, our disclosure controls and procedures were effective.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80"/>
          </w:cols>
          <w:pgMar w:left="220" w:top="275" w:right="199" w:bottom="1440" w:gutter="0" w:footer="0" w:header="0"/>
        </w:sectPr>
      </w:pPr>
    </w:p>
    <w:bookmarkStart w:id="26" w:name="page27"/>
    <w:bookmarkEnd w:id="26"/>
    <w:p>
      <w:pPr>
        <w:spacing w:after="0"/>
        <w:rPr>
          <w:sz w:val="20"/>
          <w:szCs w:val="20"/>
          <w:color w:val="auto"/>
        </w:rPr>
      </w:pPr>
      <w:r>
        <w:rPr>
          <w:rFonts w:ascii="Arial" w:cs="Arial" w:eastAsia="Arial" w:hAnsi="Arial"/>
          <w:sz w:val="12"/>
          <w:szCs w:val="12"/>
          <w:u w:val="single" w:color="auto"/>
          <w:color w:val="auto"/>
        </w:rPr>
        <w:t>Changes in Internal Control over Financial Reporting</w:t>
      </w:r>
    </w:p>
    <w:p>
      <w:pPr>
        <w:spacing w:after="0" w:line="79"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During the six-month period ended August 3, 2019, we adopted new guidance for lease accounting. We implemented internal controls to ensure we adequately evaluated leasing arrangements and properly assessed the impact of the new guidance to facilitate the adoption. Additionally, we implemented new business processes, internal controls, and modified information technology systems to assist in the ongoing application of the new guidance. There were no other changes in our internal control over financial reporting (as defined in Rules 13a-15(f) and 15d-15(f) under the Exchange Act) that occurred during the quarter ended August 3, 2019 that has materially affected, or is reasonably likely to materially affect, our internal control over financial reporting.</w:t>
      </w: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43180</wp:posOffset>
            </wp:positionV>
            <wp:extent cx="732853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360"/>
          </w:cols>
          <w:pgMar w:left="220" w:top="348" w:right="319" w:bottom="1440" w:gutter="0" w:footer="0" w:header="0"/>
        </w:sectPr>
      </w:pPr>
    </w:p>
    <w:bookmarkStart w:id="27" w:name="page28"/>
    <w:bookmarkEnd w:id="27"/>
    <w:p>
      <w:pPr>
        <w:ind w:left="3"/>
        <w:spacing w:after="0"/>
        <w:rPr>
          <w:sz w:val="20"/>
          <w:szCs w:val="20"/>
          <w:color w:val="auto"/>
        </w:rPr>
      </w:pPr>
      <w:r>
        <w:rPr>
          <w:rFonts w:ascii="Arial" w:cs="Arial" w:eastAsia="Arial" w:hAnsi="Arial"/>
          <w:sz w:val="12"/>
          <w:szCs w:val="12"/>
          <w:b w:val="1"/>
          <w:bCs w:val="1"/>
          <w:color w:val="auto"/>
        </w:rPr>
        <w:t>PART II. OTHER INFORMATION</w:t>
      </w:r>
    </w:p>
    <w:p>
      <w:pPr>
        <w:spacing w:after="0" w:line="88"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Item 1. Legal Proceedings.</w:t>
      </w:r>
    </w:p>
    <w:p>
      <w:pPr>
        <w:spacing w:after="0" w:line="83" w:lineRule="exact"/>
        <w:rPr>
          <w:sz w:val="20"/>
          <w:szCs w:val="20"/>
          <w:color w:val="auto"/>
        </w:rPr>
      </w:pPr>
    </w:p>
    <w:p>
      <w:pPr>
        <w:ind w:left="283" w:right="40"/>
        <w:spacing w:after="0" w:line="279" w:lineRule="auto"/>
        <w:rPr>
          <w:sz w:val="20"/>
          <w:szCs w:val="20"/>
          <w:color w:val="auto"/>
        </w:rPr>
      </w:pPr>
      <w:r>
        <w:rPr>
          <w:rFonts w:ascii="Arial" w:cs="Arial" w:eastAsia="Arial" w:hAnsi="Arial"/>
          <w:sz w:val="12"/>
          <w:szCs w:val="12"/>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237"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Item 1A. Risk Factors.</w:t>
      </w:r>
    </w:p>
    <w:p>
      <w:pPr>
        <w:spacing w:after="0" w:line="83" w:lineRule="exact"/>
        <w:rPr>
          <w:sz w:val="20"/>
          <w:szCs w:val="20"/>
          <w:color w:val="auto"/>
        </w:rPr>
      </w:pPr>
    </w:p>
    <w:p>
      <w:pPr>
        <w:ind w:left="283"/>
        <w:spacing w:after="0"/>
        <w:rPr>
          <w:sz w:val="20"/>
          <w:szCs w:val="20"/>
          <w:color w:val="auto"/>
        </w:rPr>
      </w:pPr>
      <w:r>
        <w:rPr>
          <w:rFonts w:ascii="Arial" w:cs="Arial" w:eastAsia="Arial" w:hAnsi="Arial"/>
          <w:sz w:val="12"/>
          <w:szCs w:val="12"/>
          <w:color w:val="auto"/>
        </w:rPr>
        <w:t>There have been no material changes to the risk factors as previously disclosed in Part I, Item 1A of our Fiscal 2018 Annual Report.</w:t>
      </w:r>
    </w:p>
    <w:p>
      <w:pPr>
        <w:spacing w:after="0" w:line="275"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83" w:lineRule="exact"/>
        <w:rPr>
          <w:sz w:val="20"/>
          <w:szCs w:val="20"/>
          <w:color w:val="auto"/>
        </w:rPr>
      </w:pPr>
    </w:p>
    <w:p>
      <w:pPr>
        <w:ind w:left="283"/>
        <w:spacing w:after="0"/>
        <w:rPr>
          <w:sz w:val="20"/>
          <w:szCs w:val="20"/>
          <w:color w:val="auto"/>
        </w:rPr>
      </w:pPr>
      <w:r>
        <w:rPr>
          <w:rFonts w:ascii="Arial" w:cs="Arial" w:eastAsia="Arial" w:hAnsi="Arial"/>
          <w:sz w:val="12"/>
          <w:szCs w:val="12"/>
          <w:color w:val="auto"/>
        </w:rPr>
        <w:t>None.</w:t>
      </w:r>
    </w:p>
    <w:p>
      <w:pPr>
        <w:spacing w:after="0" w:line="16"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71" w:lineRule="exact"/>
        <w:rPr>
          <w:sz w:val="20"/>
          <w:szCs w:val="20"/>
          <w:color w:val="auto"/>
        </w:rPr>
      </w:pPr>
    </w:p>
    <w:p>
      <w:pPr>
        <w:ind w:left="263"/>
        <w:spacing w:after="0"/>
        <w:rPr>
          <w:sz w:val="20"/>
          <w:szCs w:val="20"/>
          <w:color w:val="auto"/>
        </w:rPr>
      </w:pPr>
      <w:r>
        <w:rPr>
          <w:rFonts w:ascii="Arial" w:cs="Arial" w:eastAsia="Arial" w:hAnsi="Arial"/>
          <w:sz w:val="12"/>
          <w:szCs w:val="12"/>
          <w:color w:val="auto"/>
        </w:rPr>
        <w:t>None.</w:t>
      </w:r>
    </w:p>
    <w:p>
      <w:pPr>
        <w:spacing w:after="0" w:line="275"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Item 4. Mine Safety Disclosures.</w:t>
      </w:r>
    </w:p>
    <w:p>
      <w:pPr>
        <w:spacing w:after="0" w:line="83" w:lineRule="exact"/>
        <w:rPr>
          <w:sz w:val="20"/>
          <w:szCs w:val="20"/>
          <w:color w:val="auto"/>
        </w:rPr>
      </w:pPr>
    </w:p>
    <w:p>
      <w:pPr>
        <w:ind w:left="263"/>
        <w:spacing w:after="0"/>
        <w:rPr>
          <w:sz w:val="20"/>
          <w:szCs w:val="20"/>
          <w:color w:val="auto"/>
        </w:rPr>
      </w:pPr>
      <w:r>
        <w:rPr>
          <w:rFonts w:ascii="Arial" w:cs="Arial" w:eastAsia="Arial" w:hAnsi="Arial"/>
          <w:sz w:val="12"/>
          <w:szCs w:val="12"/>
          <w:color w:val="auto"/>
        </w:rPr>
        <w:t>Not applicable.</w:t>
      </w:r>
    </w:p>
    <w:p>
      <w:pPr>
        <w:spacing w:after="0" w:line="275"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Item 5. Other Information.</w:t>
      </w:r>
    </w:p>
    <w:p>
      <w:pPr>
        <w:spacing w:after="0" w:line="83" w:lineRule="exact"/>
        <w:rPr>
          <w:sz w:val="20"/>
          <w:szCs w:val="20"/>
          <w:color w:val="auto"/>
        </w:rPr>
      </w:pPr>
    </w:p>
    <w:p>
      <w:pPr>
        <w:ind w:left="263"/>
        <w:spacing w:after="0"/>
        <w:rPr>
          <w:sz w:val="20"/>
          <w:szCs w:val="20"/>
          <w:color w:val="auto"/>
        </w:rPr>
      </w:pPr>
      <w:r>
        <w:rPr>
          <w:rFonts w:ascii="Arial" w:cs="Arial" w:eastAsia="Arial" w:hAnsi="Arial"/>
          <w:sz w:val="12"/>
          <w:szCs w:val="12"/>
          <w:color w:val="auto"/>
        </w:rPr>
        <w:t>None.</w:t>
      </w:r>
    </w:p>
    <w:p>
      <w:pPr>
        <w:spacing w:after="0" w:line="139"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Item 6. Exhibits.</w:t>
      </w:r>
    </w:p>
    <w:p>
      <w:pPr>
        <w:spacing w:after="0" w:line="307" w:lineRule="exact"/>
        <w:rPr>
          <w:sz w:val="20"/>
          <w:szCs w:val="20"/>
          <w:color w:val="auto"/>
        </w:rPr>
      </w:pPr>
    </w:p>
    <w:tbl>
      <w:tblPr>
        <w:tblLayout w:type="fixed"/>
        <w:tblInd w:w="3" w:type="dxa"/>
        <w:tblCellMar>
          <w:top w:w="0" w:type="dxa"/>
          <w:left w:w="0" w:type="dxa"/>
          <w:bottom w:w="0" w:type="dxa"/>
          <w:right w:w="0" w:type="dxa"/>
        </w:tblCellMar>
      </w:tblPr>
      <w:tr>
        <w:trPr>
          <w:trHeight w:val="138"/>
        </w:trPr>
        <w:tc>
          <w:tcPr>
            <w:tcW w:w="940" w:type="dxa"/>
            <w:vAlign w:val="bottom"/>
          </w:tcPr>
          <w:p>
            <w:pPr>
              <w:jc w:val="right"/>
              <w:ind w:right="680"/>
              <w:spacing w:after="0"/>
              <w:rPr>
                <w:sz w:val="20"/>
                <w:szCs w:val="20"/>
                <w:color w:val="auto"/>
              </w:rPr>
            </w:pPr>
            <w:r>
              <w:rPr>
                <w:rFonts w:ascii="Arial" w:cs="Arial" w:eastAsia="Arial" w:hAnsi="Arial"/>
                <w:sz w:val="12"/>
                <w:szCs w:val="12"/>
                <w:color w:val="auto"/>
                <w:w w:val="76"/>
              </w:rPr>
              <w:t>10.1</w:t>
            </w:r>
          </w:p>
        </w:tc>
        <w:tc>
          <w:tcPr>
            <w:tcW w:w="10400" w:type="dxa"/>
            <w:vAlign w:val="bottom"/>
            <w:tcBorders>
              <w:bottom w:val="single" w:sz="8" w:color="0000EE"/>
            </w:tcBorders>
            <w:gridSpan w:val="6"/>
          </w:tcPr>
          <w:p>
            <w:pPr>
              <w:spacing w:after="0"/>
              <w:rPr>
                <w:rFonts w:ascii="Arial" w:cs="Arial" w:eastAsia="Arial" w:hAnsi="Arial"/>
                <w:sz w:val="12"/>
                <w:szCs w:val="12"/>
                <w:color w:val="0000EE"/>
                <w:w w:val="91"/>
              </w:rPr>
            </w:pPr>
            <w:hyperlink r:id="rId44">
              <w:r>
                <w:rPr>
                  <w:rFonts w:ascii="Arial" w:cs="Arial" w:eastAsia="Arial" w:hAnsi="Arial"/>
                  <w:sz w:val="12"/>
                  <w:szCs w:val="12"/>
                  <w:color w:val="0000EE"/>
                  <w:w w:val="91"/>
                </w:rPr>
                <w:t>First Amendment to Seventh Amended and Restated Credit Facility dated as of May 31, 2019, by and among Bank of America, N.A., as Administrative Agent and Collateral Agent, the Lenders identified therein, the</w:t>
              </w:r>
            </w:hyperlink>
          </w:p>
        </w:tc>
      </w:tr>
      <w:tr>
        <w:trPr>
          <w:trHeight w:val="125"/>
        </w:trPr>
        <w:tc>
          <w:tcPr>
            <w:tcW w:w="940" w:type="dxa"/>
            <w:vAlign w:val="bottom"/>
          </w:tcPr>
          <w:p>
            <w:pPr>
              <w:spacing w:after="0"/>
              <w:rPr>
                <w:sz w:val="10"/>
                <w:szCs w:val="10"/>
                <w:color w:val="auto"/>
              </w:rPr>
            </w:pPr>
          </w:p>
        </w:tc>
        <w:tc>
          <w:tcPr>
            <w:tcW w:w="10400" w:type="dxa"/>
            <w:vAlign w:val="bottom"/>
            <w:tcBorders>
              <w:bottom w:val="single" w:sz="8" w:color="0000EE"/>
            </w:tcBorders>
            <w:gridSpan w:val="6"/>
          </w:tcPr>
          <w:p>
            <w:pPr>
              <w:spacing w:after="0" w:line="125" w:lineRule="exact"/>
              <w:rPr>
                <w:rFonts w:ascii="Arial" w:cs="Arial" w:eastAsia="Arial" w:hAnsi="Arial"/>
                <w:sz w:val="12"/>
                <w:szCs w:val="12"/>
                <w:color w:val="0000EE"/>
                <w:w w:val="91"/>
              </w:rPr>
            </w:pPr>
            <w:hyperlink r:id="rId44">
              <w:r>
                <w:rPr>
                  <w:rFonts w:ascii="Arial" w:cs="Arial" w:eastAsia="Arial" w:hAnsi="Arial"/>
                  <w:sz w:val="12"/>
                  <w:szCs w:val="12"/>
                  <w:color w:val="0000EE"/>
                  <w:w w:val="91"/>
                </w:rPr>
                <w:t>Company, as Lead Borrower, the Company and CMRG Apparel, LLC, as Borrowers, and the Guarantors identified therein (included as Exhibit 10.1 to the Company’s Current Report on Form 8-K filed June 6, 2019,</w:t>
              </w:r>
            </w:hyperlink>
          </w:p>
        </w:tc>
      </w:tr>
      <w:tr>
        <w:trPr>
          <w:trHeight w:val="125"/>
        </w:trPr>
        <w:tc>
          <w:tcPr>
            <w:tcW w:w="940" w:type="dxa"/>
            <w:vAlign w:val="bottom"/>
          </w:tcPr>
          <w:p>
            <w:pPr>
              <w:spacing w:after="0"/>
              <w:rPr>
                <w:sz w:val="10"/>
                <w:szCs w:val="10"/>
                <w:color w:val="auto"/>
              </w:rPr>
            </w:pPr>
          </w:p>
        </w:tc>
        <w:tc>
          <w:tcPr>
            <w:tcW w:w="10400" w:type="dxa"/>
            <w:vAlign w:val="bottom"/>
            <w:gridSpan w:val="6"/>
          </w:tcPr>
          <w:p>
            <w:pPr>
              <w:spacing w:after="0" w:line="125" w:lineRule="exact"/>
              <w:rPr>
                <w:rFonts w:ascii="Arial" w:cs="Arial" w:eastAsia="Arial" w:hAnsi="Arial"/>
                <w:sz w:val="12"/>
                <w:szCs w:val="12"/>
                <w:color w:val="0000EE"/>
              </w:rPr>
            </w:pPr>
            <w:hyperlink r:id="rId44">
              <w:r>
                <w:rPr>
                  <w:rFonts w:ascii="Arial" w:cs="Arial" w:eastAsia="Arial" w:hAnsi="Arial"/>
                  <w:sz w:val="12"/>
                  <w:szCs w:val="12"/>
                  <w:color w:val="0000EE"/>
                </w:rPr>
                <w:t>and incorporated herein by reference</w:t>
              </w:r>
              <w:r>
                <w:rPr>
                  <w:rFonts w:ascii="Arial" w:cs="Arial" w:eastAsia="Arial" w:hAnsi="Arial"/>
                  <w:sz w:val="12"/>
                  <w:szCs w:val="12"/>
                  <w:color w:val="000000"/>
                </w:rPr>
                <w:t>).</w:t>
              </w:r>
            </w:hyperlink>
          </w:p>
        </w:tc>
      </w:tr>
      <w:tr>
        <w:trPr>
          <w:trHeight w:val="20"/>
        </w:trPr>
        <w:tc>
          <w:tcPr>
            <w:tcW w:w="9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0"/>
        </w:trPr>
        <w:tc>
          <w:tcPr>
            <w:tcW w:w="940" w:type="dxa"/>
            <w:vAlign w:val="bottom"/>
          </w:tcPr>
          <w:p>
            <w:pPr>
              <w:jc w:val="right"/>
              <w:ind w:right="680"/>
              <w:spacing w:after="0"/>
              <w:rPr>
                <w:sz w:val="20"/>
                <w:szCs w:val="20"/>
                <w:color w:val="auto"/>
              </w:rPr>
            </w:pPr>
            <w:r>
              <w:rPr>
                <w:rFonts w:ascii="Arial" w:cs="Arial" w:eastAsia="Arial" w:hAnsi="Arial"/>
                <w:sz w:val="12"/>
                <w:szCs w:val="12"/>
                <w:color w:val="auto"/>
                <w:w w:val="76"/>
              </w:rPr>
              <w:t>10.2</w:t>
            </w:r>
          </w:p>
        </w:tc>
        <w:tc>
          <w:tcPr>
            <w:tcW w:w="10400" w:type="dxa"/>
            <w:vAlign w:val="bottom"/>
            <w:gridSpan w:val="6"/>
          </w:tcPr>
          <w:p>
            <w:pPr>
              <w:spacing w:after="0"/>
              <w:rPr>
                <w:rFonts w:ascii="Arial" w:cs="Arial" w:eastAsia="Arial" w:hAnsi="Arial"/>
                <w:sz w:val="12"/>
                <w:szCs w:val="12"/>
                <w:color w:val="0000EE"/>
              </w:rPr>
            </w:pPr>
            <w:hyperlink r:id="rId45">
              <w:r>
                <w:rPr>
                  <w:rFonts w:ascii="Arial" w:cs="Arial" w:eastAsia="Arial" w:hAnsi="Arial"/>
                  <w:sz w:val="12"/>
                  <w:szCs w:val="12"/>
                  <w:color w:val="0000EE"/>
                </w:rPr>
                <w:t>Fourth Amended and Restated Annual Incentive Plan (included as Exhibit 10.1 to the Company’s Current Report on Form 8-K filed May 6, 2019, and incorporated herein by reference).</w:t>
              </w:r>
            </w:hyperlink>
          </w:p>
        </w:tc>
      </w:tr>
      <w:tr>
        <w:trPr>
          <w:trHeight w:val="270"/>
        </w:trPr>
        <w:tc>
          <w:tcPr>
            <w:tcW w:w="940" w:type="dxa"/>
            <w:vAlign w:val="bottom"/>
          </w:tcPr>
          <w:p>
            <w:pPr>
              <w:jc w:val="right"/>
              <w:ind w:right="680"/>
              <w:spacing w:after="0"/>
              <w:rPr>
                <w:sz w:val="20"/>
                <w:szCs w:val="20"/>
                <w:color w:val="auto"/>
              </w:rPr>
            </w:pPr>
            <w:r>
              <w:rPr>
                <w:rFonts w:ascii="Arial" w:cs="Arial" w:eastAsia="Arial" w:hAnsi="Arial"/>
                <w:sz w:val="12"/>
                <w:szCs w:val="12"/>
                <w:color w:val="auto"/>
                <w:w w:val="76"/>
              </w:rPr>
              <w:t>31.1</w:t>
            </w:r>
          </w:p>
        </w:tc>
        <w:tc>
          <w:tcPr>
            <w:tcW w:w="8920" w:type="dxa"/>
            <w:vAlign w:val="bottom"/>
            <w:tcBorders>
              <w:top w:val="single" w:sz="8" w:color="0000EE"/>
            </w:tcBorders>
            <w:gridSpan w:val="5"/>
          </w:tcPr>
          <w:p>
            <w:pPr>
              <w:spacing w:after="0"/>
              <w:rPr>
                <w:rFonts w:ascii="Arial" w:cs="Arial" w:eastAsia="Arial" w:hAnsi="Arial"/>
                <w:sz w:val="12"/>
                <w:szCs w:val="12"/>
                <w:color w:val="0000EE"/>
              </w:rPr>
            </w:pPr>
            <w:hyperlink w:anchor="page30">
              <w:r>
                <w:rPr>
                  <w:rFonts w:ascii="Arial" w:cs="Arial" w:eastAsia="Arial" w:hAnsi="Arial"/>
                  <w:sz w:val="12"/>
                  <w:szCs w:val="12"/>
                  <w:color w:val="0000EE"/>
                </w:rPr>
                <w:t>Certification of the Chief Executive Officer of the Company pursuant to Rule 13a-14(a) under the Securities Exchange Act of 1934</w:t>
              </w:r>
            </w:hyperlink>
            <w:r>
              <w:rPr>
                <w:rFonts w:ascii="Arial" w:cs="Arial" w:eastAsia="Arial" w:hAnsi="Arial"/>
                <w:sz w:val="12"/>
                <w:szCs w:val="12"/>
                <w:u w:val="single" w:color="auto"/>
                <w:color w:val="000000"/>
              </w:rPr>
              <w:t>.</w:t>
            </w:r>
          </w:p>
        </w:tc>
        <w:tc>
          <w:tcPr>
            <w:tcW w:w="1480" w:type="dxa"/>
            <w:vAlign w:val="bottom"/>
          </w:tcPr>
          <w:p>
            <w:pPr>
              <w:spacing w:after="0"/>
              <w:rPr>
                <w:sz w:val="23"/>
                <w:szCs w:val="23"/>
                <w:color w:val="auto"/>
              </w:rPr>
            </w:pPr>
          </w:p>
        </w:tc>
      </w:tr>
      <w:tr>
        <w:trPr>
          <w:trHeight w:val="270"/>
        </w:trPr>
        <w:tc>
          <w:tcPr>
            <w:tcW w:w="940" w:type="dxa"/>
            <w:vAlign w:val="bottom"/>
          </w:tcPr>
          <w:p>
            <w:pPr>
              <w:jc w:val="right"/>
              <w:ind w:right="680"/>
              <w:spacing w:after="0"/>
              <w:rPr>
                <w:sz w:val="20"/>
                <w:szCs w:val="20"/>
                <w:color w:val="auto"/>
              </w:rPr>
            </w:pPr>
            <w:r>
              <w:rPr>
                <w:rFonts w:ascii="Arial" w:cs="Arial" w:eastAsia="Arial" w:hAnsi="Arial"/>
                <w:sz w:val="12"/>
                <w:szCs w:val="12"/>
                <w:color w:val="auto"/>
                <w:w w:val="76"/>
              </w:rPr>
              <w:t>31.2</w:t>
            </w:r>
          </w:p>
        </w:tc>
        <w:tc>
          <w:tcPr>
            <w:tcW w:w="6340" w:type="dxa"/>
            <w:vAlign w:val="bottom"/>
            <w:tcBorders>
              <w:top w:val="single" w:sz="8" w:color="0000EE"/>
            </w:tcBorders>
            <w:gridSpan w:val="3"/>
          </w:tcPr>
          <w:p>
            <w:pPr>
              <w:spacing w:after="0"/>
              <w:rPr>
                <w:rFonts w:ascii="Arial" w:cs="Arial" w:eastAsia="Arial" w:hAnsi="Arial"/>
                <w:sz w:val="12"/>
                <w:szCs w:val="12"/>
                <w:color w:val="0000EE"/>
                <w:w w:val="91"/>
              </w:rPr>
            </w:pPr>
            <w:hyperlink w:anchor="page31">
              <w:r>
                <w:rPr>
                  <w:rFonts w:ascii="Arial" w:cs="Arial" w:eastAsia="Arial" w:hAnsi="Arial"/>
                  <w:sz w:val="12"/>
                  <w:szCs w:val="12"/>
                  <w:color w:val="0000EE"/>
                  <w:w w:val="91"/>
                </w:rPr>
                <w:t>Certification of the Chief Financial Officer of the Company pursuant to Rule 13a-14(a) under the Securities Exchange Act of 1934</w:t>
              </w:r>
            </w:hyperlink>
            <w:r>
              <w:rPr>
                <w:rFonts w:ascii="Arial" w:cs="Arial" w:eastAsia="Arial" w:hAnsi="Arial"/>
                <w:sz w:val="12"/>
                <w:szCs w:val="12"/>
                <w:u w:val="single" w:color="auto"/>
                <w:color w:val="000000"/>
                <w:w w:val="91"/>
              </w:rPr>
              <w:t>.</w:t>
            </w:r>
          </w:p>
        </w:tc>
        <w:tc>
          <w:tcPr>
            <w:tcW w:w="4060" w:type="dxa"/>
            <w:vAlign w:val="bottom"/>
            <w:gridSpan w:val="3"/>
          </w:tcPr>
          <w:p>
            <w:pPr>
              <w:spacing w:after="0"/>
              <w:rPr>
                <w:sz w:val="23"/>
                <w:szCs w:val="23"/>
                <w:color w:val="auto"/>
              </w:rPr>
            </w:pPr>
          </w:p>
        </w:tc>
      </w:tr>
      <w:tr>
        <w:trPr>
          <w:trHeight w:val="20"/>
        </w:trPr>
        <w:tc>
          <w:tcPr>
            <w:tcW w:w="940" w:type="dxa"/>
            <w:vAlign w:val="bottom"/>
          </w:tcPr>
          <w:p>
            <w:pPr>
              <w:spacing w:after="0" w:line="20" w:lineRule="exact"/>
              <w:rPr>
                <w:sz w:val="1"/>
                <w:szCs w:val="1"/>
                <w:color w:val="auto"/>
              </w:rPr>
            </w:pPr>
          </w:p>
        </w:tc>
        <w:tc>
          <w:tcPr>
            <w:tcW w:w="630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r>
      <w:tr>
        <w:trPr>
          <w:trHeight w:val="270"/>
        </w:trPr>
        <w:tc>
          <w:tcPr>
            <w:tcW w:w="940" w:type="dxa"/>
            <w:vAlign w:val="bottom"/>
          </w:tcPr>
          <w:p>
            <w:pPr>
              <w:jc w:val="right"/>
              <w:ind w:right="680"/>
              <w:spacing w:after="0"/>
              <w:rPr>
                <w:sz w:val="20"/>
                <w:szCs w:val="20"/>
                <w:color w:val="auto"/>
              </w:rPr>
            </w:pPr>
            <w:r>
              <w:rPr>
                <w:rFonts w:ascii="Arial" w:cs="Arial" w:eastAsia="Arial" w:hAnsi="Arial"/>
                <w:sz w:val="12"/>
                <w:szCs w:val="12"/>
                <w:color w:val="auto"/>
                <w:w w:val="76"/>
              </w:rPr>
              <w:t>32.1</w:t>
            </w:r>
          </w:p>
        </w:tc>
        <w:tc>
          <w:tcPr>
            <w:tcW w:w="10400" w:type="dxa"/>
            <w:vAlign w:val="bottom"/>
            <w:gridSpan w:val="6"/>
          </w:tcPr>
          <w:p>
            <w:pPr>
              <w:spacing w:after="0"/>
              <w:rPr>
                <w:rFonts w:ascii="Arial" w:cs="Arial" w:eastAsia="Arial" w:hAnsi="Arial"/>
                <w:sz w:val="12"/>
                <w:szCs w:val="12"/>
                <w:color w:val="0000EE"/>
              </w:rPr>
            </w:pPr>
            <w:hyperlink w:anchor="page32">
              <w:r>
                <w:rPr>
                  <w:rFonts w:ascii="Arial" w:cs="Arial" w:eastAsia="Arial" w:hAnsi="Arial"/>
                  <w:sz w:val="12"/>
                  <w:szCs w:val="12"/>
                  <w:color w:val="0000EE"/>
                </w:rPr>
                <w:t>Certification of Chief Executive Officer pursuant to 18 U.S.C. Section 1350, as adopted pursuant to Section 906 of the Sarbanes-Oxley Act of 2002</w:t>
              </w:r>
            </w:hyperlink>
            <w:r>
              <w:rPr>
                <w:rFonts w:ascii="Arial" w:cs="Arial" w:eastAsia="Arial" w:hAnsi="Arial"/>
                <w:sz w:val="12"/>
                <w:szCs w:val="12"/>
                <w:u w:val="single" w:color="auto"/>
                <w:color w:val="000000"/>
              </w:rPr>
              <w:t>.</w:t>
            </w:r>
          </w:p>
        </w:tc>
      </w:tr>
      <w:tr>
        <w:trPr>
          <w:trHeight w:val="20"/>
        </w:trPr>
        <w:tc>
          <w:tcPr>
            <w:tcW w:w="940" w:type="dxa"/>
            <w:vAlign w:val="bottom"/>
          </w:tcPr>
          <w:p>
            <w:pPr>
              <w:spacing w:after="0" w:line="20" w:lineRule="exact"/>
              <w:rPr>
                <w:sz w:val="1"/>
                <w:szCs w:val="1"/>
                <w:color w:val="auto"/>
              </w:rPr>
            </w:pPr>
          </w:p>
        </w:tc>
        <w:tc>
          <w:tcPr>
            <w:tcW w:w="7100" w:type="dxa"/>
            <w:vAlign w:val="bottom"/>
            <w:gridSpan w:val="4"/>
            <w:shd w:val="clear" w:color="auto" w:fill="0000EE"/>
          </w:tcPr>
          <w:p>
            <w:pPr>
              <w:spacing w:after="0" w:line="20" w:lineRule="exact"/>
              <w:rPr>
                <w:sz w:val="1"/>
                <w:szCs w:val="1"/>
                <w:color w:val="auto"/>
              </w:rPr>
            </w:pPr>
          </w:p>
        </w:tc>
        <w:tc>
          <w:tcPr>
            <w:tcW w:w="3300" w:type="dxa"/>
            <w:vAlign w:val="bottom"/>
            <w:tcBorders>
              <w:left w:val="single" w:sz="8" w:color="0000EE"/>
            </w:tcBorders>
            <w:gridSpan w:val="2"/>
          </w:tcPr>
          <w:p>
            <w:pPr>
              <w:spacing w:after="0" w:line="20" w:lineRule="exact"/>
              <w:rPr>
                <w:sz w:val="1"/>
                <w:szCs w:val="1"/>
                <w:color w:val="auto"/>
              </w:rPr>
            </w:pPr>
          </w:p>
        </w:tc>
      </w:tr>
      <w:tr>
        <w:trPr>
          <w:trHeight w:val="270"/>
        </w:trPr>
        <w:tc>
          <w:tcPr>
            <w:tcW w:w="940" w:type="dxa"/>
            <w:vAlign w:val="bottom"/>
          </w:tcPr>
          <w:p>
            <w:pPr>
              <w:jc w:val="right"/>
              <w:ind w:right="680"/>
              <w:spacing w:after="0"/>
              <w:rPr>
                <w:sz w:val="20"/>
                <w:szCs w:val="20"/>
                <w:color w:val="auto"/>
              </w:rPr>
            </w:pPr>
            <w:r>
              <w:rPr>
                <w:rFonts w:ascii="Arial" w:cs="Arial" w:eastAsia="Arial" w:hAnsi="Arial"/>
                <w:sz w:val="12"/>
                <w:szCs w:val="12"/>
                <w:color w:val="auto"/>
                <w:w w:val="76"/>
              </w:rPr>
              <w:t>32.2</w:t>
            </w:r>
          </w:p>
        </w:tc>
        <w:tc>
          <w:tcPr>
            <w:tcW w:w="10400" w:type="dxa"/>
            <w:vAlign w:val="bottom"/>
            <w:gridSpan w:val="6"/>
          </w:tcPr>
          <w:p>
            <w:pPr>
              <w:spacing w:after="0"/>
              <w:rPr>
                <w:rFonts w:ascii="Arial" w:cs="Arial" w:eastAsia="Arial" w:hAnsi="Arial"/>
                <w:sz w:val="12"/>
                <w:szCs w:val="12"/>
                <w:color w:val="0000EE"/>
              </w:rPr>
            </w:pPr>
            <w:hyperlink w:anchor="page33">
              <w:r>
                <w:rPr>
                  <w:rFonts w:ascii="Arial" w:cs="Arial" w:eastAsia="Arial" w:hAnsi="Arial"/>
                  <w:sz w:val="12"/>
                  <w:szCs w:val="12"/>
                  <w:color w:val="0000EE"/>
                </w:rPr>
                <w:t>Certification of Chief Financial Officer pursuant to 18 U.S.C. Section 1350, as adopted pursuant to Section 906 of the Sarbanes-Oxley Act of 2002</w:t>
              </w:r>
            </w:hyperlink>
            <w:r>
              <w:rPr>
                <w:rFonts w:ascii="Arial" w:cs="Arial" w:eastAsia="Arial" w:hAnsi="Arial"/>
                <w:sz w:val="12"/>
                <w:szCs w:val="12"/>
                <w:u w:val="single" w:color="auto"/>
                <w:color w:val="000000"/>
              </w:rPr>
              <w:t>.</w:t>
            </w:r>
          </w:p>
        </w:tc>
      </w:tr>
      <w:tr>
        <w:trPr>
          <w:trHeight w:val="20"/>
        </w:trPr>
        <w:tc>
          <w:tcPr>
            <w:tcW w:w="9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left="943" w:hanging="943"/>
        <w:spacing w:after="0" w:line="265" w:lineRule="auto"/>
        <w:tabs>
          <w:tab w:leader="none" w:pos="943"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following materials from the Company’s Quarterly Report on Form 10-Q for the quarter ended August 3, 2019, formatted in XBRL (eXtensible Business Reporting Language): (i) Consolidated Balance Sheets, (ii) Consolidated Statements of Operations, (iii) Consolidated Statements of Comprehensive Income, (iv) Consolidated Statements of Changes in Stockholders’ Equity, (v) Consolidated Statements of Cash Flows, and (vi) Notes to Consolidated Financial Statements.</w:t>
      </w:r>
    </w:p>
    <w:p>
      <w:pPr>
        <w:spacing w:after="0" w:line="267" w:lineRule="exact"/>
        <w:rPr>
          <w:sz w:val="20"/>
          <w:szCs w:val="20"/>
          <w:color w:val="auto"/>
        </w:rPr>
      </w:pPr>
    </w:p>
    <w:p>
      <w:pPr>
        <w:jc w:val="center"/>
        <w:ind w:right="-42"/>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43180</wp:posOffset>
            </wp:positionV>
            <wp:extent cx="732853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328535" cy="36830"/>
                    </a:xfrm>
                    <a:prstGeom prst="rect">
                      <a:avLst/>
                    </a:prstGeom>
                    <a:noFill/>
                  </pic:spPr>
                </pic:pic>
              </a:graphicData>
            </a:graphic>
          </wp:anchor>
        </w:drawing>
      </w:r>
    </w:p>
    <w:p>
      <w:pPr>
        <w:sectPr>
          <w:pgSz w:w="11900" w:h="16838" w:orient="portrait"/>
          <w:cols w:equalWidth="0" w:num="1">
            <w:col w:w="11443"/>
          </w:cols>
          <w:pgMar w:left="217" w:top="127"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54"/>
        </w:trPr>
        <w:tc>
          <w:tcPr>
            <w:tcW w:w="3220" w:type="dxa"/>
            <w:vAlign w:val="bottom"/>
          </w:tcPr>
          <w:p>
            <w:pPr>
              <w:spacing w:after="0"/>
              <w:rPr>
                <w:sz w:val="13"/>
                <w:szCs w:val="13"/>
                <w:color w:val="auto"/>
              </w:rPr>
            </w:pPr>
          </w:p>
        </w:tc>
        <w:tc>
          <w:tcPr>
            <w:tcW w:w="8260" w:type="dxa"/>
            <w:vAlign w:val="bottom"/>
            <w:gridSpan w:val="2"/>
          </w:tcPr>
          <w:p>
            <w:pPr>
              <w:jc w:val="center"/>
              <w:ind w:right="3180"/>
              <w:spacing w:after="0"/>
              <w:rPr>
                <w:sz w:val="20"/>
                <w:szCs w:val="20"/>
                <w:color w:val="auto"/>
              </w:rPr>
            </w:pPr>
            <w:r>
              <w:rPr>
                <w:rFonts w:ascii="Arial" w:cs="Arial" w:eastAsia="Arial" w:hAnsi="Arial"/>
                <w:sz w:val="12"/>
                <w:szCs w:val="12"/>
                <w:color w:val="auto"/>
                <w:w w:val="94"/>
              </w:rPr>
              <w:t>SIGNATURES</w:t>
            </w:r>
          </w:p>
        </w:tc>
      </w:tr>
      <w:tr>
        <w:trPr>
          <w:trHeight w:val="290"/>
        </w:trPr>
        <w:tc>
          <w:tcPr>
            <w:tcW w:w="11480" w:type="dxa"/>
            <w:vAlign w:val="bottom"/>
            <w:gridSpan w:val="3"/>
          </w:tcPr>
          <w:p>
            <w:pPr>
              <w:ind w:left="26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tc>
      </w:tr>
      <w:tr>
        <w:trPr>
          <w:trHeight w:val="308"/>
        </w:trPr>
        <w:tc>
          <w:tcPr>
            <w:tcW w:w="3220" w:type="dxa"/>
            <w:vAlign w:val="bottom"/>
          </w:tcPr>
          <w:p>
            <w:pPr>
              <w:spacing w:after="0"/>
              <w:rPr>
                <w:sz w:val="24"/>
                <w:szCs w:val="24"/>
                <w:color w:val="auto"/>
              </w:rPr>
            </w:pPr>
          </w:p>
        </w:tc>
        <w:tc>
          <w:tcPr>
            <w:tcW w:w="8260" w:type="dxa"/>
            <w:vAlign w:val="bottom"/>
            <w:gridSpan w:val="2"/>
          </w:tcPr>
          <w:p>
            <w:pPr>
              <w:ind w:left="3340"/>
              <w:spacing w:after="0"/>
              <w:rPr>
                <w:sz w:val="20"/>
                <w:szCs w:val="20"/>
                <w:color w:val="auto"/>
              </w:rPr>
            </w:pPr>
            <w:r>
              <w:rPr>
                <w:rFonts w:ascii="Arial" w:cs="Arial" w:eastAsia="Arial" w:hAnsi="Arial"/>
                <w:sz w:val="12"/>
                <w:szCs w:val="12"/>
                <w:color w:val="auto"/>
              </w:rPr>
              <w:t>DESTINATION XL GROUP, INC.</w:t>
            </w:r>
          </w:p>
        </w:tc>
      </w:tr>
      <w:tr>
        <w:trPr>
          <w:trHeight w:val="308"/>
        </w:trPr>
        <w:tc>
          <w:tcPr>
            <w:tcW w:w="3220" w:type="dxa"/>
            <w:vAlign w:val="bottom"/>
          </w:tcPr>
          <w:p>
            <w:pPr>
              <w:spacing w:after="0"/>
              <w:rPr>
                <w:sz w:val="20"/>
                <w:szCs w:val="20"/>
                <w:color w:val="auto"/>
              </w:rPr>
            </w:pPr>
            <w:r>
              <w:rPr>
                <w:rFonts w:ascii="Arial" w:cs="Arial" w:eastAsia="Arial" w:hAnsi="Arial"/>
                <w:sz w:val="12"/>
                <w:szCs w:val="12"/>
                <w:color w:val="auto"/>
              </w:rPr>
              <w:t>Date: August 28, 2019</w:t>
            </w:r>
          </w:p>
        </w:tc>
        <w:tc>
          <w:tcPr>
            <w:tcW w:w="8260" w:type="dxa"/>
            <w:vAlign w:val="bottom"/>
            <w:gridSpan w:val="2"/>
          </w:tcPr>
          <w:p>
            <w:pPr>
              <w:ind w:left="3340"/>
              <w:spacing w:after="0"/>
              <w:rPr>
                <w:sz w:val="20"/>
                <w:szCs w:val="20"/>
                <w:color w:val="auto"/>
              </w:rPr>
            </w:pPr>
            <w:r>
              <w:rPr>
                <w:rFonts w:ascii="Arial" w:cs="Arial" w:eastAsia="Arial" w:hAnsi="Arial"/>
                <w:sz w:val="12"/>
                <w:szCs w:val="12"/>
                <w:color w:val="auto"/>
              </w:rPr>
              <w:t>By:  /S/ John F. Cooney</w:t>
            </w:r>
          </w:p>
        </w:tc>
      </w:tr>
      <w:tr>
        <w:trPr>
          <w:trHeight w:val="125"/>
        </w:trPr>
        <w:tc>
          <w:tcPr>
            <w:tcW w:w="32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464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color w:val="auto"/>
              </w:rPr>
              <w:t>John F. Cooney</w:t>
            </w:r>
          </w:p>
        </w:tc>
      </w:tr>
      <w:tr>
        <w:trPr>
          <w:trHeight w:val="145"/>
        </w:trPr>
        <w:tc>
          <w:tcPr>
            <w:tcW w:w="3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640" w:type="dxa"/>
            <w:vAlign w:val="bottom"/>
          </w:tcPr>
          <w:p>
            <w:pPr>
              <w:spacing w:after="0"/>
              <w:rPr>
                <w:sz w:val="20"/>
                <w:szCs w:val="20"/>
                <w:color w:val="auto"/>
              </w:rPr>
            </w:pPr>
            <w:r>
              <w:rPr>
                <w:rFonts w:ascii="Arial" w:cs="Arial" w:eastAsia="Arial" w:hAnsi="Arial"/>
                <w:sz w:val="12"/>
                <w:szCs w:val="12"/>
                <w:color w:val="auto"/>
                <w:w w:val="95"/>
              </w:rPr>
              <w:t>Vice President, Managing Director, Chief Accounting Officer and Corporate Controller (Duly</w:t>
            </w:r>
          </w:p>
        </w:tc>
      </w:tr>
      <w:tr>
        <w:trPr>
          <w:trHeight w:val="154"/>
        </w:trPr>
        <w:tc>
          <w:tcPr>
            <w:tcW w:w="32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4640" w:type="dxa"/>
            <w:vAlign w:val="bottom"/>
          </w:tcPr>
          <w:p>
            <w:pPr>
              <w:spacing w:after="0"/>
              <w:rPr>
                <w:sz w:val="20"/>
                <w:szCs w:val="20"/>
                <w:color w:val="auto"/>
              </w:rPr>
            </w:pPr>
            <w:r>
              <w:rPr>
                <w:rFonts w:ascii="Arial" w:cs="Arial" w:eastAsia="Arial" w:hAnsi="Arial"/>
                <w:sz w:val="12"/>
                <w:szCs w:val="12"/>
                <w:color w:val="auto"/>
              </w:rPr>
              <w:t>Authorized Officer and Chief Accounting Officer)</w:t>
            </w:r>
          </w:p>
        </w:tc>
      </w:tr>
      <w:tr>
        <w:trPr>
          <w:trHeight w:val="869"/>
        </w:trPr>
        <w:tc>
          <w:tcPr>
            <w:tcW w:w="3220" w:type="dxa"/>
            <w:vAlign w:val="bottom"/>
          </w:tcPr>
          <w:p>
            <w:pPr>
              <w:spacing w:after="0"/>
              <w:rPr>
                <w:sz w:val="24"/>
                <w:szCs w:val="24"/>
                <w:color w:val="auto"/>
              </w:rPr>
            </w:pPr>
          </w:p>
        </w:tc>
        <w:tc>
          <w:tcPr>
            <w:tcW w:w="3620" w:type="dxa"/>
            <w:vAlign w:val="bottom"/>
          </w:tcPr>
          <w:p>
            <w:pPr>
              <w:jc w:val="right"/>
              <w:ind w:right="980"/>
              <w:spacing w:after="0"/>
              <w:rPr>
                <w:sz w:val="20"/>
                <w:szCs w:val="20"/>
                <w:color w:val="auto"/>
              </w:rPr>
            </w:pPr>
            <w:r>
              <w:rPr>
                <w:rFonts w:ascii="Arial" w:cs="Arial" w:eastAsia="Arial" w:hAnsi="Arial"/>
                <w:sz w:val="12"/>
                <w:szCs w:val="12"/>
                <w:color w:val="auto"/>
              </w:rPr>
              <w:t>29</w:t>
            </w:r>
          </w:p>
        </w:tc>
        <w:tc>
          <w:tcPr>
            <w:tcW w:w="4640" w:type="dxa"/>
            <w:vAlign w:val="bottom"/>
          </w:tcPr>
          <w:p>
            <w:pPr>
              <w:spacing w:after="0"/>
              <w:rPr>
                <w:sz w:val="24"/>
                <w:szCs w:val="24"/>
                <w:color w:val="auto"/>
              </w:rPr>
            </w:pPr>
          </w:p>
        </w:tc>
      </w:tr>
    </w:tbl>
    <w:p>
      <w:pPr>
        <w:sectPr>
          <w:pgSz w:w="11900" w:h="16838" w:orient="portrait"/>
          <w:cols w:equalWidth="0" w:num="1">
            <w:col w:w="11480"/>
          </w:cols>
          <w:pgMar w:left="220" w:top="131" w:right="199" w:bottom="1440" w:gutter="0" w:footer="0" w:header="0"/>
        </w:sectPr>
      </w:pPr>
    </w:p>
    <w:bookmarkStart w:id="29" w:name="page30"/>
    <w:bookmarkEnd w:id="29"/>
    <w:p>
      <w:pPr>
        <w:jc w:val="right"/>
        <w:spacing w:after="0"/>
        <w:rPr>
          <w:sz w:val="20"/>
          <w:szCs w:val="20"/>
          <w:color w:val="auto"/>
        </w:rPr>
      </w:pPr>
      <w:r>
        <w:rPr>
          <w:rFonts w:ascii="Arial" w:cs="Arial" w:eastAsia="Arial" w:hAnsi="Arial"/>
          <w:sz w:val="12"/>
          <w:szCs w:val="12"/>
          <w:b w:val="1"/>
          <w:bCs w:val="1"/>
          <w:color w:val="auto"/>
        </w:rPr>
        <w:t>Exhibit 31.1</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I, Harvey S. Kanter, certify that:</w:t>
      </w:r>
    </w:p>
    <w:p>
      <w:pPr>
        <w:spacing w:after="0" w:line="79" w:lineRule="exact"/>
        <w:rPr>
          <w:sz w:val="20"/>
          <w:szCs w:val="20"/>
          <w:color w:val="auto"/>
        </w:rPr>
      </w:pPr>
    </w:p>
    <w:p>
      <w:pPr>
        <w:ind w:left="508" w:hanging="508"/>
        <w:spacing w:after="0"/>
        <w:tabs>
          <w:tab w:leader="none" w:pos="5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Destination XL Group, Inc.;</w:t>
      </w:r>
    </w:p>
    <w:p>
      <w:pPr>
        <w:spacing w:after="0" w:line="79" w:lineRule="exact"/>
        <w:rPr>
          <w:rFonts w:ascii="Arial" w:cs="Arial" w:eastAsia="Arial" w:hAnsi="Arial"/>
          <w:sz w:val="12"/>
          <w:szCs w:val="12"/>
          <w:color w:val="auto"/>
        </w:rPr>
      </w:pPr>
    </w:p>
    <w:p>
      <w:pPr>
        <w:ind w:left="508" w:hanging="508"/>
        <w:spacing w:after="0" w:line="279" w:lineRule="auto"/>
        <w:tabs>
          <w:tab w:leader="none" w:pos="5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2"/>
          <w:szCs w:val="12"/>
          <w:color w:val="auto"/>
        </w:rPr>
      </w:pPr>
    </w:p>
    <w:p>
      <w:pPr>
        <w:ind w:left="508" w:right="120" w:hanging="508"/>
        <w:spacing w:after="0" w:line="279" w:lineRule="auto"/>
        <w:tabs>
          <w:tab w:leader="none" w:pos="5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Arial" w:cs="Arial" w:eastAsia="Arial" w:hAnsi="Arial"/>
          <w:sz w:val="12"/>
          <w:szCs w:val="12"/>
          <w:color w:val="auto"/>
        </w:rPr>
      </w:pPr>
    </w:p>
    <w:p>
      <w:pPr>
        <w:ind w:left="508" w:right="20" w:hanging="508"/>
        <w:spacing w:after="0" w:line="279" w:lineRule="auto"/>
        <w:tabs>
          <w:tab w:leader="none" w:pos="5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2"/>
          <w:szCs w:val="12"/>
          <w:color w:val="auto"/>
        </w:rPr>
      </w:pPr>
    </w:p>
    <w:p>
      <w:pPr>
        <w:ind w:left="1028" w:right="180" w:hanging="511"/>
        <w:spacing w:after="0" w:line="279" w:lineRule="auto"/>
        <w:tabs>
          <w:tab w:leader="none" w:pos="1028" w:val="left"/>
        </w:tabs>
        <w:numPr>
          <w:ilvl w:val="1"/>
          <w:numId w:val="1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2"/>
          <w:szCs w:val="12"/>
          <w:color w:val="auto"/>
        </w:rPr>
      </w:pPr>
    </w:p>
    <w:p>
      <w:pPr>
        <w:ind w:left="1028" w:right="380" w:hanging="511"/>
        <w:spacing w:after="0" w:line="279" w:lineRule="auto"/>
        <w:tabs>
          <w:tab w:leader="none" w:pos="1028" w:val="left"/>
        </w:tabs>
        <w:numPr>
          <w:ilvl w:val="1"/>
          <w:numId w:val="1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2"/>
          <w:szCs w:val="12"/>
          <w:color w:val="auto"/>
        </w:rPr>
      </w:pPr>
    </w:p>
    <w:p>
      <w:pPr>
        <w:ind w:left="1028" w:right="300" w:hanging="511"/>
        <w:spacing w:after="0" w:line="279" w:lineRule="auto"/>
        <w:tabs>
          <w:tab w:leader="none" w:pos="1028" w:val="left"/>
        </w:tabs>
        <w:numPr>
          <w:ilvl w:val="1"/>
          <w:numId w:val="1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2"/>
          <w:szCs w:val="12"/>
          <w:color w:val="auto"/>
        </w:rPr>
      </w:pPr>
    </w:p>
    <w:p>
      <w:pPr>
        <w:ind w:left="1028" w:right="360" w:hanging="511"/>
        <w:spacing w:after="0" w:line="279" w:lineRule="auto"/>
        <w:tabs>
          <w:tab w:leader="none" w:pos="1028" w:val="left"/>
        </w:tabs>
        <w:numPr>
          <w:ilvl w:val="1"/>
          <w:numId w:val="1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2"/>
          <w:szCs w:val="12"/>
          <w:color w:val="auto"/>
        </w:rPr>
      </w:pPr>
    </w:p>
    <w:p>
      <w:pPr>
        <w:ind w:left="508" w:right="260" w:hanging="508"/>
        <w:spacing w:after="0" w:line="279" w:lineRule="auto"/>
        <w:tabs>
          <w:tab w:leader="none" w:pos="5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2"/>
          <w:szCs w:val="12"/>
          <w:color w:val="auto"/>
        </w:rPr>
      </w:pPr>
    </w:p>
    <w:p>
      <w:pPr>
        <w:ind w:left="1028" w:right="320" w:hanging="511"/>
        <w:spacing w:after="0" w:line="279" w:lineRule="auto"/>
        <w:tabs>
          <w:tab w:leader="none" w:pos="1028" w:val="left"/>
        </w:tabs>
        <w:numPr>
          <w:ilvl w:val="1"/>
          <w:numId w:val="1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2"/>
          <w:szCs w:val="12"/>
          <w:color w:val="auto"/>
        </w:rPr>
      </w:pPr>
    </w:p>
    <w:p>
      <w:pPr>
        <w:ind w:left="1028" w:hanging="511"/>
        <w:spacing w:after="0"/>
        <w:tabs>
          <w:tab w:leader="none" w:pos="1028" w:val="left"/>
        </w:tabs>
        <w:numPr>
          <w:ilvl w:val="1"/>
          <w:numId w:val="1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tabs>
          <w:tab w:leader="none" w:pos="6887" w:val="left"/>
          <w:tab w:leader="none" w:pos="8787" w:val="left"/>
        </w:tabs>
        <w:rPr>
          <w:sz w:val="20"/>
          <w:szCs w:val="20"/>
          <w:color w:val="auto"/>
        </w:rPr>
      </w:pPr>
      <w:r>
        <w:rPr>
          <w:rFonts w:ascii="Arial" w:cs="Arial" w:eastAsia="Arial" w:hAnsi="Arial"/>
          <w:sz w:val="12"/>
          <w:szCs w:val="12"/>
          <w:color w:val="auto"/>
        </w:rPr>
        <w:t>Date:  August 28, 2019</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Harvey S. Kanter</w:t>
      </w:r>
    </w:p>
    <w:p>
      <w:pPr>
        <w:spacing w:after="0" w:line="5" w:lineRule="exact"/>
        <w:rPr>
          <w:sz w:val="20"/>
          <w:szCs w:val="20"/>
          <w:color w:val="auto"/>
        </w:rPr>
      </w:pPr>
    </w:p>
    <w:p>
      <w:pPr>
        <w:jc w:val="center"/>
        <w:ind w:left="7140"/>
        <w:spacing w:after="0"/>
        <w:rPr>
          <w:sz w:val="20"/>
          <w:szCs w:val="20"/>
          <w:color w:val="auto"/>
        </w:rPr>
      </w:pPr>
      <w:r>
        <w:rPr>
          <w:rFonts w:ascii="Arial" w:cs="Arial" w:eastAsia="Arial" w:hAnsi="Arial"/>
          <w:sz w:val="10"/>
          <w:szCs w:val="10"/>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-65405</wp:posOffset>
            </wp:positionV>
            <wp:extent cx="276606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766060" cy="5715"/>
                    </a:xfrm>
                    <a:prstGeom prst="rect">
                      <a:avLst/>
                    </a:prstGeom>
                    <a:noFill/>
                  </pic:spPr>
                </pic:pic>
              </a:graphicData>
            </a:graphic>
          </wp:anchor>
        </w:drawing>
      </w:r>
    </w:p>
    <w:p>
      <w:pPr>
        <w:jc w:val="center"/>
        <w:ind w:left="7140"/>
        <w:spacing w:after="0"/>
        <w:rPr>
          <w:sz w:val="20"/>
          <w:szCs w:val="20"/>
          <w:color w:val="auto"/>
        </w:rPr>
      </w:pPr>
      <w:r>
        <w:rPr>
          <w:rFonts w:ascii="Arial" w:cs="Arial" w:eastAsia="Arial" w:hAnsi="Arial"/>
          <w:sz w:val="10"/>
          <w:szCs w:val="10"/>
          <w:b w:val="1"/>
          <w:bCs w:val="1"/>
          <w:color w:val="auto"/>
        </w:rPr>
        <w:t>Chief Executive Officer</w:t>
      </w:r>
    </w:p>
    <w:p>
      <w:pPr>
        <w:sectPr>
          <w:pgSz w:w="11900" w:h="16838" w:orient="portrait"/>
          <w:cols w:equalWidth="0" w:num="1">
            <w:col w:w="11488"/>
          </w:cols>
          <w:pgMar w:left="212" w:top="127" w:right="199" w:bottom="1440" w:gutter="0" w:footer="0" w:header="0"/>
        </w:sectPr>
      </w:pPr>
    </w:p>
    <w:bookmarkStart w:id="30" w:name="page31"/>
    <w:bookmarkEnd w:id="30"/>
    <w:p>
      <w:pPr>
        <w:jc w:val="right"/>
        <w:spacing w:after="0"/>
        <w:rPr>
          <w:sz w:val="20"/>
          <w:szCs w:val="20"/>
          <w:color w:val="auto"/>
        </w:rPr>
      </w:pPr>
      <w:r>
        <w:rPr>
          <w:rFonts w:ascii="Arial" w:cs="Arial" w:eastAsia="Arial" w:hAnsi="Arial"/>
          <w:sz w:val="12"/>
          <w:szCs w:val="12"/>
          <w:b w:val="1"/>
          <w:bCs w:val="1"/>
          <w:color w:val="auto"/>
        </w:rPr>
        <w:t>Exhibit 31.2</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I, Peter H. Stratton, Jr., certify that:</w:t>
      </w:r>
    </w:p>
    <w:p>
      <w:pPr>
        <w:spacing w:after="0" w:line="79" w:lineRule="exact"/>
        <w:rPr>
          <w:sz w:val="20"/>
          <w:szCs w:val="20"/>
          <w:color w:val="auto"/>
        </w:rPr>
      </w:pPr>
    </w:p>
    <w:p>
      <w:pPr>
        <w:ind w:left="508" w:hanging="508"/>
        <w:spacing w:after="0"/>
        <w:tabs>
          <w:tab w:leader="none" w:pos="5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Destination XL Group, Inc.;</w:t>
      </w:r>
    </w:p>
    <w:p>
      <w:pPr>
        <w:spacing w:after="0" w:line="79" w:lineRule="exact"/>
        <w:rPr>
          <w:rFonts w:ascii="Arial" w:cs="Arial" w:eastAsia="Arial" w:hAnsi="Arial"/>
          <w:sz w:val="12"/>
          <w:szCs w:val="12"/>
          <w:color w:val="auto"/>
        </w:rPr>
      </w:pPr>
    </w:p>
    <w:p>
      <w:pPr>
        <w:ind w:left="508" w:hanging="508"/>
        <w:spacing w:after="0" w:line="279" w:lineRule="auto"/>
        <w:tabs>
          <w:tab w:leader="none" w:pos="5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2"/>
          <w:szCs w:val="12"/>
          <w:color w:val="auto"/>
        </w:rPr>
      </w:pPr>
    </w:p>
    <w:p>
      <w:pPr>
        <w:ind w:left="508" w:right="120" w:hanging="508"/>
        <w:spacing w:after="0" w:line="279" w:lineRule="auto"/>
        <w:tabs>
          <w:tab w:leader="none" w:pos="5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Arial" w:cs="Arial" w:eastAsia="Arial" w:hAnsi="Arial"/>
          <w:sz w:val="12"/>
          <w:szCs w:val="12"/>
          <w:color w:val="auto"/>
        </w:rPr>
      </w:pPr>
    </w:p>
    <w:p>
      <w:pPr>
        <w:ind w:left="508" w:right="20" w:hanging="508"/>
        <w:spacing w:after="0" w:line="279" w:lineRule="auto"/>
        <w:tabs>
          <w:tab w:leader="none" w:pos="5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2"/>
          <w:szCs w:val="12"/>
          <w:color w:val="auto"/>
        </w:rPr>
      </w:pPr>
    </w:p>
    <w:p>
      <w:pPr>
        <w:ind w:left="1028" w:right="180" w:hanging="511"/>
        <w:spacing w:after="0" w:line="279" w:lineRule="auto"/>
        <w:tabs>
          <w:tab w:leader="none" w:pos="1028" w:val="left"/>
        </w:tabs>
        <w:numPr>
          <w:ilvl w:val="1"/>
          <w:numId w:val="1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2"/>
          <w:szCs w:val="12"/>
          <w:color w:val="auto"/>
        </w:rPr>
      </w:pPr>
    </w:p>
    <w:p>
      <w:pPr>
        <w:ind w:left="1028" w:right="380" w:hanging="511"/>
        <w:spacing w:after="0" w:line="279" w:lineRule="auto"/>
        <w:tabs>
          <w:tab w:leader="none" w:pos="1028" w:val="left"/>
        </w:tabs>
        <w:numPr>
          <w:ilvl w:val="1"/>
          <w:numId w:val="1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2"/>
          <w:szCs w:val="12"/>
          <w:color w:val="auto"/>
        </w:rPr>
      </w:pPr>
    </w:p>
    <w:p>
      <w:pPr>
        <w:ind w:left="1028" w:right="300" w:hanging="511"/>
        <w:spacing w:after="0" w:line="279" w:lineRule="auto"/>
        <w:tabs>
          <w:tab w:leader="none" w:pos="1028" w:val="left"/>
        </w:tabs>
        <w:numPr>
          <w:ilvl w:val="1"/>
          <w:numId w:val="1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2"/>
          <w:szCs w:val="12"/>
          <w:color w:val="auto"/>
        </w:rPr>
      </w:pPr>
    </w:p>
    <w:p>
      <w:pPr>
        <w:ind w:left="1028" w:right="360" w:hanging="511"/>
        <w:spacing w:after="0" w:line="279" w:lineRule="auto"/>
        <w:tabs>
          <w:tab w:leader="none" w:pos="1028" w:val="left"/>
        </w:tabs>
        <w:numPr>
          <w:ilvl w:val="1"/>
          <w:numId w:val="1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2"/>
          <w:szCs w:val="12"/>
          <w:color w:val="auto"/>
        </w:rPr>
      </w:pPr>
    </w:p>
    <w:p>
      <w:pPr>
        <w:ind w:left="508" w:right="260" w:hanging="508"/>
        <w:spacing w:after="0" w:line="279" w:lineRule="auto"/>
        <w:tabs>
          <w:tab w:leader="none" w:pos="508"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2"/>
          <w:szCs w:val="12"/>
          <w:color w:val="auto"/>
        </w:rPr>
      </w:pPr>
    </w:p>
    <w:p>
      <w:pPr>
        <w:ind w:left="1028" w:right="320" w:hanging="511"/>
        <w:spacing w:after="0" w:line="279" w:lineRule="auto"/>
        <w:tabs>
          <w:tab w:leader="none" w:pos="1028" w:val="left"/>
        </w:tabs>
        <w:numPr>
          <w:ilvl w:val="1"/>
          <w:numId w:val="1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2"/>
          <w:szCs w:val="12"/>
          <w:color w:val="auto"/>
        </w:rPr>
      </w:pPr>
    </w:p>
    <w:p>
      <w:pPr>
        <w:ind w:left="1028" w:hanging="511"/>
        <w:spacing w:after="0"/>
        <w:tabs>
          <w:tab w:leader="none" w:pos="1028" w:val="left"/>
        </w:tabs>
        <w:numPr>
          <w:ilvl w:val="1"/>
          <w:numId w:val="1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
        <w:spacing w:after="0"/>
        <w:tabs>
          <w:tab w:leader="none" w:pos="6887" w:val="left"/>
          <w:tab w:leader="none" w:pos="8727" w:val="left"/>
        </w:tabs>
        <w:rPr>
          <w:sz w:val="20"/>
          <w:szCs w:val="20"/>
          <w:color w:val="auto"/>
        </w:rPr>
      </w:pPr>
      <w:r>
        <w:rPr>
          <w:rFonts w:ascii="Arial" w:cs="Arial" w:eastAsia="Arial" w:hAnsi="Arial"/>
          <w:sz w:val="12"/>
          <w:szCs w:val="12"/>
          <w:color w:val="auto"/>
        </w:rPr>
        <w:t>Date:  August 28, 2019</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Peter H. Stratton, Jr.</w:t>
      </w:r>
    </w:p>
    <w:p>
      <w:pPr>
        <w:spacing w:after="0" w:line="5" w:lineRule="exact"/>
        <w:rPr>
          <w:sz w:val="20"/>
          <w:szCs w:val="20"/>
          <w:color w:val="auto"/>
        </w:rPr>
      </w:pPr>
    </w:p>
    <w:p>
      <w:pPr>
        <w:jc w:val="center"/>
        <w:ind w:left="7140"/>
        <w:spacing w:after="0"/>
        <w:rPr>
          <w:sz w:val="20"/>
          <w:szCs w:val="20"/>
          <w:color w:val="auto"/>
        </w:rPr>
      </w:pPr>
      <w:r>
        <w:rPr>
          <w:rFonts w:ascii="Arial" w:cs="Arial" w:eastAsia="Arial" w:hAnsi="Arial"/>
          <w:sz w:val="10"/>
          <w:szCs w:val="10"/>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4525645</wp:posOffset>
            </wp:positionH>
            <wp:positionV relativeFrom="paragraph">
              <wp:posOffset>-65405</wp:posOffset>
            </wp:positionV>
            <wp:extent cx="276606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766060" cy="5715"/>
                    </a:xfrm>
                    <a:prstGeom prst="rect">
                      <a:avLst/>
                    </a:prstGeom>
                    <a:noFill/>
                  </pic:spPr>
                </pic:pic>
              </a:graphicData>
            </a:graphic>
          </wp:anchor>
        </w:drawing>
      </w:r>
    </w:p>
    <w:p>
      <w:pPr>
        <w:jc w:val="center"/>
        <w:ind w:left="7140"/>
        <w:spacing w:after="0"/>
        <w:rPr>
          <w:sz w:val="20"/>
          <w:szCs w:val="20"/>
          <w:color w:val="auto"/>
        </w:rPr>
      </w:pPr>
      <w:r>
        <w:rPr>
          <w:rFonts w:ascii="Arial" w:cs="Arial" w:eastAsia="Arial" w:hAnsi="Arial"/>
          <w:sz w:val="10"/>
          <w:szCs w:val="10"/>
          <w:b w:val="1"/>
          <w:bCs w:val="1"/>
          <w:color w:val="auto"/>
        </w:rPr>
        <w:t>Chief Financial Officer</w:t>
      </w:r>
    </w:p>
    <w:p>
      <w:pPr>
        <w:sectPr>
          <w:pgSz w:w="11900" w:h="16838" w:orient="portrait"/>
          <w:cols w:equalWidth="0" w:num="1">
            <w:col w:w="11488"/>
          </w:cols>
          <w:pgMar w:left="212" w:top="127" w:right="199" w:bottom="1440" w:gutter="0" w:footer="0" w:header="0"/>
        </w:sectPr>
      </w:pPr>
    </w:p>
    <w:bookmarkStart w:id="31" w:name="page32"/>
    <w:bookmarkEnd w:id="31"/>
    <w:p>
      <w:pPr>
        <w:jc w:val="right"/>
        <w:spacing w:after="0"/>
        <w:rPr>
          <w:sz w:val="20"/>
          <w:szCs w:val="20"/>
          <w:color w:val="auto"/>
        </w:rPr>
      </w:pPr>
      <w:r>
        <w:rPr>
          <w:rFonts w:ascii="Arial" w:cs="Arial" w:eastAsia="Arial" w:hAnsi="Arial"/>
          <w:sz w:val="12"/>
          <w:szCs w:val="12"/>
          <w:b w:val="1"/>
          <w:bCs w:val="1"/>
          <w:color w:val="auto"/>
        </w:rPr>
        <w:t>Exhibit 32.1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3" w:lineRule="exact"/>
        <w:rPr>
          <w:sz w:val="20"/>
          <w:szCs w:val="20"/>
          <w:color w:val="auto"/>
        </w:rPr>
      </w:pPr>
    </w:p>
    <w:p>
      <w:pPr>
        <w:ind w:right="380" w:firstLine="521"/>
        <w:spacing w:after="0" w:line="279" w:lineRule="auto"/>
        <w:rPr>
          <w:sz w:val="20"/>
          <w:szCs w:val="20"/>
          <w:color w:val="auto"/>
        </w:rPr>
      </w:pPr>
      <w:r>
        <w:rPr>
          <w:rFonts w:ascii="Arial" w:cs="Arial" w:eastAsia="Arial" w:hAnsi="Arial"/>
          <w:sz w:val="12"/>
          <w:szCs w:val="12"/>
          <w:color w:val="auto"/>
        </w:rPr>
        <w:t>In connection with the Quarterly Report on Form 10-Q of Destination XL Group, Inc. (the “Company”) for the period ended August 3, 2019, as filed with the Securities and Exchange Commission on the date hereof (the “Report”), I, Harvey S. Kanter, Chief Executive Officer of the Company, certify pursuant to 18 U.S.C. § 1350, as adopted pursuant to § 906 of the Sarbanes-Oxley Act of 2002, that:</w:t>
      </w:r>
    </w:p>
    <w:p>
      <w:pPr>
        <w:spacing w:after="0" w:line="41" w:lineRule="exact"/>
        <w:rPr>
          <w:sz w:val="20"/>
          <w:szCs w:val="20"/>
          <w:color w:val="auto"/>
        </w:rPr>
      </w:pPr>
    </w:p>
    <w:p>
      <w:pPr>
        <w:ind w:left="1260" w:hanging="179"/>
        <w:spacing w:after="0"/>
        <w:tabs>
          <w:tab w:leader="none" w:pos="12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79" w:lineRule="exact"/>
        <w:rPr>
          <w:rFonts w:ascii="Arial" w:cs="Arial" w:eastAsia="Arial" w:hAnsi="Arial"/>
          <w:sz w:val="12"/>
          <w:szCs w:val="12"/>
          <w:color w:val="auto"/>
        </w:rPr>
      </w:pPr>
    </w:p>
    <w:p>
      <w:pPr>
        <w:ind w:left="1260" w:hanging="179"/>
        <w:spacing w:after="0"/>
        <w:tabs>
          <w:tab w:leader="none" w:pos="12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ind w:right="20" w:firstLine="521"/>
        <w:spacing w:after="0" w:line="265" w:lineRule="auto"/>
        <w:rPr>
          <w:sz w:val="20"/>
          <w:szCs w:val="20"/>
          <w:color w:val="auto"/>
        </w:rPr>
      </w:pPr>
      <w:r>
        <w:rPr>
          <w:rFonts w:ascii="Arial" w:cs="Arial" w:eastAsia="Arial" w:hAnsi="Arial"/>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41" w:lineRule="exact"/>
        <w:rPr>
          <w:sz w:val="20"/>
          <w:szCs w:val="20"/>
          <w:color w:val="auto"/>
        </w:rPr>
      </w:pPr>
    </w:p>
    <w:p>
      <w:pPr>
        <w:spacing w:after="0"/>
        <w:tabs>
          <w:tab w:leader="none" w:pos="6880" w:val="left"/>
          <w:tab w:leader="none" w:pos="8780" w:val="left"/>
        </w:tabs>
        <w:rPr>
          <w:sz w:val="20"/>
          <w:szCs w:val="20"/>
          <w:color w:val="auto"/>
        </w:rPr>
      </w:pPr>
      <w:r>
        <w:rPr>
          <w:rFonts w:ascii="Arial" w:cs="Arial" w:eastAsia="Arial" w:hAnsi="Arial"/>
          <w:sz w:val="12"/>
          <w:szCs w:val="12"/>
          <w:color w:val="auto"/>
        </w:rPr>
        <w:t>Date:  August 28, 2019</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Harvey S. Kanter</w:t>
      </w:r>
    </w:p>
    <w:p>
      <w:pPr>
        <w:spacing w:after="0" w:line="5" w:lineRule="exact"/>
        <w:rPr>
          <w:sz w:val="20"/>
          <w:szCs w:val="20"/>
          <w:color w:val="auto"/>
        </w:rPr>
      </w:pPr>
    </w:p>
    <w:p>
      <w:pPr>
        <w:jc w:val="center"/>
        <w:ind w:left="7140"/>
        <w:spacing w:after="0"/>
        <w:rPr>
          <w:sz w:val="20"/>
          <w:szCs w:val="20"/>
          <w:color w:val="auto"/>
        </w:rPr>
      </w:pPr>
      <w:r>
        <w:rPr>
          <w:rFonts w:ascii="Arial" w:cs="Arial" w:eastAsia="Arial" w:hAnsi="Arial"/>
          <w:sz w:val="10"/>
          <w:szCs w:val="10"/>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-65405</wp:posOffset>
            </wp:positionV>
            <wp:extent cx="276606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766060" cy="5715"/>
                    </a:xfrm>
                    <a:prstGeom prst="rect">
                      <a:avLst/>
                    </a:prstGeom>
                    <a:noFill/>
                  </pic:spPr>
                </pic:pic>
              </a:graphicData>
            </a:graphic>
          </wp:anchor>
        </w:drawing>
      </w:r>
    </w:p>
    <w:p>
      <w:pPr>
        <w:jc w:val="center"/>
        <w:ind w:left="7140"/>
        <w:spacing w:after="0"/>
        <w:rPr>
          <w:sz w:val="20"/>
          <w:szCs w:val="20"/>
          <w:color w:val="auto"/>
        </w:rPr>
      </w:pPr>
      <w:r>
        <w:rPr>
          <w:rFonts w:ascii="Arial" w:cs="Arial" w:eastAsia="Arial" w:hAnsi="Arial"/>
          <w:sz w:val="10"/>
          <w:szCs w:val="10"/>
          <w:b w:val="1"/>
          <w:bCs w:val="1"/>
          <w:color w:val="auto"/>
        </w:rPr>
        <w:t>Chief Executive Officer</w:t>
      </w:r>
    </w:p>
    <w:p>
      <w:pPr>
        <w:spacing w:after="0" w:line="125" w:lineRule="exact"/>
        <w:rPr>
          <w:sz w:val="20"/>
          <w:szCs w:val="20"/>
          <w:color w:val="auto"/>
        </w:rPr>
      </w:pPr>
    </w:p>
    <w:p>
      <w:pPr>
        <w:ind w:right="80" w:firstLine="521"/>
        <w:spacing w:after="0" w:line="279" w:lineRule="auto"/>
        <w:rPr>
          <w:sz w:val="20"/>
          <w:szCs w:val="20"/>
          <w:color w:val="auto"/>
        </w:rPr>
      </w:pPr>
      <w:r>
        <w:rPr>
          <w:rFonts w:ascii="Arial" w:cs="Arial" w:eastAsia="Arial" w:hAnsi="Arial"/>
          <w:sz w:val="12"/>
          <w:szCs w:val="12"/>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80"/>
          </w:cols>
          <w:pgMar w:left="220" w:top="127" w:right="199" w:bottom="1440" w:gutter="0" w:footer="0" w:header="0"/>
        </w:sectPr>
      </w:pPr>
    </w:p>
    <w:bookmarkStart w:id="32" w:name="page33"/>
    <w:bookmarkEnd w:id="32"/>
    <w:p>
      <w:pPr>
        <w:jc w:val="right"/>
        <w:spacing w:after="0"/>
        <w:rPr>
          <w:sz w:val="20"/>
          <w:szCs w:val="20"/>
          <w:color w:val="auto"/>
        </w:rPr>
      </w:pPr>
      <w:r>
        <w:rPr>
          <w:rFonts w:ascii="Arial" w:cs="Arial" w:eastAsia="Arial" w:hAnsi="Arial"/>
          <w:sz w:val="12"/>
          <w:szCs w:val="12"/>
          <w:b w:val="1"/>
          <w:bCs w:val="1"/>
          <w:color w:val="auto"/>
        </w:rPr>
        <w:t>Exhibit 32.2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3" w:lineRule="exact"/>
        <w:rPr>
          <w:sz w:val="20"/>
          <w:szCs w:val="20"/>
          <w:color w:val="auto"/>
        </w:rPr>
      </w:pPr>
    </w:p>
    <w:p>
      <w:pPr>
        <w:ind w:right="380" w:firstLine="521"/>
        <w:spacing w:after="0" w:line="279" w:lineRule="auto"/>
        <w:rPr>
          <w:sz w:val="20"/>
          <w:szCs w:val="20"/>
          <w:color w:val="auto"/>
        </w:rPr>
      </w:pPr>
      <w:r>
        <w:rPr>
          <w:rFonts w:ascii="Arial" w:cs="Arial" w:eastAsia="Arial" w:hAnsi="Arial"/>
          <w:sz w:val="12"/>
          <w:szCs w:val="12"/>
          <w:color w:val="auto"/>
        </w:rPr>
        <w:t>In connection with the Quarterly Report on Form 10-Q of Destination XL Group, Inc. (the “Company”) for the period ended August 3, 2019,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41" w:lineRule="exact"/>
        <w:rPr>
          <w:sz w:val="20"/>
          <w:szCs w:val="20"/>
          <w:color w:val="auto"/>
        </w:rPr>
      </w:pPr>
    </w:p>
    <w:p>
      <w:pPr>
        <w:ind w:left="1260" w:hanging="179"/>
        <w:spacing w:after="0"/>
        <w:tabs>
          <w:tab w:leader="none" w:pos="12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79" w:lineRule="exact"/>
        <w:rPr>
          <w:rFonts w:ascii="Arial" w:cs="Arial" w:eastAsia="Arial" w:hAnsi="Arial"/>
          <w:sz w:val="12"/>
          <w:szCs w:val="12"/>
          <w:color w:val="auto"/>
        </w:rPr>
      </w:pPr>
    </w:p>
    <w:p>
      <w:pPr>
        <w:ind w:left="1260" w:hanging="179"/>
        <w:spacing w:after="0"/>
        <w:tabs>
          <w:tab w:leader="none" w:pos="12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ind w:right="20" w:firstLine="521"/>
        <w:spacing w:after="0" w:line="265" w:lineRule="auto"/>
        <w:rPr>
          <w:sz w:val="20"/>
          <w:szCs w:val="20"/>
          <w:color w:val="auto"/>
        </w:rPr>
      </w:pPr>
      <w:r>
        <w:rPr>
          <w:rFonts w:ascii="Arial" w:cs="Arial" w:eastAsia="Arial" w:hAnsi="Arial"/>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41" w:lineRule="exact"/>
        <w:rPr>
          <w:sz w:val="20"/>
          <w:szCs w:val="20"/>
          <w:color w:val="auto"/>
        </w:rPr>
      </w:pPr>
    </w:p>
    <w:p>
      <w:pPr>
        <w:spacing w:after="0"/>
        <w:tabs>
          <w:tab w:leader="none" w:pos="6880" w:val="left"/>
          <w:tab w:leader="none" w:pos="8720" w:val="left"/>
        </w:tabs>
        <w:rPr>
          <w:sz w:val="20"/>
          <w:szCs w:val="20"/>
          <w:color w:val="auto"/>
        </w:rPr>
      </w:pPr>
      <w:r>
        <w:rPr>
          <w:rFonts w:ascii="Arial" w:cs="Arial" w:eastAsia="Arial" w:hAnsi="Arial"/>
          <w:sz w:val="12"/>
          <w:szCs w:val="12"/>
          <w:color w:val="auto"/>
        </w:rPr>
        <w:t>Date:  August 28, 2019</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Peter H. Stratton, Jr.</w:t>
      </w:r>
    </w:p>
    <w:p>
      <w:pPr>
        <w:spacing w:after="0" w:line="5" w:lineRule="exact"/>
        <w:rPr>
          <w:sz w:val="20"/>
          <w:szCs w:val="20"/>
          <w:color w:val="auto"/>
        </w:rPr>
      </w:pPr>
    </w:p>
    <w:p>
      <w:pPr>
        <w:jc w:val="center"/>
        <w:ind w:left="7140"/>
        <w:spacing w:after="0"/>
        <w:rPr>
          <w:sz w:val="20"/>
          <w:szCs w:val="20"/>
          <w:color w:val="auto"/>
        </w:rPr>
      </w:pPr>
      <w:r>
        <w:rPr>
          <w:rFonts w:ascii="Arial" w:cs="Arial" w:eastAsia="Arial" w:hAnsi="Arial"/>
          <w:sz w:val="10"/>
          <w:szCs w:val="10"/>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-65405</wp:posOffset>
            </wp:positionV>
            <wp:extent cx="276606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766060" cy="5715"/>
                    </a:xfrm>
                    <a:prstGeom prst="rect">
                      <a:avLst/>
                    </a:prstGeom>
                    <a:noFill/>
                  </pic:spPr>
                </pic:pic>
              </a:graphicData>
            </a:graphic>
          </wp:anchor>
        </w:drawing>
      </w:r>
    </w:p>
    <w:p>
      <w:pPr>
        <w:jc w:val="center"/>
        <w:ind w:left="7140"/>
        <w:spacing w:after="0"/>
        <w:rPr>
          <w:sz w:val="20"/>
          <w:szCs w:val="20"/>
          <w:color w:val="auto"/>
        </w:rPr>
      </w:pPr>
      <w:r>
        <w:rPr>
          <w:rFonts w:ascii="Arial" w:cs="Arial" w:eastAsia="Arial" w:hAnsi="Arial"/>
          <w:sz w:val="10"/>
          <w:szCs w:val="10"/>
          <w:b w:val="1"/>
          <w:bCs w:val="1"/>
          <w:color w:val="auto"/>
        </w:rPr>
        <w:t>Chief Financial Officer</w:t>
      </w:r>
    </w:p>
    <w:p>
      <w:pPr>
        <w:spacing w:after="0" w:line="125" w:lineRule="exact"/>
        <w:rPr>
          <w:sz w:val="20"/>
          <w:szCs w:val="20"/>
          <w:color w:val="auto"/>
        </w:rPr>
      </w:pPr>
    </w:p>
    <w:p>
      <w:pPr>
        <w:ind w:right="80" w:firstLine="521"/>
        <w:spacing w:after="0" w:line="279" w:lineRule="auto"/>
        <w:rPr>
          <w:sz w:val="20"/>
          <w:szCs w:val="20"/>
          <w:color w:val="auto"/>
        </w:rPr>
      </w:pPr>
      <w:r>
        <w:rPr>
          <w:rFonts w:ascii="Arial" w:cs="Arial" w:eastAsia="Arial" w:hAnsi="Arial"/>
          <w:sz w:val="12"/>
          <w:szCs w:val="12"/>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80"/>
      </w:cols>
      <w:pgMar w:left="220"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842"/>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0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44" Type="http://schemas.openxmlformats.org/officeDocument/2006/relationships/hyperlink" Target="http://www.sec.gov/Archives/edgar/data/813298/000156459019021876/dxlg-ex101_6.htm" TargetMode="External"/><Relationship Id="rId45" Type="http://schemas.openxmlformats.org/officeDocument/2006/relationships/hyperlink" Target="http://www.sec.gov/Archives/edgar/data/813298/000156459019015868/dxlg-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2019-12-28T06:41:44Z</dcterms:created>
  <dcterms:modified xsi:type="dcterms:W3CDTF">2019-12-28T06:41:44Z</dcterms:modified>
</cp:coreProperties>
</file>