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4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460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Cooney John 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3820" w:type="dxa"/>
            <w:vAlign w:val="bottom"/>
            <w:gridSpan w:val="4"/>
          </w:tcPr>
          <w:p>
            <w:pPr>
              <w:ind w:left="60"/>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2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SVP, Chief Accounting Officer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01/24/2023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01/24/2023</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8,000</w:t>
            </w:r>
          </w:p>
        </w:tc>
        <w:tc>
          <w:tcPr>
            <w:tcW w:w="20" w:type="dxa"/>
            <w:vAlign w:val="bottom"/>
          </w:tcPr>
          <w:p>
            <w:pPr>
              <w:spacing w:after="0"/>
              <w:rPr>
                <w:sz w:val="22"/>
                <w:szCs w:val="22"/>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0.69</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67,559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01/24/2023</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13,000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7.25</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54,559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04/01/2022</w:t>
            </w:r>
            <w:r>
              <w:rPr>
                <w:rFonts w:ascii="Times New Roman" w:cs="Times New Roman" w:eastAsia="Times New Roman" w:hAnsi="Times New Roman"/>
                <w:sz w:val="21"/>
                <w:szCs w:val="21"/>
                <w:color w:val="008000"/>
                <w:vertAlign w:val="superscript"/>
              </w:rPr>
              <w:t>(2)</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8,000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0.69</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01/24/2023</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8,000</w:t>
            </w:r>
          </w:p>
        </w:tc>
        <w:tc>
          <w:tcPr>
            <w:tcW w:w="900" w:type="dxa"/>
            <w:vAlign w:val="bottom"/>
            <w:gridSpan w:val="2"/>
            <w:vMerge w:val="continue"/>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03/08/2031</w:t>
            </w: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28,264</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5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represents the time-based portion of the 2021-2023 Long-Term Incentive Plan award to the Reporting Person. The option vests in four equal installments. 9,066 shares became exercisable on April 1, 2022. 9,066 shares will become exercisable on each of April 1, 2023, April 1, 2024 and April 1, 2025.</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John F. Cooney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01/24/2023</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34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2023-01-24T15:21:50Z</dcterms:created>
  <dcterms:modified xsi:type="dcterms:W3CDTF">2023-01-24T15:21:50Z</dcterms:modified>
</cp:coreProperties>
</file>