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DESTINATION XL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25065K104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Mantel,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25065K104</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5,758,261.00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5,758,261.00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5,758,261.00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1000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DESTINATION XL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555 TURNPIKE STREET, CANTON, MASSACHUSETTS , 02021.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6" w:lineRule="auto"/>
        <w:rPr>
          <w:sz w:val="20"/>
          <w:szCs w:val="20"/>
          <w:color w:val="auto"/>
        </w:rPr>
      </w:pPr>
      <w:r>
        <w:rPr>
          <w:rFonts w:ascii="Times New Roman" w:cs="Times New Roman" w:eastAsia="Times New Roman" w:hAnsi="Times New Roman"/>
          <w:sz w:val="21"/>
          <w:szCs w:val="21"/>
          <w:color w:val="auto"/>
        </w:rPr>
        <w:t>Item 4 is hereby amended to add the following: On December 19, 2024, the Reporting Person delivered a letter to Lionel F. Conacher, Chairman of Board of the Issuer, including a non-binding proposal (the "Proposal") to acquire all the outstanding Shares that the Reporting Person and its affiliates do not already own at a price of $3.00 per share in cash, subject to the completion of confirmatory due diligence and negotiation of the terms of a definitive agreement. The Proposal represents a 34% premium to the closing price of the Shares on December 18, 2024, and does not include a financing condition. In the letter, the Reporting Person expressed its belief that the Issuer would be better served outside of the public markets, and that the Proposal offers stockholders an opportunity to derisk their investment at a premium valuation, providing an attractive liquidity option and certainty of value. The Reporting Person also stated that it has reviewed the publicly available information regarding the Company and expects to be able to conduct an expedited due diligence review, and the Reporting Person is prepared to enter into a confidentiality</w:t>
      </w:r>
    </w:p>
    <w:p>
      <w:pPr>
        <w:sectPr>
          <w:pgSz w:w="11900" w:h="16838" w:orient="portrait"/>
          <w:cols w:equalWidth="0" w:num="1">
            <w:col w:w="11120"/>
          </w:cols>
          <w:pgMar w:left="360" w:top="126" w:right="419" w:bottom="0" w:gutter="0" w:footer="0" w:header="0"/>
          <w:type w:val="continuous"/>
        </w:sectPr>
      </w:pPr>
    </w:p>
    <w:bookmarkStart w:id="2" w:name="page3"/>
    <w:bookmarkEnd w:id="2"/>
    <w:p>
      <w:pPr>
        <w:ind w:left="940" w:right="300"/>
        <w:spacing w:after="0" w:line="236" w:lineRule="auto"/>
        <w:rPr>
          <w:sz w:val="20"/>
          <w:szCs w:val="20"/>
          <w:color w:val="auto"/>
        </w:rPr>
      </w:pPr>
      <w:r>
        <w:rPr>
          <w:rFonts w:ascii="Times New Roman" w:cs="Times New Roman" w:eastAsia="Times New Roman" w:hAnsi="Times New Roman"/>
          <w:sz w:val="22"/>
          <w:szCs w:val="22"/>
          <w:color w:val="auto"/>
        </w:rPr>
        <w:t>agreement to commence such due diligence immediately. The Reporting Person noted its history of constructive engagement positioning consumer and retail companies for future success and growth. The Reporting Person expressed its readiness to meet with the Issuer and its representatives as soon as possible to discuss the Proposal in further detail, and its intention of working with the Board on executing a transaction that will benefit the Issuer's stockholders, employees and customers. The letter is attached hereto as Exhibit 99.1 and is incorporated herein by reference.</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99.1 - Letter, dated December 19, 2024</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Name/Title: Benjamin C. Cable, Chief Operating Officer</w:t>
      </w:r>
    </w:p>
    <w:p>
      <w:pPr>
        <w:spacing w:after="0" w:line="44" w:lineRule="exact"/>
        <w:rPr>
          <w:sz w:val="20"/>
          <w:szCs w:val="20"/>
          <w:color w:val="auto"/>
        </w:rPr>
      </w:pPr>
    </w:p>
    <w:p>
      <w:pPr>
        <w:ind w:left="5120"/>
        <w:spacing w:after="0"/>
        <w:tabs>
          <w:tab w:leader="none" w:pos="6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12/23/2024</w:t>
      </w:r>
    </w:p>
    <w:p>
      <w:pPr>
        <w:sectPr>
          <w:pgSz w:w="11900" w:h="16838" w:orient="portrait"/>
          <w:cols w:equalWidth="0" w:num="1">
            <w:col w:w="11140"/>
          </w:cols>
          <w:pgMar w:left="360" w:top="111"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und</w:t>
      </w:r>
      <w:r>
        <w:rPr>
          <w:rFonts w:ascii="Times New Roman" w:cs="Times New Roman" w:eastAsia="Times New Roman" w:hAnsi="Times New Roman"/>
          <w:sz w:val="18"/>
          <w:szCs w:val="18"/>
          <w:b w:val="1"/>
          <w:bCs w:val="1"/>
          <w:color w:val="auto"/>
        </w:rPr>
        <w:t xml:space="preserve"> 1 I</w:t>
      </w:r>
      <w:r>
        <w:rPr>
          <w:rFonts w:ascii="Times New Roman" w:cs="Times New Roman" w:eastAsia="Times New Roman" w:hAnsi="Times New Roman"/>
          <w:sz w:val="12"/>
          <w:szCs w:val="12"/>
          <w:b w:val="1"/>
          <w:bCs w:val="1"/>
          <w:color w:val="auto"/>
        </w:rPr>
        <w:t>nvestments</w:t>
      </w:r>
      <w:r>
        <w:rPr>
          <w:rFonts w:ascii="Times New Roman" w:cs="Times New Roman" w:eastAsia="Times New Roman" w:hAnsi="Times New Roman"/>
          <w:sz w:val="18"/>
          <w:szCs w:val="18"/>
          <w:b w:val="1"/>
          <w:bCs w:val="1"/>
          <w:color w:val="auto"/>
        </w:rPr>
        <w:t xml:space="preserve">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Carr 115 Unit 1900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Rincon, Puerto Rico 00677</w:t>
      </w:r>
    </w:p>
    <w:p>
      <w:pPr>
        <w:spacing w:after="0" w:line="20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19, 2024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 Turnpike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Lionel F. Conacher, 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Lionel: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Fund 1 Investments LLC (together with its affiliates, “Fund 1”, or “we”) appreciates the time we have spent speaking with you, members of Board of Directors (the “Board”) of Destination XL Group, Inc. (the “Company” or “DXLG”), and management. We have utilized significant internal resources to understand and underwrite DXLG’s business considering our substantial investment in the Company. Our analysis and considerable time spent together has only further heightened our belief that the Company’s underlying business is quite resilient and can generate significant free cash flow into the foreseeable future.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 1 is pleased to submit this non-binding proposal to acquire all of the outstanding shares of common stock of DXLG that are not owned by Fund 1 or its affiliates for cash consideration of $3.00 per share, subject to our completion of confirmatory due diligence and negotiation of the terms of a definitive agreement (our “Proposal”). The terms of our Proposal, described more fully below, are attractive to DXLG stockholders, represent a 34% premium to the closing price of the Company’s common stock on December 18, 2024, and do not include a financing condition.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submitting this Proposal to facilitate constructive discussions with the Board because we believe this is the best path forward for all Company stakeholders – and we are prepared to move quickly to execute on this opportunity together.</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Fund 1 is the Ideal Partner for DXLG</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you know, Fund 1 is a global long/short equity firm that makes both public and private investments primarily focused on the consumer, telecom, media, and technology sectors. We possess significant consumer and retail expertise and have a history of constructive engagement working with retailers to position these companies for future growth and efficiency in a heightened competitive landscape. More recently, we have grown increasingly focused on advancing the private equity side of our business. We participated in the notable ~€6.4 billion take-private of Hong Kong-listed retailer, L’Occitane International (“L’Occitane”), a global cosmetics company with three primary brands: its namesake (retail presence), Sol de Janeiro (wholesale), and Elemis (wholesale) this past summer.</w:t>
      </w:r>
    </w:p>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believe DXLG, similar to L’Occitane, would be far better served outside of the public markets, with the ability to focus on free cash flow generation without the overwhelming pressure of reporting quarterly results and satisfying the needs of short-term public market investors. DXLG stands to benefit even more because as a micro-cap stock, it lacks trading liquidity and is unable to attract a quality institutional investor base.</w:t>
      </w:r>
    </w:p>
    <w:p>
      <w:pPr>
        <w:spacing w:after="0" w:line="18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Although the Company is a leading retailer in the space, the issues noted above are hindering DXLG’s ability to maximize its potential value for stockholders. We believe the Company would be better served outside of the public markets, and believe that our Proposal offers stockholders an opportunity to derisk their investment at a premium valuation, providing an attractive liquidity option and certainty of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Additional Offer Details</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you have clearly seen through our dialogue thus far, we have been closely following the Company’s operational and financial performance. We have conducted substantial research on DXLG’s current position in the big and tall retailing industry, its operations, and its opportunities. Based on the work completed and the information provided to date, we would seek to move forward on discussing a transaction with the following general terms and conditions:</w:t>
      </w:r>
    </w:p>
    <w:p>
      <w:pPr>
        <w:spacing w:after="0" w:line="171" w:lineRule="exact"/>
        <w:rPr>
          <w:sz w:val="20"/>
          <w:szCs w:val="20"/>
          <w:color w:val="auto"/>
        </w:rPr>
      </w:pPr>
    </w:p>
    <w:p>
      <w:pPr>
        <w:ind w:left="660" w:right="2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Structure of the Transaction.</w:t>
      </w:r>
      <w:r>
        <w:rPr>
          <w:rFonts w:ascii="Times New Roman" w:cs="Times New Roman" w:eastAsia="Times New Roman" w:hAnsi="Times New Roman"/>
          <w:sz w:val="18"/>
          <w:szCs w:val="18"/>
          <w:color w:val="auto"/>
        </w:rPr>
        <w:t xml:space="preserve"> Subject to review by tax and legal advisors, we would expect the transaction to be structured as a merger in which we would acquire all of the issued and outstanding capital stock of the Company.</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Diligence Process.</w:t>
      </w:r>
      <w:r>
        <w:rPr>
          <w:rFonts w:ascii="Times New Roman" w:cs="Times New Roman" w:eastAsia="Times New Roman" w:hAnsi="Times New Roman"/>
          <w:sz w:val="18"/>
          <w:szCs w:val="18"/>
          <w:color w:val="auto"/>
        </w:rPr>
        <w:t xml:space="preserve"> We are deeply familiar with the Company from our existing equity investment, and have reviewed the publicly available information regarding the Company. As a result, and given our significant experience in this sector, we expect to be able to conduct an expedited due diligence review focused on our gaining a better understanding of DXLG beyond the publicly available information we have reviewed to date: detailed financial performance, competitive positioning, and growth plan and execution to date. We are prepared to enter into an appropriate confidentiality agreement and commence our due diligence immediately.</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and Employees.</w:t>
      </w:r>
      <w:r>
        <w:rPr>
          <w:rFonts w:ascii="Times New Roman" w:cs="Times New Roman" w:eastAsia="Times New Roman" w:hAnsi="Times New Roman"/>
          <w:sz w:val="18"/>
          <w:szCs w:val="18"/>
          <w:color w:val="auto"/>
        </w:rPr>
        <w:t xml:space="preserve"> Fund 1 views the management team and employees of any organization as a vital component of the organization’s ability to compete and succeed. Fund 1 would endeavor to motivate and retain the key personnel of the Company through competitive compensation, strong benefits package and an equity or equity-like incentive plan.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3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Support.</w:t>
      </w:r>
      <w:r>
        <w:rPr>
          <w:rFonts w:ascii="Times New Roman" w:cs="Times New Roman" w:eastAsia="Times New Roman" w:hAnsi="Times New Roman"/>
          <w:sz w:val="18"/>
          <w:szCs w:val="18"/>
          <w:color w:val="auto"/>
        </w:rPr>
        <w:t xml:space="preserve"> We have the experience and expertise to assist the Company in its go-forward business plan, both operational and growth, as appropriate. In this regard, we would be able to work with the Company to assist in strategy formation, analysis, and execution. Fund 1 has a deep bench of operating partners with direct and relevant retail experience necessary to guide the success of the Company, post-transaction. We pride ourselves on being a valuable partner and resource and are excited to collaborate with the Company to help it achieve its short and long-term goals and build an even more successful future.</w:t>
      </w:r>
    </w:p>
    <w:p>
      <w:pPr>
        <w:spacing w:after="0" w:line="174" w:lineRule="exact"/>
        <w:rPr>
          <w:rFonts w:ascii="Times New Roman" w:cs="Times New Roman" w:eastAsia="Times New Roman" w:hAnsi="Times New Roman"/>
          <w:sz w:val="18"/>
          <w:szCs w:val="18"/>
          <w:color w:val="auto"/>
        </w:rPr>
      </w:pPr>
    </w:p>
    <w:p>
      <w:pPr>
        <w:jc w:val="both"/>
        <w:ind w:left="660" w:hanging="328"/>
        <w:spacing w:after="0" w:line="24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Sources of Financing.</w:t>
      </w:r>
      <w:r>
        <w:rPr>
          <w:rFonts w:ascii="Times New Roman" w:cs="Times New Roman" w:eastAsia="Times New Roman" w:hAnsi="Times New Roman"/>
          <w:sz w:val="18"/>
          <w:szCs w:val="18"/>
          <w:color w:val="auto"/>
        </w:rPr>
        <w:t xml:space="preserve"> While we would like to have the flexibility to finance this acquisition with a combination of equity and debt, we have committed and have available equity capital to fully fund our Proposal and confirm that the definitive transaction agreements would not include a financing condition.</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33"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w:t>
      </w:r>
      <w:r>
        <w:rPr>
          <w:rFonts w:ascii="Times New Roman" w:cs="Times New Roman" w:eastAsia="Times New Roman" w:hAnsi="Times New Roman"/>
          <w:sz w:val="18"/>
          <w:szCs w:val="18"/>
          <w:color w:val="auto"/>
        </w:rPr>
        <w:t xml:space="preserve"> In order to maximize the efficiency of the investment process and in order to achieve the transaction goals of the Company, we are prepared to move quickly to consummate the purchase of the Company and have the necessary resources to conduct our due diligence process concurrently with the negotiation of the terms and conditions of a definitive purchase agreement. We also would be interested in discussing an exclusivity period to consummate a transaction. From the date that we are able to enter into an appropriate confidentiality agreement and commence due diligence, we would anticipate the completion of all due diligence and execution of the definitive purchase agreement within 45 days.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3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It is specifically understood that the Proposal is non-binding, and any transaction would be subject to negotiation and entry into a definitive agreement, subject to, among other things, Fund 1’s satisfactory completion of its due diligence. Accordingly, neither party shall have any obligation to the other until such time as, and as provided in, a definitive agreement regarding the proposed transaction, agreeable both as to form and substance to each party, has been executed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5" w:name="page6"/>
    <w:bookmarkEnd w:id="5"/>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Proposal is based entirely on publicly available information. If after completing further due diligence we become aware of some component or aspect of the business and its prospects that provides evidence of additional value, we are prepared to increase our proposed price to reflect this new information.</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are ready to meet with the Board and its representatives as soon as possible to discuss our Proposal in further detail. Importantly, we are prepared to dedicate the necessary resources to quickly negotiate a definitive agreement. As a well-capitalized acquiror, we have the ability to consummate the transaction on an accelerated basis to deliver significant value to DXLG stockholders and set the Company up for continued success as a privately held company.</w:t>
      </w:r>
    </w:p>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have submitted our Proposal with the intention of working with the Board on executing a transaction that will benefit the Company’s stockholders, employees and customers. We hope that you will swiftly engage with us and work toward a mutually agreeable transaction, and look forward to continuing our dialogue with the Board and management team.</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1 Investments LLC</w:t>
      </w: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2024-12-23T07:07:54Z</dcterms:created>
  <dcterms:modified xsi:type="dcterms:W3CDTF">2024-12-23T07:07:54Z</dcterms:modified>
</cp:coreProperties>
</file>