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May 29,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DESTINATION XL GROUP,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80"/>
        <w:spacing w:after="0"/>
        <w:rPr>
          <w:sz w:val="20"/>
          <w:szCs w:val="20"/>
          <w:color w:val="auto"/>
        </w:rPr>
      </w:pPr>
      <w:r>
        <w:rPr>
          <w:rFonts w:ascii="Arial" w:cs="Arial" w:eastAsia="Arial" w:hAnsi="Arial"/>
          <w:sz w:val="16"/>
          <w:szCs w:val="16"/>
          <w:b w:val="1"/>
          <w:bCs w:val="1"/>
          <w:color w:val="auto"/>
        </w:rPr>
        <w:t>01-34219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04-2623104</w:t>
      </w:r>
    </w:p>
    <w:p>
      <w:pPr>
        <w:spacing w:after="0" w:line="31" w:lineRule="exact"/>
        <w:rPr>
          <w:sz w:val="24"/>
          <w:szCs w:val="24"/>
          <w:color w:val="auto"/>
        </w:rPr>
      </w:pPr>
    </w:p>
    <w:p>
      <w:pPr>
        <w:sectPr>
          <w:pgSz w:w="11900" w:h="16838" w:orient="portrait"/>
          <w:cols w:equalWidth="0" w:num="3">
            <w:col w:w="4820" w:space="720"/>
            <w:col w:w="2960" w:space="720"/>
            <w:col w:w="2080"/>
          </w:cols>
          <w:pgMar w:left="240" w:top="368" w:right="359" w:bottom="1440" w:gutter="0" w:footer="0" w:header="0"/>
          <w:type w:val="continuous"/>
        </w:sectPr>
      </w:pPr>
    </w:p>
    <w:p>
      <w:pPr>
        <w:spacing w:after="0" w:line="19" w:lineRule="exact"/>
        <w:rPr>
          <w:sz w:val="24"/>
          <w:szCs w:val="24"/>
          <w:color w:val="auto"/>
        </w:rPr>
      </w:pPr>
    </w:p>
    <w:p>
      <w:pPr>
        <w:ind w:left="122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920"/>
        <w:spacing w:after="0"/>
        <w:rPr>
          <w:sz w:val="20"/>
          <w:szCs w:val="20"/>
          <w:color w:val="auto"/>
        </w:rPr>
      </w:pPr>
      <w:r>
        <w:rPr>
          <w:rFonts w:ascii="Arial" w:cs="Arial" w:eastAsia="Arial" w:hAnsi="Arial"/>
          <w:sz w:val="14"/>
          <w:szCs w:val="14"/>
          <w:b w:val="1"/>
          <w:bCs w:val="1"/>
          <w:color w:val="auto"/>
        </w:rPr>
        <w:t>(IRS Employer</w:t>
      </w:r>
    </w:p>
    <w:p>
      <w:pPr>
        <w:jc w:val="center"/>
        <w:ind w:right="920"/>
        <w:spacing w:after="0"/>
        <w:rPr>
          <w:sz w:val="20"/>
          <w:szCs w:val="20"/>
          <w:color w:val="auto"/>
        </w:rPr>
      </w:pPr>
      <w:r>
        <w:rPr>
          <w:rFonts w:ascii="Arial" w:cs="Arial" w:eastAsia="Arial" w:hAnsi="Arial"/>
          <w:sz w:val="13"/>
          <w:szCs w:val="13"/>
          <w:b w:val="1"/>
          <w:bCs w:val="1"/>
          <w:color w:val="auto"/>
        </w:rPr>
        <w:t>Identification Number)</w:t>
      </w:r>
    </w:p>
    <w:p>
      <w:pPr>
        <w:spacing w:after="0" w:line="200" w:lineRule="exact"/>
        <w:rPr>
          <w:sz w:val="24"/>
          <w:szCs w:val="24"/>
          <w:color w:val="auto"/>
        </w:rPr>
      </w:pPr>
    </w:p>
    <w:p>
      <w:pPr>
        <w:sectPr>
          <w:pgSz w:w="11900" w:h="16838" w:orient="portrait"/>
          <w:cols w:equalWidth="0" w:num="3">
            <w:col w:w="4740" w:space="720"/>
            <w:col w:w="2760" w:space="720"/>
            <w:col w:w="2360"/>
          </w:cols>
          <w:pgMar w:left="240" w:top="368" w:right="359" w:bottom="1440" w:gutter="0" w:footer="0" w:header="0"/>
          <w:type w:val="continuous"/>
        </w:sectPr>
      </w:pP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555 Turnpike Street, Canton, Massachusetts 02021</w:t>
      </w:r>
    </w:p>
    <w:p>
      <w:pPr>
        <w:spacing w:after="0" w:line="44"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(Address of registrant’s principal executive office)</w:t>
      </w:r>
    </w:p>
    <w:p>
      <w:pPr>
        <w:spacing w:after="0" w:line="19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(781) 828-9300</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p>
      <w:pPr>
        <w:spacing w:after="0" w:line="200" w:lineRule="exact"/>
        <w:rPr>
          <w:sz w:val="24"/>
          <w:szCs w:val="24"/>
          <w:color w:val="auto"/>
        </w:rPr>
      </w:pPr>
    </w:p>
    <w:p>
      <w:pPr>
        <w:spacing w:after="0" w:line="37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On May 29, 2014, Destination XL Group, Inc. (the “Company”) issued a press release announcing the Company’s operating results for the first quarter of fiscal 2014. A copy of this press release is attached hereto as Exhibit 99.1.</w:t>
      </w:r>
    </w:p>
    <w:p>
      <w:pPr>
        <w:spacing w:after="0" w:line="275"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May 29, 2014, the Company announced that Peter H. Stratton, Jr., age 42, was appointed as the Company’s Senior Vice President, Chief Financial Officer and Treasurer, effective June 1, 2014.</w:t>
      </w:r>
    </w:p>
    <w:p>
      <w:pPr>
        <w:spacing w:after="0" w:line="170"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Mr. Stratton will succeed John E. Kyees, who has been serving as the Company’s Interim Chief Financial Officer since February 2, 2014. Mr. Kyees will continue to provide consultation to the Company as needed during this transition period, and he will continue to serve on the Board of Directors.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Mr. Stratton has served as the Company’s Senior Vice President of Finance, Corporate Controller and Chief Accounting Officer since August 2009.</w:t>
      </w:r>
    </w:p>
    <w:p>
      <w:pPr>
        <w:spacing w:after="0" w:line="35"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Mr. Stratton initially joined the Company in June 2009 as its Vice President of Finance. Prior to joining the Company, Mr. Stratton served as Senior Director of Corporate Accounting at BearingPoint, Inc. from May 2007 to June 2009. Prior to May 2007, Mr. Stratton held various finance and accounting leadership positions at Legal Sea Foods, Inc., Shaw’s Supermarkets, Inc. and Cintas Corporation.</w:t>
      </w:r>
    </w:p>
    <w:p>
      <w:pPr>
        <w:spacing w:after="0" w:line="19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connection with this appointment, the Company entered into an amended and restated employment agreement with Mr. Stratton, which replaced the Company’s current employment agreement with Mr. Stratton. Pursuant to the terms of the employment agreement, Mr. Stratton will receive an annual base salary of $285,000. As a senior executive, Mr. Stratton is eligible to participate in the Company’s Annual Incentive Plan at a participation level of 40% of his average base salary, depending on the Company’s performance, and in its 2013-2016 LTIP at 70% of his average base salary, depending on the Company’s performance. Mr. Stratton is entitled to vacation and to participate in and receive any other benefits customarily provided by the Company to its senior executives. The term of the employment agreement continues until terminated by the Company or Mr. Stratton.</w:t>
      </w:r>
    </w:p>
    <w:p>
      <w:pPr>
        <w:spacing w:after="0" w:line="17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If Mr. Stratton’s employment is terminated by the Company at any time for any reason other than “justifiable cause” (as defined in the employment agreement), disability or death, the Company is required to pay him his then current base salary for five months after the effective date of such termination. This severance benefit is conditioned upon Mr. Stratton’s execution of a general release. No payment is made if Mr. Stratton is terminated with “justifiable cause,” he resigns, dies or becomes disabled.</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If Mr. Stratton’s employment is terminated at any time within one year following a Change of Control (as defined in the employment agreement) other than for “justifiable cause,” or if he resigns for “good reason,” the Company shall pay him an amount equal to twelve months of his highest base salary in effect at any time during the six-month period ending on the date of the Change of Control. This payment also is conditioned upon Mr. Stratton’s execution of a general release.</w:t>
      </w:r>
    </w:p>
    <w:p>
      <w:pPr>
        <w:sectPr>
          <w:pgSz w:w="11900" w:h="16838" w:orient="portrait"/>
          <w:cols w:equalWidth="0" w:num="1">
            <w:col w:w="11360"/>
          </w:cols>
          <w:pgMar w:left="240" w:top="270" w:right="299" w:bottom="1440" w:gutter="0" w:footer="0" w:header="0"/>
        </w:sectPr>
      </w:pPr>
    </w:p>
    <w:bookmarkStart w:id="2" w:name="page3"/>
    <w:bookmarkEnd w:id="2"/>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Payments made under this provision are to be reduced if and to the extent necessary to avoid any payments or benefits to senior executive being treated as “excess parachute payments” within the meaning of Internal Revenue Code Section 280G(b)(i). The employment agreement contains covenants regarding confidentiality, a one-year period non-competition period following the termination of employment and a “clawback” provision which provides for remedies in the event the Company learns, after termination by the Company other than for “justifiable cause,” that Mr. Stratton could have been terminated for “justifiable cause”.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 copy of the amended and restated employment agreement is attached hereto as Exhibit 10.1 and is incorporated herein by reference.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announcing Mr. Stratton’s appointment is attached hereto as Exhibit 99.2.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94"/>
              </w:rPr>
              <w:t>Exhibit No.</w:t>
            </w:r>
          </w:p>
        </w:tc>
        <w:tc>
          <w:tcPr>
            <w:tcW w:w="5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4"/>
              </w:rPr>
              <w:t>Description</w:t>
            </w:r>
          </w:p>
        </w:tc>
        <w:tc>
          <w:tcPr>
            <w:tcW w:w="4080" w:type="dxa"/>
            <w:vAlign w:val="bottom"/>
          </w:tcPr>
          <w:p>
            <w:pPr>
              <w:spacing w:after="0"/>
              <w:rPr>
                <w:sz w:val="14"/>
                <w:szCs w:val="14"/>
                <w:color w:val="auto"/>
              </w:rPr>
            </w:pPr>
          </w:p>
        </w:tc>
      </w:tr>
      <w:tr>
        <w:trPr>
          <w:trHeight w:val="318"/>
        </w:trPr>
        <w:tc>
          <w:tcPr>
            <w:tcW w:w="680" w:type="dxa"/>
            <w:vAlign w:val="bottom"/>
          </w:tcPr>
          <w:p>
            <w:pPr>
              <w:spacing w:after="0"/>
              <w:rPr>
                <w:sz w:val="20"/>
                <w:szCs w:val="20"/>
                <w:color w:val="auto"/>
              </w:rPr>
            </w:pPr>
            <w:r>
              <w:rPr>
                <w:rFonts w:ascii="Arial" w:cs="Arial" w:eastAsia="Arial" w:hAnsi="Arial"/>
                <w:sz w:val="18"/>
                <w:szCs w:val="18"/>
                <w:color w:val="auto"/>
              </w:rPr>
              <w:t>10.1</w:t>
            </w:r>
          </w:p>
        </w:tc>
        <w:tc>
          <w:tcPr>
            <w:tcW w:w="10180" w:type="dxa"/>
            <w:vAlign w:val="bottom"/>
            <w:gridSpan w:val="4"/>
          </w:tcPr>
          <w:p>
            <w:pPr>
              <w:ind w:left="780"/>
              <w:spacing w:after="0"/>
              <w:rPr>
                <w:sz w:val="20"/>
                <w:szCs w:val="20"/>
                <w:color w:val="auto"/>
              </w:rPr>
            </w:pPr>
            <w:r>
              <w:rPr>
                <w:rFonts w:ascii="Arial" w:cs="Arial" w:eastAsia="Arial" w:hAnsi="Arial"/>
                <w:sz w:val="18"/>
                <w:szCs w:val="18"/>
                <w:color w:val="auto"/>
                <w:w w:val="97"/>
              </w:rPr>
              <w:t>Amended and Restated Employment Agreement between the Company and Peter H. Stratton dated as of May 29, 2014.</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99.1</w:t>
            </w:r>
          </w:p>
        </w:tc>
        <w:tc>
          <w:tcPr>
            <w:tcW w:w="5340" w:type="dxa"/>
            <w:vAlign w:val="bottom"/>
          </w:tcPr>
          <w:p>
            <w:pPr>
              <w:ind w:left="780"/>
              <w:spacing w:after="0"/>
              <w:rPr>
                <w:sz w:val="20"/>
                <w:szCs w:val="20"/>
                <w:color w:val="auto"/>
              </w:rPr>
            </w:pPr>
            <w:r>
              <w:rPr>
                <w:rFonts w:ascii="Arial" w:cs="Arial" w:eastAsia="Arial" w:hAnsi="Arial"/>
                <w:sz w:val="18"/>
                <w:szCs w:val="18"/>
                <w:color w:val="auto"/>
                <w:w w:val="90"/>
              </w:rPr>
              <w:t>Press release issued by Destination XL Group, Inc. on May 29,</w:t>
            </w:r>
          </w:p>
        </w:tc>
        <w:tc>
          <w:tcPr>
            <w:tcW w:w="4840" w:type="dxa"/>
            <w:vAlign w:val="bottom"/>
            <w:gridSpan w:val="3"/>
          </w:tcPr>
          <w:p>
            <w:pPr>
              <w:ind w:left="20"/>
              <w:spacing w:after="0"/>
              <w:rPr>
                <w:sz w:val="20"/>
                <w:szCs w:val="20"/>
                <w:color w:val="auto"/>
              </w:rPr>
            </w:pPr>
            <w:r>
              <w:rPr>
                <w:rFonts w:ascii="Arial" w:cs="Arial" w:eastAsia="Arial" w:hAnsi="Arial"/>
                <w:sz w:val="18"/>
                <w:szCs w:val="18"/>
                <w:color w:val="auto"/>
                <w:w w:val="91"/>
              </w:rPr>
              <w:t>2014 regarding operating results for the first quarter of fiscal 2014.</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99.2</w:t>
            </w:r>
          </w:p>
        </w:tc>
        <w:tc>
          <w:tcPr>
            <w:tcW w:w="5340" w:type="dxa"/>
            <w:vAlign w:val="bottom"/>
          </w:tcPr>
          <w:p>
            <w:pPr>
              <w:ind w:left="780"/>
              <w:spacing w:after="0"/>
              <w:rPr>
                <w:sz w:val="20"/>
                <w:szCs w:val="20"/>
                <w:color w:val="auto"/>
              </w:rPr>
            </w:pPr>
            <w:r>
              <w:rPr>
                <w:rFonts w:ascii="Arial" w:cs="Arial" w:eastAsia="Arial" w:hAnsi="Arial"/>
                <w:sz w:val="18"/>
                <w:szCs w:val="18"/>
                <w:color w:val="auto"/>
                <w:w w:val="90"/>
              </w:rPr>
              <w:t>Press release issued by Destination XL Group, Inc. on May 29,</w:t>
            </w:r>
          </w:p>
        </w:tc>
        <w:tc>
          <w:tcPr>
            <w:tcW w:w="4840" w:type="dxa"/>
            <w:vAlign w:val="bottom"/>
            <w:gridSpan w:val="3"/>
          </w:tcPr>
          <w:p>
            <w:pPr>
              <w:ind w:left="20"/>
              <w:spacing w:after="0"/>
              <w:rPr>
                <w:sz w:val="20"/>
                <w:szCs w:val="20"/>
                <w:color w:val="auto"/>
              </w:rPr>
            </w:pPr>
            <w:r>
              <w:rPr>
                <w:rFonts w:ascii="Arial" w:cs="Arial" w:eastAsia="Arial" w:hAnsi="Arial"/>
                <w:sz w:val="18"/>
                <w:szCs w:val="18"/>
                <w:color w:val="auto"/>
              </w:rPr>
              <w:t>2014 regarding the appointment of Peter H. Stratton, Jr.</w:t>
            </w:r>
          </w:p>
        </w:tc>
      </w:tr>
    </w:tbl>
    <w:p>
      <w:pPr>
        <w:sectPr>
          <w:pgSz w:w="11900" w:h="16838" w:orient="portrait"/>
          <w:cols w:equalWidth="0" w:num="1">
            <w:col w:w="11300"/>
          </w:cols>
          <w:pgMar w:left="240" w:top="274"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p>
        </w:tc>
        <w:tc>
          <w:tcPr>
            <w:tcW w:w="7780" w:type="dxa"/>
            <w:vAlign w:val="bottom"/>
            <w:gridSpan w:val="2"/>
          </w:tcPr>
          <w:p>
            <w:pPr>
              <w:ind w:left="2180"/>
              <w:spacing w:after="0"/>
              <w:rPr>
                <w:sz w:val="20"/>
                <w:szCs w:val="20"/>
                <w:color w:val="auto"/>
              </w:rPr>
            </w:pPr>
            <w:r>
              <w:rPr>
                <w:rFonts w:ascii="Arial" w:cs="Arial" w:eastAsia="Arial" w:hAnsi="Arial"/>
                <w:sz w:val="18"/>
                <w:szCs w:val="18"/>
                <w:color w:val="auto"/>
              </w:rPr>
              <w:t>DESTINATION XL GROUP, INC.</w:t>
            </w:r>
          </w:p>
        </w:tc>
      </w:tr>
      <w:tr>
        <w:trPr>
          <w:trHeight w:val="432"/>
        </w:trPr>
        <w:tc>
          <w:tcPr>
            <w:tcW w:w="3640" w:type="dxa"/>
            <w:vAlign w:val="bottom"/>
          </w:tcPr>
          <w:p>
            <w:pPr>
              <w:spacing w:after="0"/>
              <w:rPr>
                <w:sz w:val="24"/>
                <w:szCs w:val="24"/>
                <w:color w:val="auto"/>
              </w:rPr>
            </w:pPr>
          </w:p>
        </w:tc>
        <w:tc>
          <w:tcPr>
            <w:tcW w:w="2760" w:type="dxa"/>
            <w:vAlign w:val="bottom"/>
          </w:tcPr>
          <w:p>
            <w:pPr>
              <w:ind w:left="218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S. Molloy</w:t>
            </w:r>
          </w:p>
        </w:tc>
      </w:tr>
      <w:tr>
        <w:trPr>
          <w:trHeight w:val="209"/>
        </w:trPr>
        <w:tc>
          <w:tcPr>
            <w:tcW w:w="3640" w:type="dxa"/>
            <w:vAlign w:val="bottom"/>
          </w:tcPr>
          <w:p>
            <w:pPr>
              <w:spacing w:after="0"/>
              <w:rPr>
                <w:sz w:val="20"/>
                <w:szCs w:val="20"/>
                <w:color w:val="auto"/>
              </w:rPr>
            </w:pPr>
            <w:r>
              <w:rPr>
                <w:rFonts w:ascii="Arial" w:cs="Arial" w:eastAsia="Arial" w:hAnsi="Arial"/>
                <w:sz w:val="18"/>
                <w:szCs w:val="18"/>
                <w:color w:val="auto"/>
              </w:rPr>
              <w:t>Date: May 29, 2014</w:t>
            </w:r>
          </w:p>
        </w:tc>
        <w:tc>
          <w:tcPr>
            <w:tcW w:w="2760" w:type="dxa"/>
            <w:vAlign w:val="bottom"/>
          </w:tcPr>
          <w:p>
            <w:pPr>
              <w:ind w:left="218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Robert S. Molloy</w:t>
            </w:r>
          </w:p>
        </w:tc>
      </w:tr>
      <w:tr>
        <w:trPr>
          <w:trHeight w:val="230"/>
        </w:trPr>
        <w:tc>
          <w:tcPr>
            <w:tcW w:w="3640" w:type="dxa"/>
            <w:vAlign w:val="bottom"/>
          </w:tcPr>
          <w:p>
            <w:pPr>
              <w:spacing w:after="0"/>
              <w:rPr>
                <w:sz w:val="20"/>
                <w:szCs w:val="20"/>
                <w:color w:val="auto"/>
              </w:rPr>
            </w:pPr>
          </w:p>
        </w:tc>
        <w:tc>
          <w:tcPr>
            <w:tcW w:w="2760" w:type="dxa"/>
            <w:vAlign w:val="bottom"/>
          </w:tcPr>
          <w:p>
            <w:pPr>
              <w:ind w:left="218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Senior Vice President, General Counsel and Secretary</w:t>
            </w:r>
          </w:p>
        </w:tc>
      </w:tr>
    </w:tbl>
    <w:p>
      <w:pPr>
        <w:sectPr>
          <w:pgSz w:w="11900" w:h="16838" w:orient="portrait"/>
          <w:cols w:equalWidth="0" w:num="1">
            <w:col w:w="11420"/>
          </w:cols>
          <w:pgMar w:left="240" w:top="27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 EMPLOYMENT AGREEMENT</w:t>
      </w:r>
    </w:p>
    <w:p>
      <w:pPr>
        <w:spacing w:after="0" w:line="229"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This Amended and Restated Employment Agreement (“Agreement”) is made effective as of June 1, 2014 between DESTINATION XL GROUP, INC., a Delaware corporation with an office at 555 Turnpike Street, Canton, Massachusetts, 02021 (the “Company” which term includes any affiliates and subsidiaries), and Peter H. Stratton, Jr. (the “Executive”) having an address at 59 Marshall Avenue, Mansfield, MA 02048.</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WHEREAS, the Company desires that Executive serve as Senior Vice President, Chief Financial Officer and Treasurer and Executive desires to be so employed by the Company.</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WHEREAS, Executive and the Company desire to set forth in writing the terms and conditions of the Executive’s employment with the Company from the date hereof.</w:t>
      </w:r>
    </w:p>
    <w:p>
      <w:pPr>
        <w:spacing w:after="0" w:line="170"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NOW, THEREFORE, in consideration of the promises and the mutual promises, representations and covenants herein contained, the parties hereto agree as follows:</w:t>
      </w:r>
    </w:p>
    <w:p>
      <w:pPr>
        <w:spacing w:after="0" w:line="62" w:lineRule="exact"/>
        <w:rPr>
          <w:sz w:val="20"/>
          <w:szCs w:val="20"/>
          <w:color w:val="auto"/>
        </w:rPr>
      </w:pPr>
    </w:p>
    <w:p>
      <w:pPr>
        <w:ind w:left="1100" w:hanging="179"/>
        <w:spacing w:after="0"/>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EMPLOYMENT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Company hereby employs Executive and Executive hereby accepts such employment, subject to the terms and conditions herein set forth.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Executive shall hold the office of Senior Vice President, Chief Financial Officer and Treasurer.</w:t>
      </w:r>
    </w:p>
    <w:p>
      <w:pPr>
        <w:spacing w:after="0" w:line="211" w:lineRule="exact"/>
        <w:rPr>
          <w:sz w:val="20"/>
          <w:szCs w:val="20"/>
          <w:color w:val="auto"/>
        </w:rPr>
      </w:pPr>
    </w:p>
    <w:p>
      <w:pPr>
        <w:ind w:left="1100" w:hanging="179"/>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TERM</w:t>
      </w:r>
    </w:p>
    <w:p>
      <w:pPr>
        <w:spacing w:after="0" w:line="225"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The term of employment under this Agreement (the “Term of Employment”) shall begin on the date set forth above (the “Effective Date”) and shall continue until terminated by either party as hereinafter set forth.</w:t>
      </w:r>
    </w:p>
    <w:p>
      <w:pPr>
        <w:spacing w:after="0" w:line="170" w:lineRule="exact"/>
        <w:rPr>
          <w:sz w:val="20"/>
          <w:szCs w:val="20"/>
          <w:color w:val="auto"/>
        </w:rPr>
      </w:pPr>
    </w:p>
    <w:p>
      <w:pPr>
        <w:ind w:left="1100" w:hanging="179"/>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COMPENSATION</w:t>
      </w:r>
    </w:p>
    <w:p>
      <w:pPr>
        <w:spacing w:after="0" w:line="225" w:lineRule="exact"/>
        <w:rPr>
          <w:sz w:val="20"/>
          <w:szCs w:val="20"/>
          <w:color w:val="auto"/>
        </w:rPr>
      </w:pPr>
    </w:p>
    <w:p>
      <w:pPr>
        <w:ind w:right="140" w:firstLine="921"/>
        <w:spacing w:after="0" w:line="257" w:lineRule="auto"/>
        <w:tabs>
          <w:tab w:leader="none" w:pos="1158"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During the Term of Employment, as compensation for the employment services to be rendered by Executive hereunder, the Company agrees to pay to Executive, and Executive agrees to accept, payable in equal bi-weekly installments in accordance with Company practice, an annual base salary of Two Hundred Eighty-Five Thousand Dollars and 00/100 Cents ($285,000.00) (the “Base Salary”). The Base Salary shall be reviewed at least annually to ascertain whether, in the judgment of the Company, such Base Salary should be adjusted. If so, the adjusted Base Salary shall be adjusted for all purposes of this Agreement.</w:t>
      </w:r>
    </w:p>
    <w:p>
      <w:pPr>
        <w:spacing w:after="0" w:line="188" w:lineRule="exact"/>
        <w:rPr>
          <w:rFonts w:ascii="Arial" w:cs="Arial" w:eastAsia="Arial" w:hAnsi="Arial"/>
          <w:sz w:val="18"/>
          <w:szCs w:val="18"/>
          <w:color w:val="auto"/>
        </w:rPr>
      </w:pPr>
    </w:p>
    <w:p>
      <w:pPr>
        <w:ind w:right="20" w:firstLine="921"/>
        <w:spacing w:after="0" w:line="312" w:lineRule="auto"/>
        <w:tabs>
          <w:tab w:leader="none" w:pos="1168"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addition to the Base Salary, during the Term of Employment, Executive is eligible to participate in the Company’s Annual Incentive Plan. Such incentive shall be determined and payable in accordance with the Company’s incentive program in effect at the time, subject to change from year to year in the Company’s sole discretion. Executive will participate in the Company’s incentive program and Executive’s target bonus under such plan (if</w:t>
      </w:r>
    </w:p>
    <w:p>
      <w:pPr>
        <w:sectPr>
          <w:pgSz w:w="11900" w:h="16838" w:orient="portrait"/>
          <w:cols w:equalWidth="0" w:num="1">
            <w:col w:w="11420"/>
          </w:cols>
          <w:pgMar w:left="240" w:top="121" w:right="239" w:bottom="1440" w:gutter="0" w:footer="0" w:header="0"/>
        </w:sectPr>
      </w:pPr>
    </w:p>
    <w:bookmarkStart w:id="5" w:name="page6"/>
    <w:bookmarkEnd w:id="5"/>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individual and Company performance conditions are met) shall be 40% of Executive’s actual annual base earnings (which shall be the total Base Salary as may be paid during the fiscal year (“Base Earnings”)). The actual award under the incentive program, if any, may be more or less than the target and will be based on Executive’s performance and the performance of the Company and payment will be made in accordance with and subject to the terms and conditions of the incentive program then in effect.</w:t>
      </w:r>
    </w:p>
    <w:p>
      <w:pPr>
        <w:spacing w:after="0" w:line="187" w:lineRule="exact"/>
        <w:rPr>
          <w:sz w:val="20"/>
          <w:szCs w:val="20"/>
          <w:color w:val="auto"/>
        </w:rPr>
      </w:pPr>
    </w:p>
    <w:p>
      <w:pPr>
        <w:ind w:right="100" w:firstLine="921"/>
        <w:spacing w:after="0" w:line="257" w:lineRule="auto"/>
        <w:tabs>
          <w:tab w:leader="none" w:pos="1158"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addition, during the Term of Employment, Executive is eligible to participate in the Company’s Long Term Incentive Plan (“LTIP”). Such incentive shall be determined and distributable in accordance with and subject to the terms and conditions as described in the LTIP documents in effect at the time of the award, subject to change from year to year in the Compensation Committee’s sole discretion. Executive will participate in the Company’s LTIP at a target incentive rate of 70%, of Executive’s combined actual annual Base Earnings, for the incentive period, based upon the Company’s targeted performance as defined in the LTIP documents in effect at the time of the award.</w:t>
      </w:r>
    </w:p>
    <w:p>
      <w:pPr>
        <w:spacing w:after="0" w:line="188" w:lineRule="exact"/>
        <w:rPr>
          <w:sz w:val="20"/>
          <w:szCs w:val="20"/>
          <w:color w:val="auto"/>
        </w:rPr>
      </w:pPr>
    </w:p>
    <w:p>
      <w:pPr>
        <w:ind w:left="1100" w:hanging="179"/>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EXPENSES</w:t>
      </w:r>
    </w:p>
    <w:p>
      <w:pPr>
        <w:spacing w:after="0" w:line="225" w:lineRule="exact"/>
        <w:rPr>
          <w:sz w:val="20"/>
          <w:szCs w:val="20"/>
          <w:color w:val="auto"/>
        </w:rPr>
      </w:pPr>
    </w:p>
    <w:p>
      <w:pPr>
        <w:ind w:right="20" w:firstLine="913"/>
        <w:spacing w:after="0" w:line="302" w:lineRule="auto"/>
        <w:rPr>
          <w:sz w:val="20"/>
          <w:szCs w:val="20"/>
          <w:color w:val="auto"/>
        </w:rPr>
      </w:pPr>
      <w:r>
        <w:rPr>
          <w:rFonts w:ascii="Arial" w:cs="Arial" w:eastAsia="Arial" w:hAnsi="Arial"/>
          <w:sz w:val="16"/>
          <w:szCs w:val="16"/>
          <w:color w:val="auto"/>
        </w:rPr>
        <w:t>The Company shall pay or reimburse Executive, in accordance with the Company’s policies and procedures and upon presentment of suitable vouchers, for all reasonable business and travel expenses, which may be incurred or paid by Executive during the Term of Employment in connection with his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spacing w:after="0" w:line="154" w:lineRule="exact"/>
        <w:rPr>
          <w:sz w:val="20"/>
          <w:szCs w:val="20"/>
          <w:color w:val="auto"/>
        </w:rPr>
      </w:pPr>
    </w:p>
    <w:p>
      <w:pPr>
        <w:ind w:left="1100" w:hanging="179"/>
        <w:spacing w:after="0"/>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OTHER BENEFITS</w:t>
      </w:r>
    </w:p>
    <w:p>
      <w:pPr>
        <w:spacing w:after="0" w:line="225" w:lineRule="exact"/>
        <w:rPr>
          <w:sz w:val="20"/>
          <w:szCs w:val="20"/>
          <w:color w:val="auto"/>
        </w:rPr>
      </w:pPr>
    </w:p>
    <w:p>
      <w:pPr>
        <w:ind w:right="40" w:firstLine="921"/>
        <w:spacing w:after="0" w:line="302" w:lineRule="auto"/>
        <w:tabs>
          <w:tab w:leader="none" w:pos="1158" w:val="left"/>
        </w:tabs>
        <w:numPr>
          <w:ilvl w:val="0"/>
          <w:numId w:val="9"/>
        </w:numPr>
        <w:rPr>
          <w:rFonts w:ascii="Arial" w:cs="Arial" w:eastAsia="Arial" w:hAnsi="Arial"/>
          <w:sz w:val="16"/>
          <w:szCs w:val="16"/>
          <w:color w:val="auto"/>
        </w:rPr>
      </w:pPr>
      <w:r>
        <w:rPr>
          <w:rFonts w:ascii="Arial" w:cs="Arial" w:eastAsia="Arial" w:hAnsi="Arial"/>
          <w:sz w:val="16"/>
          <w:szCs w:val="16"/>
          <w:color w:val="auto"/>
        </w:rPr>
        <w:t>During the Term of Employment, Executive shall be entitled to such vacations and to participate in and receive any other benefits customarily provided by the Company to its management (including any profit sharing, pension, 401(k), short and long-term disability insurance, medical and dental insurance and group life insurance plans in accordance with and subject to the terms of such plans, including, without limitation, any eligibility requirements contained therein), all as determined from time to time by the Compensation Committee of the Board of Directors in its discretion.</w:t>
      </w:r>
    </w:p>
    <w:p>
      <w:pPr>
        <w:spacing w:after="0" w:line="154" w:lineRule="exact"/>
        <w:rPr>
          <w:rFonts w:ascii="Arial" w:cs="Arial" w:eastAsia="Arial" w:hAnsi="Arial"/>
          <w:sz w:val="16"/>
          <w:szCs w:val="16"/>
          <w:color w:val="auto"/>
        </w:rPr>
      </w:pPr>
    </w:p>
    <w:p>
      <w:pPr>
        <w:jc w:val="both"/>
        <w:ind w:right="80" w:firstLine="921"/>
        <w:spacing w:after="0" w:line="279" w:lineRule="auto"/>
        <w:tabs>
          <w:tab w:leader="none" w:pos="1168"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Company will, during the Term of Employment, provide Executive with an automobile allowance in the total amount of Eight Thousand Four Hundred Dollars and 00/100 ($8,400.00) annually, in equal bi-weekly payments in accordance with the Company’s normal payroll practices. Executive shall pay and be responsible for all insurance, repairs and maintenance costs associated with operating the automobile. Executive is responsible for his gasoline, unless the gasoline expense is reimbursable under the Company’s policies and procedures.</w:t>
      </w:r>
    </w:p>
    <w:p>
      <w:pPr>
        <w:spacing w:after="0" w:line="171" w:lineRule="exact"/>
        <w:rPr>
          <w:rFonts w:ascii="Arial" w:cs="Arial" w:eastAsia="Arial" w:hAnsi="Arial"/>
          <w:sz w:val="17"/>
          <w:szCs w:val="17"/>
          <w:color w:val="auto"/>
        </w:rPr>
      </w:pPr>
    </w:p>
    <w:p>
      <w:pPr>
        <w:ind w:left="1160" w:hanging="239"/>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Executive will be eligible to participate in the Company’s annual performance appraisal process.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6" w:name="page7"/>
    <w:bookmarkEnd w:id="6"/>
    <w:p>
      <w:pPr>
        <w:ind w:left="1060" w:hanging="179"/>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DUTIES</w:t>
      </w:r>
    </w:p>
    <w:p>
      <w:pPr>
        <w:spacing w:after="0" w:line="225" w:lineRule="exact"/>
        <w:rPr>
          <w:sz w:val="20"/>
          <w:szCs w:val="20"/>
          <w:color w:val="auto"/>
        </w:rPr>
      </w:pPr>
    </w:p>
    <w:p>
      <w:pPr>
        <w:ind w:left="-40" w:firstLine="921"/>
        <w:spacing w:after="0" w:line="264" w:lineRule="auto"/>
        <w:tabs>
          <w:tab w:leader="none" w:pos="1118"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Executive shall perform such duties and functions consistent with the position of Senior Vice President, Chief Financial Officer and Treasurer and/or as the Company shall from time to time determine and Executive shall comply in the performance of his duties with the policies of, and be subject to the direction of the Company.</w:t>
      </w:r>
    </w:p>
    <w:p>
      <w:pPr>
        <w:spacing w:after="0" w:line="181" w:lineRule="exact"/>
        <w:rPr>
          <w:rFonts w:ascii="Arial" w:cs="Arial" w:eastAsia="Arial" w:hAnsi="Arial"/>
          <w:sz w:val="18"/>
          <w:szCs w:val="18"/>
          <w:color w:val="auto"/>
        </w:rPr>
      </w:pPr>
    </w:p>
    <w:p>
      <w:pPr>
        <w:ind w:left="-40" w:right="20" w:firstLine="921"/>
        <w:spacing w:after="0" w:line="302" w:lineRule="auto"/>
        <w:tabs>
          <w:tab w:leader="none" w:pos="1128" w:val="left"/>
        </w:tabs>
        <w:numPr>
          <w:ilvl w:val="0"/>
          <w:numId w:val="11"/>
        </w:numPr>
        <w:rPr>
          <w:rFonts w:ascii="Arial" w:cs="Arial" w:eastAsia="Arial" w:hAnsi="Arial"/>
          <w:sz w:val="16"/>
          <w:szCs w:val="16"/>
          <w:color w:val="auto"/>
        </w:rPr>
      </w:pPr>
      <w:r>
        <w:rPr>
          <w:rFonts w:ascii="Arial" w:cs="Arial" w:eastAsia="Arial" w:hAnsi="Arial"/>
          <w:sz w:val="16"/>
          <w:szCs w:val="16"/>
          <w:color w:val="auto"/>
        </w:rPr>
        <w:t>During the Term of Employment, Executive shall devote substantially all of his time and attention, vacation time and absences for sickness excepted, to the business of the Company, as necessary to fulfill his duties. Executive shall perform the duties assigned to him with fidelity and to the best of his ability. Notwithstanding anything herein to the contrary, and subject to the foregoing, Executive shall not be prevented from accepting positions in outside organizations so long as such activities do not interfere with Executive’s performance of his duties hereunder and do not violate paragraph 10 hereof.</w:t>
      </w:r>
    </w:p>
    <w:p>
      <w:pPr>
        <w:spacing w:after="0" w:line="154" w:lineRule="exact"/>
        <w:rPr>
          <w:rFonts w:ascii="Arial" w:cs="Arial" w:eastAsia="Arial" w:hAnsi="Arial"/>
          <w:sz w:val="16"/>
          <w:szCs w:val="16"/>
          <w:color w:val="auto"/>
        </w:rPr>
      </w:pPr>
    </w:p>
    <w:p>
      <w:pPr>
        <w:jc w:val="both"/>
        <w:ind w:left="-40" w:right="20" w:firstLine="921"/>
        <w:spacing w:after="0" w:line="259" w:lineRule="auto"/>
        <w:tabs>
          <w:tab w:leader="none" w:pos="111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principal location at which the Executive shall perform his duties hereunder shall be at the Company’s offices in Canton, Massachusetts or at such other location as may be temporarily designated from time to time by the Company. Notwithstanding the foregoing, Executive shall perform such services at such other locations as may be required for the proper performance of his duties hereunder, and Executive recognizes that such duties may involve travel.</w:t>
      </w:r>
    </w:p>
    <w:p>
      <w:pPr>
        <w:spacing w:after="0" w:line="187" w:lineRule="exact"/>
        <w:rPr>
          <w:sz w:val="20"/>
          <w:szCs w:val="20"/>
          <w:color w:val="auto"/>
        </w:rPr>
      </w:pPr>
    </w:p>
    <w:p>
      <w:pPr>
        <w:ind w:left="1060" w:hanging="179"/>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EFFECT OF TERMINATION</w:t>
      </w:r>
    </w:p>
    <w:p>
      <w:pPr>
        <w:spacing w:after="0" w:line="225" w:lineRule="exact"/>
        <w:rPr>
          <w:sz w:val="20"/>
          <w:szCs w:val="20"/>
          <w:color w:val="auto"/>
        </w:rPr>
      </w:pPr>
    </w:p>
    <w:p>
      <w:pPr>
        <w:ind w:left="1120" w:hanging="239"/>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Term of Employment may be terminated by the Company at any time:</w:t>
      </w:r>
    </w:p>
    <w:p>
      <w:pPr>
        <w:spacing w:after="0" w:line="117" w:lineRule="exact"/>
        <w:rPr>
          <w:rFonts w:ascii="Arial" w:cs="Arial" w:eastAsia="Arial" w:hAnsi="Arial"/>
          <w:sz w:val="18"/>
          <w:szCs w:val="18"/>
          <w:color w:val="auto"/>
        </w:rPr>
      </w:pPr>
    </w:p>
    <w:p>
      <w:pPr>
        <w:ind w:left="-40" w:right="40" w:firstLine="1492"/>
        <w:spacing w:after="0" w:line="264" w:lineRule="auto"/>
        <w:tabs>
          <w:tab w:leader="none" w:pos="1658" w:val="left"/>
        </w:tabs>
        <w:numPr>
          <w:ilvl w:val="1"/>
          <w:numId w:val="13"/>
        </w:numPr>
        <w:rPr>
          <w:rFonts w:ascii="Arial" w:cs="Arial" w:eastAsia="Arial" w:hAnsi="Arial"/>
          <w:sz w:val="18"/>
          <w:szCs w:val="18"/>
          <w:color w:val="auto"/>
        </w:rPr>
      </w:pPr>
      <w:r>
        <w:rPr>
          <w:rFonts w:ascii="Arial" w:cs="Arial" w:eastAsia="Arial" w:hAnsi="Arial"/>
          <w:sz w:val="18"/>
          <w:szCs w:val="18"/>
          <w:color w:val="auto"/>
        </w:rPr>
        <w:t>upon the determination by the Company that Executive’s performance of his duties has not been fully satisfactory for any reason which would not constitute justifiable cause (as hereinafter defined) or for other business reasons necessitating termination which do not constitute justifiable cause, in either case upon thirty (30) days’ prior written notice to Executive; or</w:t>
      </w:r>
    </w:p>
    <w:p>
      <w:pPr>
        <w:spacing w:after="0" w:line="181" w:lineRule="exact"/>
        <w:rPr>
          <w:rFonts w:ascii="Arial" w:cs="Arial" w:eastAsia="Arial" w:hAnsi="Arial"/>
          <w:sz w:val="18"/>
          <w:szCs w:val="18"/>
          <w:color w:val="auto"/>
        </w:rPr>
      </w:pPr>
    </w:p>
    <w:p>
      <w:pPr>
        <w:ind w:left="1720" w:hanging="268"/>
        <w:spacing w:after="0"/>
        <w:tabs>
          <w:tab w:leader="none" w:pos="17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upon the determination of the Company that there is justifiable cause (as hereinafter defined) for such termination.</w:t>
      </w:r>
    </w:p>
    <w:p>
      <w:pPr>
        <w:spacing w:after="0" w:line="225" w:lineRule="exact"/>
        <w:rPr>
          <w:rFonts w:ascii="Arial" w:cs="Arial" w:eastAsia="Arial" w:hAnsi="Arial"/>
          <w:sz w:val="18"/>
          <w:szCs w:val="18"/>
          <w:color w:val="auto"/>
        </w:rPr>
      </w:pPr>
    </w:p>
    <w:p>
      <w:pPr>
        <w:ind w:left="1140" w:hanging="259"/>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Term of Employment shall terminate upon:</w:t>
      </w:r>
    </w:p>
    <w:p>
      <w:pPr>
        <w:spacing w:after="0" w:line="117" w:lineRule="exact"/>
        <w:rPr>
          <w:rFonts w:ascii="Arial" w:cs="Arial" w:eastAsia="Arial" w:hAnsi="Arial"/>
          <w:sz w:val="18"/>
          <w:szCs w:val="18"/>
          <w:color w:val="auto"/>
        </w:rPr>
      </w:pPr>
    </w:p>
    <w:p>
      <w:pPr>
        <w:ind w:left="1660" w:hanging="208"/>
        <w:spacing w:after="0"/>
        <w:tabs>
          <w:tab w:leader="none" w:pos="1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death of Executive;</w:t>
      </w:r>
    </w:p>
    <w:p>
      <w:pPr>
        <w:spacing w:after="0" w:line="225" w:lineRule="exact"/>
        <w:rPr>
          <w:rFonts w:ascii="Arial" w:cs="Arial" w:eastAsia="Arial" w:hAnsi="Arial"/>
          <w:sz w:val="18"/>
          <w:szCs w:val="18"/>
          <w:color w:val="auto"/>
        </w:rPr>
      </w:pPr>
    </w:p>
    <w:p>
      <w:pPr>
        <w:ind w:left="-40" w:firstLine="1492"/>
        <w:spacing w:after="0" w:line="277" w:lineRule="auto"/>
        <w:tabs>
          <w:tab w:leader="none" w:pos="1708"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date on which the Company elects to terminate the Term of Employment by reason of the “disability” of Executive (as hereinafter defined in subsection (c) herein) pursuant to subsection (g) hereof; or</w:t>
      </w:r>
    </w:p>
    <w:p>
      <w:pPr>
        <w:spacing w:after="0" w:line="170" w:lineRule="exact"/>
        <w:rPr>
          <w:rFonts w:ascii="Arial" w:cs="Arial" w:eastAsia="Arial" w:hAnsi="Arial"/>
          <w:sz w:val="18"/>
          <w:szCs w:val="18"/>
          <w:color w:val="auto"/>
        </w:rPr>
      </w:pPr>
    </w:p>
    <w:p>
      <w:pPr>
        <w:ind w:left="1760" w:hanging="308"/>
        <w:spacing w:after="0"/>
        <w:tabs>
          <w:tab w:leader="none" w:pos="17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Executive’s resignation of employment.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80" w:top="274" w:right="279" w:bottom="1440" w:gutter="0" w:footer="0" w:header="0"/>
        </w:sectPr>
      </w:pPr>
    </w:p>
    <w:bookmarkStart w:id="7" w:name="page8"/>
    <w:bookmarkEnd w:id="7"/>
    <w:p>
      <w:pPr>
        <w:ind w:left="-20" w:right="80" w:firstLine="921"/>
        <w:spacing w:after="0" w:line="264" w:lineRule="auto"/>
        <w:tabs>
          <w:tab w:leader="none" w:pos="1138"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purposes of this Agreement, the term “disability” shall mean Executive is physically or mentally incapacitated so as to render Executive incapable of performing the essentials of Executive’s job, even with reasonable accommodation, as reasonably determined by the Company, which determination shall be final and binding.</w:t>
      </w:r>
    </w:p>
    <w:p>
      <w:pPr>
        <w:spacing w:after="0" w:line="181" w:lineRule="exact"/>
        <w:rPr>
          <w:rFonts w:ascii="Arial" w:cs="Arial" w:eastAsia="Arial" w:hAnsi="Arial"/>
          <w:sz w:val="18"/>
          <w:szCs w:val="18"/>
          <w:color w:val="auto"/>
        </w:rPr>
      </w:pPr>
    </w:p>
    <w:p>
      <w:pPr>
        <w:ind w:left="-20" w:firstLine="921"/>
        <w:spacing w:after="0" w:line="288" w:lineRule="auto"/>
        <w:tabs>
          <w:tab w:leader="none" w:pos="1148" w:val="left"/>
        </w:tabs>
        <w:numPr>
          <w:ilvl w:val="0"/>
          <w:numId w:val="14"/>
        </w:numPr>
        <w:rPr>
          <w:rFonts w:ascii="Arial" w:cs="Arial" w:eastAsia="Arial" w:hAnsi="Arial"/>
          <w:sz w:val="16"/>
          <w:szCs w:val="16"/>
          <w:color w:val="auto"/>
        </w:rPr>
      </w:pPr>
      <w:r>
        <w:rPr>
          <w:rFonts w:ascii="Arial" w:cs="Arial" w:eastAsia="Arial" w:hAnsi="Arial"/>
          <w:sz w:val="16"/>
          <w:szCs w:val="16"/>
          <w:color w:val="auto"/>
        </w:rPr>
        <w:t>For the purposes hereof, the term “justifiable cause” shall mean: any failure or refusal to perform any of the duties pursuant to this Agreement or any breach of this Agreement by the Executive; Executive’s breach of any material written policies, rules or regulations which have been adopted by the Company; Executive’s repeated failure to perform his duties in a satisfactory manner; Executive’s performance of any act or his failure to act, as to which if 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interferes with the performance of his duties hereunder. Upon termination of Executive’s employment for justifiable cause, Executive shall not be entitled to any amounts or benefits hereunder other than such portion of Executive’s Base Salary and reimbursement of expenses pursuant to paragraph 5 hereof as have been accrued through the date of his termination of employment.</w:t>
      </w:r>
    </w:p>
    <w:p>
      <w:pPr>
        <w:spacing w:after="0" w:line="169" w:lineRule="exact"/>
        <w:rPr>
          <w:rFonts w:ascii="Arial" w:cs="Arial" w:eastAsia="Arial" w:hAnsi="Arial"/>
          <w:sz w:val="16"/>
          <w:szCs w:val="16"/>
          <w:color w:val="auto"/>
        </w:rPr>
      </w:pPr>
    </w:p>
    <w:p>
      <w:pPr>
        <w:ind w:left="-20" w:right="40" w:firstLine="921"/>
        <w:spacing w:after="0" w:line="271" w:lineRule="auto"/>
        <w:tabs>
          <w:tab w:leader="none" w:pos="1138"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the Company terminates this Agreement without “justifiable cause” as provided in subsection 7(a)(i), the Company shall pay Executive his then current base salary for five months after the effectiveness of such termination, payable in equal payments in accordance with the Company’s customary payroll practices commencing with the first payroll period that begins at least 30 days after the termination of the Executive’s Term of Employment conditioned upon the Executive having provided the Company with an executed general release in the form attached hereto as Exhibit A (the “General Release”) and the time for Executive’s revocation of the General Release having expired. Such payments shall be made in accordance with the Company’s customary payroll practices until paid in full. Any payment pursuant to this paragraph 7(e) is contingent upon Executive’s execution of the General Release within 21 days after termination of the Term of Employment (and the Executive’s not revoking that General Release) and will be in lieu of payments to which Executive might have been entitled under any other severance plan of the Company.</w:t>
      </w:r>
    </w:p>
    <w:p>
      <w:pPr>
        <w:spacing w:after="0" w:line="178" w:lineRule="exact"/>
        <w:rPr>
          <w:rFonts w:ascii="Arial" w:cs="Arial" w:eastAsia="Arial" w:hAnsi="Arial"/>
          <w:sz w:val="17"/>
          <w:szCs w:val="17"/>
          <w:color w:val="auto"/>
        </w:rPr>
      </w:pPr>
    </w:p>
    <w:p>
      <w:pPr>
        <w:ind w:left="-20" w:right="200" w:firstLine="921"/>
        <w:spacing w:after="0" w:line="264" w:lineRule="auto"/>
        <w:tabs>
          <w:tab w:leader="none" w:pos="1118"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Executive shall die during the term of his employment hereunder, this Agreement shall terminate immediately. In such event, the estate of Executive shall thereupon be entitled to receive such portion of Executive’s base annual salary and reimbursement of expenses pursuant to paragraph 4 as have been accrued through the date of his death.</w:t>
      </w:r>
    </w:p>
    <w:p>
      <w:pPr>
        <w:spacing w:after="0" w:line="181" w:lineRule="exact"/>
        <w:rPr>
          <w:rFonts w:ascii="Arial" w:cs="Arial" w:eastAsia="Arial" w:hAnsi="Arial"/>
          <w:sz w:val="18"/>
          <w:szCs w:val="18"/>
          <w:color w:val="auto"/>
        </w:rPr>
      </w:pPr>
    </w:p>
    <w:p>
      <w:pPr>
        <w:ind w:left="-20" w:right="300" w:firstLine="921"/>
        <w:spacing w:after="0" w:line="259" w:lineRule="auto"/>
        <w:tabs>
          <w:tab w:leader="none" w:pos="11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Upon Executive’s “disability”, the Company shall have the right to terminate Executive’s employment. Any termination pursuant to this subsection (g) shall be effective on the earlier of (i) the date 30 days after which Executive shall have received written notice of the Company’s election to terminate or (ii) the date he begins to receive long-term disability insurance benefits under the policy provided by the Company pursuant to paragraph 5 hereof.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60" w:top="274" w:right="239" w:bottom="1440" w:gutter="0" w:footer="0" w:header="0"/>
        </w:sectPr>
      </w:pPr>
    </w:p>
    <w:bookmarkStart w:id="8" w:name="page9"/>
    <w:bookmarkEnd w:id="8"/>
    <w:p>
      <w:pPr>
        <w:ind w:left="-8" w:right="360" w:firstLine="921"/>
        <w:spacing w:after="0" w:line="259" w:lineRule="auto"/>
        <w:tabs>
          <w:tab w:leader="none" w:pos="1160" w:val="left"/>
        </w:tabs>
        <w:numPr>
          <w:ilvl w:val="1"/>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Upon the resignation of Executive in any capacity, that resignation will be deemed to be a resignation from all offices and positions that Executive holds with respect to the Company and any of its subsidiaries and affiliates. In the event of Executive’s resignation, he shall be entitled only to receive such portion of his annual Base Salary and reimbursement of expenses pursuant to paragraph 4 as have been accrued through the date of his resignation.</w:t>
      </w:r>
    </w:p>
    <w:p>
      <w:pPr>
        <w:spacing w:after="0" w:line="186" w:lineRule="exact"/>
        <w:rPr>
          <w:rFonts w:ascii="Arial" w:cs="Arial" w:eastAsia="Arial" w:hAnsi="Arial"/>
          <w:sz w:val="18"/>
          <w:szCs w:val="18"/>
          <w:color w:val="auto"/>
        </w:rPr>
      </w:pPr>
    </w:p>
    <w:p>
      <w:pPr>
        <w:ind w:left="-8" w:firstLine="921"/>
        <w:spacing w:after="0" w:line="284" w:lineRule="auto"/>
        <w:tabs>
          <w:tab w:leader="none" w:pos="11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 xml:space="preserve">Change of Control. In the event the Term of Employment is terminated by the Company without justifiable cause (as defined herein) or Executive resigns with Good Reason (as defined herein) within one (1) year following a Change of Control of the Company has occurred, then, in such event, the Company shall pay Executive an amount equal to twelve (12) months of Executive’s highest Base Salary in effect at any time during the six (6) month period ending on the date of the Change of Control. For the purposes of the foregoing, Change of Control shall have the meaning set forth in the Company’s 2006 Incentive Compensation Plan (without regard to any subsequent amendments thereto). For purposes of the foregoing, </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Good Reason”</w:t>
      </w:r>
      <w:r>
        <w:rPr>
          <w:rFonts w:ascii="Arial" w:cs="Arial" w:eastAsia="Arial" w:hAnsi="Arial"/>
          <w:sz w:val="16"/>
          <w:szCs w:val="16"/>
          <w:color w:val="auto"/>
        </w:rPr>
        <w:t xml:space="preserve"> means the occurrence of any of the following: (i) a material diminution in the Executive’s base compensation; (ii) a material diminution in the Executive’s authority, duties, or responsibilities; (iii) a material change in the geographic location at which the Employee must perform the services under this Agreement; or</w:t>
      </w:r>
    </w:p>
    <w:p>
      <w:pPr>
        <w:spacing w:after="0" w:line="2" w:lineRule="exact"/>
        <w:rPr>
          <w:rFonts w:ascii="Arial" w:cs="Arial" w:eastAsia="Arial" w:hAnsi="Arial"/>
          <w:sz w:val="16"/>
          <w:szCs w:val="16"/>
          <w:color w:val="auto"/>
        </w:rPr>
      </w:pPr>
    </w:p>
    <w:p>
      <w:pPr>
        <w:ind w:left="-8" w:right="120" w:firstLine="8"/>
        <w:spacing w:after="0" w:line="287" w:lineRule="auto"/>
        <w:tabs>
          <w:tab w:leader="none" w:pos="297"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any other action or inaction that constitutes a material breach by the Company of this Agreement. For purposes of this provision, Good Reason shall not be deemed to exist unless the Employee’s termination of employment for Good Reason occurs within 2 years following the initial existence of one of the conditions specified in clauses (i) through (iv) above, the Employee provides the Company with written notice of the existence of such condition within 90 days after the initial existence of the condition, and the Company fails to remedy the condition within 30 days after its receipt of such notice. The Company shall pay the amount required under this paragraph 7(i) in a single payment thirty (30) days after termination of the Term of Employment, subject to and conditioned upon the Executive’s execution of the General Release required pursuant to paragraph 7(k) hereof and such release becoming irrevocable. Any payments made pursuant to this paragraph 7(j) will be in lieu of payments to which Executive might have been entitled under paragraph 7(e) of this Agreement or under any other severance plan of the Company. The payments under this Agreement shall be reduced if and to the extent necessary to avoid any payments or benefits to Executive being treated as “excess parachute payments” within the meaning of Internal Revenue Code Section 280G(b)(i).</w:t>
      </w:r>
    </w:p>
    <w:p>
      <w:pPr>
        <w:spacing w:after="0" w:line="166" w:lineRule="exact"/>
        <w:rPr>
          <w:rFonts w:ascii="Arial" w:cs="Arial" w:eastAsia="Arial" w:hAnsi="Arial"/>
          <w:sz w:val="16"/>
          <w:szCs w:val="16"/>
          <w:color w:val="auto"/>
        </w:rPr>
      </w:pPr>
    </w:p>
    <w:p>
      <w:pPr>
        <w:ind w:left="-8" w:right="560" w:firstLine="921"/>
        <w:spacing w:after="0" w:line="277" w:lineRule="auto"/>
        <w:tabs>
          <w:tab w:leader="none" w:pos="11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Clawback of Certain Compensation and Benefits. If, after the termination of the Term of Employment for any reason other than by the Company for “justifiable cause”:</w:t>
      </w:r>
    </w:p>
    <w:p>
      <w:pPr>
        <w:spacing w:after="0" w:line="62" w:lineRule="exact"/>
        <w:rPr>
          <w:rFonts w:ascii="Arial" w:cs="Arial" w:eastAsia="Arial" w:hAnsi="Arial"/>
          <w:sz w:val="18"/>
          <w:szCs w:val="18"/>
          <w:color w:val="auto"/>
        </w:rPr>
      </w:pPr>
    </w:p>
    <w:p>
      <w:pPr>
        <w:ind w:left="-8" w:right="120" w:firstLine="1492"/>
        <w:spacing w:after="0" w:line="259" w:lineRule="auto"/>
        <w:tabs>
          <w:tab w:leader="none" w:pos="1690" w:val="left"/>
        </w:tabs>
        <w:numPr>
          <w:ilvl w:val="2"/>
          <w:numId w:val="16"/>
        </w:numPr>
        <w:rPr>
          <w:rFonts w:ascii="Arial" w:cs="Arial" w:eastAsia="Arial" w:hAnsi="Arial"/>
          <w:sz w:val="18"/>
          <w:szCs w:val="18"/>
          <w:color w:val="auto"/>
        </w:rPr>
      </w:pPr>
      <w:r>
        <w:rPr>
          <w:rFonts w:ascii="Arial" w:cs="Arial" w:eastAsia="Arial" w:hAnsi="Arial"/>
          <w:sz w:val="18"/>
          <w:szCs w:val="18"/>
          <w:color w:val="auto"/>
        </w:rPr>
        <w:t>it is determined in good faith by the Company within twelve (12) months after the termination of the Term of Employment (the “Termination Date”) that the Executive’s employment could have been terminated by the Company for justifiable cause under paragraph 7(d) hereof (unless the Company knew or should have known that as of the Termination Date, the Executive’s employment could have been terminated for justifiable cause in accordance with paragraph 7(d) hereof); or</w:t>
      </w:r>
    </w:p>
    <w:p>
      <w:pPr>
        <w:spacing w:after="0" w:line="11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72"/>
          </w:cols>
          <w:pgMar w:left="248" w:top="274" w:right="279" w:bottom="1440" w:gutter="0" w:footer="0" w:header="0"/>
        </w:sectPr>
      </w:pPr>
    </w:p>
    <w:bookmarkStart w:id="9" w:name="page10"/>
    <w:bookmarkEnd w:id="9"/>
    <w:p>
      <w:pPr>
        <w:ind w:right="180" w:firstLine="1492"/>
        <w:spacing w:after="0" w:line="286" w:lineRule="auto"/>
        <w:tabs>
          <w:tab w:leader="none" w:pos="1748" w:val="left"/>
        </w:tabs>
        <w:numPr>
          <w:ilvl w:val="1"/>
          <w:numId w:val="1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Executive breaches any of the provisions of paragraph 10, then, in addition to any other remedy that may be available to the Company in law or equity and/or pursuant to any other provisions of this Agreement, the Executive’s employment shall be deemed to have been terminated for justifiable cause retroactively to the Termination Date and the Executive also shall be subject to the following provisions:</w:t>
      </w:r>
    </w:p>
    <w:p>
      <w:pPr>
        <w:spacing w:after="0" w:line="57" w:lineRule="exact"/>
        <w:rPr>
          <w:rFonts w:ascii="Arial" w:cs="Arial" w:eastAsia="Arial" w:hAnsi="Arial"/>
          <w:sz w:val="17"/>
          <w:szCs w:val="17"/>
          <w:color w:val="auto"/>
        </w:rPr>
      </w:pPr>
    </w:p>
    <w:p>
      <w:pPr>
        <w:ind w:firstLine="1948"/>
        <w:spacing w:after="0" w:line="255" w:lineRule="auto"/>
        <w:tabs>
          <w:tab w:leader="none" w:pos="2235" w:val="left"/>
        </w:tabs>
        <w:numPr>
          <w:ilvl w:val="2"/>
          <w:numId w:val="17"/>
        </w:numPr>
        <w:rPr>
          <w:rFonts w:ascii="Arial" w:cs="Arial" w:eastAsia="Arial" w:hAnsi="Arial"/>
          <w:sz w:val="18"/>
          <w:szCs w:val="18"/>
          <w:color w:val="auto"/>
        </w:rPr>
      </w:pPr>
      <w:r>
        <w:rPr>
          <w:rFonts w:ascii="Arial" w:cs="Arial" w:eastAsia="Arial" w:hAnsi="Arial"/>
          <w:sz w:val="18"/>
          <w:szCs w:val="18"/>
          <w:color w:val="auto"/>
        </w:rPr>
        <w:t>the Executive shall be required to pay to the Company, immediately upon written demand by the Company, all amounts paid to Executive by the Company, whether or not pursuant to this Agreement (other than such portion of Executive’s Base Salary and reimbursement of expenses pursuant to paragraph 4 hereof as have been accrued through the date of the termination of the Term of Employment), on or after the Termination Date (including the pre-tax cost to the Company of any benefits that are in excess of the total amount that the Company would have been required to pay to the Executive if the Executive’s employment with the Company had been terminated by the Company for justifiable cause in accordance with paragraph 7(d) above);</w:t>
      </w:r>
    </w:p>
    <w:p>
      <w:pPr>
        <w:spacing w:after="0" w:line="193" w:lineRule="exact"/>
        <w:rPr>
          <w:rFonts w:ascii="Arial" w:cs="Arial" w:eastAsia="Arial" w:hAnsi="Arial"/>
          <w:sz w:val="18"/>
          <w:szCs w:val="18"/>
          <w:color w:val="auto"/>
        </w:rPr>
      </w:pPr>
    </w:p>
    <w:p>
      <w:pPr>
        <w:ind w:left="2240" w:hanging="292"/>
        <w:spacing w:after="0"/>
        <w:tabs>
          <w:tab w:leader="none" w:pos="2240" w:val="left"/>
        </w:tabs>
        <w:numPr>
          <w:ilvl w:val="2"/>
          <w:numId w:val="17"/>
        </w:numPr>
        <w:rPr>
          <w:rFonts w:ascii="Arial" w:cs="Arial" w:eastAsia="Arial" w:hAnsi="Arial"/>
          <w:sz w:val="16"/>
          <w:szCs w:val="16"/>
          <w:color w:val="auto"/>
        </w:rPr>
      </w:pPr>
      <w:r>
        <w:rPr>
          <w:rFonts w:ascii="Arial" w:cs="Arial" w:eastAsia="Arial" w:hAnsi="Arial"/>
          <w:sz w:val="16"/>
          <w:szCs w:val="16"/>
          <w:color w:val="auto"/>
        </w:rPr>
        <w:t>all vested and unvested Awards (as that term is defined in the 2006 Incentive Compensation Plan) then held by the Executive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shall immediately expire; and</w:t>
      </w:r>
    </w:p>
    <w:p>
      <w:pPr>
        <w:spacing w:after="0" w:line="210" w:lineRule="exact"/>
        <w:rPr>
          <w:rFonts w:ascii="Arial" w:cs="Arial" w:eastAsia="Arial" w:hAnsi="Arial"/>
          <w:sz w:val="16"/>
          <w:szCs w:val="16"/>
          <w:color w:val="auto"/>
        </w:rPr>
      </w:pPr>
    </w:p>
    <w:p>
      <w:pPr>
        <w:ind w:right="20" w:firstLine="1948"/>
        <w:spacing w:after="0" w:line="271" w:lineRule="auto"/>
        <w:tabs>
          <w:tab w:leader="none" w:pos="2225" w:val="left"/>
        </w:tabs>
        <w:numPr>
          <w:ilvl w:val="2"/>
          <w:numId w:val="17"/>
        </w:numPr>
        <w:rPr>
          <w:rFonts w:ascii="Arial" w:cs="Arial" w:eastAsia="Arial" w:hAnsi="Arial"/>
          <w:sz w:val="17"/>
          <w:szCs w:val="17"/>
          <w:color w:val="auto"/>
        </w:rPr>
      </w:pPr>
      <w:r>
        <w:rPr>
          <w:rFonts w:ascii="Arial" w:cs="Arial" w:eastAsia="Arial" w:hAnsi="Arial"/>
          <w:sz w:val="17"/>
          <w:szCs w:val="17"/>
          <w:color w:val="auto"/>
        </w:rPr>
        <w:t>the Executive shall be required to pay to the Company, immediately upon written demand by the Company, an amount equal to any Gains resulting from the exercise or payment of any Awards (as that term is defined in the 2006 Incentive Compensation Plan) at any time on or after, or during the one year period prior to, the Termination Date. For these purposes, the term “Gain” shall mean (i) in the case of each stock option or stock appreciation right (“SAR”), the difference between the fair market value per share of the Company’s common stock underlying such option or SAR as of the date on which the Executive exercised the option or SAR, less the exercise price or grant price of the option or SAR; and (ii) in the case of any Award other than a stock option or SAR that is satisfied by the issuance of Common Stock of the Company, the value of such stock on the Termination Date, and (iii) in the case of any Award other than a stock option or SAR, that is satisfied in cash or any property other than Common Stock of the Company, the amount of cash and the value of the property on the payment date paid to satisfy the Award.</w:t>
      </w:r>
    </w:p>
    <w:p>
      <w:pPr>
        <w:spacing w:after="0" w:line="178" w:lineRule="exact"/>
        <w:rPr>
          <w:rFonts w:ascii="Arial" w:cs="Arial" w:eastAsia="Arial" w:hAnsi="Arial"/>
          <w:sz w:val="17"/>
          <w:szCs w:val="17"/>
          <w:color w:val="auto"/>
        </w:rPr>
      </w:pPr>
    </w:p>
    <w:p>
      <w:pPr>
        <w:ind w:right="200" w:firstLine="921"/>
        <w:spacing w:after="0" w:line="277" w:lineRule="auto"/>
        <w:tabs>
          <w:tab w:leader="none" w:pos="1168"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payment pursuant to paragraph 7(e) or 7(j) shall be contingent upon Executive’s execution of the General Release within 21 days after termination of the Term of Employment, and the Executive’s not revoking that release.</w:t>
      </w:r>
    </w:p>
    <w:p>
      <w:pPr>
        <w:spacing w:after="0" w:line="170" w:lineRule="exact"/>
        <w:rPr>
          <w:sz w:val="20"/>
          <w:szCs w:val="20"/>
          <w:color w:val="auto"/>
        </w:rPr>
      </w:pPr>
    </w:p>
    <w:p>
      <w:pPr>
        <w:ind w:left="1100" w:hanging="179"/>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COMPLIANCE WITH SECTION 409A</w:t>
      </w:r>
    </w:p>
    <w:p>
      <w:pPr>
        <w:spacing w:after="0" w:line="225" w:lineRule="exact"/>
        <w:rPr>
          <w:sz w:val="20"/>
          <w:szCs w:val="20"/>
          <w:color w:val="auto"/>
        </w:rPr>
      </w:pPr>
    </w:p>
    <w:p>
      <w:pPr>
        <w:ind w:right="540" w:firstLine="921"/>
        <w:spacing w:after="0" w:line="308" w:lineRule="auto"/>
        <w:tabs>
          <w:tab w:leader="none" w:pos="1158" w:val="left"/>
        </w:tabs>
        <w:numPr>
          <w:ilvl w:val="0"/>
          <w:numId w:val="20"/>
        </w:numPr>
        <w:rPr>
          <w:rFonts w:ascii="Arial" w:cs="Arial" w:eastAsia="Arial" w:hAnsi="Arial"/>
          <w:sz w:val="17"/>
          <w:szCs w:val="17"/>
          <w:color w:val="auto"/>
        </w:rPr>
      </w:pPr>
      <w:r>
        <w:rPr>
          <w:rFonts w:ascii="Arial" w:cs="Arial" w:eastAsia="Arial" w:hAnsi="Arial"/>
          <w:sz w:val="17"/>
          <w:szCs w:val="17"/>
          <w:color w:val="auto"/>
        </w:rPr>
        <w:t>General. It is the intention of both the Company and the Executive that the benefits and rights to which the Executive could be entitled pursuant to this Agreement comply with Section 409A of the Code and the Treasury Regulations and other guidance promulgated or</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0" w:name="page11"/>
    <w:bookmarkEnd w:id="10"/>
    <w:p>
      <w:pPr>
        <w:ind w:right="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issued thereunder (“Section 409A”), to the extent that the requirements of Section 409A are applicable thereto, and the provisions of this Agreement shall be construed in a manner consistent with that intention. If the Executive or the Company believes, at any time, that any such benefit or right that is subject to Section 409A does not so comply, it shall promptly advise the other and shall negotiate reasonably and in good faith to amend the timing of such benefits and rights such that they comply with Section 409A (with the most limited possible economic effect on the Executive).</w:t>
      </w:r>
    </w:p>
    <w:p>
      <w:pPr>
        <w:spacing w:after="0" w:line="171" w:lineRule="exact"/>
        <w:rPr>
          <w:sz w:val="20"/>
          <w:szCs w:val="20"/>
          <w:color w:val="auto"/>
        </w:rPr>
      </w:pPr>
    </w:p>
    <w:p>
      <w:pPr>
        <w:ind w:right="420" w:firstLine="921"/>
        <w:spacing w:after="0" w:line="264" w:lineRule="auto"/>
        <w:tabs>
          <w:tab w:leader="none" w:pos="1168"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Distributions on Account of Separation from Service. If and to the extent required to comply with Section 409A, no payment or benefit required to be paid under this Agreement on account of termination of the Executive’s employment shall be made unless and until the Executive incurs a “separation from service” within the meaning of Section 409A.</w:t>
      </w:r>
    </w:p>
    <w:p>
      <w:pPr>
        <w:spacing w:after="0" w:line="181" w:lineRule="exact"/>
        <w:rPr>
          <w:rFonts w:ascii="Arial" w:cs="Arial" w:eastAsia="Arial" w:hAnsi="Arial"/>
          <w:sz w:val="18"/>
          <w:szCs w:val="18"/>
          <w:color w:val="auto"/>
        </w:rPr>
      </w:pPr>
    </w:p>
    <w:p>
      <w:pPr>
        <w:ind w:left="1160" w:hanging="239"/>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6 Month Delay for “Specified Employees”.</w:t>
      </w:r>
    </w:p>
    <w:p>
      <w:pPr>
        <w:spacing w:after="0" w:line="225" w:lineRule="exact"/>
        <w:rPr>
          <w:rFonts w:ascii="Arial" w:cs="Arial" w:eastAsia="Arial" w:hAnsi="Arial"/>
          <w:sz w:val="18"/>
          <w:szCs w:val="18"/>
          <w:color w:val="auto"/>
        </w:rPr>
      </w:pPr>
    </w:p>
    <w:p>
      <w:pPr>
        <w:ind w:right="60" w:firstLine="1492"/>
        <w:spacing w:after="0" w:line="271" w:lineRule="auto"/>
        <w:tabs>
          <w:tab w:leader="none" w:pos="1698" w:val="left"/>
        </w:tabs>
        <w:numPr>
          <w:ilvl w:val="1"/>
          <w:numId w:val="21"/>
        </w:numPr>
        <w:rPr>
          <w:rFonts w:ascii="Arial" w:cs="Arial" w:eastAsia="Arial" w:hAnsi="Arial"/>
          <w:sz w:val="17"/>
          <w:szCs w:val="17"/>
          <w:color w:val="auto"/>
        </w:rPr>
      </w:pPr>
      <w:r>
        <w:rPr>
          <w:rFonts w:ascii="Arial" w:cs="Arial" w:eastAsia="Arial" w:hAnsi="Arial"/>
          <w:sz w:val="17"/>
          <w:szCs w:val="17"/>
          <w:color w:val="auto"/>
        </w:rPr>
        <w:t>If the Executive is a “specified employee”, then no payment or benefit that is payable on account of the Executive’s “separation from service”, as that term is defined for purposes of Section 409A, shall be made before the date that is six months after the Executive’s “separation from service” (or, if earlier, the date of the Executive’s death) if and to the extent that such payment or benefit constitutes deferred compensation (or may be nonqualified deferred compensation) under Section 409A and such deferral is required to comply with the requirements of Section 409A. Any payment or benefit delayed by reason of the prior sentence shall be paid out or provided in a single lump sum at the end of such required delay period in order to catch up to the original payment schedule. There shall be added to any payments that are delayed pursuant to this provision interest at the prime rate as reported in the Wall Street Journal for the date of the Executive’s separation from service. Such interest shall be calculated from the date on which the payment otherwise would have been made until the date on which the payment is made.</w:t>
      </w:r>
    </w:p>
    <w:p>
      <w:pPr>
        <w:spacing w:after="0" w:line="178" w:lineRule="exact"/>
        <w:rPr>
          <w:rFonts w:ascii="Arial" w:cs="Arial" w:eastAsia="Arial" w:hAnsi="Arial"/>
          <w:sz w:val="17"/>
          <w:szCs w:val="17"/>
          <w:color w:val="auto"/>
        </w:rPr>
      </w:pPr>
    </w:p>
    <w:p>
      <w:pPr>
        <w:jc w:val="both"/>
        <w:ind w:right="60" w:firstLine="1492"/>
        <w:spacing w:after="0" w:line="259" w:lineRule="auto"/>
        <w:tabs>
          <w:tab w:leader="none" w:pos="1748" w:val="left"/>
        </w:tabs>
        <w:numPr>
          <w:ilvl w:val="1"/>
          <w:numId w:val="21"/>
        </w:numPr>
        <w:rPr>
          <w:rFonts w:ascii="Arial" w:cs="Arial" w:eastAsia="Arial" w:hAnsi="Arial"/>
          <w:sz w:val="18"/>
          <w:szCs w:val="18"/>
          <w:color w:val="auto"/>
        </w:rPr>
      </w:pPr>
      <w:r>
        <w:rPr>
          <w:rFonts w:ascii="Arial" w:cs="Arial" w:eastAsia="Arial" w:hAnsi="Arial"/>
          <w:sz w:val="18"/>
          <w:szCs w:val="18"/>
          <w:color w:val="auto"/>
        </w:rPr>
        <w:t>For purposes of this provision, the Executive shall be considered to be a “specified employee” if, at the time of his or her separation from service, the Executive is a “key employee”, within the meaning of Section 416(i) of the Code, of the Company (or any person or entity with whom the Company would be considered a single employer under Section 414(b) or Section 414(c) of the Code) any stock in which is publicly traded on an established securities market or otherwise.</w:t>
      </w:r>
    </w:p>
    <w:p>
      <w:pPr>
        <w:spacing w:after="0" w:line="186" w:lineRule="exact"/>
        <w:rPr>
          <w:rFonts w:ascii="Arial" w:cs="Arial" w:eastAsia="Arial" w:hAnsi="Arial"/>
          <w:sz w:val="18"/>
          <w:szCs w:val="18"/>
          <w:color w:val="auto"/>
        </w:rPr>
      </w:pPr>
    </w:p>
    <w:p>
      <w:pPr>
        <w:ind w:firstLine="921"/>
        <w:spacing w:after="0" w:line="264" w:lineRule="auto"/>
        <w:tabs>
          <w:tab w:leader="none" w:pos="1168"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 Acceleration of Payments. Neither the Company nor the Executive,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spacing w:after="0" w:line="181" w:lineRule="exact"/>
        <w:rPr>
          <w:rFonts w:ascii="Arial" w:cs="Arial" w:eastAsia="Arial" w:hAnsi="Arial"/>
          <w:sz w:val="18"/>
          <w:szCs w:val="18"/>
          <w:color w:val="auto"/>
        </w:rPr>
      </w:pPr>
    </w:p>
    <w:p>
      <w:pPr>
        <w:ind w:right="480" w:firstLine="921"/>
        <w:spacing w:after="0" w:line="312" w:lineRule="auto"/>
        <w:tabs>
          <w:tab w:leader="none" w:pos="1158" w:val="left"/>
        </w:tabs>
        <w:numPr>
          <w:ilvl w:val="0"/>
          <w:numId w:val="21"/>
        </w:numPr>
        <w:rPr>
          <w:rFonts w:ascii="Arial" w:cs="Arial" w:eastAsia="Arial" w:hAnsi="Arial"/>
          <w:sz w:val="16"/>
          <w:szCs w:val="16"/>
          <w:color w:val="auto"/>
        </w:rPr>
      </w:pPr>
      <w:r>
        <w:rPr>
          <w:rFonts w:ascii="Arial" w:cs="Arial" w:eastAsia="Arial" w:hAnsi="Arial"/>
          <w:sz w:val="16"/>
          <w:szCs w:val="16"/>
          <w:color w:val="auto"/>
        </w:rPr>
        <w:t>Treatment of Each Installment as a Separate Payment. For purposes of applying the provisions of Section 409A to this Agreement, each separately identified amount to which the Executive is entitled under this Agreement shall be treated as a separate payment. In addition, to the extent permissible under Section 409A, any series of installment payments under this Agreement shall be treated as a right to a series of separate payments.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1" w:name="page12"/>
    <w:bookmarkEnd w:id="11"/>
    <w:p>
      <w:pPr>
        <w:ind w:left="1140" w:hanging="219"/>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Taxable Reimbursements.</w:t>
      </w:r>
    </w:p>
    <w:p>
      <w:pPr>
        <w:spacing w:after="0" w:line="225" w:lineRule="exact"/>
        <w:rPr>
          <w:rFonts w:ascii="Arial" w:cs="Arial" w:eastAsia="Arial" w:hAnsi="Arial"/>
          <w:sz w:val="18"/>
          <w:szCs w:val="18"/>
          <w:color w:val="auto"/>
        </w:rPr>
      </w:pPr>
    </w:p>
    <w:p>
      <w:pPr>
        <w:ind w:firstLine="1492"/>
        <w:spacing w:after="0" w:line="259" w:lineRule="auto"/>
        <w:tabs>
          <w:tab w:leader="none" w:pos="1698"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reimbursements by the Company to the Executive of any eligible expenses under this Agreement that are not excludable from the Executive’s income for Federal income tax purposes (the “Taxable Reimbursements”) shall be made by no later than the earlier of the date on which they would be paid under the Company’s normal policies and the last day of the taxable year of the Executive following the year in which the expense was incurred.</w:t>
      </w:r>
    </w:p>
    <w:p>
      <w:pPr>
        <w:spacing w:after="0" w:line="186" w:lineRule="exact"/>
        <w:rPr>
          <w:rFonts w:ascii="Arial" w:cs="Arial" w:eastAsia="Arial" w:hAnsi="Arial"/>
          <w:sz w:val="18"/>
          <w:szCs w:val="18"/>
          <w:color w:val="auto"/>
        </w:rPr>
      </w:pPr>
    </w:p>
    <w:p>
      <w:pPr>
        <w:ind w:right="20" w:firstLine="1492"/>
        <w:spacing w:after="0" w:line="277" w:lineRule="auto"/>
        <w:tabs>
          <w:tab w:leader="none" w:pos="1748"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amount of any Taxable Reimbursements to be provided to the Executive during any taxable year of the Executive shall not affect the expenses eligible for reimbursement to be provided in any other taxable year of the Executive.</w:t>
      </w:r>
    </w:p>
    <w:p>
      <w:pPr>
        <w:spacing w:after="0" w:line="170" w:lineRule="exact"/>
        <w:rPr>
          <w:rFonts w:ascii="Arial" w:cs="Arial" w:eastAsia="Arial" w:hAnsi="Arial"/>
          <w:sz w:val="18"/>
          <w:szCs w:val="18"/>
          <w:color w:val="auto"/>
        </w:rPr>
      </w:pPr>
    </w:p>
    <w:p>
      <w:pPr>
        <w:ind w:left="1800" w:hanging="308"/>
        <w:spacing w:after="0"/>
        <w:tabs>
          <w:tab w:leader="none" w:pos="18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right to Taxable Reimbursements shall not be subject to liquidation or exchange for another benefit.</w:t>
      </w:r>
    </w:p>
    <w:p>
      <w:pPr>
        <w:spacing w:after="0" w:line="225" w:lineRule="exact"/>
        <w:rPr>
          <w:sz w:val="20"/>
          <w:szCs w:val="20"/>
          <w:color w:val="auto"/>
        </w:rPr>
      </w:pPr>
    </w:p>
    <w:p>
      <w:pPr>
        <w:ind w:left="1100" w:hanging="179"/>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REPRESENTATION AND AGREEMENTS OF EXECUTIVE</w:t>
      </w:r>
    </w:p>
    <w:p>
      <w:pPr>
        <w:spacing w:after="0" w:line="225" w:lineRule="exact"/>
        <w:rPr>
          <w:sz w:val="20"/>
          <w:szCs w:val="20"/>
          <w:color w:val="auto"/>
        </w:rPr>
      </w:pPr>
    </w:p>
    <w:p>
      <w:pPr>
        <w:ind w:right="80" w:firstLine="921"/>
        <w:spacing w:after="0" w:line="264" w:lineRule="auto"/>
        <w:tabs>
          <w:tab w:leader="none" w:pos="1158"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Executive represents and warrants that he is free to enter into this Agreement and to perform the duties required hereunder, and that there are no employment contracts or understandings, restrictive covenants or other restrictions, whether written or oral, preventing the performance of his duties hereunder.</w:t>
      </w:r>
    </w:p>
    <w:p>
      <w:pPr>
        <w:spacing w:after="0" w:line="181" w:lineRule="exact"/>
        <w:rPr>
          <w:rFonts w:ascii="Arial" w:cs="Arial" w:eastAsia="Arial" w:hAnsi="Arial"/>
          <w:sz w:val="18"/>
          <w:szCs w:val="18"/>
          <w:color w:val="auto"/>
        </w:rPr>
      </w:pPr>
    </w:p>
    <w:p>
      <w:pPr>
        <w:ind w:right="120" w:firstLine="921"/>
        <w:spacing w:after="0" w:line="264" w:lineRule="auto"/>
        <w:tabs>
          <w:tab w:leader="none" w:pos="1168"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spacing w:after="0" w:line="181" w:lineRule="exact"/>
        <w:rPr>
          <w:rFonts w:ascii="Arial" w:cs="Arial" w:eastAsia="Arial" w:hAnsi="Arial"/>
          <w:sz w:val="18"/>
          <w:szCs w:val="18"/>
          <w:color w:val="auto"/>
        </w:rPr>
      </w:pPr>
    </w:p>
    <w:p>
      <w:pPr>
        <w:ind w:right="60" w:firstLine="921"/>
        <w:spacing w:after="0" w:line="264" w:lineRule="auto"/>
        <w:tabs>
          <w:tab w:leader="none" w:pos="1158"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convicted of a felony and he has not been convicted or incarcerated for a misdemeanor within the past five years, other than a first conviction for drunkenness, simple assault, speeding, minor traffic violations, affray, or disturbance of the peace.</w:t>
      </w:r>
    </w:p>
    <w:p>
      <w:pPr>
        <w:spacing w:after="0" w:line="181" w:lineRule="exact"/>
        <w:rPr>
          <w:rFonts w:ascii="Arial" w:cs="Arial" w:eastAsia="Arial" w:hAnsi="Arial"/>
          <w:sz w:val="18"/>
          <w:szCs w:val="18"/>
          <w:color w:val="auto"/>
        </w:rPr>
      </w:pPr>
    </w:p>
    <w:p>
      <w:pPr>
        <w:ind w:right="280" w:firstLine="921"/>
        <w:spacing w:after="0" w:line="264" w:lineRule="auto"/>
        <w:tabs>
          <w:tab w:leader="none" w:pos="1168"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 party to any judicial or administrative proceeding that resulted in a judgement, decree, or final order (i) enjoining him from future violations of, or prohibiting any violations of any federal or state securities law, or (ii) finding any violations of any federal or state securities law.</w:t>
      </w:r>
    </w:p>
    <w:p>
      <w:pPr>
        <w:spacing w:after="0" w:line="181" w:lineRule="exact"/>
        <w:rPr>
          <w:rFonts w:ascii="Arial" w:cs="Arial" w:eastAsia="Arial" w:hAnsi="Arial"/>
          <w:sz w:val="18"/>
          <w:szCs w:val="18"/>
          <w:color w:val="auto"/>
        </w:rPr>
      </w:pPr>
    </w:p>
    <w:p>
      <w:pPr>
        <w:ind w:left="1160" w:hanging="239"/>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accused of any impropriety in connection with any employment;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Any breach of any of the above representations and warranties is “justifiable cause” for termination under paragraph 7(d) of this Agreement.</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12" w:name="page13"/>
    <w:bookmarkEnd w:id="12"/>
    <w:p>
      <w:pPr>
        <w:ind w:left="1180" w:hanging="279"/>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NON-COMPETITION</w:t>
      </w:r>
    </w:p>
    <w:p>
      <w:pPr>
        <w:spacing w:after="0" w:line="225" w:lineRule="exact"/>
        <w:rPr>
          <w:sz w:val="20"/>
          <w:szCs w:val="20"/>
          <w:color w:val="auto"/>
        </w:rPr>
      </w:pPr>
    </w:p>
    <w:p>
      <w:pPr>
        <w:ind w:left="-20" w:firstLine="921"/>
        <w:spacing w:after="0" w:line="287" w:lineRule="auto"/>
        <w:tabs>
          <w:tab w:leader="none" w:pos="1138" w:val="left"/>
        </w:tabs>
        <w:numPr>
          <w:ilvl w:val="0"/>
          <w:numId w:val="26"/>
        </w:numPr>
        <w:rPr>
          <w:rFonts w:ascii="Arial" w:cs="Arial" w:eastAsia="Arial" w:hAnsi="Arial"/>
          <w:sz w:val="16"/>
          <w:szCs w:val="16"/>
          <w:color w:val="auto"/>
        </w:rPr>
      </w:pPr>
      <w:r>
        <w:rPr>
          <w:rFonts w:ascii="Arial" w:cs="Arial" w:eastAsia="Arial" w:hAnsi="Arial"/>
          <w:sz w:val="16"/>
          <w:szCs w:val="16"/>
          <w:color w:val="auto"/>
        </w:rPr>
        <w:t>Executive agrees that during the Term of Employment and during the one (1) year period immediately following the Termination Date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in which the Company or any of its subsidiaries or affiliates are then conducting or proposing to conduct business, including, without limitation, the United States of America and its possessions, Canada and Europe; provided, 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request or cause any suppliers or customers with whom the Company or any of its subsidiaries or affiliates has a business relationship to cancel or terminate any such business relationship with the Company or any of its subsidiaries or affiliates or otherwise compromise the Company’s good will or solicit, hire, interfere with or entice from the Company or any of its subsidiaries or affiliates any employee (or former employee who has been separated from service for less than 12 months) of the Company or any of its subsidiaries or affiliates.</w:t>
      </w:r>
    </w:p>
    <w:p>
      <w:pPr>
        <w:spacing w:after="0" w:line="168" w:lineRule="exact"/>
        <w:rPr>
          <w:rFonts w:ascii="Arial" w:cs="Arial" w:eastAsia="Arial" w:hAnsi="Arial"/>
          <w:sz w:val="16"/>
          <w:szCs w:val="16"/>
          <w:color w:val="auto"/>
        </w:rPr>
      </w:pPr>
    </w:p>
    <w:p>
      <w:pPr>
        <w:ind w:left="-20" w:right="40" w:firstLine="921"/>
        <w:spacing w:after="0" w:line="257" w:lineRule="auto"/>
        <w:tabs>
          <w:tab w:leader="none" w:pos="1148"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any portion of the restrictions set forth in this paragraph 10 should, for any reason whatsoever, be declared invalid by a court of competent jurisdiction, the validity or enforceability of the remainder of such restrictions shall not thereby be adversely affected. For the purposes of this paragraph 10, a business competitive with the products and services of the Company (or such subsidiaries and affiliates) is limited to a specialty retailer which primarily distributes, sells or markets so-called “big and tall” apparel of any kind for men or which utilizes the “big and tall” retail or wholesale marketing concept as part of its business.</w:t>
      </w:r>
    </w:p>
    <w:p>
      <w:pPr>
        <w:spacing w:after="0" w:line="188" w:lineRule="exact"/>
        <w:rPr>
          <w:rFonts w:ascii="Arial" w:cs="Arial" w:eastAsia="Arial" w:hAnsi="Arial"/>
          <w:sz w:val="18"/>
          <w:szCs w:val="18"/>
          <w:color w:val="auto"/>
        </w:rPr>
      </w:pPr>
    </w:p>
    <w:p>
      <w:pPr>
        <w:jc w:val="both"/>
        <w:ind w:left="-20" w:right="140" w:firstLine="921"/>
        <w:spacing w:after="0" w:line="297" w:lineRule="auto"/>
        <w:tabs>
          <w:tab w:leader="none" w:pos="1138" w:val="left"/>
        </w:tabs>
        <w:numPr>
          <w:ilvl w:val="0"/>
          <w:numId w:val="26"/>
        </w:numPr>
        <w:rPr>
          <w:rFonts w:ascii="Arial" w:cs="Arial" w:eastAsia="Arial" w:hAnsi="Arial"/>
          <w:sz w:val="16"/>
          <w:szCs w:val="16"/>
          <w:color w:val="auto"/>
        </w:rPr>
      </w:pPr>
      <w:r>
        <w:rPr>
          <w:rFonts w:ascii="Arial" w:cs="Arial" w:eastAsia="Arial" w:hAnsi="Arial"/>
          <w:sz w:val="16"/>
          <w:szCs w:val="16"/>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paragraph 10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158" w:lineRule="exact"/>
        <w:rPr>
          <w:rFonts w:ascii="Arial" w:cs="Arial" w:eastAsia="Arial" w:hAnsi="Arial"/>
          <w:sz w:val="16"/>
          <w:szCs w:val="16"/>
          <w:color w:val="auto"/>
        </w:rPr>
      </w:pPr>
    </w:p>
    <w:p>
      <w:pPr>
        <w:ind w:left="-20" w:right="160" w:firstLine="921"/>
        <w:spacing w:after="0" w:line="259" w:lineRule="auto"/>
        <w:tabs>
          <w:tab w:leader="none" w:pos="114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existence of any claim or cause of action (a claim or cause of action is defined as a claim or cause of action which results from a breach of the terms and provisions of this Agreement by the Company, regardless of whether the breach is material)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60" w:top="274" w:right="239" w:bottom="1440" w:gutter="0" w:footer="0" w:header="0"/>
        </w:sectPr>
      </w:pPr>
    </w:p>
    <w:bookmarkStart w:id="13" w:name="page14"/>
    <w:bookmarkEnd w:id="13"/>
    <w:p>
      <w:pPr>
        <w:ind w:left="1160" w:hanging="259"/>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INVENTIONS AND DISCOVERIES</w:t>
      </w:r>
    </w:p>
    <w:p>
      <w:pPr>
        <w:spacing w:after="0" w:line="225" w:lineRule="exact"/>
        <w:rPr>
          <w:sz w:val="20"/>
          <w:szCs w:val="20"/>
          <w:color w:val="auto"/>
        </w:rPr>
      </w:pPr>
    </w:p>
    <w:p>
      <w:pPr>
        <w:ind w:left="-20" w:right="100" w:firstLine="921"/>
        <w:spacing w:after="0" w:line="255" w:lineRule="auto"/>
        <w:tabs>
          <w:tab w:leader="none" w:pos="1138" w:val="left"/>
        </w:tabs>
        <w:numPr>
          <w:ilvl w:val="0"/>
          <w:numId w:val="28"/>
        </w:numPr>
        <w:rPr>
          <w:rFonts w:ascii="Arial" w:cs="Arial" w:eastAsia="Arial" w:hAnsi="Arial"/>
          <w:sz w:val="18"/>
          <w:szCs w:val="18"/>
          <w:color w:val="auto"/>
        </w:rPr>
      </w:pPr>
      <w:r>
        <w:rPr>
          <w:rFonts w:ascii="Arial" w:cs="Arial" w:eastAsia="Arial" w:hAnsi="Arial"/>
          <w:sz w:val="18"/>
          <w:szCs w:val="18"/>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his employment with, or rendering of advisory or consulting services to, the Company or any of its subsidiaries and affiliates, solely or jointly with others, in or relating to any activities of the Company or its subsidiaries and affiliates known to him as a consequence of his employment or the rendering of advisory and consulting services hereunder (collectively the “Subject Matter”).</w:t>
      </w:r>
    </w:p>
    <w:p>
      <w:pPr>
        <w:spacing w:after="0" w:line="189" w:lineRule="exact"/>
        <w:rPr>
          <w:rFonts w:ascii="Arial" w:cs="Arial" w:eastAsia="Arial" w:hAnsi="Arial"/>
          <w:sz w:val="18"/>
          <w:szCs w:val="18"/>
          <w:color w:val="auto"/>
        </w:rPr>
      </w:pPr>
    </w:p>
    <w:p>
      <w:pPr>
        <w:ind w:left="-20" w:firstLine="921"/>
        <w:spacing w:after="0" w:line="271" w:lineRule="auto"/>
        <w:tabs>
          <w:tab w:leader="none" w:pos="1148" w:val="left"/>
        </w:tabs>
        <w:numPr>
          <w:ilvl w:val="0"/>
          <w:numId w:val="28"/>
        </w:numPr>
        <w:rPr>
          <w:rFonts w:ascii="Arial" w:cs="Arial" w:eastAsia="Arial" w:hAnsi="Arial"/>
          <w:sz w:val="17"/>
          <w:szCs w:val="17"/>
          <w:color w:val="auto"/>
        </w:rPr>
      </w:pPr>
      <w:r>
        <w:rPr>
          <w:rFonts w:ascii="Arial" w:cs="Arial" w:eastAsia="Arial" w:hAnsi="Arial"/>
          <w:sz w:val="17"/>
          <w:szCs w:val="17"/>
          <w:color w:val="auto"/>
        </w:rPr>
        <w:t>Executive hereby assigns and transfers, and agrees to assign and transfer, to the Company, all his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after the Term of Employment that Executive shall be compensated in a timely manner at the rate of $250 per day (or portion thereof), plus out-of-pocket expenses incurred in rendering such assistance or giving or preparing to give such testimony if it is required after the termination of this Agreement.</w:t>
      </w:r>
    </w:p>
    <w:p>
      <w:pPr>
        <w:spacing w:after="0" w:line="179" w:lineRule="exact"/>
        <w:rPr>
          <w:sz w:val="20"/>
          <w:szCs w:val="20"/>
          <w:color w:val="auto"/>
        </w:rPr>
      </w:pPr>
    </w:p>
    <w:p>
      <w:pPr>
        <w:ind w:left="1180" w:hanging="279"/>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NON-DISCLOSURE OF CONFIDENTIAL INFORMATION</w:t>
      </w:r>
    </w:p>
    <w:p>
      <w:pPr>
        <w:spacing w:after="0" w:line="225" w:lineRule="exact"/>
        <w:rPr>
          <w:sz w:val="20"/>
          <w:szCs w:val="20"/>
          <w:color w:val="auto"/>
        </w:rPr>
      </w:pPr>
    </w:p>
    <w:p>
      <w:pPr>
        <w:ind w:left="-20" w:right="100" w:firstLine="921"/>
        <w:spacing w:after="0" w:line="290" w:lineRule="auto"/>
        <w:tabs>
          <w:tab w:leader="none" w:pos="1138" w:val="left"/>
        </w:tabs>
        <w:numPr>
          <w:ilvl w:val="0"/>
          <w:numId w:val="30"/>
        </w:numPr>
        <w:rPr>
          <w:rFonts w:ascii="Arial" w:cs="Arial" w:eastAsia="Arial" w:hAnsi="Arial"/>
          <w:sz w:val="16"/>
          <w:szCs w:val="16"/>
          <w:color w:val="auto"/>
        </w:rPr>
      </w:pPr>
      <w:r>
        <w:rPr>
          <w:rFonts w:ascii="Arial" w:cs="Arial" w:eastAsia="Arial" w:hAnsi="Arial"/>
          <w:sz w:val="16"/>
          <w:szCs w:val="16"/>
          <w:color w:val="auto"/>
        </w:rPr>
        <w:t>Executive acknowledges that the Company possesses certain confidential and propriety information that has been or may be revealed to him or learned by Executive during the course of Executive’s employment with the Company and that it would be unfair to use that information or knowledge to compete with or to otherwise disadvantage the Company. Executive shall not, during the Term of Employment or at any time following the Term of Employment, directly or indirectly, disclose or permit to be known (other than as is required in the regular course of his duties (including without limitation disclosures to the Company’s advisors and consultants), as required by law (in which case Executive shall give the Company prior written notice of such required disclosure) or with the prior written consent of the Board of Directors, to any person, firm, corporation, or other entity, any confidential information acquired by him during the course of, or as an incident to, his employment or the rendering of his advisory or consulting services hereunder, relating to the Company or any of its subsidiaries or affiliates, the directors of the Company or its subsidiaries or affiliates, any supplier or customer of the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60" w:top="274" w:right="259" w:bottom="1440" w:gutter="0" w:footer="0" w:header="0"/>
        </w:sectPr>
      </w:pPr>
    </w:p>
    <w:bookmarkStart w:id="14" w:name="page15"/>
    <w:bookmarkEnd w:id="14"/>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or any of their subsidiaries or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paragraph 12(a) by Executive.</w:t>
      </w:r>
    </w:p>
    <w:p>
      <w:pPr>
        <w:spacing w:after="0" w:line="178" w:lineRule="exact"/>
        <w:rPr>
          <w:sz w:val="20"/>
          <w:szCs w:val="20"/>
          <w:color w:val="auto"/>
        </w:rPr>
      </w:pPr>
    </w:p>
    <w:p>
      <w:pPr>
        <w:ind w:right="20" w:firstLine="921"/>
        <w:spacing w:after="0" w:line="302" w:lineRule="auto"/>
        <w:tabs>
          <w:tab w:leader="none" w:pos="1168" w:val="left"/>
        </w:tabs>
        <w:numPr>
          <w:ilvl w:val="0"/>
          <w:numId w:val="31"/>
        </w:numPr>
        <w:rPr>
          <w:rFonts w:ascii="Arial" w:cs="Arial" w:eastAsia="Arial" w:hAnsi="Arial"/>
          <w:sz w:val="16"/>
          <w:szCs w:val="16"/>
          <w:color w:val="auto"/>
        </w:rPr>
      </w:pPr>
      <w:r>
        <w:rPr>
          <w:rFonts w:ascii="Arial" w:cs="Arial" w:eastAsia="Arial" w:hAnsi="Arial"/>
          <w:sz w:val="16"/>
          <w:szCs w:val="16"/>
          <w:color w:val="auto"/>
        </w:rPr>
        <w:t>All information and documents relating to the Company and its subsidiaries or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154" w:lineRule="exact"/>
        <w:rPr>
          <w:sz w:val="20"/>
          <w:szCs w:val="20"/>
          <w:color w:val="auto"/>
        </w:rPr>
      </w:pPr>
    </w:p>
    <w:p>
      <w:pPr>
        <w:ind w:left="1200" w:hanging="279"/>
        <w:spacing w:after="0"/>
        <w:tabs>
          <w:tab w:leader="none" w:pos="120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SPECIFIC PERFORMANCE</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Executive agrees that if he breaches, or threatens to commit a breach of, any enforceable provision of paragraphs 10, 11 or 12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such breach or threatened breach of the Restrictive Covenants would cause irreparable injury to the Company and that money damages would not provide an adequate remedy to the Company. Notwithstanding the foregoing, nothing herein shall constitute a waiver by Executive of his right to contest whether such a breach or threatened breach of any Restrictive Covenant has occurred. In the event of litigation between the parties to this Agreement regarding their respective rights and obligations under paragraphs 10, 11, or 12 hereof, the prevailing party shall be entitled to recover from the other all attorneys’ fees and expenses reasonably incurred in obtaining a ruling in the prevailing party’s favor. Any such damages, attorneys’ fees and costs shall be in addition to and not in lieu of any injunctive relief that may be available to the Company.</w:t>
      </w:r>
    </w:p>
    <w:p>
      <w:pPr>
        <w:spacing w:after="0" w:line="182" w:lineRule="exact"/>
        <w:rPr>
          <w:sz w:val="20"/>
          <w:szCs w:val="20"/>
          <w:color w:val="auto"/>
        </w:rPr>
      </w:pPr>
    </w:p>
    <w:p>
      <w:pPr>
        <w:ind w:left="1200" w:hanging="279"/>
        <w:spacing w:after="0"/>
        <w:tabs>
          <w:tab w:leader="none" w:pos="120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AMENDMENT OR ALTERATION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No amendment or alteration of the terms of this Agreement shall be valid unless made in writing and signed by both of the parties hereto.</w:t>
      </w:r>
    </w:p>
    <w:p>
      <w:pPr>
        <w:spacing w:after="0" w:line="237" w:lineRule="exact"/>
        <w:rPr>
          <w:sz w:val="20"/>
          <w:szCs w:val="20"/>
          <w:color w:val="auto"/>
        </w:rPr>
      </w:pPr>
    </w:p>
    <w:p>
      <w:pPr>
        <w:ind w:left="1200" w:hanging="279"/>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225" w:lineRule="exact"/>
        <w:rPr>
          <w:sz w:val="20"/>
          <w:szCs w:val="20"/>
          <w:color w:val="auto"/>
        </w:rPr>
      </w:pPr>
    </w:p>
    <w:p>
      <w:pPr>
        <w:ind w:right="980" w:firstLine="913"/>
        <w:spacing w:after="0" w:line="277" w:lineRule="auto"/>
        <w:rPr>
          <w:sz w:val="20"/>
          <w:szCs w:val="20"/>
          <w:color w:val="auto"/>
        </w:rPr>
      </w:pPr>
      <w:r>
        <w:rPr>
          <w:rFonts w:ascii="Arial" w:cs="Arial" w:eastAsia="Arial" w:hAnsi="Arial"/>
          <w:sz w:val="18"/>
          <w:szCs w:val="18"/>
          <w:color w:val="auto"/>
        </w:rPr>
        <w:t>This Agreement shall be governed by, and construed and enforced in accordance with the substantive laws of the Commonwealth of Massachusetts, without regard to its principles of conflicts of laws.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15" w:name="page16"/>
    <w:bookmarkEnd w:id="15"/>
    <w:p>
      <w:pPr>
        <w:ind w:left="1200" w:hanging="279"/>
        <w:spacing w:after="0"/>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SEVERABILITY</w:t>
      </w:r>
    </w:p>
    <w:p>
      <w:pPr>
        <w:spacing w:after="0" w:line="225"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The holding of any provision of this Agreement to be invalid or unenforceable by a court of competent jurisdiction shall not affect any other provision of this Agreement, which shall remain in full force and effect.</w:t>
      </w:r>
    </w:p>
    <w:p>
      <w:pPr>
        <w:spacing w:after="0" w:line="170" w:lineRule="exact"/>
        <w:rPr>
          <w:sz w:val="20"/>
          <w:szCs w:val="20"/>
          <w:color w:val="auto"/>
        </w:rPr>
      </w:pPr>
    </w:p>
    <w:p>
      <w:pPr>
        <w:ind w:left="1200" w:hanging="279"/>
        <w:spacing w:after="0"/>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225" w:lineRule="exact"/>
        <w:rPr>
          <w:sz w:val="20"/>
          <w:szCs w:val="20"/>
          <w:color w:val="auto"/>
        </w:rPr>
      </w:pPr>
    </w:p>
    <w:p>
      <w:pPr>
        <w:jc w:val="both"/>
        <w:ind w:right="80" w:firstLine="913"/>
        <w:spacing w:after="0" w:line="264" w:lineRule="auto"/>
        <w:rPr>
          <w:sz w:val="20"/>
          <w:szCs w:val="20"/>
          <w:color w:val="auto"/>
        </w:rPr>
      </w:pPr>
      <w:r>
        <w:rPr>
          <w:rFonts w:ascii="Arial" w:cs="Arial" w:eastAsia="Arial" w:hAnsi="Arial"/>
          <w:sz w:val="18"/>
          <w:szCs w:val="18"/>
          <w:color w:val="auto"/>
        </w:rPr>
        <w:t>Any notices required or permitted to be given hereunder shall be sufficient if in 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of the placement of the notice in the mail.</w:t>
      </w:r>
    </w:p>
    <w:p>
      <w:pPr>
        <w:spacing w:after="0" w:line="181" w:lineRule="exact"/>
        <w:rPr>
          <w:sz w:val="20"/>
          <w:szCs w:val="20"/>
          <w:color w:val="auto"/>
        </w:rPr>
      </w:pPr>
    </w:p>
    <w:p>
      <w:pPr>
        <w:ind w:left="1200" w:hanging="279"/>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WAIVER OR BREACH</w:t>
      </w:r>
    </w:p>
    <w:p>
      <w:pPr>
        <w:spacing w:after="0" w:line="225"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It is agreed that a waiver by either party of a breach of any provision of this Agreement shall not operate, or be construed as a waiver of any subsequent breach by that same party.</w:t>
      </w:r>
    </w:p>
    <w:p>
      <w:pPr>
        <w:spacing w:after="0" w:line="170" w:lineRule="exact"/>
        <w:rPr>
          <w:sz w:val="20"/>
          <w:szCs w:val="20"/>
          <w:color w:val="auto"/>
        </w:rPr>
      </w:pPr>
    </w:p>
    <w:p>
      <w:pPr>
        <w:ind w:left="1200" w:hanging="279"/>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ENTIRE AGREEMENT AND BINDING EFFECT</w:t>
      </w:r>
    </w:p>
    <w:p>
      <w:pPr>
        <w:spacing w:after="0" w:line="225"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This Agreement may not be modified except upon further written agreement executed by both parties. Executive agrees that the Company may in its sole discretion, during the term of Executive’s employment with the Company and thereafter, provide copies of this Agreement (or excerpts of the Agreement) to others, including businesses or entities that may employ, do business with, or consider employing Executive in the future. Executive further agrees that any subsequent change or changes in his duties, compensation or areas of responsibility shall in no way affect the validity of this Agreement or otherwise render inapplicable any of the provisions of paragraphs 10 through 13 of this Agreement, which shall remain in full force and effect except as may be modified by a subsequent written agreement.</w:t>
      </w:r>
    </w:p>
    <w:p>
      <w:pPr>
        <w:spacing w:after="0" w:line="179" w:lineRule="exact"/>
        <w:rPr>
          <w:sz w:val="20"/>
          <w:szCs w:val="20"/>
          <w:color w:val="auto"/>
        </w:rPr>
      </w:pPr>
    </w:p>
    <w:p>
      <w:pPr>
        <w:ind w:left="1200" w:hanging="279"/>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SURVIVAL</w:t>
      </w:r>
    </w:p>
    <w:p>
      <w:pPr>
        <w:spacing w:after="0" w:line="225"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Except as otherwise expressly provided herein, the termination of Executive’s employment hereunder or the expiration of this Agreement shall not affect the enforceability of paragraphs 7 through 26 hereof, which shall survive the termination or expiration.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00"/>
          </w:cols>
          <w:pgMar w:left="240" w:top="274" w:right="359" w:bottom="1440" w:gutter="0" w:footer="0" w:header="0"/>
        </w:sectPr>
      </w:pPr>
    </w:p>
    <w:bookmarkStart w:id="16" w:name="page17"/>
    <w:bookmarkEnd w:id="16"/>
    <w:p>
      <w:pPr>
        <w:ind w:left="1200" w:hanging="279"/>
        <w:spacing w:after="0"/>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RESOLUTION OF DISPUTES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Any and all disputes arising under or in connection with this Agreement shall be resolved in accordance with this paragraph 21 and paragraph 15.</w:t>
      </w:r>
    </w:p>
    <w:p>
      <w:pPr>
        <w:spacing w:after="0" w:line="248"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 to institute action in any state or federal court located within the Commonwealth of Massachusetts, which courts shall have exclusive jurisdiction, and each party consents to the personal jurisdiction of any such state or federal court. Both parties waive their right to a trial by jury.</w:t>
      </w:r>
    </w:p>
    <w:p>
      <w:pPr>
        <w:spacing w:after="0" w:line="171" w:lineRule="exact"/>
        <w:rPr>
          <w:sz w:val="20"/>
          <w:szCs w:val="20"/>
          <w:color w:val="auto"/>
        </w:rPr>
      </w:pPr>
    </w:p>
    <w:p>
      <w:pPr>
        <w:ind w:left="1200" w:hanging="279"/>
        <w:spacing w:after="0"/>
        <w:tabs>
          <w:tab w:leader="none" w:pos="120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NON-DISPARAGEMENT</w:t>
      </w:r>
    </w:p>
    <w:p>
      <w:pPr>
        <w:spacing w:after="0" w:line="225"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Executive agrees not to make disparaging, critical or otherwise detrimental comments to any person or entity concerning the Company, its officers, directors, trustees, and employees or the services or programs provided or to be provided by the Company and the Company agrees not to make any disparaging, critical or otherwise detrimental comments to any person or entity concerning Executive.</w:t>
      </w:r>
    </w:p>
    <w:p>
      <w:pPr>
        <w:spacing w:after="0" w:line="181" w:lineRule="exact"/>
        <w:rPr>
          <w:sz w:val="20"/>
          <w:szCs w:val="20"/>
          <w:color w:val="auto"/>
        </w:rPr>
      </w:pPr>
    </w:p>
    <w:p>
      <w:pPr>
        <w:ind w:left="1200" w:hanging="279"/>
        <w:spacing w:after="0"/>
        <w:tabs>
          <w:tab w:leader="none" w:pos="120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p>
    <w:p>
      <w:pPr>
        <w:spacing w:after="0" w:line="225"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170" w:lineRule="exact"/>
        <w:rPr>
          <w:sz w:val="20"/>
          <w:szCs w:val="20"/>
          <w:color w:val="auto"/>
        </w:rPr>
      </w:pPr>
    </w:p>
    <w:p>
      <w:pPr>
        <w:ind w:left="1200" w:hanging="279"/>
        <w:spacing w:after="0"/>
        <w:tabs>
          <w:tab w:leader="none" w:pos="120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SUBSIDIARIES AND AFFILIATES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Agreement:</w:t>
      </w:r>
    </w:p>
    <w:p>
      <w:pPr>
        <w:spacing w:after="0" w:line="117" w:lineRule="exact"/>
        <w:rPr>
          <w:sz w:val="20"/>
          <w:szCs w:val="20"/>
          <w:color w:val="auto"/>
        </w:rPr>
      </w:pPr>
    </w:p>
    <w:p>
      <w:pPr>
        <w:ind w:right="120" w:firstLine="1492"/>
        <w:spacing w:after="0" w:line="264" w:lineRule="auto"/>
        <w:tabs>
          <w:tab w:leader="none" w:pos="1728" w:val="left"/>
        </w:tabs>
        <w:numPr>
          <w:ilvl w:val="0"/>
          <w:numId w:val="44"/>
        </w:numPr>
        <w:rPr>
          <w:rFonts w:ascii="Arial" w:cs="Arial" w:eastAsia="Arial" w:hAnsi="Arial"/>
          <w:sz w:val="18"/>
          <w:szCs w:val="18"/>
          <w:color w:val="auto"/>
        </w:rPr>
      </w:pPr>
      <w:r>
        <w:rPr>
          <w:rFonts w:ascii="Arial" w:cs="Arial" w:eastAsia="Arial" w:hAnsi="Arial"/>
          <w:sz w:val="18"/>
          <w:szCs w:val="18"/>
          <w:color w:val="auto"/>
        </w:rPr>
        <w:t>“affiliate” means any entity that controls, is controlled by, or is under common control with, the Company, and “control” means the power to exercise a controlling influence over the management or policies of an entity, unless such power is solely the result of an official position with such entity; and</w:t>
      </w:r>
    </w:p>
    <w:p>
      <w:pPr>
        <w:spacing w:after="0" w:line="181" w:lineRule="exact"/>
        <w:rPr>
          <w:rFonts w:ascii="Arial" w:cs="Arial" w:eastAsia="Arial" w:hAnsi="Arial"/>
          <w:sz w:val="18"/>
          <w:szCs w:val="18"/>
          <w:color w:val="auto"/>
        </w:rPr>
      </w:pPr>
    </w:p>
    <w:p>
      <w:pPr>
        <w:ind w:firstLine="1492"/>
        <w:spacing w:after="0" w:line="259" w:lineRule="auto"/>
        <w:tabs>
          <w:tab w:leader="none" w:pos="1738"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“subsidiary”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similar governing body of a non-corporate entity) or in which the Company has the right to receive 50% or more of the distribution of profits or 50% or more of the assets on liquidation or dissolution.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7" w:name="page18"/>
    <w:bookmarkEnd w:id="17"/>
    <w:p>
      <w:pPr>
        <w:ind w:left="1200" w:hanging="279"/>
        <w:spacing w:after="0"/>
        <w:tabs>
          <w:tab w:leader="none" w:pos="120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HEADINGS</w:t>
      </w:r>
    </w:p>
    <w:p>
      <w:pPr>
        <w:spacing w:after="0" w:line="225"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The paragraph headings appearing in this Agreement are for the purposes of easy reference and shall not be considered a part of this Agreement or in any way modify, amend or affect its provisions.</w:t>
      </w:r>
    </w:p>
    <w:p>
      <w:pPr>
        <w:spacing w:after="0" w:line="170" w:lineRule="exact"/>
        <w:rPr>
          <w:sz w:val="20"/>
          <w:szCs w:val="20"/>
          <w:color w:val="auto"/>
        </w:rPr>
      </w:pPr>
    </w:p>
    <w:p>
      <w:pPr>
        <w:ind w:left="1200" w:hanging="279"/>
        <w:spacing w:after="0"/>
        <w:tabs>
          <w:tab w:leader="none" w:pos="120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COUNTERPARTS</w:t>
      </w:r>
    </w:p>
    <w:p>
      <w:pPr>
        <w:spacing w:after="0" w:line="225" w:lineRule="exact"/>
        <w:rPr>
          <w:sz w:val="20"/>
          <w:szCs w:val="20"/>
          <w:color w:val="auto"/>
        </w:rPr>
      </w:pPr>
    </w:p>
    <w:p>
      <w:pPr>
        <w:ind w:right="700" w:firstLine="913"/>
        <w:spacing w:after="0" w:line="277" w:lineRule="auto"/>
        <w:rPr>
          <w:sz w:val="20"/>
          <w:szCs w:val="20"/>
          <w:color w:val="auto"/>
        </w:rPr>
      </w:pPr>
      <w:r>
        <w:rPr>
          <w:rFonts w:ascii="Arial" w:cs="Arial" w:eastAsia="Arial" w:hAnsi="Arial"/>
          <w:sz w:val="18"/>
          <w:szCs w:val="18"/>
          <w:color w:val="auto"/>
        </w:rPr>
        <w:t>This Agreement may be executed in one or more counterparts, each of which shall be deemed an original and all of which together shall constitute one and the same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this Agreement, under seal, as of the date and year first above written.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gridSpan w:val="3"/>
          </w:tcPr>
          <w:p>
            <w:pPr>
              <w:spacing w:after="0"/>
              <w:rPr>
                <w:sz w:val="20"/>
                <w:szCs w:val="20"/>
                <w:color w:val="auto"/>
              </w:rPr>
            </w:pPr>
            <w:r>
              <w:rPr>
                <w:rFonts w:ascii="Arial" w:cs="Arial" w:eastAsia="Arial" w:hAnsi="Arial"/>
                <w:sz w:val="18"/>
                <w:szCs w:val="18"/>
                <w:color w:val="auto"/>
              </w:rPr>
              <w:t>DESTINATION XL GROUP, INC.</w:t>
            </w:r>
          </w:p>
        </w:tc>
        <w:tc>
          <w:tcPr>
            <w:tcW w:w="1120" w:type="dxa"/>
            <w:vAlign w:val="bottom"/>
          </w:tcPr>
          <w:p>
            <w:pPr>
              <w:spacing w:after="0"/>
              <w:rPr>
                <w:sz w:val="20"/>
                <w:szCs w:val="20"/>
                <w:color w:val="auto"/>
              </w:rPr>
            </w:pPr>
          </w:p>
        </w:tc>
        <w:tc>
          <w:tcPr>
            <w:tcW w:w="5020" w:type="dxa"/>
            <w:vAlign w:val="bottom"/>
          </w:tcPr>
          <w:p>
            <w:pPr>
              <w:spacing w:after="0"/>
              <w:rPr>
                <w:sz w:val="20"/>
                <w:szCs w:val="20"/>
                <w:color w:val="auto"/>
              </w:rPr>
            </w:pPr>
          </w:p>
        </w:tc>
      </w:tr>
      <w:tr>
        <w:trPr>
          <w:trHeight w:val="432"/>
        </w:trPr>
        <w:tc>
          <w:tcPr>
            <w:tcW w:w="5280" w:type="dxa"/>
            <w:vAlign w:val="bottom"/>
            <w:gridSpan w:val="3"/>
          </w:tcPr>
          <w:p>
            <w:pPr>
              <w:spacing w:after="0"/>
              <w:rPr>
                <w:sz w:val="20"/>
                <w:szCs w:val="20"/>
                <w:color w:val="auto"/>
              </w:rPr>
            </w:pPr>
            <w:r>
              <w:rPr>
                <w:rFonts w:ascii="Arial" w:cs="Arial" w:eastAsia="Arial" w:hAnsi="Arial"/>
                <w:sz w:val="18"/>
                <w:szCs w:val="18"/>
                <w:color w:val="auto"/>
              </w:rPr>
              <w:t>By: /s/ David A. Levin</w:t>
            </w:r>
          </w:p>
        </w:tc>
        <w:tc>
          <w:tcPr>
            <w:tcW w:w="1120" w:type="dxa"/>
            <w:vAlign w:val="bottom"/>
          </w:tcPr>
          <w:p>
            <w:pPr>
              <w:ind w:left="680"/>
              <w:spacing w:after="0"/>
              <w:rPr>
                <w:sz w:val="20"/>
                <w:szCs w:val="20"/>
                <w:color w:val="auto"/>
              </w:rPr>
            </w:pPr>
            <w:r>
              <w:rPr>
                <w:rFonts w:ascii="Arial" w:cs="Arial" w:eastAsia="Arial" w:hAnsi="Arial"/>
                <w:sz w:val="18"/>
                <w:szCs w:val="18"/>
                <w:color w:val="auto"/>
                <w:w w:val="97"/>
              </w:rPr>
              <w:t>Date:</w:t>
            </w:r>
          </w:p>
        </w:tc>
        <w:tc>
          <w:tcPr>
            <w:tcW w:w="5020" w:type="dxa"/>
            <w:vAlign w:val="bottom"/>
          </w:tcPr>
          <w:p>
            <w:pPr>
              <w:ind w:left="120"/>
              <w:spacing w:after="0"/>
              <w:rPr>
                <w:sz w:val="20"/>
                <w:szCs w:val="20"/>
                <w:color w:val="auto"/>
              </w:rPr>
            </w:pPr>
            <w:r>
              <w:rPr>
                <w:rFonts w:ascii="Arial" w:cs="Arial" w:eastAsia="Arial" w:hAnsi="Arial"/>
                <w:sz w:val="18"/>
                <w:szCs w:val="18"/>
                <w:color w:val="auto"/>
              </w:rPr>
              <w:t>May 29, 2014</w:t>
            </w: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0" w:type="dxa"/>
            <w:vAlign w:val="bottom"/>
            <w:tcBorders>
              <w:right w:val="single" w:sz="8" w:color="auto"/>
            </w:tcBorders>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20" w:type="dxa"/>
            <w:vAlign w:val="bottom"/>
            <w:shd w:val="clear" w:color="auto" w:fill="000000"/>
          </w:tcPr>
          <w:p>
            <w:pPr>
              <w:spacing w:after="0" w:line="20" w:lineRule="exact"/>
              <w:rPr>
                <w:sz w:val="1"/>
                <w:szCs w:val="1"/>
                <w:color w:val="auto"/>
              </w:rPr>
            </w:pPr>
          </w:p>
        </w:tc>
      </w:tr>
      <w:tr>
        <w:trPr>
          <w:trHeight w:val="195"/>
        </w:trPr>
        <w:tc>
          <w:tcPr>
            <w:tcW w:w="5280" w:type="dxa"/>
            <w:vAlign w:val="bottom"/>
            <w:gridSpan w:val="3"/>
          </w:tcPr>
          <w:p>
            <w:pPr>
              <w:spacing w:after="0" w:line="195" w:lineRule="exact"/>
              <w:rPr>
                <w:sz w:val="20"/>
                <w:szCs w:val="20"/>
                <w:color w:val="auto"/>
              </w:rPr>
            </w:pPr>
            <w:r>
              <w:rPr>
                <w:rFonts w:ascii="Arial" w:cs="Arial" w:eastAsia="Arial" w:hAnsi="Arial"/>
                <w:sz w:val="18"/>
                <w:szCs w:val="18"/>
                <w:color w:val="auto"/>
              </w:rPr>
              <w:t>Name: David A. Levin</w:t>
            </w:r>
          </w:p>
        </w:tc>
        <w:tc>
          <w:tcPr>
            <w:tcW w:w="1120" w:type="dxa"/>
            <w:vAlign w:val="bottom"/>
          </w:tcPr>
          <w:p>
            <w:pPr>
              <w:spacing w:after="0"/>
              <w:rPr>
                <w:sz w:val="16"/>
                <w:szCs w:val="16"/>
                <w:color w:val="auto"/>
              </w:rPr>
            </w:pPr>
          </w:p>
        </w:tc>
        <w:tc>
          <w:tcPr>
            <w:tcW w:w="5020" w:type="dxa"/>
            <w:vAlign w:val="bottom"/>
          </w:tcPr>
          <w:p>
            <w:pPr>
              <w:spacing w:after="0"/>
              <w:rPr>
                <w:sz w:val="16"/>
                <w:szCs w:val="16"/>
                <w:color w:val="auto"/>
              </w:rPr>
            </w:pPr>
          </w:p>
        </w:tc>
      </w:tr>
      <w:tr>
        <w:trPr>
          <w:trHeight w:val="230"/>
        </w:trPr>
        <w:tc>
          <w:tcPr>
            <w:tcW w:w="280" w:type="dxa"/>
            <w:vAlign w:val="bottom"/>
            <w:gridSpan w:val="2"/>
          </w:tcPr>
          <w:p>
            <w:pPr>
              <w:spacing w:after="0"/>
              <w:rPr>
                <w:sz w:val="20"/>
                <w:szCs w:val="20"/>
                <w:color w:val="auto"/>
              </w:rPr>
            </w:pPr>
            <w:r>
              <w:rPr>
                <w:rFonts w:ascii="Arial" w:cs="Arial" w:eastAsia="Arial" w:hAnsi="Arial"/>
                <w:sz w:val="18"/>
                <w:szCs w:val="18"/>
                <w:color w:val="auto"/>
              </w:rPr>
              <w:t>Its:</w:t>
            </w:r>
          </w:p>
        </w:tc>
        <w:tc>
          <w:tcPr>
            <w:tcW w:w="5000" w:type="dxa"/>
            <w:vAlign w:val="bottom"/>
          </w:tcPr>
          <w:p>
            <w:pPr>
              <w:ind w:left="320"/>
              <w:spacing w:after="0"/>
              <w:rPr>
                <w:sz w:val="20"/>
                <w:szCs w:val="20"/>
                <w:color w:val="auto"/>
              </w:rPr>
            </w:pPr>
            <w:r>
              <w:rPr>
                <w:rFonts w:ascii="Arial" w:cs="Arial" w:eastAsia="Arial" w:hAnsi="Arial"/>
                <w:sz w:val="18"/>
                <w:szCs w:val="18"/>
                <w:color w:val="auto"/>
              </w:rPr>
              <w:t>President, Chief Executive Officer</w:t>
            </w:r>
          </w:p>
        </w:tc>
        <w:tc>
          <w:tcPr>
            <w:tcW w:w="1120" w:type="dxa"/>
            <w:vAlign w:val="bottom"/>
          </w:tcPr>
          <w:p>
            <w:pPr>
              <w:spacing w:after="0"/>
              <w:rPr>
                <w:sz w:val="20"/>
                <w:szCs w:val="20"/>
                <w:color w:val="auto"/>
              </w:rPr>
            </w:pPr>
          </w:p>
        </w:tc>
        <w:tc>
          <w:tcPr>
            <w:tcW w:w="502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0" w:type="dxa"/>
            <w:vAlign w:val="bottom"/>
          </w:tcPr>
          <w:p>
            <w:pPr>
              <w:ind w:left="180"/>
              <w:spacing w:after="0"/>
              <w:rPr>
                <w:sz w:val="20"/>
                <w:szCs w:val="20"/>
                <w:color w:val="auto"/>
              </w:rPr>
            </w:pPr>
            <w:r>
              <w:rPr>
                <w:rFonts w:ascii="Arial" w:cs="Arial" w:eastAsia="Arial" w:hAnsi="Arial"/>
                <w:sz w:val="18"/>
                <w:szCs w:val="18"/>
                <w:color w:val="auto"/>
              </w:rPr>
              <w:t>/s/ Peter H. Stratton, Jr.</w:t>
            </w:r>
          </w:p>
        </w:tc>
        <w:tc>
          <w:tcPr>
            <w:tcW w:w="1120" w:type="dxa"/>
            <w:vAlign w:val="bottom"/>
          </w:tcPr>
          <w:p>
            <w:pPr>
              <w:ind w:left="680"/>
              <w:spacing w:after="0"/>
              <w:rPr>
                <w:sz w:val="20"/>
                <w:szCs w:val="20"/>
                <w:color w:val="auto"/>
              </w:rPr>
            </w:pPr>
            <w:r>
              <w:rPr>
                <w:rFonts w:ascii="Arial" w:cs="Arial" w:eastAsia="Arial" w:hAnsi="Arial"/>
                <w:sz w:val="18"/>
                <w:szCs w:val="18"/>
                <w:color w:val="auto"/>
                <w:w w:val="97"/>
              </w:rPr>
              <w:t>Date:</w:t>
            </w:r>
          </w:p>
        </w:tc>
        <w:tc>
          <w:tcPr>
            <w:tcW w:w="5020" w:type="dxa"/>
            <w:vAlign w:val="bottom"/>
          </w:tcPr>
          <w:p>
            <w:pPr>
              <w:ind w:left="120"/>
              <w:spacing w:after="0"/>
              <w:rPr>
                <w:sz w:val="20"/>
                <w:szCs w:val="20"/>
                <w:color w:val="auto"/>
              </w:rPr>
            </w:pPr>
            <w:r>
              <w:rPr>
                <w:rFonts w:ascii="Arial" w:cs="Arial" w:eastAsia="Arial" w:hAnsi="Arial"/>
                <w:sz w:val="18"/>
                <w:szCs w:val="18"/>
                <w:color w:val="auto"/>
              </w:rPr>
              <w:t>May 29, 2014</w:t>
            </w:r>
          </w:p>
        </w:tc>
      </w:tr>
      <w:tr>
        <w:trPr>
          <w:trHeight w:val="224"/>
        </w:trPr>
        <w:tc>
          <w:tcPr>
            <w:tcW w:w="20" w:type="dxa"/>
            <w:vAlign w:val="bottom"/>
          </w:tcPr>
          <w:p>
            <w:pPr>
              <w:spacing w:after="0"/>
              <w:rPr>
                <w:sz w:val="19"/>
                <w:szCs w:val="19"/>
                <w:color w:val="auto"/>
              </w:rPr>
            </w:pPr>
          </w:p>
        </w:tc>
        <w:tc>
          <w:tcPr>
            <w:tcW w:w="52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Peter H. Stratton, Jr.</w:t>
            </w:r>
          </w:p>
        </w:tc>
        <w:tc>
          <w:tcPr>
            <w:tcW w:w="1120" w:type="dxa"/>
            <w:vAlign w:val="bottom"/>
          </w:tcPr>
          <w:p>
            <w:pPr>
              <w:spacing w:after="0"/>
              <w:rPr>
                <w:sz w:val="19"/>
                <w:szCs w:val="19"/>
                <w:color w:val="auto"/>
              </w:rPr>
            </w:pPr>
          </w:p>
        </w:tc>
        <w:tc>
          <w:tcPr>
            <w:tcW w:w="5020" w:type="dxa"/>
            <w:vAlign w:val="bottom"/>
            <w:tcBorders>
              <w:top w:val="single" w:sz="8" w:color="auto"/>
            </w:tcBorders>
          </w:tcPr>
          <w:p>
            <w:pPr>
              <w:spacing w:after="0"/>
              <w:rPr>
                <w:sz w:val="19"/>
                <w:szCs w:val="19"/>
                <w:color w:val="auto"/>
              </w:rPr>
            </w:pPr>
          </w:p>
        </w:tc>
      </w:tr>
      <w:tr>
        <w:trPr>
          <w:trHeight w:val="350"/>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120" w:type="dxa"/>
            <w:vAlign w:val="bottom"/>
          </w:tcPr>
          <w:p>
            <w:pPr>
              <w:jc w:val="right"/>
              <w:ind w:right="510"/>
              <w:spacing w:after="0"/>
              <w:rPr>
                <w:sz w:val="20"/>
                <w:szCs w:val="20"/>
                <w:color w:val="auto"/>
              </w:rPr>
            </w:pPr>
            <w:r>
              <w:rPr>
                <w:rFonts w:ascii="Arial" w:cs="Arial" w:eastAsia="Arial" w:hAnsi="Arial"/>
                <w:sz w:val="18"/>
                <w:szCs w:val="18"/>
                <w:color w:val="auto"/>
              </w:rPr>
              <w:t>14</w:t>
            </w:r>
          </w:p>
        </w:tc>
        <w:tc>
          <w:tcPr>
            <w:tcW w:w="50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FORM OF RELEASE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GENERAL RELEASE OF CLAIMS</w:t>
      </w:r>
    </w:p>
    <w:p>
      <w:pPr>
        <w:spacing w:after="0" w:line="225" w:lineRule="exact"/>
        <w:rPr>
          <w:sz w:val="20"/>
          <w:szCs w:val="20"/>
          <w:color w:val="auto"/>
        </w:rPr>
      </w:pPr>
    </w:p>
    <w:p>
      <w:pPr>
        <w:ind w:left="-20" w:firstLine="464"/>
        <w:spacing w:after="0" w:line="284" w:lineRule="auto"/>
        <w:tabs>
          <w:tab w:leader="none" w:pos="616" w:val="left"/>
        </w:tabs>
        <w:numPr>
          <w:ilvl w:val="0"/>
          <w:numId w:val="47"/>
        </w:numPr>
        <w:rPr>
          <w:rFonts w:ascii="Arial" w:cs="Arial" w:eastAsia="Arial" w:hAnsi="Arial"/>
          <w:sz w:val="16"/>
          <w:szCs w:val="16"/>
          <w:color w:val="auto"/>
        </w:rPr>
      </w:pPr>
      <w:r>
        <w:rPr>
          <w:rFonts w:ascii="Arial" w:cs="Arial" w:eastAsia="Arial" w:hAnsi="Arial"/>
          <w:sz w:val="16"/>
          <w:szCs w:val="16"/>
          <w:color w:val="auto"/>
        </w:rPr>
        <w:t>Peter H. Stratton, Jr. (“</w:t>
      </w:r>
      <w:r>
        <w:rPr>
          <w:rFonts w:ascii="Arial" w:cs="Arial" w:eastAsia="Arial" w:hAnsi="Arial"/>
          <w:sz w:val="16"/>
          <w:szCs w:val="16"/>
          <w:u w:val="single" w:color="auto"/>
          <w:color w:val="auto"/>
        </w:rPr>
        <w:t>Executive</w:t>
      </w:r>
      <w:r>
        <w:rPr>
          <w:rFonts w:ascii="Arial" w:cs="Arial" w:eastAsia="Arial" w:hAnsi="Arial"/>
          <w:sz w:val="16"/>
          <w:szCs w:val="16"/>
          <w:color w:val="auto"/>
        </w:rPr>
        <w:t>”), for himself and his family, heirs, executors, administrators, legal representatives and their respective successors and assigns, in exchange for good and valuable consideration to be paid after the date of his termination as set forth in the Employment Agreement to which this release is attached as Exhibit A (the “</w:t>
      </w:r>
      <w:r>
        <w:rPr>
          <w:rFonts w:ascii="Arial" w:cs="Arial" w:eastAsia="Arial" w:hAnsi="Arial"/>
          <w:sz w:val="16"/>
          <w:szCs w:val="16"/>
          <w:u w:val="single" w:color="auto"/>
          <w:color w:val="auto"/>
        </w:rPr>
        <w:t>Employment Agreement</w:t>
      </w:r>
      <w:r>
        <w:rPr>
          <w:rFonts w:ascii="Arial" w:cs="Arial" w:eastAsia="Arial" w:hAnsi="Arial"/>
          <w:sz w:val="16"/>
          <w:szCs w:val="16"/>
          <w:color w:val="auto"/>
        </w:rPr>
        <w:t>”), does hereby release and forever discharge Destination XL Group, Inc. (the “</w:t>
      </w:r>
      <w:r>
        <w:rPr>
          <w:rFonts w:ascii="Arial" w:cs="Arial" w:eastAsia="Arial" w:hAnsi="Arial"/>
          <w:sz w:val="16"/>
          <w:szCs w:val="16"/>
          <w:u w:val="single" w:color="auto"/>
          <w:color w:val="auto"/>
        </w:rPr>
        <w:t>Company</w:t>
      </w:r>
      <w:r>
        <w:rPr>
          <w:rFonts w:ascii="Arial" w:cs="Arial" w:eastAsia="Arial" w:hAnsi="Arial"/>
          <w:sz w:val="16"/>
          <w:szCs w:val="16"/>
          <w:color w:val="auto"/>
        </w:rPr>
        <w:t>”), its subsidiaries, affiliated companies, successors and assigns, and their respective current or former directors, officers, employees, shareholders or agents in such capacities (collectively with the Company, the “</w:t>
      </w:r>
      <w:r>
        <w:rPr>
          <w:rFonts w:ascii="Arial" w:cs="Arial" w:eastAsia="Arial" w:hAnsi="Arial"/>
          <w:sz w:val="16"/>
          <w:szCs w:val="16"/>
          <w:u w:val="single" w:color="auto"/>
          <w:color w:val="auto"/>
        </w:rPr>
        <w:t>Released Parties</w:t>
      </w:r>
      <w:r>
        <w:rPr>
          <w:rFonts w:ascii="Arial" w:cs="Arial" w:eastAsia="Arial" w:hAnsi="Arial"/>
          <w:sz w:val="16"/>
          <w:szCs w:val="16"/>
          <w:color w:val="auto"/>
        </w:rPr>
        <w:t>”) from any and all actions, causes of action, suits, controversies, claims and demands whatsoever, for or by reason of any matter, cause or thing whatsoever, whether known or unknown including, but not limited to, all claims under any applicable laws arising under or in connection with Executive’s employment or termination thereof, whether for tort, breach of express or implied employment contract, wrongful discharge, intentional infliction of emotional distress, or defamation or injuries incurred on the job or incurred as a result of loss of employment. Executive acknowledges that the Company encouraged him to consult with an attorney of his choosing, and through this General Release of Claims encourages him to consult with his attorney with respect to possible claims under the Age Discrimination in Employment Act (“</w:t>
      </w:r>
      <w:r>
        <w:rPr>
          <w:rFonts w:ascii="Arial" w:cs="Arial" w:eastAsia="Arial" w:hAnsi="Arial"/>
          <w:sz w:val="16"/>
          <w:szCs w:val="16"/>
          <w:u w:val="single" w:color="auto"/>
          <w:color w:val="auto"/>
        </w:rPr>
        <w:t>ADEA</w:t>
      </w:r>
      <w:r>
        <w:rPr>
          <w:rFonts w:ascii="Arial" w:cs="Arial" w:eastAsia="Arial" w:hAnsi="Arial"/>
          <w:sz w:val="16"/>
          <w:szCs w:val="16"/>
          <w:color w:val="auto"/>
        </w:rPr>
        <w:t>”) and that he understands that the ADEA is a Federal statute that, among other things, prohibits discrimination on the basis of age in employment and employee benefits and benefit plans. Without limiting the generality of the release provided above, Executive expressly waives any and all claims under ADEA that he may have as of the date hereof. Executive further understands that by signing this General Release of Claims he is in fact waiving, releasing and forever giving up any claim under the ADEA as well as all other laws within the scope of this paragraph 1 that may have existed on or prior to the date hereof. Notwithstanding anything in this paragraph 1 to the contrary, this General Release of Claims shall not apply to (i) any rights to receive any payments pursuant to paragraph 7 of the Employment Agreement, or any accrued but unpaid benefits under any employee benefit plan maintained by the Company (ii) any rights or claims that may arise as a result of events occurring after the date this General Release of Claims is executed, (iii) any indemnification rights Executive may have as a former officer or director of the Company or its subsidiaries or affiliated companies, (iv) any claims for benefits under any directors’ and officers’ liability policy maintained by the Company or its subsidiaries or affiliated companies in accordance with the terms of such policy, (v) any rights as a holder of equity securities of the Company, and (vi) any rights or claims that, by law, may not be waived, including claims for unemployment compensation and workers’ compensation. Nothing contained in this Agreement prevents you from filing a charge, cooperating with or participating in any investigation or proceeding before any federal or state Fair Employment Practices Agency, including, without limitation, the Equal Employment Opportunity Commission, except that you acknowledge that you will not be able to recover any monetary benefits in connection with any such claim, charge or proceeding.</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60" w:top="274" w:right="239" w:bottom="1440" w:gutter="0" w:footer="0" w:header="0"/>
        </w:sectPr>
      </w:pPr>
    </w:p>
    <w:bookmarkStart w:id="19" w:name="page20"/>
    <w:bookmarkEnd w:id="19"/>
    <w:p>
      <w:pPr>
        <w:ind w:left="-60" w:firstLine="464"/>
        <w:spacing w:after="0" w:line="276" w:lineRule="auto"/>
        <w:tabs>
          <w:tab w:leader="none" w:pos="576" w:val="left"/>
        </w:tabs>
        <w:numPr>
          <w:ilvl w:val="0"/>
          <w:numId w:val="4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Executive represents that he has not filed against the Released Parties any complaints, charges, or lawsuits arising out of his employment, or any other matter arising on or prior to the date of this General Release of Claims, and covenants and agrees that he will never individually or with any person file, or commence the filing of, any charges, lawsuits, complaints or proceedings with any governmental agency, or against the Released Parties with respect to any of the matters released by Executive pursuant to paragraph 1 hereof (a “</w:t>
      </w:r>
      <w:r>
        <w:rPr>
          <w:rFonts w:ascii="Arial" w:cs="Arial" w:eastAsia="Arial" w:hAnsi="Arial"/>
          <w:sz w:val="17"/>
          <w:szCs w:val="17"/>
          <w:u w:val="single" w:color="auto"/>
          <w:color w:val="auto"/>
        </w:rPr>
        <w:t>Proceeding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Executive shall not have relinquished his right to commence a Proceeding to challenge whether Executive knowingly and voluntarily waived his rights under ADEA.</w:t>
      </w:r>
    </w:p>
    <w:p>
      <w:pPr>
        <w:spacing w:after="0" w:line="172" w:lineRule="exact"/>
        <w:rPr>
          <w:rFonts w:ascii="Arial" w:cs="Arial" w:eastAsia="Arial" w:hAnsi="Arial"/>
          <w:sz w:val="17"/>
          <w:szCs w:val="17"/>
          <w:color w:val="auto"/>
        </w:rPr>
      </w:pPr>
    </w:p>
    <w:p>
      <w:pPr>
        <w:jc w:val="both"/>
        <w:ind w:left="-60" w:right="60" w:firstLine="464"/>
        <w:spacing w:after="0" w:line="259" w:lineRule="auto"/>
        <w:tabs>
          <w:tab w:leader="none" w:pos="576"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Executive hereby acknowledges that the Company has informed him that he has up to twenty-one (21) days to sign this General Release of Claims and he may knowingly and voluntarily waive that twenty-one (21) day period by signing this General Release of Claims earlier. Executive also understands that he shall have seven (7) days following the date on which he signs this General Release of Claims within which to revoke it by providing a written notice of his revocation to the Company.</w:t>
      </w:r>
    </w:p>
    <w:p>
      <w:pPr>
        <w:spacing w:after="0" w:line="186" w:lineRule="exact"/>
        <w:rPr>
          <w:rFonts w:ascii="Arial" w:cs="Arial" w:eastAsia="Arial" w:hAnsi="Arial"/>
          <w:sz w:val="18"/>
          <w:szCs w:val="18"/>
          <w:color w:val="auto"/>
        </w:rPr>
      </w:pPr>
    </w:p>
    <w:p>
      <w:pPr>
        <w:ind w:left="-60" w:firstLine="464"/>
        <w:spacing w:after="0" w:line="277" w:lineRule="auto"/>
        <w:tabs>
          <w:tab w:leader="none" w:pos="576"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Executive acknowledges that this General Release of Claims will be governed by and construed and enforced in accordance with the internal laws of the Commonwealth of Massachusetts applicable to contracts made and to be performed entirely within such State.</w:t>
      </w:r>
    </w:p>
    <w:p>
      <w:pPr>
        <w:spacing w:after="0" w:line="170" w:lineRule="exact"/>
        <w:rPr>
          <w:rFonts w:ascii="Arial" w:cs="Arial" w:eastAsia="Arial" w:hAnsi="Arial"/>
          <w:sz w:val="18"/>
          <w:szCs w:val="18"/>
          <w:color w:val="auto"/>
        </w:rPr>
      </w:pPr>
    </w:p>
    <w:p>
      <w:pPr>
        <w:jc w:val="both"/>
        <w:ind w:left="-60" w:right="100" w:firstLine="464"/>
        <w:spacing w:after="0" w:line="264" w:lineRule="auto"/>
        <w:tabs>
          <w:tab w:leader="none" w:pos="576"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Executive acknowledges that he has read this General Release of Claims, that he has been advised that he should consult with an attorney before he executes this general release of claims, and that he understands all of its terms and executes it voluntarily and with full knowledge of its significance and the consequences thereof.</w:t>
      </w:r>
    </w:p>
    <w:p>
      <w:pPr>
        <w:spacing w:after="0" w:line="181" w:lineRule="exact"/>
        <w:rPr>
          <w:rFonts w:ascii="Arial" w:cs="Arial" w:eastAsia="Arial" w:hAnsi="Arial"/>
          <w:sz w:val="18"/>
          <w:szCs w:val="18"/>
          <w:color w:val="auto"/>
        </w:rPr>
      </w:pPr>
    </w:p>
    <w:p>
      <w:pPr>
        <w:ind w:left="-60" w:right="620" w:firstLine="464"/>
        <w:spacing w:after="0" w:line="277" w:lineRule="auto"/>
        <w:tabs>
          <w:tab w:leader="none" w:pos="576"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This General Release of Claims shall take effect on the eighth day following Executive’s execution of this General Release of Claims unless Executive’s written revocation is delivered to the Company within seven (7) days after such execution.</w:t>
      </w:r>
    </w:p>
    <w:p>
      <w:pPr>
        <w:spacing w:after="0" w:line="200" w:lineRule="exact"/>
        <w:rPr>
          <w:sz w:val="20"/>
          <w:szCs w:val="20"/>
          <w:color w:val="auto"/>
        </w:rPr>
      </w:pPr>
    </w:p>
    <w:p>
      <w:pPr>
        <w:spacing w:after="0" w:line="254"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4323715</wp:posOffset>
            </wp:positionH>
            <wp:positionV relativeFrom="paragraph">
              <wp:posOffset>-130175</wp:posOffset>
            </wp:positionV>
            <wp:extent cx="28898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00"/>
          </w:cols>
          <w:pgMar w:left="300" w:top="274" w:right="29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629410" cy="909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2941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Jeff Unger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(561) 482-9715</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Destination XL Group, Inc. Reports First-Quarter Fiscal 2014 Financial Results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Strong DXL Comparable Sales Increase of 12.8%</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Reports Fourth Consecutive Quarter of Double-Digit Comparable Sales Increases for DXL Stores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Promotes Peter H. Stratton, Jr. to Chief Financial Officer</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 xml:space="preserve">CANTON, Mass., May 29, 2014 – </w:t>
      </w:r>
      <w:r>
        <w:rPr>
          <w:rFonts w:ascii="Arial" w:cs="Arial" w:eastAsia="Arial" w:hAnsi="Arial"/>
          <w:sz w:val="18"/>
          <w:szCs w:val="18"/>
          <w:u w:val="single" w:color="auto"/>
          <w:color w:val="auto"/>
        </w:rPr>
        <w:t>Destination XL Group, Inc.</w:t>
      </w:r>
      <w:r>
        <w:rPr>
          <w:rFonts w:ascii="Arial" w:cs="Arial" w:eastAsia="Arial" w:hAnsi="Arial"/>
          <w:sz w:val="18"/>
          <w:szCs w:val="18"/>
          <w:color w:val="auto"/>
        </w:rPr>
        <w:t xml:space="preserve"> (NASDAQ: DXLG), the largest multi-channel specialty retailer of big &amp; tall men’s apparel and accessories, today reported operating results for the first quarter of fiscal 2014. In a separate news release, the Company also announced the appointment of Peter H. Stratton, Jr. to the position of senior vice president, chief financial officer and treasurer.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First-Quarter Fiscal 2014 Highlights</w:t>
      </w:r>
    </w:p>
    <w:p>
      <w:pPr>
        <w:spacing w:after="0" w:line="135" w:lineRule="exact"/>
        <w:rPr>
          <w:sz w:val="20"/>
          <w:szCs w:val="20"/>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Total comparable sales increased 3.4%.</w:t>
      </w:r>
    </w:p>
    <w:p>
      <w:pPr>
        <w:spacing w:after="0" w:line="130"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Total sales increased 3.0% to $96.8 million compared with $94.0 million in the first quarter of fiscal 2013, of which $36.2 million were from DXL stores compared with $17.0 million in the first quarter of fiscal 2013.</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52 DXL stores, opened at least 13 months, had a 12.8% comparable sales increase.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DXL brand awareness increased from 13% in Spring 2013 to 30% in Spring 2014.</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Company reaffirms guidance of $(0.12) to $(0.16) per diluted share, on a non-GAAP basis, for fiscal 2014.</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Company opened 7 new DXL stores and closed 10 Casual Male XL stores, bringing the total DXL store count to 106 as of May 3, 2014.</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Comparable Sales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breakdown of comparable sales for the first quarter of fiscal 2014:</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of Stores</w:t>
            </w:r>
          </w:p>
        </w:tc>
        <w:tc>
          <w:tcPr>
            <w:tcW w:w="16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Comparable Sales %</w:t>
            </w:r>
          </w:p>
        </w:tc>
        <w:tc>
          <w:tcPr>
            <w:tcW w:w="0" w:type="dxa"/>
            <w:vAlign w:val="bottom"/>
          </w:tcPr>
          <w:p>
            <w:pPr>
              <w:spacing w:after="0"/>
              <w:rPr>
                <w:sz w:val="1"/>
                <w:szCs w:val="1"/>
                <w:color w:val="auto"/>
              </w:rPr>
            </w:pPr>
          </w:p>
        </w:tc>
      </w:tr>
      <w:tr>
        <w:trPr>
          <w:trHeight w:val="171"/>
        </w:trPr>
        <w:tc>
          <w:tcPr>
            <w:tcW w:w="180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6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8"/>
        </w:trPr>
        <w:tc>
          <w:tcPr>
            <w:tcW w:w="180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Total Comparable</w:t>
            </w:r>
          </w:p>
        </w:tc>
        <w:tc>
          <w:tcPr>
            <w:tcW w:w="48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Sales for Q1 2014</w:t>
            </w:r>
          </w:p>
        </w:tc>
        <w:tc>
          <w:tcPr>
            <w:tcW w:w="48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3.4%</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Arial" w:cs="Arial" w:eastAsia="Arial" w:hAnsi="Arial"/>
                <w:sz w:val="18"/>
                <w:szCs w:val="18"/>
                <w:b w:val="1"/>
                <w:bCs w:val="1"/>
                <w:color w:val="auto"/>
              </w:rPr>
              <w:t>Retail Business</w:t>
            </w:r>
          </w:p>
        </w:tc>
        <w:tc>
          <w:tcPr>
            <w:tcW w:w="4820" w:type="dxa"/>
            <w:vAlign w:val="bottom"/>
          </w:tcPr>
          <w:p>
            <w:pPr>
              <w:ind w:left="380"/>
              <w:spacing w:after="0"/>
              <w:rPr>
                <w:sz w:val="20"/>
                <w:szCs w:val="20"/>
                <w:color w:val="auto"/>
              </w:rPr>
            </w:pPr>
            <w:r>
              <w:rPr>
                <w:rFonts w:ascii="Arial" w:cs="Arial" w:eastAsia="Arial" w:hAnsi="Arial"/>
                <w:sz w:val="18"/>
                <w:szCs w:val="18"/>
                <w:color w:val="auto"/>
              </w:rPr>
              <w:t>Total comparable retail stores</w:t>
            </w:r>
          </w:p>
        </w:tc>
        <w:tc>
          <w:tcPr>
            <w:tcW w:w="136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302</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4.7%</w:t>
            </w: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spacing w:after="0"/>
              <w:rPr>
                <w:sz w:val="18"/>
                <w:szCs w:val="18"/>
                <w:color w:val="auto"/>
              </w:rPr>
            </w:pPr>
          </w:p>
        </w:tc>
        <w:tc>
          <w:tcPr>
            <w:tcW w:w="48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DXL comparable stores</w:t>
            </w: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52</w:t>
            </w: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4820" w:type="dxa"/>
            <w:vAlign w:val="bottom"/>
          </w:tcPr>
          <w:p>
            <w:pPr>
              <w:ind w:left="380"/>
              <w:spacing w:after="0"/>
              <w:rPr>
                <w:sz w:val="20"/>
                <w:szCs w:val="20"/>
                <w:color w:val="auto"/>
              </w:rPr>
            </w:pPr>
            <w:r>
              <w:rPr>
                <w:rFonts w:ascii="Arial" w:cs="Arial" w:eastAsia="Arial" w:hAnsi="Arial"/>
                <w:sz w:val="18"/>
                <w:szCs w:val="18"/>
                <w:color w:val="auto"/>
              </w:rPr>
              <w:t>Casual Male XL and Rochester Clothing stores</w:t>
            </w: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250</w:t>
            </w: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 Business</w:t>
            </w:r>
          </w:p>
        </w:tc>
        <w:tc>
          <w:tcPr>
            <w:tcW w:w="4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Management Comments</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started the fiscal year off strong, driven by a solid performance at our Destination XL stores in the first quarter of 2014,” said President and CEO David Levin. “Although the severe winter weather impacted business in February and March, sales rebounded in April and more than offset weakness early in the quarter as we reported a 3.4% overall comparable sales increase. This positive momentum has continued in May. Our DXL stores continue to perform very well, delivering a 12.8% comparable sales increase during what was a difficult quarter in the retail sector. We have now reported four consecutive quarters of double-digit comparable sales growth at DXL stores.”</w:t>
      </w:r>
    </w:p>
    <w:p>
      <w:pPr>
        <w:spacing w:after="0" w:line="18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“At the end of April, we launched our newest marketing campaign that we expect will drive increased traffic and higher conversion rates at DXL stores,” said Levin. “DXL brand awareness has increased from 13% in Spring 2013 to 30% in Spring 2014. This quarter marked the first quarter during the DXL store era that we increased our customer base while closing Casual Male XL stores. Our 2014 campaign is more geared toward showcasing our stores and the depth of merchandise we have to offer. The new TV and radio commercials include various calls to action to incentivize our customers to visit our DXL stores or website. We now have a critical mass of stores open across the country and look forward to capitalizing on our ongoing marketing initiatives.”</w:t>
      </w:r>
    </w:p>
    <w:p>
      <w:pPr>
        <w:spacing w:after="0" w:line="15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a result of the continued success of our DXL strategy, during the next few years we expect to further increase our top line, improve profitability, generate cash flow and grow sales per square foot and four wall contribution,” concluded Levin.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First-Quarter Fiscal 2014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For the first quarter of fiscal 2014, total sales were $96.8 million compared with $94.0 million in the first quarter of fiscal 2013. The increase of $2.8 million in total sales was primarily due to an increase in comparable sales of $2.5 million, or 3.4%. Through the end of fiscal 2013, the Company’s definition of comparable sales included DXL stores compared with the sales of predecessor Casual Male XL stores. This was done to provide a metric as to how the Company’s DXL stores were performing in comparison to its Casual Male XL legacy stores. Beginning in the first quarter of fiscal 2014, the Company returned to a more traditional calculation of comparable sales and only stores open at least 13 months are included in the calculation of comparable store sales.</w:t>
      </w:r>
    </w:p>
    <w:p>
      <w:pPr>
        <w:sectPr>
          <w:pgSz w:w="11900" w:h="16838" w:orient="portrait"/>
          <w:cols w:equalWidth="0" w:num="1">
            <w:col w:w="11380"/>
          </w:cols>
          <w:pgMar w:left="240" w:top="270" w:right="27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Gross Profit Margin</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For the first quarter of fiscal 2014, gross margin, inclusive of occupancy costs, was 45.4% as compared to a gross margin rate of 47.2% for the first quarter of fiscal 2013. The decrease of 180 basis points for the first quarter of fiscal 2014 was the result of an increase in occupancy costs of 20 basis points and a decrease in merchandise margins of 160 basis points. The decrease in merchandise margin for the first quarter of fiscal 2014 was higher due to increased in-store promotions, customer acquisition initiatives, and increased penetration of clearance merchandise.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&amp; Administrative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SG&amp;A expenses for the first quarter of fiscal 2014 were 43.0% of sales, compared to 40.6% in the first quarter of fiscal 2013. On a dollar basis, SG&amp;A expenses increased $3.4 million, or 8.9%, for the first quarter of fiscal 2014 as compared to the prior year quarter. The increase of $3.4 million includes incremental costs of approximately $0.9 million related to pre-opening payroll, training and store operations to support the new DXL stores and a net increase of $0.6 million in marketing costs associated with the launch of the 2014 campaign. The remainder of the increase is primarily due to increased store payroll and higher than expected medical and worker’s compensation claims.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Depreciation and amortization for the first quarter of fiscal 2014 grew to $5.4 million from $4.2 million for the first quarter of fiscal 2013, primarily due to an increase in capital expenditures related to DXL store growth.</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DXL Transition Costs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results for the first quarter of fiscal 2014 include DXL transition costs of approximately $1.5 million, or $0.03 per diluted share. The $0.03 per diluted share does not include any income tax benefit because the Company has a full valuation allowance against its deferred tax assets. These transition costs include $0.3 million of pre-opening occupancy costs and lease exit costs, $0.9 million of SG&amp;A expenses related to pre-opening payroll, training and store operations and $0.3 million related to trademark amortization. Results for the first quarter of fiscal 2013 included DXL transition costs of approximately $2.4 million, or $0.03 per diluted share.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Rate</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At February 1, 2014, the Company established a full valuation allowance against its deferred tax assets. For fiscal 2014, the Company expects to continue to provide a full valuation allowance against its deferred tax assets; therefore, the Company will not recognize any income tax benefit in fiscal 2014. The effective tax rate for the first quarter of fiscal 2013 was 43.9%.</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net loss for the first quarter of fiscal 2014 was $(3.5) million, or $(0.07) per diluted share, compared with net income of $1.0 million, or $0.02 per diluted share, for the first quarter of fiscal 2013. On a non-GAAP basis, assuming a normalized tax rate of 40%, the adjusted net loss for the quarter was $(2.1) million, or $(0.04) per diluted share. See “Non-GAAP Measures” below and a reconciliation of adjusted net loss and adjusted net loss per diluted share to net loss and net loss per diluted share that follows the tables below.</w:t>
      </w:r>
    </w:p>
    <w:p>
      <w:pPr>
        <w:sectPr>
          <w:pgSz w:w="11900" w:h="16838" w:orient="portrait"/>
          <w:cols w:equalWidth="0" w:num="1">
            <w:col w:w="11380"/>
          </w:cols>
          <w:pgMar w:left="240" w:top="274" w:right="27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Cash Flow</w:t>
      </w:r>
    </w:p>
    <w:p>
      <w:pPr>
        <w:spacing w:after="0" w:line="117"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Cash flow used for operations was $13.9 million for the first three months of fiscal 2014 compared with $5.6 million for the first three months of fiscal 2013. Free cash flow from operations decreased by $11.4 million to $(25.0) million from $(13.6) million for the first three months of fiscal 2013, due to an increase in capital expenditures of $3.1 million related to DXL store openings and a decrease of $8.3 million in cash flow from operations. The decrease in cash flow from operations was principally due to the timing of certain working capital accounts. See “Non-GAAP Measures” below for a definition of free cash flow and a reconciliation of free cash flow to cash flow from operations that follows the tables below.</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Balance Sheet &amp; Liquidity</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At May 3, 2014, the Company had cash and cash equivalents of $5.6 million, outstanding borrowings of $51.8 million, and $67.9 million available under its credit facility.</w:t>
      </w:r>
    </w:p>
    <w:p>
      <w:pPr>
        <w:spacing w:after="0" w:line="17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Inventory was $114.2 million at May 3, 2014 compared with $105.6 million at the end of fiscal 2013. At May 3, 2014, compared with May 4, 2013, inventory dollars increased 1.6%, while units decreased by 6.5%. The 1.6% increase in inventory value is due primarily to increased branded apparel. With a greater number of DXL stores open, the Company has a greater mix of higher cost branded apparel. Although store count has decreased from the first quarter of fiscal 2013, square footage increased 4.2% and, as a result, average inventory per square foot was lower than the prior year’s first quarter.</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Retail Store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store count, with respective square footage by store concept: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840" w:type="dxa"/>
            <w:vAlign w:val="bottom"/>
          </w:tcPr>
          <w:p>
            <w:pPr>
              <w:spacing w:after="0"/>
              <w:rPr>
                <w:sz w:val="14"/>
                <w:szCs w:val="14"/>
                <w:color w:val="auto"/>
              </w:rPr>
            </w:pPr>
          </w:p>
        </w:tc>
        <w:tc>
          <w:tcPr>
            <w:tcW w:w="1440" w:type="dxa"/>
            <w:vAlign w:val="bottom"/>
            <w:gridSpan w:val="4"/>
          </w:tcPr>
          <w:p>
            <w:pPr>
              <w:ind w:left="140"/>
              <w:spacing w:after="0"/>
              <w:rPr>
                <w:sz w:val="20"/>
                <w:szCs w:val="20"/>
                <w:color w:val="auto"/>
              </w:rPr>
            </w:pPr>
            <w:r>
              <w:rPr>
                <w:rFonts w:ascii="Arial" w:cs="Arial" w:eastAsia="Arial" w:hAnsi="Arial"/>
                <w:sz w:val="14"/>
                <w:szCs w:val="14"/>
                <w:color w:val="auto"/>
              </w:rPr>
              <w:t>Year End 2012</w:t>
            </w:r>
          </w:p>
        </w:tc>
        <w:tc>
          <w:tcPr>
            <w:tcW w:w="1460" w:type="dxa"/>
            <w:vAlign w:val="bottom"/>
            <w:gridSpan w:val="4"/>
          </w:tcPr>
          <w:p>
            <w:pPr>
              <w:ind w:left="160"/>
              <w:spacing w:after="0"/>
              <w:rPr>
                <w:sz w:val="20"/>
                <w:szCs w:val="20"/>
                <w:color w:val="auto"/>
              </w:rPr>
            </w:pPr>
            <w:r>
              <w:rPr>
                <w:rFonts w:ascii="Arial" w:cs="Arial" w:eastAsia="Arial" w:hAnsi="Arial"/>
                <w:sz w:val="14"/>
                <w:szCs w:val="14"/>
                <w:color w:val="auto"/>
              </w:rPr>
              <w:t>Year End 2013</w:t>
            </w:r>
          </w:p>
        </w:tc>
        <w:tc>
          <w:tcPr>
            <w:tcW w:w="1440" w:type="dxa"/>
            <w:vAlign w:val="bottom"/>
            <w:gridSpan w:val="4"/>
          </w:tcPr>
          <w:p>
            <w:pPr>
              <w:jc w:val="right"/>
              <w:ind w:right="420"/>
              <w:spacing w:after="0"/>
              <w:rPr>
                <w:sz w:val="20"/>
                <w:szCs w:val="20"/>
                <w:color w:val="auto"/>
              </w:rPr>
            </w:pPr>
            <w:r>
              <w:rPr>
                <w:rFonts w:ascii="Arial" w:cs="Arial" w:eastAsia="Arial" w:hAnsi="Arial"/>
                <w:sz w:val="14"/>
                <w:szCs w:val="14"/>
                <w:color w:val="auto"/>
              </w:rPr>
              <w:t>At May 3, 2014</w:t>
            </w:r>
          </w:p>
        </w:tc>
        <w:tc>
          <w:tcPr>
            <w:tcW w:w="1240" w:type="dxa"/>
            <w:vAlign w:val="bottom"/>
            <w:gridSpan w:val="4"/>
          </w:tcPr>
          <w:p>
            <w:pPr>
              <w:ind w:left="100"/>
              <w:spacing w:after="0"/>
              <w:rPr>
                <w:sz w:val="20"/>
                <w:szCs w:val="20"/>
                <w:color w:val="auto"/>
              </w:rPr>
            </w:pPr>
            <w:r>
              <w:rPr>
                <w:rFonts w:ascii="Arial" w:cs="Arial" w:eastAsia="Arial" w:hAnsi="Arial"/>
                <w:sz w:val="14"/>
                <w:szCs w:val="14"/>
                <w:color w:val="auto"/>
              </w:rPr>
              <w:t>Year End 2014E</w:t>
            </w:r>
          </w:p>
        </w:tc>
      </w:tr>
      <w:tr>
        <w:trPr>
          <w:trHeight w:val="119"/>
        </w:trPr>
        <w:tc>
          <w:tcPr>
            <w:tcW w:w="5840" w:type="dxa"/>
            <w:vAlign w:val="bottom"/>
          </w:tcPr>
          <w:p>
            <w:pPr>
              <w:spacing w:after="0"/>
              <w:rPr>
                <w:sz w:val="10"/>
                <w:szCs w:val="10"/>
                <w:color w:val="auto"/>
              </w:rPr>
            </w:pPr>
          </w:p>
        </w:tc>
        <w:tc>
          <w:tcPr>
            <w:tcW w:w="700" w:type="dxa"/>
            <w:vAlign w:val="bottom"/>
            <w:tcBorders>
              <w:top w:val="single" w:sz="8" w:color="auto"/>
            </w:tcBorders>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 of</w:t>
            </w:r>
          </w:p>
        </w:tc>
        <w:tc>
          <w:tcPr>
            <w:tcW w:w="460" w:type="dxa"/>
            <w:vAlign w:val="bottom"/>
            <w:tcBorders>
              <w:top w:val="single" w:sz="8" w:color="auto"/>
            </w:tcBorders>
          </w:tcPr>
          <w:p>
            <w:pPr>
              <w:ind w:left="40"/>
              <w:spacing w:after="0" w:line="119" w:lineRule="exact"/>
              <w:rPr>
                <w:sz w:val="20"/>
                <w:szCs w:val="20"/>
                <w:color w:val="auto"/>
              </w:rPr>
            </w:pPr>
            <w:r>
              <w:rPr>
                <w:rFonts w:ascii="Arial" w:cs="Arial" w:eastAsia="Arial" w:hAnsi="Arial"/>
                <w:sz w:val="13"/>
                <w:szCs w:val="13"/>
                <w:b w:val="1"/>
                <w:bCs w:val="1"/>
                <w:color w:val="auto"/>
              </w:rPr>
              <w:t>Sq Ft.</w:t>
            </w:r>
          </w:p>
        </w:tc>
        <w:tc>
          <w:tcPr>
            <w:tcW w:w="280" w:type="dxa"/>
            <w:vAlign w:val="bottom"/>
          </w:tcPr>
          <w:p>
            <w:pPr>
              <w:spacing w:after="0"/>
              <w:rPr>
                <w:sz w:val="10"/>
                <w:szCs w:val="10"/>
                <w:color w:val="auto"/>
              </w:rPr>
            </w:pPr>
          </w:p>
        </w:tc>
        <w:tc>
          <w:tcPr>
            <w:tcW w:w="700" w:type="dxa"/>
            <w:vAlign w:val="bottom"/>
            <w:tcBorders>
              <w:top w:val="single" w:sz="8" w:color="auto"/>
            </w:tcBorders>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 of</w:t>
            </w:r>
          </w:p>
        </w:tc>
        <w:tc>
          <w:tcPr>
            <w:tcW w:w="460" w:type="dxa"/>
            <w:vAlign w:val="bottom"/>
            <w:tcBorders>
              <w:top w:val="single" w:sz="8" w:color="auto"/>
            </w:tcBorders>
          </w:tcPr>
          <w:p>
            <w:pPr>
              <w:ind w:left="40"/>
              <w:spacing w:after="0" w:line="119" w:lineRule="exact"/>
              <w:rPr>
                <w:sz w:val="20"/>
                <w:szCs w:val="20"/>
                <w:color w:val="auto"/>
              </w:rPr>
            </w:pPr>
            <w:r>
              <w:rPr>
                <w:rFonts w:ascii="Arial" w:cs="Arial" w:eastAsia="Arial" w:hAnsi="Arial"/>
                <w:sz w:val="13"/>
                <w:szCs w:val="13"/>
                <w:b w:val="1"/>
                <w:bCs w:val="1"/>
                <w:color w:val="auto"/>
              </w:rPr>
              <w:t>Sq Ft.</w:t>
            </w:r>
          </w:p>
        </w:tc>
        <w:tc>
          <w:tcPr>
            <w:tcW w:w="300" w:type="dxa"/>
            <w:vAlign w:val="bottom"/>
          </w:tcPr>
          <w:p>
            <w:pPr>
              <w:spacing w:after="0"/>
              <w:rPr>
                <w:sz w:val="10"/>
                <w:szCs w:val="10"/>
                <w:color w:val="auto"/>
              </w:rPr>
            </w:pPr>
          </w:p>
        </w:tc>
        <w:tc>
          <w:tcPr>
            <w:tcW w:w="680" w:type="dxa"/>
            <w:vAlign w:val="bottom"/>
            <w:tcBorders>
              <w:top w:val="single" w:sz="8" w:color="auto"/>
            </w:tcBorders>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 of</w:t>
            </w:r>
          </w:p>
        </w:tc>
        <w:tc>
          <w:tcPr>
            <w:tcW w:w="460" w:type="dxa"/>
            <w:vAlign w:val="bottom"/>
            <w:tcBorders>
              <w:top w:val="single" w:sz="8" w:color="auto"/>
            </w:tcBorders>
          </w:tcPr>
          <w:p>
            <w:pPr>
              <w:ind w:left="20"/>
              <w:spacing w:after="0" w:line="119" w:lineRule="exact"/>
              <w:rPr>
                <w:sz w:val="20"/>
                <w:szCs w:val="20"/>
                <w:color w:val="auto"/>
              </w:rPr>
            </w:pPr>
            <w:r>
              <w:rPr>
                <w:rFonts w:ascii="Arial" w:cs="Arial" w:eastAsia="Arial" w:hAnsi="Arial"/>
                <w:sz w:val="13"/>
                <w:szCs w:val="13"/>
                <w:b w:val="1"/>
                <w:bCs w:val="1"/>
                <w:color w:val="auto"/>
              </w:rPr>
              <w:t>Sq Ft.</w:t>
            </w:r>
          </w:p>
        </w:tc>
        <w:tc>
          <w:tcPr>
            <w:tcW w:w="300" w:type="dxa"/>
            <w:vAlign w:val="bottom"/>
          </w:tcPr>
          <w:p>
            <w:pPr>
              <w:spacing w:after="0"/>
              <w:rPr>
                <w:sz w:val="10"/>
                <w:szCs w:val="10"/>
                <w:color w:val="auto"/>
              </w:rPr>
            </w:pPr>
          </w:p>
        </w:tc>
        <w:tc>
          <w:tcPr>
            <w:tcW w:w="680" w:type="dxa"/>
            <w:vAlign w:val="bottom"/>
            <w:tcBorders>
              <w:top w:val="single" w:sz="8" w:color="auto"/>
            </w:tcBorders>
            <w:gridSpan w:val="2"/>
          </w:tcPr>
          <w:p>
            <w:pPr>
              <w:ind w:left="80"/>
              <w:spacing w:after="0" w:line="119" w:lineRule="exact"/>
              <w:rPr>
                <w:sz w:val="20"/>
                <w:szCs w:val="20"/>
                <w:color w:val="auto"/>
              </w:rPr>
            </w:pPr>
            <w:r>
              <w:rPr>
                <w:rFonts w:ascii="Arial" w:cs="Arial" w:eastAsia="Arial" w:hAnsi="Arial"/>
                <w:sz w:val="13"/>
                <w:szCs w:val="13"/>
                <w:b w:val="1"/>
                <w:bCs w:val="1"/>
                <w:color w:val="auto"/>
              </w:rPr>
              <w:t># of</w:t>
            </w:r>
          </w:p>
        </w:tc>
        <w:tc>
          <w:tcPr>
            <w:tcW w:w="460" w:type="dxa"/>
            <w:vAlign w:val="bottom"/>
            <w:tcBorders>
              <w:top w:val="single" w:sz="8" w:color="auto"/>
            </w:tcBorders>
          </w:tcPr>
          <w:p>
            <w:pPr>
              <w:ind w:left="60"/>
              <w:spacing w:after="0" w:line="119" w:lineRule="exact"/>
              <w:rPr>
                <w:sz w:val="20"/>
                <w:szCs w:val="20"/>
                <w:color w:val="auto"/>
              </w:rPr>
            </w:pPr>
            <w:r>
              <w:rPr>
                <w:rFonts w:ascii="Arial" w:cs="Arial" w:eastAsia="Arial" w:hAnsi="Arial"/>
                <w:sz w:val="13"/>
                <w:szCs w:val="13"/>
                <w:b w:val="1"/>
                <w:bCs w:val="1"/>
                <w:color w:val="auto"/>
              </w:rPr>
              <w:t>Sq Ft.</w:t>
            </w:r>
          </w:p>
        </w:tc>
        <w:tc>
          <w:tcPr>
            <w:tcW w:w="100" w:type="dxa"/>
            <w:vAlign w:val="bottom"/>
          </w:tcPr>
          <w:p>
            <w:pPr>
              <w:spacing w:after="0"/>
              <w:rPr>
                <w:sz w:val="10"/>
                <w:szCs w:val="10"/>
                <w:color w:val="auto"/>
              </w:rPr>
            </w:pPr>
          </w:p>
        </w:tc>
      </w:tr>
      <w:tr>
        <w:trPr>
          <w:trHeight w:val="171"/>
        </w:trPr>
        <w:tc>
          <w:tcPr>
            <w:tcW w:w="5840" w:type="dxa"/>
            <w:vAlign w:val="bottom"/>
          </w:tcPr>
          <w:p>
            <w:pPr>
              <w:spacing w:after="0"/>
              <w:rPr>
                <w:sz w:val="14"/>
                <w:szCs w:val="14"/>
                <w:color w:val="auto"/>
              </w:rPr>
            </w:pPr>
          </w:p>
        </w:tc>
        <w:tc>
          <w:tcPr>
            <w:tcW w:w="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Stores</w:t>
            </w: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(000’s)</w:t>
            </w:r>
          </w:p>
        </w:tc>
        <w:tc>
          <w:tcPr>
            <w:tcW w:w="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Stores</w:t>
            </w: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(000’s)</w:t>
            </w: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2"/>
              </w:rPr>
              <w:t>Stores</w:t>
            </w: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(000’s)</w:t>
            </w: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Stores</w:t>
            </w:r>
          </w:p>
        </w:tc>
        <w:tc>
          <w:tcPr>
            <w:tcW w:w="560" w:type="dxa"/>
            <w:vAlign w:val="bottom"/>
            <w:gridSpan w:val="2"/>
          </w:tcPr>
          <w:p>
            <w:pPr>
              <w:ind w:left="40"/>
              <w:spacing w:after="0"/>
              <w:rPr>
                <w:sz w:val="20"/>
                <w:szCs w:val="20"/>
                <w:color w:val="auto"/>
              </w:rPr>
            </w:pPr>
            <w:r>
              <w:rPr>
                <w:rFonts w:ascii="Arial" w:cs="Arial" w:eastAsia="Arial" w:hAnsi="Arial"/>
                <w:sz w:val="14"/>
                <w:szCs w:val="14"/>
                <w:b w:val="1"/>
                <w:bCs w:val="1"/>
                <w:color w:val="auto"/>
              </w:rPr>
              <w:t>(000’s)</w:t>
            </w:r>
          </w:p>
        </w:tc>
      </w:tr>
      <w:tr>
        <w:trPr>
          <w:trHeight w:val="210"/>
        </w:trPr>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Casual Male XL</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1,241</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79"/>
              </w:rPr>
              <w:t>212</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b w:val="1"/>
                <w:bCs w:val="1"/>
                <w:color w:val="auto"/>
              </w:rPr>
              <w:t>Destination XL</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48</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475</w:t>
            </w:r>
          </w:p>
        </w:tc>
        <w:tc>
          <w:tcPr>
            <w:tcW w:w="400" w:type="dxa"/>
            <w:vAlign w:val="bottom"/>
          </w:tcPr>
          <w:p>
            <w:pPr>
              <w:jc w:val="right"/>
              <w:spacing w:after="0"/>
              <w:rPr>
                <w:sz w:val="20"/>
                <w:szCs w:val="20"/>
                <w:color w:val="auto"/>
              </w:rPr>
            </w:pPr>
            <w:r>
              <w:rPr>
                <w:rFonts w:ascii="Arial" w:cs="Arial" w:eastAsia="Arial" w:hAnsi="Arial"/>
                <w:sz w:val="18"/>
                <w:szCs w:val="18"/>
                <w:color w:val="auto"/>
              </w:rPr>
              <w:t>99</w:t>
            </w:r>
          </w:p>
        </w:tc>
        <w:tc>
          <w:tcPr>
            <w:tcW w:w="3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915</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106</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969</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139</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1,226</w:t>
            </w:r>
          </w:p>
        </w:tc>
        <w:tc>
          <w:tcPr>
            <w:tcW w:w="10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Rochester Clothing</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r>
      <w:tr>
        <w:trPr>
          <w:trHeight w:val="234"/>
        </w:trPr>
        <w:tc>
          <w:tcPr>
            <w:tcW w:w="58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412</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1,824</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359</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1,883</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356</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1,891</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359</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2,048</w:t>
            </w:r>
          </w:p>
        </w:tc>
        <w:tc>
          <w:tcPr>
            <w:tcW w:w="100" w:type="dxa"/>
            <w:vAlign w:val="bottom"/>
          </w:tcPr>
          <w:p>
            <w:pPr>
              <w:spacing w:after="0"/>
              <w:rPr>
                <w:sz w:val="20"/>
                <w:szCs w:val="20"/>
                <w:color w:val="auto"/>
              </w:rPr>
            </w:pPr>
          </w:p>
        </w:tc>
      </w:tr>
    </w:tbl>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Fiscal 2014 Outlook</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Company’s earnings guidance of a net loss of $(0.21) to $(0.27) per diluted share, or $(0.12) to $(0.16) per diluted share, on a non-GAAP basis, remains unchanged. This guidance is presented on a non-GAAP basis for comparative purposes to fiscal 2013 earnings, assuming a normal tax benefit of approximately 40%. See “Non-GAAP Measures” below. The Company expects to continue to provide a full valuation allowance against its deferred tax assets in fiscal 2014 and will not recognize any income tax benefit or provision in fiscal 2014.</w:t>
      </w:r>
    </w:p>
    <w:p>
      <w:pPr>
        <w:sectPr>
          <w:pgSz w:w="11900" w:h="16838" w:orient="portrait"/>
          <w:cols w:equalWidth="0" w:num="1">
            <w:col w:w="11420"/>
          </w:cols>
          <w:pgMar w:left="240" w:top="274" w:right="239" w:bottom="1440" w:gutter="0" w:footer="0" w:header="0"/>
        </w:sectPr>
      </w:pPr>
    </w:p>
    <w:bookmarkStart w:id="24" w:name="page25"/>
    <w:bookmarkEnd w:id="24"/>
    <w:p>
      <w:pPr>
        <w:ind w:right="1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Company’s sales expectations for fiscal 2014 have improved, although most of the increase in sales will be absorbed through lower than originally planned merchandise margin and additional payroll costs. Management believes improving store traffic and customer transition to the DXL stores will drive top line sales and profitability growth. As a result, for fiscal 2014 the Company now expects:</w:t>
      </w:r>
    </w:p>
    <w:p>
      <w:pPr>
        <w:spacing w:after="0" w:line="87" w:lineRule="exact"/>
        <w:rPr>
          <w:sz w:val="20"/>
          <w:szCs w:val="20"/>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Total sales in the range of $413.0 to $418.0 million (an increase from the prior guidance of $405.0 to $410.0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comparable sales increase of between 13% to 15% for the approximately 99 DXL stores that will have been open for one year.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Gross profit margin to range from 45.5% to 46.1% (down from the original guidance of 46.2% to 46.9%).</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SG&amp;A costs of $176.0 to $177.6 million (an increase from the original guidance of $175.0 to $176.7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Operating margin loss of between (2.0%) to (2.8%).</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Capital expenditures, net of tenant allowances, of approximately $36.4 million, or a $7.8 million reduction from fiscal 2013.</w:t>
      </w:r>
    </w:p>
    <w:p>
      <w:pPr>
        <w:spacing w:after="0" w:line="130"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Borrowings at the end of fiscal 2014 in the range of $30.0 to $35.0 million under the credit facility, with equipment financings of approximately $20.0 million.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w:t>
      </w:r>
    </w:p>
    <w:p>
      <w:pPr>
        <w:spacing w:after="0" w:line="12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Company will hold a conference call to review its financial results today, Thursday, May 29, 2014 at 9:00 a.m. ET. To listen to the live webcast, visit the “</w:t>
      </w:r>
      <w:r>
        <w:rPr>
          <w:rFonts w:ascii="Arial" w:cs="Arial" w:eastAsia="Arial" w:hAnsi="Arial"/>
          <w:sz w:val="16"/>
          <w:szCs w:val="16"/>
          <w:u w:val="single" w:color="auto"/>
          <w:color w:val="auto"/>
        </w:rPr>
        <w:t>Investor Relations</w:t>
      </w:r>
      <w:r>
        <w:rPr>
          <w:rFonts w:ascii="Arial" w:cs="Arial" w:eastAsia="Arial" w:hAnsi="Arial"/>
          <w:sz w:val="16"/>
          <w:szCs w:val="16"/>
          <w:color w:val="auto"/>
        </w:rPr>
        <w:t>” section of the Company’s website. The live call also can be accessed by dialing: (888) 481-2877. Please reference conference ID: 6633065. An archived version of the webcast may be accessed by visiting the “</w:t>
      </w:r>
      <w:r>
        <w:rPr>
          <w:rFonts w:ascii="Arial" w:cs="Arial" w:eastAsia="Arial" w:hAnsi="Arial"/>
          <w:sz w:val="16"/>
          <w:szCs w:val="16"/>
          <w:u w:val="single" w:color="auto"/>
          <w:color w:val="auto"/>
        </w:rPr>
        <w:t>Events</w:t>
      </w:r>
      <w:r>
        <w:rPr>
          <w:rFonts w:ascii="Arial" w:cs="Arial" w:eastAsia="Arial" w:hAnsi="Arial"/>
          <w:sz w:val="16"/>
          <w:szCs w:val="16"/>
          <w:color w:val="auto"/>
        </w:rPr>
        <w:t>” section of the Company’s website for up to one year.</w:t>
      </w:r>
    </w:p>
    <w:p>
      <w:pPr>
        <w:spacing w:after="0" w:line="14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Measures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to financial measures prepared in accordance with generally accepted accounting principles (“GAAP”), this press release refers to free cash flow, adjusted net loss and adjusted loss per diluted share, which are non-GAAP measures. The presentation of these non-GAAP measures is not in accordance with GAAP, and should not be considered superior to or as a substitute for net loss, loss per diluted share or cash flows from operating activities or any other measure of performance derived in accordance with GAAP. In addition, all companies do not calculate non-GAAP financial measures in the same manner and, accordingly, the non-GAAP measures presented in this release may not be</w:t>
      </w:r>
    </w:p>
    <w:p>
      <w:pPr>
        <w:sectPr>
          <w:pgSz w:w="11900" w:h="16838" w:orient="portrait"/>
          <w:cols w:equalWidth="0" w:num="1">
            <w:col w:w="11420"/>
          </w:cols>
          <w:pgMar w:left="240" w:top="274" w:right="239" w:bottom="1440" w:gutter="0" w:footer="0" w:header="0"/>
        </w:sectPr>
      </w:pPr>
    </w:p>
    <w:bookmarkStart w:id="25" w:name="page26"/>
    <w:bookmarkEnd w:id="25"/>
    <w:p>
      <w:pPr>
        <w:ind w:right="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comparable to similar measures used by other companies. The Company believes the inclusion of these non-GAAP measures helps investors gain a better understanding of the Company’s performance, especially when comparing such results to previous periods, and are useful as an additional means for investors to evaluate the Company’s operating results, when reviewed in conjunction with the Company’s GAAP financial statements.</w:t>
      </w:r>
    </w:p>
    <w:p>
      <w:pPr>
        <w:spacing w:after="0" w:line="16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Company calculates free cash flow as cash flow from operating activities less capital expenditures and less discretionary store asset acquisitions, if applicable. Adjusted net loss and adjusted net loss per diluted share are calculated by taking net loss and adding back income tax provision and income tax benefits assuming a normal tax rate of 40%. Reconciliations of these non-GAAP measures to their comparable GAAP measures are provided in the tables below.</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Destination XL Group, Inc.</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Destination XL Group, Inc. is the largest multi-channel specialty retailer of big &amp; tall men’s apparel with operations throughout the United States, Canada and in London, England. The retailer operates under six brands: Destination XL</w:t>
      </w:r>
      <w:r>
        <w:rPr>
          <w:rFonts w:ascii="Arial" w:cs="Arial" w:eastAsia="Arial" w:hAnsi="Arial"/>
          <w:sz w:val="15"/>
          <w:szCs w:val="15"/>
          <w:color w:val="auto"/>
        </w:rPr>
        <w:t>®</w:t>
      </w:r>
      <w:r>
        <w:rPr>
          <w:rFonts w:ascii="Arial" w:cs="Arial" w:eastAsia="Arial" w:hAnsi="Arial"/>
          <w:sz w:val="18"/>
          <w:szCs w:val="18"/>
          <w:color w:val="auto"/>
        </w:rPr>
        <w:t xml:space="preserve">, Casual Male XL, Rochester Clothing, B&amp;T Factory Direct, ShoesXL and LivingXL. Several e-commerce sites, including </w:t>
      </w:r>
      <w:r>
        <w:rPr>
          <w:rFonts w:ascii="Arial" w:cs="Arial" w:eastAsia="Arial" w:hAnsi="Arial"/>
          <w:sz w:val="18"/>
          <w:szCs w:val="18"/>
          <w:u w:val="single" w:color="auto"/>
          <w:color w:val="auto"/>
        </w:rPr>
        <w:t>www.destinationxl.com</w:t>
      </w:r>
      <w:r>
        <w:rPr>
          <w:rFonts w:ascii="Arial" w:cs="Arial" w:eastAsia="Arial" w:hAnsi="Arial"/>
          <w:sz w:val="18"/>
          <w:szCs w:val="18"/>
          <w:color w:val="auto"/>
        </w:rPr>
        <w:t xml:space="preserve">, and direct mail generate the Company’s direct-to-consumer business. With more than 2,000 private label and name brand styles to choose from, big and tall customers are provided with a unique blend of wardrobe solutions not available at traditional retailers. The Company is headquartered in Canton, Massachusetts. For more information, please visit the Company’s investor relations website: </w:t>
      </w:r>
      <w:r>
        <w:rPr>
          <w:rFonts w:ascii="Arial" w:cs="Arial" w:eastAsia="Arial" w:hAnsi="Arial"/>
          <w:sz w:val="18"/>
          <w:szCs w:val="18"/>
          <w:u w:val="single" w:color="auto"/>
          <w:color w:val="auto"/>
        </w:rPr>
        <w:t>http://investor.destinationxl.com</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21"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i w:val="1"/>
          <w:iCs w:val="1"/>
          <w:color w:val="auto"/>
        </w:rPr>
        <w:t>Certain statements and information contained in this press release, including cash flows, operating and gross profit margins, store counts, costs, capital expenditures, borrowings, sales and earnings expectations for fiscal 2014 and beyond, constitute forward-looking statements under the federal securities laws. 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filings with the Securities and Exchange Commission, including without limitation, its Annual Report on Form 10-K filed on March 17, 2014, that set forth certain risks and uncertainties that may have an impact on future results and direction of the Company, including risks relating to the Company’s execution of its DXL strategy and ability to grow its market share, its ability to predict customer tastes and fashion trends and to compete successfully in the United States men’s big &amp; tall apparel market.</w:t>
      </w:r>
    </w:p>
    <w:p>
      <w:pPr>
        <w:spacing w:after="0" w:line="18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sectPr>
          <w:pgSz w:w="11900" w:h="16838" w:orient="portrait"/>
          <w:cols w:equalWidth="0" w:num="1">
            <w:col w:w="11420"/>
          </w:cols>
          <w:pgMar w:left="240" w:top="274"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DESTINATION XL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5"/>
          </w:tcPr>
          <w:p>
            <w:pPr>
              <w:jc w:val="right"/>
              <w:ind w:right="280"/>
              <w:spacing w:after="0"/>
              <w:rPr>
                <w:sz w:val="20"/>
                <w:szCs w:val="20"/>
                <w:color w:val="auto"/>
              </w:rPr>
            </w:pPr>
            <w:r>
              <w:rPr>
                <w:rFonts w:ascii="Arial" w:cs="Arial" w:eastAsia="Arial" w:hAnsi="Arial"/>
                <w:sz w:val="14"/>
                <w:szCs w:val="14"/>
                <w:color w:val="auto"/>
                <w:w w:val="92"/>
              </w:rPr>
              <w:t>For the three months ended</w:t>
            </w:r>
          </w:p>
        </w:tc>
      </w:tr>
      <w:tr>
        <w:trPr>
          <w:trHeight w:val="167"/>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color w:val="auto"/>
              </w:rPr>
              <w:t>May 3, 2014</w:t>
            </w:r>
          </w:p>
        </w:tc>
        <w:tc>
          <w:tcPr>
            <w:tcW w:w="860" w:type="dxa"/>
            <w:vAlign w:val="bottom"/>
            <w:gridSpan w:val="3"/>
          </w:tcPr>
          <w:p>
            <w:pPr>
              <w:ind w:left="20"/>
              <w:spacing w:after="0"/>
              <w:rPr>
                <w:sz w:val="20"/>
                <w:szCs w:val="20"/>
                <w:color w:val="auto"/>
              </w:rPr>
            </w:pPr>
            <w:r>
              <w:rPr>
                <w:rFonts w:ascii="Arial" w:cs="Arial" w:eastAsia="Arial" w:hAnsi="Arial"/>
                <w:sz w:val="14"/>
                <w:szCs w:val="14"/>
                <w:color w:val="auto"/>
              </w:rPr>
              <w:t>May 4, 2013</w:t>
            </w:r>
          </w:p>
        </w:tc>
      </w:tr>
      <w:tr>
        <w:trPr>
          <w:trHeight w:val="210"/>
        </w:trPr>
        <w:tc>
          <w:tcPr>
            <w:tcW w:w="20" w:type="dxa"/>
            <w:vAlign w:val="bottom"/>
          </w:tcPr>
          <w:p>
            <w:pPr>
              <w:spacing w:after="0"/>
              <w:rPr>
                <w:sz w:val="18"/>
                <w:szCs w:val="18"/>
                <w:color w:val="auto"/>
              </w:rPr>
            </w:pPr>
          </w:p>
        </w:tc>
        <w:tc>
          <w:tcPr>
            <w:tcW w:w="9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96,767</w:t>
            </w:r>
          </w:p>
        </w:tc>
        <w:tc>
          <w:tcPr>
            <w:tcW w:w="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93,957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Cost of goods sold including occupancy</w:t>
            </w: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52,838</w:t>
            </w: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49,619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43,929</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44,338</w:t>
            </w: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41,577</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38,187</w:t>
            </w:r>
          </w:p>
        </w:tc>
      </w:tr>
      <w:tr>
        <w:trPr>
          <w:trHeight w:val="223"/>
        </w:trPr>
        <w:tc>
          <w:tcPr>
            <w:tcW w:w="20" w:type="dxa"/>
            <w:vAlign w:val="bottom"/>
          </w:tcPr>
          <w:p>
            <w:pPr>
              <w:spacing w:after="0"/>
              <w:rPr>
                <w:sz w:val="19"/>
                <w:szCs w:val="19"/>
                <w:color w:val="auto"/>
              </w:rPr>
            </w:pPr>
          </w:p>
        </w:tc>
        <w:tc>
          <w:tcPr>
            <w:tcW w:w="93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5,430</w:t>
            </w: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47,007</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42,357</w:t>
            </w:r>
          </w:p>
        </w:tc>
      </w:tr>
      <w:tr>
        <w:trPr>
          <w:trHeight w:val="223"/>
        </w:trPr>
        <w:tc>
          <w:tcPr>
            <w:tcW w:w="940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(3,078)</w:t>
            </w:r>
          </w:p>
        </w:tc>
        <w:tc>
          <w:tcPr>
            <w:tcW w:w="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(411)</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w:t>
            </w:r>
          </w:p>
        </w:tc>
      </w:tr>
      <w:tr>
        <w:trPr>
          <w:trHeight w:val="223"/>
        </w:trPr>
        <w:tc>
          <w:tcPr>
            <w:tcW w:w="940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(3,489)</w:t>
            </w:r>
          </w:p>
        </w:tc>
        <w:tc>
          <w:tcPr>
            <w:tcW w:w="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w:t>
            </w:r>
          </w:p>
        </w:tc>
      </w:tr>
      <w:tr>
        <w:trPr>
          <w:trHeight w:val="230"/>
        </w:trPr>
        <w:tc>
          <w:tcPr>
            <w:tcW w:w="940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(3,536</w:t>
            </w:r>
          </w:p>
        </w:tc>
        <w:tc>
          <w:tcPr>
            <w:tcW w:w="420" w:type="dxa"/>
            <w:vAlign w:val="bottom"/>
          </w:tcPr>
          <w:p>
            <w:pPr>
              <w:jc w:val="right"/>
              <w:ind w:right="28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share-basic and diluted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Weighted-average number of common shares outstanding:</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48,656</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48,291</w:t>
            </w:r>
          </w:p>
        </w:tc>
      </w:tr>
      <w:tr>
        <w:trPr>
          <w:trHeight w:val="230"/>
        </w:trPr>
        <w:tc>
          <w:tcPr>
            <w:tcW w:w="20" w:type="dxa"/>
            <w:vAlign w:val="bottom"/>
          </w:tcPr>
          <w:p>
            <w:pPr>
              <w:spacing w:after="0"/>
              <w:rPr>
                <w:sz w:val="20"/>
                <w:szCs w:val="20"/>
                <w:color w:val="auto"/>
              </w:rPr>
            </w:pPr>
          </w:p>
        </w:tc>
        <w:tc>
          <w:tcPr>
            <w:tcW w:w="9380" w:type="dxa"/>
            <w:vAlign w:val="bottom"/>
          </w:tcPr>
          <w:p>
            <w:pPr>
              <w:ind w:left="34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20"/>
                <w:szCs w:val="20"/>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48,656</w:t>
            </w:r>
          </w:p>
        </w:tc>
        <w:tc>
          <w:tcPr>
            <w:tcW w:w="18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48,587</w:t>
            </w:r>
          </w:p>
        </w:tc>
      </w:tr>
    </w:tbl>
    <w:p>
      <w:pPr>
        <w:sectPr>
          <w:pgSz w:w="11900" w:h="16838" w:orient="portrait"/>
          <w:cols w:equalWidth="0" w:num="1">
            <w:col w:w="11420"/>
          </w:cols>
          <w:pgMar w:left="240" w:top="274"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DESTINATION XL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3, 2014 and February 1,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color w:val="auto"/>
                <w:w w:val="99"/>
              </w:rPr>
              <w:t>May 3,</w:t>
            </w:r>
          </w:p>
        </w:tc>
        <w:tc>
          <w:tcPr>
            <w:tcW w:w="16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color w:val="auto"/>
              </w:rPr>
              <w:t>February 1,</w:t>
            </w:r>
          </w:p>
        </w:tc>
      </w:tr>
      <w:tr>
        <w:trPr>
          <w:trHeight w:val="167"/>
        </w:trPr>
        <w:tc>
          <w:tcPr>
            <w:tcW w:w="6860" w:type="dxa"/>
            <w:vAlign w:val="bottom"/>
            <w:tcBorders>
              <w:bottom w:val="single" w:sz="8" w:color="CCEEFF"/>
            </w:tcBorders>
          </w:tcPr>
          <w:p>
            <w:pPr>
              <w:spacing w:after="0"/>
              <w:rPr>
                <w:sz w:val="14"/>
                <w:szCs w:val="14"/>
                <w:color w:val="auto"/>
              </w:rPr>
            </w:pPr>
          </w:p>
        </w:tc>
        <w:tc>
          <w:tcPr>
            <w:tcW w:w="27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2014</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2014</w:t>
            </w:r>
          </w:p>
        </w:tc>
        <w:tc>
          <w:tcPr>
            <w:tcW w:w="100" w:type="dxa"/>
            <w:vAlign w:val="bottom"/>
            <w:tcBorders>
              <w:bottom w:val="single" w:sz="8" w:color="CCEEFF"/>
            </w:tcBorders>
          </w:tcPr>
          <w:p>
            <w:pPr>
              <w:spacing w:after="0"/>
              <w:rPr>
                <w:sz w:val="14"/>
                <w:szCs w:val="14"/>
                <w:color w:val="auto"/>
              </w:rPr>
            </w:pPr>
          </w:p>
        </w:tc>
      </w:tr>
      <w:tr>
        <w:trPr>
          <w:trHeight w:val="196"/>
        </w:trPr>
        <w:tc>
          <w:tcPr>
            <w:tcW w:w="6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5,640</w:t>
            </w:r>
          </w:p>
        </w:tc>
        <w:tc>
          <w:tcPr>
            <w:tcW w:w="160" w:type="dxa"/>
            <w:vAlign w:val="bottom"/>
          </w:tcPr>
          <w:p>
            <w:pPr>
              <w:spacing w:after="0"/>
              <w:rPr>
                <w:sz w:val="18"/>
                <w:szCs w:val="18"/>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4,544</w:t>
            </w: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114,154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105,556</w:t>
            </w: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Other current assets</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16,980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16,341</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107,106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102,939</w:t>
            </w: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Intangible assets</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4,082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4,393</w:t>
            </w: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7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3,608</w:t>
            </w:r>
          </w:p>
        </w:tc>
        <w:tc>
          <w:tcPr>
            <w:tcW w:w="100" w:type="dxa"/>
            <w:vAlign w:val="bottom"/>
            <w:shd w:val="clear" w:color="auto" w:fill="CCEEFF"/>
          </w:tcPr>
          <w:p>
            <w:pPr>
              <w:spacing w:after="0"/>
              <w:rPr>
                <w:sz w:val="18"/>
                <w:szCs w:val="18"/>
                <w:color w:val="auto"/>
              </w:rPr>
            </w:pPr>
          </w:p>
        </w:tc>
      </w:tr>
      <w:tr>
        <w:trPr>
          <w:trHeight w:val="223"/>
        </w:trPr>
        <w:tc>
          <w:tcPr>
            <w:tcW w:w="686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27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251,292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237,381</w:t>
            </w:r>
          </w:p>
        </w:tc>
        <w:tc>
          <w:tcPr>
            <w:tcW w:w="10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79,768</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89,090</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16,706</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Borrowings under credit facility</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29,220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9,029</w:t>
            </w: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Deferred gain on sale-leaseback</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17,585</w:t>
            </w: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Stockholders’ equity</w:t>
            </w:r>
          </w:p>
        </w:tc>
        <w:tc>
          <w:tcPr>
            <w:tcW w:w="2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102,464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104,971</w:t>
            </w:r>
          </w:p>
        </w:tc>
        <w:tc>
          <w:tcPr>
            <w:tcW w:w="100" w:type="dxa"/>
            <w:vAlign w:val="bottom"/>
          </w:tcPr>
          <w:p>
            <w:pPr>
              <w:spacing w:after="0"/>
              <w:rPr>
                <w:sz w:val="19"/>
                <w:szCs w:val="19"/>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251,292</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237,381</w:t>
            </w:r>
          </w:p>
        </w:tc>
        <w:tc>
          <w:tcPr>
            <w:tcW w:w="100" w:type="dxa"/>
            <w:vAlign w:val="bottom"/>
            <w:shd w:val="clear" w:color="auto" w:fill="CCEEFF"/>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DESTINATION XL GROUP,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GAAP TO NON-GAAP FREE CASH FLOW RECONCILIATION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20" w:type="dxa"/>
            <w:vAlign w:val="bottom"/>
            <w:gridSpan w:val="5"/>
          </w:tcPr>
          <w:p>
            <w:pPr>
              <w:ind w:left="80"/>
              <w:spacing w:after="0"/>
              <w:rPr>
                <w:sz w:val="20"/>
                <w:szCs w:val="20"/>
                <w:color w:val="auto"/>
              </w:rPr>
            </w:pPr>
            <w:r>
              <w:rPr>
                <w:rFonts w:ascii="Arial" w:cs="Arial" w:eastAsia="Arial" w:hAnsi="Arial"/>
                <w:sz w:val="14"/>
                <w:szCs w:val="14"/>
                <w:b w:val="1"/>
                <w:bCs w:val="1"/>
                <w:color w:val="auto"/>
              </w:rPr>
              <w:t>For the three months ended</w:t>
            </w: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Projected</w:t>
            </w:r>
          </w:p>
        </w:tc>
        <w:tc>
          <w:tcPr>
            <w:tcW w:w="0" w:type="dxa"/>
            <w:vAlign w:val="bottom"/>
          </w:tcPr>
          <w:p>
            <w:pPr>
              <w:spacing w:after="0"/>
              <w:rPr>
                <w:sz w:val="1"/>
                <w:szCs w:val="1"/>
                <w:color w:val="auto"/>
              </w:rPr>
            </w:pPr>
          </w:p>
        </w:tc>
      </w:tr>
      <w:tr>
        <w:trPr>
          <w:trHeight w:val="171"/>
        </w:trPr>
        <w:tc>
          <w:tcPr>
            <w:tcW w:w="760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92"/>
              </w:rPr>
              <w:t>May 3, 2014</w:t>
            </w:r>
          </w:p>
        </w:tc>
        <w:tc>
          <w:tcPr>
            <w:tcW w:w="66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May 4, 2013</w:t>
            </w:r>
          </w:p>
        </w:tc>
        <w:tc>
          <w:tcPr>
            <w:tcW w:w="68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Fiscal 2014</w:t>
            </w:r>
          </w:p>
        </w:tc>
        <w:tc>
          <w:tcPr>
            <w:tcW w:w="0" w:type="dxa"/>
            <w:vAlign w:val="bottom"/>
          </w:tcPr>
          <w:p>
            <w:pPr>
              <w:spacing w:after="0"/>
              <w:rPr>
                <w:sz w:val="1"/>
                <w:szCs w:val="1"/>
                <w:color w:val="auto"/>
              </w:rPr>
            </w:pPr>
          </w:p>
        </w:tc>
      </w:tr>
      <w:tr>
        <w:trPr>
          <w:trHeight w:val="20"/>
        </w:trPr>
        <w:tc>
          <w:tcPr>
            <w:tcW w:w="760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b w:val="1"/>
                <w:bCs w:val="1"/>
                <w:color w:val="auto"/>
              </w:rPr>
              <w:t>Cash flow from operating activities (GAAP)</w:t>
            </w:r>
          </w:p>
        </w:tc>
        <w:tc>
          <w:tcPr>
            <w:tcW w:w="16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tcBorders>
              <w:right w:val="single" w:sz="8" w:color="CCEEFF"/>
            </w:tcBorders>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76"/>
              </w:rPr>
              <w:t>(13.9)</w:t>
            </w:r>
          </w:p>
        </w:tc>
        <w:tc>
          <w:tcPr>
            <w:tcW w:w="66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Less: Capital expenditures</w:t>
            </w:r>
          </w:p>
        </w:tc>
        <w:tc>
          <w:tcPr>
            <w:tcW w:w="160" w:type="dxa"/>
            <w:vAlign w:val="bottom"/>
          </w:tcPr>
          <w:p>
            <w:pPr>
              <w:spacing w:after="0"/>
              <w:rPr>
                <w:sz w:val="18"/>
                <w:szCs w:val="18"/>
                <w:color w:val="auto"/>
              </w:rPr>
            </w:pPr>
          </w:p>
        </w:tc>
        <w:tc>
          <w:tcPr>
            <w:tcW w:w="1260" w:type="dxa"/>
            <w:vAlign w:val="bottom"/>
            <w:gridSpan w:val="2"/>
          </w:tcPr>
          <w:p>
            <w:pPr>
              <w:ind w:left="220"/>
              <w:spacing w:after="0"/>
              <w:rPr>
                <w:sz w:val="20"/>
                <w:szCs w:val="20"/>
                <w:color w:val="auto"/>
              </w:rPr>
            </w:pPr>
            <w:r>
              <w:rPr>
                <w:rFonts w:ascii="Arial" w:cs="Arial" w:eastAsia="Arial" w:hAnsi="Arial"/>
                <w:sz w:val="18"/>
                <w:szCs w:val="18"/>
                <w:color w:val="auto"/>
              </w:rPr>
              <w:t>(11.1)</w:t>
            </w:r>
          </w:p>
        </w:tc>
        <w:tc>
          <w:tcPr>
            <w:tcW w:w="24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6"/>
        </w:trPr>
        <w:tc>
          <w:tcPr>
            <w:tcW w:w="7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Store acquisitions, if applicable</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600" w:type="dxa"/>
            <w:vAlign w:val="bottom"/>
          </w:tcPr>
          <w:p>
            <w:pPr>
              <w:spacing w:after="0"/>
              <w:rPr>
                <w:sz w:val="20"/>
                <w:szCs w:val="20"/>
                <w:color w:val="auto"/>
              </w:rPr>
            </w:pPr>
            <w:r>
              <w:rPr>
                <w:rFonts w:ascii="Arial" w:cs="Arial" w:eastAsia="Arial" w:hAnsi="Arial"/>
                <w:sz w:val="18"/>
                <w:szCs w:val="18"/>
                <w:b w:val="1"/>
                <w:bCs w:val="1"/>
                <w:color w:val="auto"/>
              </w:rPr>
              <w:t>Free Cash Flow (non-GAAP)</w:t>
            </w: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w w:val="87"/>
              </w:rPr>
              <w:t>(25.0</w:t>
            </w:r>
          </w:p>
        </w:tc>
        <w:tc>
          <w:tcPr>
            <w:tcW w:w="660" w:type="dxa"/>
            <w:vAlign w:val="bottom"/>
          </w:tcPr>
          <w:p>
            <w:pPr>
              <w:jc w:val="right"/>
              <w:ind w:right="580"/>
              <w:spacing w:after="0"/>
              <w:rPr>
                <w:sz w:val="20"/>
                <w:szCs w:val="20"/>
                <w:color w:val="auto"/>
              </w:rPr>
            </w:pPr>
            <w:r>
              <w:rPr>
                <w:rFonts w:ascii="Arial" w:cs="Arial" w:eastAsia="Arial" w:hAnsi="Arial"/>
                <w:sz w:val="8"/>
                <w:szCs w:val="8"/>
                <w:color w:val="auto"/>
                <w:w w:val="73"/>
              </w:rPr>
              <w:t>)</w:t>
            </w:r>
          </w:p>
        </w:tc>
        <w:tc>
          <w:tcPr>
            <w:tcW w:w="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680" w:type="dxa"/>
            <w:vAlign w:val="bottom"/>
          </w:tcPr>
          <w:p>
            <w:pPr>
              <w:jc w:val="right"/>
              <w:ind w:right="54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6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Projected cash flow from operating activities for fiscal 2014 includes an estimated $9.3 million in lease incentives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GAAP TO NON-GAAP RECONCILIATION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84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May 3, 2014</w:t>
            </w:r>
          </w:p>
        </w:tc>
        <w:tc>
          <w:tcPr>
            <w:tcW w:w="160" w:type="dxa"/>
            <w:vAlign w:val="bottom"/>
          </w:tcPr>
          <w:p>
            <w:pPr>
              <w:spacing w:after="0"/>
              <w:rPr>
                <w:sz w:val="14"/>
                <w:szCs w:val="14"/>
                <w:color w:val="auto"/>
              </w:rPr>
            </w:pPr>
          </w:p>
        </w:tc>
        <w:tc>
          <w:tcPr>
            <w:tcW w:w="164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May 4, 2013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color w:val="auto"/>
              </w:rPr>
              <w:t>Per diluted</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89"/>
              </w:rPr>
              <w:t>Per diluted</w:t>
            </w:r>
          </w:p>
        </w:tc>
        <w:tc>
          <w:tcPr>
            <w:tcW w:w="0" w:type="dxa"/>
            <w:vAlign w:val="bottom"/>
          </w:tcPr>
          <w:p>
            <w:pPr>
              <w:spacing w:after="0"/>
              <w:rPr>
                <w:sz w:val="1"/>
                <w:szCs w:val="1"/>
                <w:color w:val="auto"/>
              </w:rPr>
            </w:pPr>
          </w:p>
        </w:tc>
      </w:tr>
      <w:tr>
        <w:trPr>
          <w:trHeight w:val="167"/>
        </w:trPr>
        <w:tc>
          <w:tcPr>
            <w:tcW w:w="778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560" w:type="dxa"/>
            <w:vAlign w:val="bottom"/>
          </w:tcPr>
          <w:p>
            <w:pPr>
              <w:jc w:val="right"/>
              <w:ind w:right="156"/>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4"/>
                <w:szCs w:val="14"/>
                <w:color w:val="auto"/>
                <w:w w:val="96"/>
              </w:rPr>
              <w:t>share</w:t>
            </w:r>
          </w:p>
        </w:tc>
        <w:tc>
          <w:tcPr>
            <w:tcW w:w="660" w:type="dxa"/>
            <w:vAlign w:val="bottom"/>
            <w:gridSpan w:val="2"/>
          </w:tcPr>
          <w:p>
            <w:pPr>
              <w:jc w:val="center"/>
              <w:ind w:left="9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color w:val="auto"/>
                <w:w w:val="96"/>
              </w:rPr>
              <w:t>share</w:t>
            </w:r>
          </w:p>
        </w:tc>
        <w:tc>
          <w:tcPr>
            <w:tcW w:w="0" w:type="dxa"/>
            <w:vAlign w:val="bottom"/>
          </w:tcPr>
          <w:p>
            <w:pPr>
              <w:spacing w:after="0"/>
              <w:rPr>
                <w:sz w:val="1"/>
                <w:szCs w:val="1"/>
                <w:color w:val="auto"/>
              </w:rPr>
            </w:pPr>
          </w:p>
        </w:tc>
      </w:tr>
      <w:tr>
        <w:trPr>
          <w:trHeight w:val="129"/>
        </w:trPr>
        <w:tc>
          <w:tcPr>
            <w:tcW w:w="7780" w:type="dxa"/>
            <w:vAlign w:val="bottom"/>
            <w:gridSpan w:val="3"/>
            <w:vMerge w:val="continue"/>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 GAAP basis</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89"/>
              </w:rPr>
              <w:t>$(3,536)</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(0.07)</w:t>
            </w:r>
          </w:p>
        </w:tc>
        <w:tc>
          <w:tcPr>
            <w:tcW w:w="86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b w:val="1"/>
                <w:bCs w:val="1"/>
                <w:color w:val="auto"/>
                <w:w w:val="90"/>
              </w:rPr>
              <w:t>$1,011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Add back: Actual income tax provision</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Income tax benefit, assuming normal tax rate of 40%</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1,396</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80" w:type="dxa"/>
            <w:vAlign w:val="bottom"/>
            <w:gridSpan w:val="3"/>
          </w:tcPr>
          <w:p>
            <w:pPr>
              <w:spacing w:after="0"/>
              <w:rPr>
                <w:sz w:val="20"/>
                <w:szCs w:val="20"/>
                <w:color w:val="auto"/>
              </w:rPr>
            </w:pPr>
            <w:r>
              <w:rPr>
                <w:rFonts w:ascii="Arial" w:cs="Arial" w:eastAsia="Arial" w:hAnsi="Arial"/>
                <w:sz w:val="18"/>
                <w:szCs w:val="18"/>
                <w:b w:val="1"/>
                <w:bCs w:val="1"/>
                <w:color w:val="auto"/>
              </w:rPr>
              <w:t>Adjusted net income (loss), non-GAAP basis</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0"/>
              </w:rPr>
              <w:t>$(2,093)</w:t>
            </w:r>
          </w:p>
        </w:tc>
        <w:tc>
          <w:tcPr>
            <w:tcW w:w="40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(0.04)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$1,011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 on a diluted basis</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48,656</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48,587</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2478405" cy="4114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7840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Jeff Unger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(561) 482-9715</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Destination XL Group, Inc. Promotes Peter H. Stratton, Jr. to Chief Financial Officer</w:t>
      </w:r>
    </w:p>
    <w:p>
      <w:pPr>
        <w:spacing w:after="0" w:line="225"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b w:val="1"/>
          <w:bCs w:val="1"/>
          <w:color w:val="auto"/>
        </w:rPr>
        <w:t xml:space="preserve">Canton, Mass., May 29, 2014 – </w:t>
      </w:r>
      <w:r>
        <w:rPr>
          <w:rFonts w:ascii="Arial" w:cs="Arial" w:eastAsia="Arial" w:hAnsi="Arial"/>
          <w:sz w:val="18"/>
          <w:szCs w:val="18"/>
          <w:u w:val="single" w:color="auto"/>
          <w:color w:val="auto"/>
        </w:rPr>
        <w:t>Destination XL Group, Inc.</w:t>
      </w:r>
      <w:r>
        <w:rPr>
          <w:rFonts w:ascii="Arial" w:cs="Arial" w:eastAsia="Arial" w:hAnsi="Arial"/>
          <w:sz w:val="18"/>
          <w:szCs w:val="18"/>
          <w:b w:val="1"/>
          <w:bCs w:val="1"/>
          <w:color w:val="auto"/>
        </w:rPr>
        <w:t xml:space="preserve"> </w:t>
      </w:r>
      <w:r>
        <w:rPr>
          <w:rFonts w:ascii="Arial" w:cs="Arial" w:eastAsia="Arial" w:hAnsi="Arial"/>
          <w:sz w:val="18"/>
          <w:szCs w:val="18"/>
          <w:color w:val="auto"/>
        </w:rPr>
        <w:t>(NASDAQ: DXLG), the largest multi-channel specialty retailer of big &amp; tall men’s apparel,</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today that Peter H. Stratton, Jr., 42, has been appointed to the position of senior vice president, chief financial officer (CFO) and treasurer, effective June 1, 2014. Stratton replaces John E. Kyees, who was serving as interim CFO, and will report to President and Chief Executive Officer David Levin.</w:t>
      </w:r>
    </w:p>
    <w:p>
      <w:pPr>
        <w:spacing w:after="0" w:line="18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“Peter’s strong financial background and passion for our company give us confidence that he is the right choice to serve as Destination XL’s next CFO,” said Levin. “We conducted a thorough search that included internal as well as external candidates. Peter clearly demonstrated his financial acumen and leadership strength during this process. In addition, he has been integral in the development and execution of our DXL transformation strategy. We look forward to his future contributions as CFO as we continue to roll out the DXL concept. On behalf of the entire DXL team, I also would like to thank John Kyees, our Board member, for his commitment and contributions to the Company as interim CFO during the past few months and for continuing to act as a resource for our financial strategies.”</w:t>
      </w:r>
    </w:p>
    <w:p>
      <w:pPr>
        <w:spacing w:after="0" w:line="19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Stratton said, “I am thrilled to serve Destination XL Group in this new position. We have exciting long-term growth prospects, and I look forward to guiding the Company financially as we continue our DXL transformation.”</w:t>
      </w:r>
    </w:p>
    <w:p>
      <w:pPr>
        <w:spacing w:after="0" w:line="170"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Stratton has been serving as Destination XL’s senior vice president of finance, corporate controller, and chief accounting officer since September 2009. He joined the Company in June 2009 as vice president of finance. From May 2007 to June 2009, he served as senior director of corporate accounting at BearingPoint, Inc. Prior to May 2007, he held various finance and accounting leadership positions at Legal Sea Foods, Inc., Shaw’s Supermarkets, Inc., and Cintas Corporation. Mr. Stratton holds a bachelor’s degree in accounting from Babson College and an M.B.A. in finance from Miami University.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Destination XL Group, Inc.</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Destination XL Group, Inc. is the largest multi-channel specialty retailer of big &amp; tall men’s apparel with operations throughout the United States, Canada and in London, England. The retailer operates under six brands: Destination XL</w:t>
      </w:r>
      <w:r>
        <w:rPr>
          <w:rFonts w:ascii="Arial" w:cs="Arial" w:eastAsia="Arial" w:hAnsi="Arial"/>
          <w:sz w:val="15"/>
          <w:szCs w:val="15"/>
          <w:color w:val="auto"/>
        </w:rPr>
        <w:t>®</w:t>
      </w:r>
      <w:r>
        <w:rPr>
          <w:rFonts w:ascii="Arial" w:cs="Arial" w:eastAsia="Arial" w:hAnsi="Arial"/>
          <w:sz w:val="18"/>
          <w:szCs w:val="18"/>
          <w:color w:val="auto"/>
        </w:rPr>
        <w:t>, Casual Male XL, Rochester Clothing, B&amp;T Factory Direct, ShoesXL and LivingXL. Several e-commerce sites, including</w:t>
      </w:r>
    </w:p>
    <w:p>
      <w:pPr>
        <w:sectPr>
          <w:pgSz w:w="11900" w:h="16838" w:orient="portrait"/>
          <w:cols w:equalWidth="0" w:num="1">
            <w:col w:w="11420"/>
          </w:cols>
          <w:pgMar w:left="240" w:top="121" w:right="239" w:bottom="1440" w:gutter="0" w:footer="0" w:header="0"/>
        </w:sectPr>
      </w:pPr>
    </w:p>
    <w:bookmarkStart w:id="30" w:name="page31"/>
    <w:bookmarkEnd w:id="30"/>
    <w:p>
      <w:pPr>
        <w:spacing w:after="0" w:line="312"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www.destinationxl.com</w:t>
      </w:r>
      <w:r>
        <w:rPr>
          <w:rFonts w:ascii="Arial" w:cs="Arial" w:eastAsia="Arial" w:hAnsi="Arial"/>
          <w:sz w:val="16"/>
          <w:szCs w:val="16"/>
          <w:color w:val="auto"/>
        </w:rPr>
        <w:t xml:space="preserve">, and direct mail generate the Company’s direct-to-consumer business. With more than 2,000 private label and name brand styles to choose from, big and tall customers are provided with a unique blend of wardrobe solutions not available at traditional retailers. The Company is headquartered in Canton, Massachusetts. For more information, please visit the Company’s investor relations website: </w:t>
      </w:r>
      <w:r>
        <w:rPr>
          <w:rFonts w:ascii="Arial" w:cs="Arial" w:eastAsia="Arial" w:hAnsi="Arial"/>
          <w:sz w:val="16"/>
          <w:szCs w:val="16"/>
          <w:u w:val="single" w:color="auto"/>
          <w:color w:val="auto"/>
        </w:rPr>
        <w:t>http://investor.destinationxl.com</w:t>
      </w:r>
    </w:p>
    <w:p>
      <w:pPr>
        <w:spacing w:after="0" w:line="14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 # #</w:t>
      </w:r>
    </w:p>
    <w:sectPr>
      <w:pgSz w:w="11900" w:h="16838" w:orient="portrait"/>
      <w:cols w:equalWidth="0" w:num="1">
        <w:col w:w="11180"/>
      </w:cols>
      <w:pgMar w:left="240"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1."/>
      <w:numFmt w:val="decimal"/>
      <w:start w:val="1"/>
    </w:lvl>
  </w:abstractNum>
  <w:abstractNum w:abstractNumId="2">
    <w:nsid w:val="54E49EB4"/>
    <w:multiLevelType w:val="hybridMultilevel"/>
    <w:lvl w:ilvl="0">
      <w:lvlJc w:val="left"/>
      <w:lvlText w:val="%1."/>
      <w:numFmt w:val="decimal"/>
      <w:start w:val="2"/>
    </w:lvl>
  </w:abstractNum>
  <w:abstractNum w:abstractNumId="3">
    <w:nsid w:val="71F32454"/>
    <w:multiLevelType w:val="hybridMultilevel"/>
    <w:lvl w:ilvl="0">
      <w:lvlJc w:val="left"/>
      <w:lvlText w:val="%1."/>
      <w:numFmt w:val="decimal"/>
      <w:start w:val="3"/>
    </w:lvl>
  </w:abstractNum>
  <w:abstractNum w:abstractNumId="4">
    <w:nsid w:val="2CA88611"/>
    <w:multiLevelType w:val="hybridMultilevel"/>
    <w:lvl w:ilvl="0">
      <w:lvlJc w:val="left"/>
      <w:lvlText w:val="(%1)"/>
      <w:numFmt w:val="lowerLetter"/>
      <w:start w:val="1"/>
    </w:lvl>
  </w:abstractNum>
  <w:abstractNum w:abstractNumId="5">
    <w:nsid w:val="836C40E"/>
    <w:multiLevelType w:val="hybridMultilevel"/>
    <w:lvl w:ilvl="0">
      <w:lvlJc w:val="left"/>
      <w:lvlText w:val="(%1)"/>
      <w:numFmt w:val="lowerLetter"/>
      <w:start w:val="3"/>
    </w:lvl>
  </w:abstractNum>
  <w:abstractNum w:abstractNumId="6">
    <w:nsid w:val="2901D82"/>
    <w:multiLevelType w:val="hybridMultilevel"/>
    <w:lvl w:ilvl="0">
      <w:lvlJc w:val="left"/>
      <w:lvlText w:val="%1."/>
      <w:numFmt w:val="decimal"/>
      <w:start w:val="4"/>
    </w:lvl>
  </w:abstractNum>
  <w:abstractNum w:abstractNumId="7">
    <w:nsid w:val="3A95F874"/>
    <w:multiLevelType w:val="hybridMultilevel"/>
    <w:lvl w:ilvl="0">
      <w:lvlJc w:val="left"/>
      <w:lvlText w:val="%1."/>
      <w:numFmt w:val="decimal"/>
      <w:start w:val="5"/>
    </w:lvl>
  </w:abstractNum>
  <w:abstractNum w:abstractNumId="8">
    <w:nsid w:val="8138641"/>
    <w:multiLevelType w:val="hybridMultilevel"/>
    <w:lvl w:ilvl="0">
      <w:lvlJc w:val="left"/>
      <w:lvlText w:val="(%1)"/>
      <w:numFmt w:val="lowerLetter"/>
      <w:start w:val="1"/>
    </w:lvl>
  </w:abstractNum>
  <w:abstractNum w:abstractNumId="9">
    <w:nsid w:val="1E7FF521"/>
    <w:multiLevelType w:val="hybridMultilevel"/>
    <w:lvl w:ilvl="0">
      <w:lvlJc w:val="left"/>
      <w:lvlText w:val="%1."/>
      <w:numFmt w:val="decimal"/>
      <w:start w:val="6"/>
    </w:lvl>
  </w:abstractNum>
  <w:abstractNum w:abstractNumId="10">
    <w:nsid w:val="7C3DBD3D"/>
    <w:multiLevelType w:val="hybridMultilevel"/>
    <w:lvl w:ilvl="0">
      <w:lvlJc w:val="left"/>
      <w:lvlText w:val="(%1)"/>
      <w:numFmt w:val="lowerLetter"/>
      <w:start w:val="1"/>
    </w:lvl>
  </w:abstractNum>
  <w:abstractNum w:abstractNumId="11">
    <w:nsid w:val="737B8DDC"/>
    <w:multiLevelType w:val="hybridMultilevel"/>
    <w:lvl w:ilvl="0">
      <w:lvlJc w:val="left"/>
      <w:lvlText w:val="%1."/>
      <w:numFmt w:val="decimal"/>
      <w:start w:val="7"/>
    </w:lvl>
  </w:abstractNum>
  <w:abstractNum w:abstractNumId="12">
    <w:nsid w:val="6CEAF087"/>
    <w:multiLevelType w:val="hybridMultilevel"/>
    <w:lvl w:ilvl="0">
      <w:lvlJc w:val="left"/>
      <w:lvlText w:val="(%1)"/>
      <w:numFmt w:val="lowerLetter"/>
      <w:start w:val="1"/>
    </w:lvl>
    <w:lvl w:ilvl="1">
      <w:lvlJc w:val="left"/>
      <w:lvlText w:val="(%2)"/>
      <w:numFmt w:val="lowerRoman"/>
      <w:start w:val="1"/>
    </w:lvl>
  </w:abstractNum>
  <w:abstractNum w:abstractNumId="13">
    <w:nsid w:val="22221A70"/>
    <w:multiLevelType w:val="hybridMultilevel"/>
    <w:lvl w:ilvl="0">
      <w:lvlJc w:val="left"/>
      <w:lvlText w:val="(%1)"/>
      <w:numFmt w:val="lowerLetter"/>
      <w:start w:val="3"/>
    </w:lvl>
  </w:abstractNum>
  <w:abstractNum w:abstractNumId="14">
    <w:nsid w:val="4516DDE9"/>
    <w:multiLevelType w:val="hybridMultilevel"/>
    <w:lvl w:ilvl="0">
      <w:lvlJc w:val="left"/>
      <w:lvlText w:val="%1"/>
      <w:numFmt w:val="lowerRoman"/>
      <w:start w:val="1"/>
    </w:lvl>
    <w:lvl w:ilvl="1">
      <w:lvlJc w:val="left"/>
      <w:lvlText w:val="(%2)"/>
      <w:numFmt w:val="lowerLetter"/>
      <w:start w:val="8"/>
    </w:lvl>
    <w:lvl w:ilvl="2">
      <w:lvlJc w:val="left"/>
      <w:lvlText w:val="%3"/>
      <w:numFmt w:val="lowerLetter"/>
      <w:start w:val="1"/>
    </w:lvl>
  </w:abstractNum>
  <w:abstractNum w:abstractNumId="15">
    <w:nsid w:val="3006C83E"/>
    <w:multiLevelType w:val="hybridMultilevel"/>
    <w:lvl w:ilvl="0">
      <w:lvlJc w:val="left"/>
      <w:lvlText w:val="(%1)"/>
      <w:numFmt w:val="lowerRoman"/>
      <w:start w:val="4"/>
    </w:lvl>
    <w:lvl w:ilvl="1">
      <w:lvlJc w:val="left"/>
      <w:lvlText w:val="(%2)"/>
      <w:numFmt w:val="lowerLetter"/>
      <w:start w:val="10"/>
    </w:lvl>
    <w:lvl w:ilvl="2">
      <w:lvlJc w:val="left"/>
      <w:lvlText w:val="(%3)"/>
      <w:numFmt w:val="lowerLetter"/>
      <w:start w:val="9"/>
    </w:lvl>
  </w:abstractNum>
  <w:abstractNum w:abstractNumId="16">
    <w:nsid w:val="614FD4A1"/>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17">
    <w:nsid w:val="419AC241"/>
    <w:multiLevelType w:val="hybridMultilevel"/>
    <w:lvl w:ilvl="0">
      <w:lvlJc w:val="left"/>
      <w:lvlText w:val="(%1)"/>
      <w:numFmt w:val="lowerLetter"/>
      <w:start w:val="11"/>
    </w:lvl>
    <w:lvl w:ilvl="1">
      <w:lvlJc w:val="left"/>
      <w:lvlText w:val="%2"/>
      <w:numFmt w:val="lowerLetter"/>
      <w:start w:val="1"/>
    </w:lvl>
    <w:lvl w:ilvl="2">
      <w:lvlJc w:val="left"/>
      <w:lvlText w:val="%3"/>
      <w:numFmt w:val="upperLetter"/>
      <w:start w:val="1"/>
    </w:lvl>
  </w:abstractNum>
  <w:abstractNum w:abstractNumId="18">
    <w:nsid w:val="5577F8E1"/>
    <w:multiLevelType w:val="hybridMultilevel"/>
    <w:lvl w:ilvl="0">
      <w:lvlJc w:val="left"/>
      <w:lvlText w:val="%1."/>
      <w:numFmt w:val="decimal"/>
      <w:start w:val="8"/>
    </w:lvl>
  </w:abstractNum>
  <w:abstractNum w:abstractNumId="19">
    <w:nsid w:val="440BADFC"/>
    <w:multiLevelType w:val="hybridMultilevel"/>
    <w:lvl w:ilvl="0">
      <w:lvlJc w:val="left"/>
      <w:lvlText w:val="(%1)"/>
      <w:numFmt w:val="lowerLetter"/>
      <w:start w:val="1"/>
    </w:lvl>
  </w:abstractNum>
  <w:abstractNum w:abstractNumId="20">
    <w:nsid w:val="5072367"/>
    <w:multiLevelType w:val="hybridMultilevel"/>
    <w:lvl w:ilvl="0">
      <w:lvlJc w:val="left"/>
      <w:lvlText w:val="(%1)"/>
      <w:numFmt w:val="lowerLetter"/>
      <w:start w:val="2"/>
    </w:lvl>
    <w:lvl w:ilvl="1">
      <w:lvlJc w:val="left"/>
      <w:lvlText w:val="(%2)"/>
      <w:numFmt w:val="lowerRoman"/>
      <w:start w:val="1"/>
    </w:lvl>
  </w:abstractNum>
  <w:abstractNum w:abstractNumId="21">
    <w:nsid w:val="3804823E"/>
    <w:multiLevelType w:val="hybridMultilevel"/>
    <w:lvl w:ilvl="0">
      <w:lvlJc w:val="left"/>
      <w:lvlText w:val="(%1)"/>
      <w:numFmt w:val="lowerLetter"/>
      <w:start w:val="6"/>
    </w:lvl>
    <w:lvl w:ilvl="1">
      <w:lvlJc w:val="left"/>
      <w:lvlText w:val="(%2)"/>
      <w:numFmt w:val="lowerRoman"/>
      <w:start w:val="1"/>
    </w:lvl>
  </w:abstractNum>
  <w:abstractNum w:abstractNumId="22">
    <w:nsid w:val="77465F01"/>
    <w:multiLevelType w:val="hybridMultilevel"/>
    <w:lvl w:ilvl="0">
      <w:lvlJc w:val="left"/>
      <w:lvlText w:val="%1."/>
      <w:numFmt w:val="decimal"/>
      <w:start w:val="9"/>
    </w:lvl>
  </w:abstractNum>
  <w:abstractNum w:abstractNumId="23">
    <w:nsid w:val="7724C67E"/>
    <w:multiLevelType w:val="hybridMultilevel"/>
    <w:lvl w:ilvl="0">
      <w:lvlJc w:val="left"/>
      <w:lvlText w:val="(%1)"/>
      <w:numFmt w:val="lowerLetter"/>
      <w:start w:val="1"/>
    </w:lvl>
  </w:abstractNum>
  <w:abstractNum w:abstractNumId="24">
    <w:nsid w:val="5C482A97"/>
    <w:multiLevelType w:val="hybridMultilevel"/>
    <w:lvl w:ilvl="0">
      <w:lvlJc w:val="left"/>
      <w:lvlText w:val="%1."/>
      <w:numFmt w:val="decimal"/>
      <w:start w:val="10"/>
    </w:lvl>
  </w:abstractNum>
  <w:abstractNum w:abstractNumId="25">
    <w:nsid w:val="2463B9EA"/>
    <w:multiLevelType w:val="hybridMultilevel"/>
    <w:lvl w:ilvl="0">
      <w:lvlJc w:val="left"/>
      <w:lvlText w:val="(%1)"/>
      <w:numFmt w:val="lowerLetter"/>
      <w:start w:val="1"/>
    </w:lvl>
  </w:abstractNum>
  <w:abstractNum w:abstractNumId="26">
    <w:nsid w:val="5E884ADC"/>
    <w:multiLevelType w:val="hybridMultilevel"/>
    <w:lvl w:ilvl="0">
      <w:lvlJc w:val="left"/>
      <w:lvlText w:val="%1."/>
      <w:numFmt w:val="decimal"/>
      <w:start w:val="11"/>
    </w:lvl>
  </w:abstractNum>
  <w:abstractNum w:abstractNumId="27">
    <w:nsid w:val="51EAD36B"/>
    <w:multiLevelType w:val="hybridMultilevel"/>
    <w:lvl w:ilvl="0">
      <w:lvlJc w:val="left"/>
      <w:lvlText w:val="(%1)"/>
      <w:numFmt w:val="lowerLetter"/>
      <w:start w:val="1"/>
    </w:lvl>
  </w:abstractNum>
  <w:abstractNum w:abstractNumId="28">
    <w:nsid w:val="2D517796"/>
    <w:multiLevelType w:val="hybridMultilevel"/>
    <w:lvl w:ilvl="0">
      <w:lvlJc w:val="left"/>
      <w:lvlText w:val="%1."/>
      <w:numFmt w:val="decimal"/>
      <w:start w:val="12"/>
    </w:lvl>
  </w:abstractNum>
  <w:abstractNum w:abstractNumId="29">
    <w:nsid w:val="580BD78F"/>
    <w:multiLevelType w:val="hybridMultilevel"/>
    <w:lvl w:ilvl="0">
      <w:lvlJc w:val="left"/>
      <w:lvlText w:val="(%1)"/>
      <w:numFmt w:val="lowerLetter"/>
      <w:start w:val="1"/>
    </w:lvl>
  </w:abstractNum>
  <w:abstractNum w:abstractNumId="30">
    <w:nsid w:val="153EA438"/>
    <w:multiLevelType w:val="hybridMultilevel"/>
    <w:lvl w:ilvl="0">
      <w:lvlJc w:val="left"/>
      <w:lvlText w:val="(%1)"/>
      <w:numFmt w:val="lowerLetter"/>
      <w:start w:val="2"/>
    </w:lvl>
  </w:abstractNum>
  <w:abstractNum w:abstractNumId="31">
    <w:nsid w:val="3855585C"/>
    <w:multiLevelType w:val="hybridMultilevel"/>
    <w:lvl w:ilvl="0">
      <w:lvlJc w:val="left"/>
      <w:lvlText w:val="%1."/>
      <w:numFmt w:val="decimal"/>
      <w:start w:val="13"/>
    </w:lvl>
  </w:abstractNum>
  <w:abstractNum w:abstractNumId="32">
    <w:nsid w:val="70A64E2A"/>
    <w:multiLevelType w:val="hybridMultilevel"/>
    <w:lvl w:ilvl="0">
      <w:lvlJc w:val="left"/>
      <w:lvlText w:val="%1."/>
      <w:numFmt w:val="decimal"/>
      <w:start w:val="14"/>
    </w:lvl>
  </w:abstractNum>
  <w:abstractNum w:abstractNumId="33">
    <w:nsid w:val="6A2342EC"/>
    <w:multiLevelType w:val="hybridMultilevel"/>
    <w:lvl w:ilvl="0">
      <w:lvlJc w:val="left"/>
      <w:lvlText w:val="%1."/>
      <w:numFmt w:val="decimal"/>
      <w:start w:val="15"/>
    </w:lvl>
  </w:abstractNum>
  <w:abstractNum w:abstractNumId="34">
    <w:nsid w:val="2A487CB0"/>
    <w:multiLevelType w:val="hybridMultilevel"/>
    <w:lvl w:ilvl="0">
      <w:lvlJc w:val="left"/>
      <w:lvlText w:val="%1."/>
      <w:numFmt w:val="decimal"/>
      <w:start w:val="16"/>
    </w:lvl>
  </w:abstractNum>
  <w:abstractNum w:abstractNumId="35">
    <w:nsid w:val="1D4ED43B"/>
    <w:multiLevelType w:val="hybridMultilevel"/>
    <w:lvl w:ilvl="0">
      <w:lvlJc w:val="left"/>
      <w:lvlText w:val="%1."/>
      <w:numFmt w:val="decimal"/>
      <w:start w:val="17"/>
    </w:lvl>
  </w:abstractNum>
  <w:abstractNum w:abstractNumId="36">
    <w:nsid w:val="725A06FB"/>
    <w:multiLevelType w:val="hybridMultilevel"/>
    <w:lvl w:ilvl="0">
      <w:lvlJc w:val="left"/>
      <w:lvlText w:val="%1."/>
      <w:numFmt w:val="decimal"/>
      <w:start w:val="18"/>
    </w:lvl>
  </w:abstractNum>
  <w:abstractNum w:abstractNumId="37">
    <w:nsid w:val="2CD89A32"/>
    <w:multiLevelType w:val="hybridMultilevel"/>
    <w:lvl w:ilvl="0">
      <w:lvlJc w:val="left"/>
      <w:lvlText w:val="%1."/>
      <w:numFmt w:val="decimal"/>
      <w:start w:val="19"/>
    </w:lvl>
  </w:abstractNum>
  <w:abstractNum w:abstractNumId="38">
    <w:nsid w:val="57E4CCAF"/>
    <w:multiLevelType w:val="hybridMultilevel"/>
    <w:lvl w:ilvl="0">
      <w:lvlJc w:val="left"/>
      <w:lvlText w:val="%1."/>
      <w:numFmt w:val="decimal"/>
      <w:start w:val="20"/>
    </w:lvl>
  </w:abstractNum>
  <w:abstractNum w:abstractNumId="39">
    <w:nsid w:val="7A6D8D3C"/>
    <w:multiLevelType w:val="hybridMultilevel"/>
    <w:lvl w:ilvl="0">
      <w:lvlJc w:val="left"/>
      <w:lvlText w:val="%1."/>
      <w:numFmt w:val="decimal"/>
      <w:start w:val="21"/>
    </w:lvl>
  </w:abstractNum>
  <w:abstractNum w:abstractNumId="40">
    <w:nsid w:val="4B588F54"/>
    <w:multiLevelType w:val="hybridMultilevel"/>
    <w:lvl w:ilvl="0">
      <w:lvlJc w:val="left"/>
      <w:lvlText w:val="%1."/>
      <w:numFmt w:val="decimal"/>
      <w:start w:val="22"/>
    </w:lvl>
  </w:abstractNum>
  <w:abstractNum w:abstractNumId="41">
    <w:nsid w:val="542289EC"/>
    <w:multiLevelType w:val="hybridMultilevel"/>
    <w:lvl w:ilvl="0">
      <w:lvlJc w:val="left"/>
      <w:lvlText w:val="%1."/>
      <w:numFmt w:val="decimal"/>
      <w:start w:val="23"/>
    </w:lvl>
  </w:abstractNum>
  <w:abstractNum w:abstractNumId="42">
    <w:nsid w:val="6DE91B18"/>
    <w:multiLevelType w:val="hybridMultilevel"/>
    <w:lvl w:ilvl="0">
      <w:lvlJc w:val="left"/>
      <w:lvlText w:val="%1."/>
      <w:numFmt w:val="decimal"/>
      <w:start w:val="24"/>
    </w:lvl>
  </w:abstractNum>
  <w:abstractNum w:abstractNumId="43">
    <w:nsid w:val="38437FDB"/>
    <w:multiLevelType w:val="hybridMultilevel"/>
    <w:lvl w:ilvl="0">
      <w:lvlJc w:val="left"/>
      <w:lvlText w:val="(%1)"/>
      <w:numFmt w:val="lowerLetter"/>
      <w:start w:val="1"/>
    </w:lvl>
  </w:abstractNum>
  <w:abstractNum w:abstractNumId="44">
    <w:nsid w:val="7644A45C"/>
    <w:multiLevelType w:val="hybridMultilevel"/>
    <w:lvl w:ilvl="0">
      <w:lvlJc w:val="left"/>
      <w:lvlText w:val="%1."/>
      <w:numFmt w:val="decimal"/>
      <w:start w:val="25"/>
    </w:lvl>
  </w:abstractNum>
  <w:abstractNum w:abstractNumId="45">
    <w:nsid w:val="32FFF902"/>
    <w:multiLevelType w:val="hybridMultilevel"/>
    <w:lvl w:ilvl="0">
      <w:lvlJc w:val="left"/>
      <w:lvlText w:val="%1."/>
      <w:numFmt w:val="decimal"/>
      <w:start w:val="26"/>
    </w:lvl>
  </w:abstractNum>
  <w:abstractNum w:abstractNumId="46">
    <w:nsid w:val="684A481A"/>
    <w:multiLevelType w:val="hybridMultilevel"/>
    <w:lvl w:ilvl="0">
      <w:lvlJc w:val="left"/>
      <w:lvlText w:val="%1."/>
      <w:numFmt w:val="decimal"/>
      <w:start w:val="1"/>
    </w:lvl>
  </w:abstractNum>
  <w:abstractNum w:abstractNumId="47">
    <w:nsid w:val="579478FE"/>
    <w:multiLevelType w:val="hybridMultilevel"/>
    <w:lvl w:ilvl="0">
      <w:lvlJc w:val="left"/>
      <w:lvlText w:val="%1."/>
      <w:numFmt w:val="decimal"/>
      <w:start w:val="2"/>
    </w:lvl>
  </w:abstractNum>
  <w:abstractNum w:abstractNumId="48">
    <w:nsid w:val="749ABB43"/>
    <w:multiLevelType w:val="hybridMultilevel"/>
    <w:lvl w:ilvl="0">
      <w:lvlJc w:val="left"/>
      <w:lvlText w:val="•"/>
      <w:numFmt w:val="bullet"/>
      <w:start w:val="1"/>
    </w:lvl>
  </w:abstractNum>
  <w:abstractNum w:abstractNumId="49">
    <w:nsid w:val="3DC240FB"/>
    <w:multiLevelType w:val="hybridMultilevel"/>
    <w:lvl w:ilvl="0">
      <w:lvlJc w:val="left"/>
      <w:lvlText w:val="•"/>
      <w:numFmt w:val="bullet"/>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2019-12-05T23:25:19Z</dcterms:created>
  <dcterms:modified xsi:type="dcterms:W3CDTF">2019-12-05T23:25:19Z</dcterms:modified>
</cp:coreProperties>
</file>