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8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8"/>
                </w:rPr>
                <w:t>FRAIN JAMES P</w:t>
              </w:r>
            </w:hyperlink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5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CMRG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05/09/2005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2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1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05/09/2005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434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6.9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1,470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left="7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8000"/>
              </w:rPr>
              <w:t>1. Shares issued in lieu of certain director's fees for participation in meetings of the Board of Directors and certain of its committees.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David A. Levin Attorney-in-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05/11/2005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auto"/>
            </w:tcBorders>
            <w:gridSpan w:val="8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Fact for James P. Frain</w:t>
            </w: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auto"/>
              <w:bottom w:val="single" w:sz="8" w:color="auto"/>
            </w:tcBorders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0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6607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2019-12-16T05:27:43Z</dcterms:created>
  <dcterms:modified xsi:type="dcterms:W3CDTF">2019-12-16T05:27:43Z</dcterms:modified>
</cp:coreProperties>
</file>