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25,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343535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ind w:right="300"/>
        <w:spacing w:after="0" w:line="274" w:lineRule="auto"/>
        <w:rPr>
          <w:sz w:val="20"/>
          <w:szCs w:val="20"/>
          <w:color w:val="auto"/>
        </w:rPr>
      </w:pPr>
      <w:r>
        <w:rPr>
          <w:rFonts w:ascii="Arial" w:cs="Arial" w:eastAsia="Arial" w:hAnsi="Arial"/>
          <w:sz w:val="21"/>
          <w:szCs w:val="21"/>
          <w:color w:val="auto"/>
        </w:rPr>
        <w:t>On August 25, 2016, Destination XL Group, Inc. (the “Company”) issued a press release announcing the Company’s operating results for the second quarter of fiscal 2016. A copy of this press release is attached hereto as Exhibit 99.1.</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An audio webcast to discuss the Company’s operating results for the second quarter of fiscal 2016 will be held today, August 25, 2016, at 9:00 a.m. EDT. Interested parties can access the webcast and accompanying slide presentation on the Company's website at www.destinationxl.com under the Investor Relations section.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6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486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652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on August 25,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46"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25, 2016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rPr>
          <w:sz w:val="20"/>
          <w:szCs w:val="20"/>
          <w:color w:val="auto"/>
        </w:rPr>
      </w:pPr>
      <w:r>
        <w:rPr>
          <w:rFonts w:ascii="Arial" w:cs="Arial" w:eastAsia="Arial" w:hAnsi="Arial"/>
          <w:sz w:val="20"/>
          <w:szCs w:val="20"/>
          <w:color w:val="auto"/>
        </w:rPr>
        <w:t>Jeff Unger</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(561) 482-9715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Reports Second-Quarter 2016 Financial Results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Achieves +4.6% DXL Comparable Store Sales Increase, Building On +11.9% Comp Increase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Second Quarter 2015;</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Updates Sales Guidance for Fiscal 2016</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CANTON, Mass., August 25, 2016 – </w:t>
      </w:r>
      <w:r>
        <w:rPr>
          <w:rFonts w:ascii="Arial" w:cs="Arial" w:eastAsia="Arial" w:hAnsi="Arial"/>
          <w:sz w:val="20"/>
          <w:szCs w:val="20"/>
          <w:u w:val="single" w:color="auto"/>
          <w:color w:val="auto"/>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second quarter of fiscal 2016.</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2016 Highlights</w:t>
      </w:r>
    </w:p>
    <w:p>
      <w:pPr>
        <w:spacing w:after="0" w:line="154" w:lineRule="exact"/>
        <w:rPr>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increased +2.4% on top of +6.7% in prior-year quarter</w:t>
      </w:r>
    </w:p>
    <w:p>
      <w:pPr>
        <w:spacing w:after="0" w:line="15" w:lineRule="exact"/>
        <w:rPr>
          <w:rFonts w:ascii="Arial" w:cs="Arial" w:eastAsia="Arial" w:hAnsi="Arial"/>
          <w:sz w:val="20"/>
          <w:szCs w:val="20"/>
          <w:color w:val="auto"/>
        </w:rPr>
      </w:pPr>
    </w:p>
    <w:p>
      <w:pPr>
        <w:ind w:left="880" w:right="58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151 DXL retail stores, open at least 13 months, had a +4.6% comparable sales increase on top of an +11.9% comparable sales increase in the prior-year quarter</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of $0.2 million, compared with net loss of $(1.0) million in the prior-year quarter</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EBITDA increased to $8.5 million from $6.8 million in the prior-year quarter</w:t>
      </w: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per square foot for the DXL retail stores, on a rolling 12-month basis, increased to $181, from $172 for the prior-year quarter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“Our positive second-quarter results reflect the fundamental strength of the DXL transformation, which drove growth in sales and profitability even as uncertainty weighed on consumer spending,” said President and CEO David Levin. “DXL retail stores delivered a sales comp of 4.6% on top of 11.9% in the second quarter last year.</w:t>
      </w:r>
    </w:p>
    <w:p>
      <w:pPr>
        <w:spacing w:after="0" w:line="200" w:lineRule="exact"/>
        <w:rPr>
          <w:sz w:val="20"/>
          <w:szCs w:val="20"/>
          <w:color w:val="auto"/>
        </w:rPr>
      </w:pPr>
    </w:p>
    <w:p>
      <w:pPr>
        <w:ind w:right="280"/>
        <w:spacing w:after="0" w:line="316" w:lineRule="auto"/>
        <w:rPr>
          <w:sz w:val="20"/>
          <w:szCs w:val="20"/>
          <w:color w:val="auto"/>
        </w:rPr>
      </w:pPr>
      <w:r>
        <w:rPr>
          <w:rFonts w:ascii="Arial" w:cs="Arial" w:eastAsia="Arial" w:hAnsi="Arial"/>
          <w:sz w:val="18"/>
          <w:szCs w:val="18"/>
          <w:color w:val="auto"/>
        </w:rPr>
        <w:t>“Brand awareness continues to grow, which has led to a 9.0% increase in the rate of Casual Male customers converting to DXL. At the same time, the end-of-rack customer’s share of our bottoms business rose again, to 44.1% from 42.9% in the second quarter last year.</w:t>
      </w:r>
    </w:p>
    <w:p>
      <w:pPr>
        <w:spacing w:after="0" w:line="144"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“Our belief in the DXL transformation has never been stronger. The DXL customer is buying more and spending more per transaction, while our average sales per square foot continue to climb. Despite these improvements, we started to see a slowdown in traffic in the second quarter. Due to the macro headwinds in the current environment, we are taking a more cautious view of sales in the second half of the year. However, we are confident in our ability to leverage our operating model, and we are maintaining our guidance in earnings and EBITDA,” Levin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Second-Quarter 2016 Results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5"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For the second quarter of fiscal 2016, total sales rose 3.3% to $117.9 million from $114.1 million in the second quarter of fiscal 2015. The increase of $3.8 million in total sales was primarily driven by a comparable sales increase of $2.6 million, or 4.6%, from our DXL stores. On a comparable basis, total transactions in the Company’s DXL stores were up 3.2% over the prior-year second quarter.</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For the second quarter of fiscal 2016, gross margin, inclusive of occupancy costs, was 46.5%, compared with gross margin of 47.2% for the second quarter of fiscal 2015. The decrease of 70 basis points was the result of a 110-basis-point decrease in merchandise margin, which was partially offset by a 40-basis-point improvement in occupancy costs as a percentage of total sales. The decrease in merchandise margin was primarily due to a shift in the timing of clearance markdowns. The improvement in occupancy costs was primarily due to leveraging a higher sales base against relatively fixed occupancy expense.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SG&amp;A expenses for the second quarter of fiscal 2016 were 39.3% of sales, compared with 41.3% in the second quarter of fiscal 2015. On a dollar basis, SG&amp;A expense declined $0.8 million from the same quarter a year ago, primarily due to a decrease in advertising costs and incentive accruals.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Net income for the second quarter of fiscal 2016 was $0.2 million, or $0.00 per diluted share, compared with a net loss of $(1.0) million, or $(0.02) per diluted share, for the second quarter of fiscal 2015. On a non-GAAP basis, assuming a normalized tax rate of 40%, adjusted net income (loss) for the second quarter of fiscal 2016 and fiscal 2015 was $0.00 per diluted share and $(0.01) per diluted share,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Earnings before interest, taxes, depreciation and amortization (EBITDA), a non-GAAP measure, for the second quarter of fiscal 2016 were $8.5 million, compared with $6.8 million for the second quarter of fiscal 2015. The improvement was driven by an increase in sales from the same quarter of the prior year and a decrease in SG&amp;A expenses.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4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Cash Flow provided by operations for the first six months of fiscal 2016 was $19.1 million, compared with cash flow provided by operations of $6.7 million for the same period of fiscal 2015. Capital expenditures for the first six months of fiscal 2016 of $13.8 million consisted of $9.7 million for new DXL stores and $4.1 million for infrastructure projects. Capital expenditures for the first six months of fiscal 2015 of $17.0 million consisted of $11.2 million for new DXL stores and $5.8 million for infrastructure projects. Free cash flow, before DXL capital expenditures, a non-GAAP measure, improved $14.1 million from the first six months of fiscal 2015. Certain amounts in the following table may not foot due to rounding: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gridSpan w:val="3"/>
          </w:tcPr>
          <w:p>
            <w:pPr>
              <w:ind w:left="1220"/>
              <w:spacing w:after="0"/>
              <w:rPr>
                <w:sz w:val="20"/>
                <w:szCs w:val="20"/>
                <w:color w:val="auto"/>
              </w:rPr>
            </w:pPr>
            <w:r>
              <w:rPr>
                <w:rFonts w:ascii="Arial" w:cs="Arial" w:eastAsia="Arial" w:hAnsi="Arial"/>
                <w:sz w:val="14"/>
                <w:szCs w:val="14"/>
                <w:color w:val="auto"/>
                <w:w w:val="93"/>
              </w:rPr>
              <w:t>For the six months ended</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4"/>
                <w:szCs w:val="14"/>
                <w:color w:val="auto"/>
              </w:rPr>
            </w:pPr>
          </w:p>
        </w:tc>
        <w:tc>
          <w:tcPr>
            <w:tcW w:w="2140" w:type="dxa"/>
            <w:vAlign w:val="bottom"/>
            <w:gridSpan w:val="2"/>
          </w:tcPr>
          <w:p>
            <w:pPr>
              <w:jc w:val="right"/>
              <w:ind w:right="1060"/>
              <w:spacing w:after="0"/>
              <w:rPr>
                <w:sz w:val="20"/>
                <w:szCs w:val="20"/>
                <w:color w:val="auto"/>
              </w:rPr>
            </w:pPr>
            <w:r>
              <w:rPr>
                <w:rFonts w:ascii="Arial" w:cs="Arial" w:eastAsia="Arial" w:hAnsi="Arial"/>
                <w:sz w:val="14"/>
                <w:szCs w:val="14"/>
                <w:color w:val="auto"/>
              </w:rPr>
              <w:t>July 30, 2016</w:t>
            </w:r>
          </w:p>
        </w:tc>
        <w:tc>
          <w:tcPr>
            <w:tcW w:w="580" w:type="dxa"/>
            <w:vAlign w:val="bottom"/>
          </w:tcPr>
          <w:p>
            <w:pPr>
              <w:spacing w:after="0"/>
              <w:rPr>
                <w:sz w:val="14"/>
                <w:szCs w:val="14"/>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4"/>
                <w:szCs w:val="14"/>
                <w:color w:val="auto"/>
                <w:w w:val="95"/>
              </w:rPr>
              <w:t>August 1, 2015</w:t>
            </w:r>
          </w:p>
        </w:tc>
      </w:tr>
      <w:tr>
        <w:trPr>
          <w:trHeight w:val="210"/>
        </w:trPr>
        <w:tc>
          <w:tcPr>
            <w:tcW w:w="664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3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38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(4.1)</w:t>
            </w:r>
          </w:p>
        </w:tc>
        <w:tc>
          <w:tcPr>
            <w:tcW w:w="5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w:t>
            </w:r>
          </w:p>
        </w:tc>
      </w:tr>
      <w:tr>
        <w:trPr>
          <w:trHeight w:val="210"/>
        </w:trPr>
        <w:tc>
          <w:tcPr>
            <w:tcW w:w="6640" w:type="dxa"/>
            <w:vAlign w:val="bottom"/>
          </w:tcPr>
          <w:p>
            <w:pPr>
              <w:ind w:left="120"/>
              <w:spacing w:after="0"/>
              <w:rPr>
                <w:sz w:val="20"/>
                <w:szCs w:val="20"/>
                <w:color w:val="auto"/>
              </w:rPr>
            </w:pPr>
            <w:r>
              <w:rPr>
                <w:rFonts w:ascii="Arial" w:cs="Arial" w:eastAsia="Arial" w:hAnsi="Arial"/>
                <w:sz w:val="14"/>
                <w:szCs w:val="14"/>
                <w:color w:val="auto"/>
              </w:rPr>
              <w:t>Free Cash Flow, before DXL capital expenditures</w:t>
            </w:r>
          </w:p>
        </w:tc>
        <w:tc>
          <w:tcPr>
            <w:tcW w:w="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3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8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(9.7)</w:t>
            </w:r>
          </w:p>
        </w:tc>
        <w:tc>
          <w:tcPr>
            <w:tcW w:w="5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w:t>
            </w:r>
          </w:p>
        </w:tc>
      </w:tr>
      <w:tr>
        <w:trPr>
          <w:trHeight w:val="20"/>
        </w:trPr>
        <w:tc>
          <w:tcPr>
            <w:tcW w:w="6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5.3</w:t>
            </w:r>
          </w:p>
        </w:tc>
        <w:tc>
          <w:tcPr>
            <w:tcW w:w="3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(10.3)</w:t>
            </w:r>
          </w:p>
        </w:tc>
      </w:tr>
      <w:tr>
        <w:trPr>
          <w:trHeight w:val="20"/>
        </w:trPr>
        <w:tc>
          <w:tcPr>
            <w:tcW w:w="6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The Company believes it is important to distinguish between capital expenditures for DXL stores, which is a discretionary investment, and capital expenditures for infrastructure projects. Capital expenditures on all new DXL stores are subject to demanding ROIC (“Return on Invested Capital”) hurdles, and the achievement of these hurdles has been a significant contributor to the Company’s continued improvement in EBITDA. Management believes free cash flow before DXL capital expenditures is an important metric, because it demonstrates DXL’s ability to strengthen liquidity while also contributing to the funding of DXL store growth.</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3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EBITDA, adjusted net income (loss) per share, free cash flow and free cash flow before DXL capital expenditures are non-GAAP financial measures. Please see “Non-GAAP Measures” below and a reconciliation of these non-GAAP measures to the comparable GAAP measures that follows the table below.</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4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At July 30, 2016, the Company had cash and cash equivalents of $5.8 million. Total debt at July 30, 2016 was $63.6 million. Total debt consisted of $41.2 million outstanding under the Company’s credit facility, net of unamortized debt issuance costs, and approximately $22.4 million outstanding under its term loan and equipment financing notes, net of unamortized debt issuance costs. At July 30, 2016, the Company had $66.0 million of excess availability under its credit facility.</w:t>
      </w:r>
    </w:p>
    <w:p>
      <w:pPr>
        <w:spacing w:after="0" w:line="11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Inventory was $121.3 million at July 30, 2016, compared with $125.0 million at January 30, 2016 and $123.6 million at August 1, 2015. The decrease in inventory compared with last year’s second quarter is due to inventory initiatives to improve timing of receipts and weeks of supply on hand. Clearance inventory represented 7.7% of total inventory in the second quarter of fiscal 2016, compared with 7.2% of total inventory in the second quarter of fiscal 2015.</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For the second quarter of fiscal 2016, the Company opened 7 new DXL stores, which included 1 outlet: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320" w:type="dxa"/>
            <w:vAlign w:val="bottom"/>
            <w:gridSpan w:val="4"/>
          </w:tcPr>
          <w:p>
            <w:pPr>
              <w:ind w:left="560"/>
              <w:spacing w:after="0"/>
              <w:rPr>
                <w:sz w:val="20"/>
                <w:szCs w:val="20"/>
                <w:color w:val="auto"/>
              </w:rPr>
            </w:pPr>
            <w:r>
              <w:rPr>
                <w:rFonts w:ascii="Arial" w:cs="Arial" w:eastAsia="Arial" w:hAnsi="Arial"/>
                <w:sz w:val="18"/>
                <w:szCs w:val="18"/>
                <w:color w:val="auto"/>
              </w:rPr>
              <w:t>Year End 2014</w:t>
            </w:r>
          </w:p>
        </w:tc>
        <w:tc>
          <w:tcPr>
            <w:tcW w:w="2320" w:type="dxa"/>
            <w:vAlign w:val="bottom"/>
            <w:gridSpan w:val="4"/>
          </w:tcPr>
          <w:p>
            <w:pPr>
              <w:ind w:left="560"/>
              <w:spacing w:after="0"/>
              <w:rPr>
                <w:sz w:val="20"/>
                <w:szCs w:val="20"/>
                <w:color w:val="auto"/>
              </w:rPr>
            </w:pPr>
            <w:r>
              <w:rPr>
                <w:rFonts w:ascii="Arial" w:cs="Arial" w:eastAsia="Arial" w:hAnsi="Arial"/>
                <w:sz w:val="18"/>
                <w:szCs w:val="18"/>
                <w:color w:val="auto"/>
              </w:rPr>
              <w:t>Year End 2015</w:t>
            </w:r>
          </w:p>
        </w:tc>
        <w:tc>
          <w:tcPr>
            <w:tcW w:w="2240" w:type="dxa"/>
            <w:vAlign w:val="bottom"/>
            <w:gridSpan w:val="4"/>
          </w:tcPr>
          <w:p>
            <w:pPr>
              <w:ind w:left="460"/>
              <w:spacing w:after="0"/>
              <w:rPr>
                <w:sz w:val="20"/>
                <w:szCs w:val="20"/>
                <w:color w:val="auto"/>
              </w:rPr>
            </w:pPr>
            <w:r>
              <w:rPr>
                <w:rFonts w:ascii="Arial" w:cs="Arial" w:eastAsia="Arial" w:hAnsi="Arial"/>
                <w:sz w:val="18"/>
                <w:szCs w:val="18"/>
                <w:color w:val="auto"/>
              </w:rPr>
              <w:t>At July 30, 2016</w:t>
            </w:r>
          </w:p>
        </w:tc>
        <w:tc>
          <w:tcPr>
            <w:tcW w:w="2240" w:type="dxa"/>
            <w:vAlign w:val="bottom"/>
            <w:gridSpan w:val="4"/>
          </w:tcPr>
          <w:p>
            <w:pPr>
              <w:ind w:left="460"/>
              <w:spacing w:after="0"/>
              <w:rPr>
                <w:sz w:val="20"/>
                <w:szCs w:val="20"/>
                <w:color w:val="auto"/>
              </w:rPr>
            </w:pPr>
            <w:r>
              <w:rPr>
                <w:rFonts w:ascii="Arial" w:cs="Arial" w:eastAsia="Arial" w:hAnsi="Arial"/>
                <w:sz w:val="18"/>
                <w:szCs w:val="18"/>
                <w:color w:val="auto"/>
              </w:rPr>
              <w:t>Year End 2016E</w:t>
            </w:r>
          </w:p>
        </w:tc>
      </w:tr>
      <w:tr>
        <w:trPr>
          <w:trHeight w:val="215"/>
        </w:trPr>
        <w:tc>
          <w:tcPr>
            <w:tcW w:w="2300" w:type="dxa"/>
            <w:vAlign w:val="bottom"/>
            <w:shd w:val="clear" w:color="auto" w:fill="CFF0FC"/>
          </w:tcPr>
          <w:p>
            <w:pPr>
              <w:spacing w:after="0"/>
              <w:rPr>
                <w:sz w:val="18"/>
                <w:szCs w:val="18"/>
                <w:color w:val="auto"/>
              </w:rPr>
            </w:pPr>
          </w:p>
        </w:tc>
        <w:tc>
          <w:tcPr>
            <w:tcW w:w="8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9"/>
              </w:rPr>
              <w:t># of</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87"/>
              </w:rPr>
              <w:t>Sq Ft.</w:t>
            </w:r>
          </w:p>
        </w:tc>
        <w:tc>
          <w:tcPr>
            <w:tcW w:w="1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 of</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Sq Ft.</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r>
      <w:tr>
        <w:trPr>
          <w:trHeight w:val="230"/>
        </w:trPr>
        <w:tc>
          <w:tcPr>
            <w:tcW w:w="2300" w:type="dxa"/>
            <w:vAlign w:val="bottom"/>
            <w:shd w:val="clear" w:color="auto" w:fill="CFF0FC"/>
          </w:tcPr>
          <w:p>
            <w:pPr>
              <w:spacing w:after="0"/>
              <w:rPr>
                <w:sz w:val="20"/>
                <w:szCs w:val="20"/>
                <w:color w:val="auto"/>
              </w:rPr>
            </w:pPr>
          </w:p>
        </w:tc>
        <w:tc>
          <w:tcPr>
            <w:tcW w:w="8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8"/>
              </w:rPr>
              <w:t>Stores</w:t>
            </w:r>
          </w:p>
        </w:tc>
        <w:tc>
          <w:tcPr>
            <w:tcW w:w="4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0"/>
              </w:rPr>
              <w:t>(000’s)</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Stores</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(000’s)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DXL retail</w:t>
            </w:r>
          </w:p>
        </w:tc>
        <w:tc>
          <w:tcPr>
            <w:tcW w:w="8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3"/>
              </w:rPr>
              <w:t>138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157</w:t>
            </w: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3"/>
              </w:rPr>
              <w:t>353</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Fiscal 2016 Outlook</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Company is revising its sales guidance for fiscal 2016, given the macroeconomic and political uncertainty affecting store traffic and consumer spending. However, the Company’s current earnings expectations remain within the range of its previous guidance for fiscal 2016, as a result of disciplined SG&amp;A expense management. The Company now expects:</w:t>
      </w:r>
    </w:p>
    <w:p>
      <w:pPr>
        <w:spacing w:after="0" w:line="105" w:lineRule="exact"/>
        <w:rPr>
          <w:sz w:val="20"/>
          <w:szCs w:val="20"/>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sales in the range of $457.0 to $463.0 million (compared with the Company’s previous guidance of $465.0 to $472.0 million).</w:t>
      </w:r>
    </w:p>
    <w:p>
      <w:pPr>
        <w:spacing w:after="0" w:line="198"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8"/>
          <w:szCs w:val="18"/>
          <w:color w:val="auto"/>
        </w:rPr>
        <w:t>A total comparable sales increase in the range of 2.0% to 4.0% (compared with the Company’s previous guidance of 4.8% to 5.5%).</w:t>
      </w:r>
    </w:p>
    <w:p>
      <w:pPr>
        <w:spacing w:after="0" w:line="198" w:lineRule="exact"/>
        <w:rPr>
          <w:rFonts w:ascii="Arial" w:cs="Arial" w:eastAsia="Arial" w:hAnsi="Arial"/>
          <w:sz w:val="16"/>
          <w:szCs w:val="16"/>
          <w:color w:val="auto"/>
        </w:rPr>
      </w:pPr>
    </w:p>
    <w:p>
      <w:pPr>
        <w:ind w:left="880" w:right="360" w:hanging="440"/>
        <w:spacing w:after="0" w:line="24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20"/>
          <w:szCs w:val="20"/>
          <w:color w:val="auto"/>
        </w:rPr>
        <w:t>A net loss of $4.4 million, or $(0.09) per diluted share, to breakeven (unchanged). On a non-GAAP basis, an adjusted net loss of $2.6 million, or $(0.05) per diluted share, to breakeven (unchanged). This guidance is presented on a non-GAAP basis for comparative purposes to fiscal 2015 earnings, assuming a normal tax benefit of approximately 40%. The Company expects to continue to provide a full valuation allowance against its deferred tax assets in fiscal 2016 and will not recognize any income tax benefit on its operating loss in fiscal 2016.*</w:t>
      </w:r>
    </w:p>
    <w:p>
      <w:pPr>
        <w:spacing w:after="0" w:line="154"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20"/>
          <w:szCs w:val="20"/>
          <w:color w:val="auto"/>
        </w:rPr>
        <w:t>Gross profit margin at the low end of the previous range of 46.2% to 46.5%.</w:t>
      </w:r>
    </w:p>
    <w:p>
      <w:pPr>
        <w:spacing w:after="0" w:line="175"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20"/>
          <w:szCs w:val="20"/>
          <w:color w:val="auto"/>
        </w:rPr>
        <w:t>EBITDA in the range of $31.0 to $35.0 million (unchanged).*</w:t>
      </w:r>
    </w:p>
    <w:p>
      <w:pPr>
        <w:spacing w:after="0" w:line="175" w:lineRule="exact"/>
        <w:rPr>
          <w:rFonts w:ascii="Arial" w:cs="Arial" w:eastAsia="Arial" w:hAnsi="Arial"/>
          <w:sz w:val="18"/>
          <w:szCs w:val="18"/>
          <w:color w:val="auto"/>
        </w:rPr>
      </w:pPr>
    </w:p>
    <w:p>
      <w:pPr>
        <w:ind w:left="880" w:right="560" w:hanging="440"/>
        <w:spacing w:after="0" w:line="260"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20"/>
          <w:szCs w:val="20"/>
          <w:color w:val="auto"/>
        </w:rPr>
        <w:t>To open approximately 28 DXL retail and 3 DXL outlet stores and close approximately 26 Casual Male XL retail stores and 3 Casual Male XL outlet stores (unchanged).</w:t>
      </w:r>
    </w:p>
    <w:p>
      <w:pPr>
        <w:spacing w:after="0" w:line="136" w:lineRule="exact"/>
        <w:rPr>
          <w:rFonts w:ascii="Arial" w:cs="Arial" w:eastAsia="Arial" w:hAnsi="Arial"/>
          <w:sz w:val="18"/>
          <w:szCs w:val="18"/>
          <w:color w:val="auto"/>
        </w:rPr>
      </w:pPr>
    </w:p>
    <w:p>
      <w:pPr>
        <w:ind w:left="880" w:right="240" w:hanging="440"/>
        <w:spacing w:after="0" w:line="260"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20"/>
          <w:szCs w:val="20"/>
          <w:color w:val="auto"/>
        </w:rPr>
        <w:t>Capital expenditures of approximately $30.0 million in fiscal 2016, with approximately $20.6 million invested in new DXL stores (unchanged).</w:t>
      </w:r>
    </w:p>
    <w:p>
      <w:pPr>
        <w:spacing w:after="0" w:line="136"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20"/>
          <w:szCs w:val="20"/>
          <w:color w:val="auto"/>
        </w:rPr>
        <w:t>Borrowings at the end of fiscal 2016 in the range of $59.0 million to $64.0 million (unchanged).</w:t>
      </w:r>
    </w:p>
    <w:p>
      <w:pPr>
        <w:spacing w:after="0" w:line="175" w:lineRule="exact"/>
        <w:rPr>
          <w:rFonts w:ascii="Arial" w:cs="Arial" w:eastAsia="Arial" w:hAnsi="Arial"/>
          <w:sz w:val="18"/>
          <w:szCs w:val="18"/>
          <w:color w:val="auto"/>
        </w:rPr>
      </w:pPr>
    </w:p>
    <w:p>
      <w:pPr>
        <w:ind w:left="880" w:right="100" w:hanging="440"/>
        <w:spacing w:after="0" w:line="260"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20"/>
          <w:szCs w:val="20"/>
          <w:color w:val="auto"/>
        </w:rPr>
        <w:t>Free cash flow before DXL capital expenditures of approximately $25.6 million to $30.6 million (unchanged), resulting in total free cash flow in the range of $5.0 million to $10.0 million (unchanged).*</w:t>
      </w:r>
    </w:p>
    <w:p>
      <w:pPr>
        <w:spacing w:after="0" w:line="1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Reconciliations of these non-GAAP measures to their comparable GAAP measures are provided in the tables below.</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35"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The Company will hold a conference call to review its financial results today, Thursday, August 25, 2016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section of the Company's website. The live call also can be accessed by dialing: (888) 466-4520. Please reference conference ID: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2997354. An archived version of the webcast may be accessed by visiting the "</w:t>
      </w:r>
      <w:r>
        <w:rPr>
          <w:rFonts w:ascii="Arial" w:cs="Arial" w:eastAsia="Arial" w:hAnsi="Arial"/>
          <w:sz w:val="18"/>
          <w:szCs w:val="18"/>
          <w:u w:val="single" w:color="auto"/>
          <w:color w:val="auto"/>
        </w:rPr>
        <w:t>Events</w:t>
      </w:r>
      <w:r>
        <w:rPr>
          <w:rFonts w:ascii="Arial" w:cs="Arial" w:eastAsia="Arial" w:hAnsi="Arial"/>
          <w:sz w:val="18"/>
          <w:szCs w:val="18"/>
          <w:color w:val="auto"/>
        </w:rPr>
        <w:t>" section of the Company's website for up to one year.</w:t>
      </w:r>
    </w:p>
    <w:p>
      <w:pPr>
        <w:spacing w:after="0" w:line="19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net income (loss) per diluted share, free cash flow and free cash flow before DXL capital expenditures. The presentation of these non-GAAP measures is not in accordance with GAAP, and should not be considered superior to or as a substitute for net income (loss), earnings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The Company believes that EBITDA (calculated as earnings before interest, taxes, depreciation and amortization) is useful to investors in evaluating its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7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Company has fully reserved against its deferred tax assets and, therefore, its net income (loss) is not reflective of earnings assuming a “normal” tax position. Adjusted net income (loss) provides investors with a useful indication of the financial performance of the business, on a comparative basis, assuming a normalized effective tax rate of 40%.</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Free cash flow and free cash flow before DXL capital expenditures are metrics that management uses to monitor liquidity. The Company has stated that beginning in fiscal 2016 it expects to fund its ongoing DXL capital expenditures with cash flow from operations. Management believes this metric is important to investors because it demonstrates the Company’s ability to strengthen liquidity while also contributing to the funding of the DXL store growth. Free cash flow is calculated as cash flow from operating activities, less capital expenditures and excludes the mandatory and discretionary repayment of debt. Free cash flow before DXL capital expenditures is calculated as free cash flow with DXL capital expenditures added back.</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9"/>
          <w:szCs w:val="19"/>
          <w:color w:val="auto"/>
        </w:rPr>
        <w:t xml:space="preserve">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t>
      </w:r>
      <w:r>
        <w:rPr>
          <w:rFonts w:ascii="Arial" w:cs="Arial" w:eastAsia="Arial" w:hAnsi="Arial"/>
          <w:sz w:val="19"/>
          <w:szCs w:val="19"/>
          <w:u w:val="single" w:color="auto"/>
          <w:color w:val="0000FF"/>
        </w:rPr>
        <w:t>www.destinationxl.com</w:t>
      </w:r>
      <w:r>
        <w:rPr>
          <w:rFonts w:ascii="Arial" w:cs="Arial" w:eastAsia="Arial" w:hAnsi="Arial"/>
          <w:sz w:val="19"/>
          <w:szCs w:val="19"/>
          <w:color w:val="auto"/>
        </w:rPr>
        <w:t xml:space="preserve"> and </w:t>
      </w:r>
      <w:r>
        <w:rPr>
          <w:rFonts w:ascii="Arial" w:cs="Arial" w:eastAsia="Arial" w:hAnsi="Arial"/>
          <w:sz w:val="19"/>
          <w:szCs w:val="19"/>
          <w:u w:val="single" w:color="auto"/>
          <w:color w:val="0000FF"/>
        </w:rPr>
        <w:t>www.bigandtall.com</w:t>
      </w:r>
      <w:r>
        <w:rPr>
          <w:rFonts w:ascii="Arial" w:cs="Arial" w:eastAsia="Arial" w:hAnsi="Arial"/>
          <w:sz w:val="19"/>
          <w:szCs w:val="19"/>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9"/>
          <w:szCs w:val="19"/>
          <w:u w:val="single" w:color="auto"/>
          <w:color w:val="0000FF"/>
        </w:rPr>
        <w:t>http://investor.destinationxl.com</w:t>
      </w:r>
      <w:r>
        <w:rPr>
          <w:rFonts w:ascii="Arial" w:cs="Arial" w:eastAsia="Arial" w:hAnsi="Arial"/>
          <w:sz w:val="19"/>
          <w:szCs w:val="19"/>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capital expenditures, debt levels, sales, EBITDA, and earnings for fiscal 2016, the expected impact of inventory management improvements on working capital in fiscal 2016, the Company’s ability to execute on its strategic plan and the effectiveness of the Destination XL concept.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18, 2016,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96" w:lineRule="exact"/>
        <w:rPr>
          <w:sz w:val="20"/>
          <w:szCs w:val="20"/>
          <w:color w:val="auto"/>
        </w:rPr>
      </w:pPr>
    </w:p>
    <w:p>
      <w:pPr>
        <w:jc w:val="both"/>
        <w:ind w:right="50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6"/>
          </w:tcPr>
          <w:p>
            <w:pPr>
              <w:jc w:val="right"/>
              <w:ind w:right="1100"/>
              <w:spacing w:after="0"/>
              <w:rPr>
                <w:sz w:val="20"/>
                <w:szCs w:val="20"/>
                <w:color w:val="auto"/>
              </w:rPr>
            </w:pPr>
            <w:r>
              <w:rPr>
                <w:rFonts w:ascii="Arial" w:cs="Arial" w:eastAsia="Arial" w:hAnsi="Arial"/>
                <w:sz w:val="14"/>
                <w:szCs w:val="14"/>
                <w:color w:val="auto"/>
              </w:rPr>
              <w:t>For the three months ended</w:t>
            </w:r>
          </w:p>
        </w:tc>
        <w:tc>
          <w:tcPr>
            <w:tcW w:w="180" w:type="dxa"/>
            <w:vAlign w:val="bottom"/>
          </w:tcPr>
          <w:p>
            <w:pPr>
              <w:spacing w:after="0"/>
              <w:rPr>
                <w:sz w:val="14"/>
                <w:szCs w:val="14"/>
                <w:color w:val="auto"/>
              </w:rPr>
            </w:pPr>
          </w:p>
        </w:tc>
        <w:tc>
          <w:tcPr>
            <w:tcW w:w="2840" w:type="dxa"/>
            <w:vAlign w:val="bottom"/>
            <w:gridSpan w:val="5"/>
          </w:tcPr>
          <w:p>
            <w:pPr>
              <w:jc w:val="right"/>
              <w:ind w:right="820"/>
              <w:spacing w:after="0"/>
              <w:rPr>
                <w:sz w:val="20"/>
                <w:szCs w:val="20"/>
                <w:color w:val="auto"/>
              </w:rPr>
            </w:pPr>
            <w:r>
              <w:rPr>
                <w:rFonts w:ascii="Arial" w:cs="Arial" w:eastAsia="Arial" w:hAnsi="Arial"/>
                <w:sz w:val="14"/>
                <w:szCs w:val="14"/>
                <w:color w:val="auto"/>
              </w:rPr>
              <w:t>For the six months ended</w:t>
            </w:r>
          </w:p>
        </w:tc>
      </w:tr>
      <w:tr>
        <w:trPr>
          <w:trHeight w:val="167"/>
        </w:trPr>
        <w:tc>
          <w:tcPr>
            <w:tcW w:w="404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July 30, 2016</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w w:val="99"/>
              </w:rPr>
              <w:t>August 1, 2015</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July 30, 2016</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w w:val="97"/>
              </w:rPr>
              <w:t>August 1, 2015</w:t>
            </w:r>
          </w:p>
        </w:tc>
        <w:tc>
          <w:tcPr>
            <w:tcW w:w="60" w:type="dxa"/>
            <w:vAlign w:val="bottom"/>
            <w:tcBorders>
              <w:bottom w:val="single" w:sz="8" w:color="CFF0FC"/>
            </w:tcBorders>
          </w:tcPr>
          <w:p>
            <w:pPr>
              <w:spacing w:after="0"/>
              <w:rPr>
                <w:sz w:val="14"/>
                <w:szCs w:val="14"/>
                <w:color w:val="auto"/>
              </w:rPr>
            </w:pPr>
          </w:p>
        </w:tc>
      </w:tr>
      <w:tr>
        <w:trPr>
          <w:trHeight w:val="210"/>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117,875</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225,766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218,552</w:t>
            </w:r>
          </w:p>
        </w:tc>
        <w:tc>
          <w:tcPr>
            <w:tcW w:w="60" w:type="dxa"/>
            <w:vAlign w:val="bottom"/>
            <w:shd w:val="clear" w:color="auto" w:fill="CFF0FC"/>
          </w:tcPr>
          <w:p>
            <w:pPr>
              <w:spacing w:after="0"/>
              <w:rPr>
                <w:sz w:val="18"/>
                <w:szCs w:val="18"/>
                <w:color w:val="auto"/>
              </w:rPr>
            </w:pPr>
          </w:p>
        </w:tc>
      </w:tr>
      <w:tr>
        <w:trPr>
          <w:trHeight w:val="213"/>
        </w:trPr>
        <w:tc>
          <w:tcPr>
            <w:tcW w:w="4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9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63,032</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60,264</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121,157</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116,430</w:t>
            </w:r>
          </w:p>
        </w:tc>
        <w:tc>
          <w:tcPr>
            <w:tcW w:w="60" w:type="dxa"/>
            <w:vAlign w:val="bottom"/>
            <w:tcBorders>
              <w:bottom w:val="single" w:sz="8" w:color="CFF0FC"/>
            </w:tcBorders>
          </w:tcPr>
          <w:p>
            <w:pPr>
              <w:spacing w:after="0"/>
              <w:rPr>
                <w:sz w:val="18"/>
                <w:szCs w:val="18"/>
                <w:color w:val="auto"/>
              </w:rPr>
            </w:pPr>
          </w:p>
        </w:tc>
      </w:tr>
      <w:tr>
        <w:trPr>
          <w:trHeight w:val="21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53,883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104,609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102,122</w:t>
            </w:r>
          </w:p>
        </w:tc>
        <w:tc>
          <w:tcPr>
            <w:tcW w:w="6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46,299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47,121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87,668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88,590</w:t>
            </w:r>
          </w:p>
        </w:tc>
        <w:tc>
          <w:tcPr>
            <w:tcW w:w="60" w:type="dxa"/>
            <w:vAlign w:val="bottom"/>
          </w:tcPr>
          <w:p>
            <w:pPr>
              <w:spacing w:after="0"/>
              <w:rPr>
                <w:sz w:val="18"/>
                <w:szCs w:val="18"/>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7,527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14,869</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13,450</w:t>
            </w:r>
          </w:p>
        </w:tc>
        <w:tc>
          <w:tcPr>
            <w:tcW w:w="60" w:type="dxa"/>
            <w:vAlign w:val="bottom"/>
            <w:shd w:val="clear" w:color="auto" w:fill="CFF0FC"/>
          </w:tcPr>
          <w:p>
            <w:pPr>
              <w:spacing w:after="0"/>
              <w:rPr>
                <w:sz w:val="19"/>
                <w:szCs w:val="19"/>
                <w:color w:val="auto"/>
              </w:rPr>
            </w:pPr>
          </w:p>
        </w:tc>
      </w:tr>
      <w:tr>
        <w:trPr>
          <w:trHeight w:val="207"/>
        </w:trPr>
        <w:tc>
          <w:tcPr>
            <w:tcW w:w="4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9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53,826</w:t>
            </w:r>
          </w:p>
        </w:tc>
        <w:tc>
          <w:tcPr>
            <w:tcW w:w="1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54,049</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102,537</w:t>
            </w:r>
          </w:p>
        </w:tc>
        <w:tc>
          <w:tcPr>
            <w:tcW w:w="2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102,040</w:t>
            </w:r>
          </w:p>
        </w:tc>
        <w:tc>
          <w:tcPr>
            <w:tcW w:w="60" w:type="dxa"/>
            <w:vAlign w:val="bottom"/>
            <w:tcBorders>
              <w:bottom w:val="single" w:sz="8" w:color="CFF0FC"/>
            </w:tcBorders>
          </w:tcPr>
          <w:p>
            <w:pPr>
              <w:spacing w:after="0"/>
              <w:rPr>
                <w:sz w:val="17"/>
                <w:szCs w:val="17"/>
                <w:color w:val="auto"/>
              </w:rPr>
            </w:pPr>
          </w:p>
        </w:tc>
      </w:tr>
      <w:tr>
        <w:trPr>
          <w:trHeight w:val="213"/>
        </w:trPr>
        <w:tc>
          <w:tcPr>
            <w:tcW w:w="40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Operating income (loss)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1,017</w:t>
            </w:r>
          </w:p>
        </w:tc>
        <w:tc>
          <w:tcPr>
            <w:tcW w:w="160" w:type="dxa"/>
            <w:vAlign w:val="bottom"/>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8"/>
                <w:szCs w:val="18"/>
                <w:color w:val="auto"/>
              </w:rPr>
            </w:pPr>
          </w:p>
        </w:tc>
      </w:tr>
      <w:tr>
        <w:trPr>
          <w:trHeight w:val="219"/>
        </w:trPr>
        <w:tc>
          <w:tcPr>
            <w:tcW w:w="40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Interest expense,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(783)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(746)</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(1,567)</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(1,507)</w:t>
            </w:r>
          </w:p>
        </w:tc>
      </w:tr>
      <w:tr>
        <w:trPr>
          <w:trHeight w:val="213"/>
        </w:trPr>
        <w:tc>
          <w:tcPr>
            <w:tcW w:w="40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(912)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(1,425)</w:t>
            </w: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60" w:type="dxa"/>
            <w:vAlign w:val="bottom"/>
            <w:shd w:val="clear" w:color="auto" w:fill="CFF0FC"/>
          </w:tcPr>
          <w:p>
            <w:pPr>
              <w:spacing w:after="0"/>
              <w:rPr>
                <w:sz w:val="18"/>
                <w:szCs w:val="18"/>
                <w:color w:val="auto"/>
              </w:rPr>
            </w:pPr>
          </w:p>
        </w:tc>
      </w:tr>
      <w:tr>
        <w:trPr>
          <w:trHeight w:val="213"/>
        </w:trPr>
        <w:tc>
          <w:tcPr>
            <w:tcW w:w="404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r>
      <w:tr>
        <w:trPr>
          <w:trHeight w:val="207"/>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(979)</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(1,553)</w:t>
            </w: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8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0.00</w:t>
            </w:r>
          </w:p>
        </w:tc>
        <w:tc>
          <w:tcPr>
            <w:tcW w:w="7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(0.02)</w:t>
            </w:r>
          </w:p>
        </w:tc>
        <w:tc>
          <w:tcPr>
            <w:tcW w:w="6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0.01</w:t>
            </w:r>
          </w:p>
        </w:tc>
        <w:tc>
          <w:tcPr>
            <w:tcW w:w="6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Weighted-average number of common shares outstanding:</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9"/>
                <w:szCs w:val="19"/>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49,531</w:t>
            </w:r>
          </w:p>
        </w:tc>
        <w:tc>
          <w:tcPr>
            <w:tcW w:w="7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49,081</w:t>
            </w:r>
          </w:p>
        </w:tc>
        <w:tc>
          <w:tcPr>
            <w:tcW w:w="6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49,522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49,953</w:t>
            </w: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49,081</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49,902</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July 30, 2016, January 30, 2016 and August 1, 2015</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July 30,</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January 30,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color w:val="auto"/>
              </w:rPr>
              <w:t>August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2016</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121,307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125,084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124,962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274,026</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106,275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Long-term debt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22,397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26,158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13,921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90,259</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88,404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274,026</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EBITDA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40" w:type="dxa"/>
            <w:vAlign w:val="bottom"/>
            <w:gridSpan w:val="4"/>
          </w:tcPr>
          <w:p>
            <w:pPr>
              <w:jc w:val="right"/>
              <w:ind w:right="488"/>
              <w:spacing w:after="0"/>
              <w:rPr>
                <w:sz w:val="20"/>
                <w:szCs w:val="20"/>
                <w:color w:val="auto"/>
              </w:rPr>
            </w:pPr>
            <w:r>
              <w:rPr>
                <w:rFonts w:ascii="Arial" w:cs="Arial" w:eastAsia="Arial" w:hAnsi="Arial"/>
                <w:sz w:val="14"/>
                <w:szCs w:val="14"/>
                <w:color w:val="auto"/>
              </w:rPr>
              <w:t>For the 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6"/>
          </w:tcPr>
          <w:p>
            <w:pPr>
              <w:jc w:val="right"/>
              <w:ind w:right="100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jc w:val="right"/>
              <w:ind w:right="15"/>
              <w:spacing w:after="0"/>
              <w:rPr>
                <w:sz w:val="20"/>
                <w:szCs w:val="20"/>
                <w:color w:val="auto"/>
              </w:rPr>
            </w:pPr>
            <w:r>
              <w:rPr>
                <w:rFonts w:ascii="Arial" w:cs="Arial" w:eastAsia="Arial" w:hAnsi="Arial"/>
                <w:sz w:val="14"/>
                <w:szCs w:val="14"/>
                <w:color w:val="auto"/>
              </w:rPr>
              <w:t>July 30, 2016</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August 1, 2015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color w:val="auto"/>
              </w:rPr>
              <w:t>July 30, 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color w:val="auto"/>
              </w:rPr>
              <w:t>August 1, 2015</w:t>
            </w:r>
          </w:p>
        </w:tc>
        <w:tc>
          <w:tcPr>
            <w:tcW w:w="0" w:type="dxa"/>
            <w:vAlign w:val="bottom"/>
          </w:tcPr>
          <w:p>
            <w:pPr>
              <w:spacing w:after="0"/>
              <w:rPr>
                <w:sz w:val="1"/>
                <w:szCs w:val="1"/>
                <w:color w:val="auto"/>
              </w:rPr>
            </w:pPr>
          </w:p>
        </w:tc>
      </w:tr>
      <w:tr>
        <w:trPr>
          <w:trHeight w:val="156"/>
        </w:trPr>
        <w:tc>
          <w:tcPr>
            <w:tcW w:w="324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14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2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income (loss), GAAP basis</w:t>
            </w:r>
          </w:p>
        </w:tc>
        <w:tc>
          <w:tcPr>
            <w:tcW w:w="2600" w:type="dxa"/>
            <w:vAlign w:val="bottom"/>
            <w:gridSpan w:val="2"/>
            <w:shd w:val="clear" w:color="auto" w:fill="CFF0FC"/>
          </w:tcPr>
          <w:p>
            <w:pPr>
              <w:jc w:val="right"/>
              <w:ind w:right="1055"/>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0.2</w:t>
            </w:r>
          </w:p>
        </w:tc>
        <w:tc>
          <w:tcPr>
            <w:tcW w:w="28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04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w w:val="97"/>
              </w:rPr>
              <w:t>(1.0)</w:t>
            </w:r>
          </w:p>
        </w:tc>
        <w:tc>
          <w:tcPr>
            <w:tcW w:w="280" w:type="dxa"/>
            <w:vAlign w:val="bottom"/>
            <w:gridSpan w:val="2"/>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0.4</w:t>
            </w:r>
          </w:p>
        </w:tc>
        <w:tc>
          <w:tcPr>
            <w:tcW w:w="3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4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0.8</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420" w:type="dxa"/>
            <w:vAlign w:val="bottom"/>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80" w:type="dxa"/>
            <w:vAlign w:val="bottom"/>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gridSpan w:val="3"/>
          </w:tcPr>
          <w:p>
            <w:pPr>
              <w:spacing w:after="0" w:line="155" w:lineRule="exact"/>
              <w:rPr>
                <w:sz w:val="20"/>
                <w:szCs w:val="20"/>
                <w:color w:val="auto"/>
              </w:rPr>
            </w:pPr>
            <w:r>
              <w:rPr>
                <w:rFonts w:ascii="Arial" w:cs="Arial" w:eastAsia="Arial" w:hAnsi="Arial"/>
                <w:sz w:val="14"/>
                <w:szCs w:val="14"/>
                <w:color w:val="auto"/>
              </w:rPr>
              <w:t>EBITDA, non-GAAP basis</w:t>
            </w:r>
          </w:p>
        </w:tc>
        <w:tc>
          <w:tcPr>
            <w:tcW w:w="1420" w:type="dxa"/>
            <w:vAlign w:val="bottom"/>
          </w:tcPr>
          <w:p>
            <w:pPr>
              <w:spacing w:after="0"/>
              <w:rPr>
                <w:sz w:val="13"/>
                <w:szCs w:val="13"/>
                <w:color w:val="auto"/>
              </w:rPr>
            </w:pPr>
          </w:p>
        </w:tc>
        <w:tc>
          <w:tcPr>
            <w:tcW w:w="1180" w:type="dxa"/>
            <w:vAlign w:val="bottom"/>
            <w:tcBorders>
              <w:bottom w:val="single" w:sz="8" w:color="auto"/>
            </w:tcBorders>
          </w:tcPr>
          <w:p>
            <w:pPr>
              <w:jc w:val="right"/>
              <w:ind w:right="1055"/>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280" w:type="dxa"/>
            <w:vAlign w:val="bottom"/>
          </w:tcPr>
          <w:p>
            <w:pPr>
              <w:spacing w:after="0"/>
              <w:rPr>
                <w:sz w:val="13"/>
                <w:szCs w:val="13"/>
                <w:color w:val="auto"/>
              </w:rPr>
            </w:pPr>
          </w:p>
        </w:tc>
        <w:tc>
          <w:tcPr>
            <w:tcW w:w="1200" w:type="dxa"/>
            <w:vAlign w:val="bottom"/>
            <w:tcBorders>
              <w:bottom w:val="single" w:sz="8" w:color="auto"/>
            </w:tcBorders>
          </w:tcPr>
          <w:p>
            <w:pPr>
              <w:jc w:val="right"/>
              <w:ind w:right="10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NET INCOME (LOSS)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7"/>
          </w:tcPr>
          <w:p>
            <w:pPr>
              <w:jc w:val="right"/>
              <w:ind w:right="100"/>
              <w:spacing w:after="0"/>
              <w:rPr>
                <w:sz w:val="20"/>
                <w:szCs w:val="20"/>
                <w:color w:val="auto"/>
              </w:rPr>
            </w:pPr>
            <w:r>
              <w:rPr>
                <w:rFonts w:ascii="Arial" w:cs="Arial" w:eastAsia="Arial" w:hAnsi="Arial"/>
                <w:sz w:val="16"/>
                <w:szCs w:val="16"/>
                <w:color w:val="auto"/>
                <w:w w:val="93"/>
              </w:rPr>
              <w:t>For the three months ended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9"/>
          </w:tcPr>
          <w:p>
            <w:pPr>
              <w:jc w:val="right"/>
              <w:ind w:right="220"/>
              <w:spacing w:after="0"/>
              <w:rPr>
                <w:sz w:val="20"/>
                <w:szCs w:val="20"/>
                <w:color w:val="auto"/>
              </w:rPr>
            </w:pPr>
            <w:r>
              <w:rPr>
                <w:rFonts w:ascii="Arial" w:cs="Arial" w:eastAsia="Arial" w:hAnsi="Arial"/>
                <w:sz w:val="16"/>
                <w:szCs w:val="16"/>
                <w:color w:val="auto"/>
                <w:w w:val="90"/>
              </w:rPr>
              <w:t>For the six months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6"/>
                <w:szCs w:val="16"/>
                <w:color w:val="auto"/>
                <w:w w:val="90"/>
              </w:rPr>
              <w:t>July 30, 2016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color w:val="auto"/>
              </w:rPr>
              <w:t>August 1, 2015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July 30, 2016</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color w:val="auto"/>
              </w:rPr>
              <w:t>August 1, 2015</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Arial" w:cs="Arial" w:eastAsia="Arial" w:hAnsi="Arial"/>
                <w:sz w:val="16"/>
                <w:szCs w:val="16"/>
                <w:color w:val="auto"/>
              </w:rPr>
              <w:t>Per diluted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5"/>
          </w:tcPr>
          <w:p>
            <w:pPr>
              <w:ind w:left="100"/>
              <w:spacing w:after="0"/>
              <w:rPr>
                <w:sz w:val="20"/>
                <w:szCs w:val="20"/>
                <w:color w:val="auto"/>
              </w:rPr>
            </w:pPr>
            <w:r>
              <w:rPr>
                <w:rFonts w:ascii="Arial" w:cs="Arial" w:eastAsia="Arial" w:hAnsi="Arial"/>
                <w:sz w:val="16"/>
                <w:szCs w:val="16"/>
                <w:color w:val="auto"/>
              </w:rPr>
              <w:t>Per diluted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6"/>
                <w:szCs w:val="16"/>
                <w:color w:val="auto"/>
                <w:w w:val="88"/>
              </w:rPr>
              <w:t>Per diluted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6"/>
                <w:szCs w:val="16"/>
                <w:color w:val="auto"/>
              </w:rPr>
              <w:t>Per diluted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color w:val="auto"/>
              </w:rPr>
              <w:t>share</w:t>
            </w:r>
          </w:p>
        </w:tc>
        <w:tc>
          <w:tcPr>
            <w:tcW w:w="180" w:type="dxa"/>
            <w:vAlign w:val="bottom"/>
          </w:tcPr>
          <w:p>
            <w:pPr>
              <w:spacing w:after="0"/>
              <w:rPr>
                <w:sz w:val="17"/>
                <w:szCs w:val="17"/>
                <w:color w:val="auto"/>
              </w:rPr>
            </w:pP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6"/>
                <w:szCs w:val="16"/>
                <w:color w:val="auto"/>
                <w:w w:val="84"/>
              </w:rPr>
              <w:t>share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5"/>
          </w:tcPr>
          <w:p>
            <w:pPr>
              <w:jc w:val="right"/>
              <w:ind w:right="200"/>
              <w:spacing w:after="0"/>
              <w:rPr>
                <w:sz w:val="20"/>
                <w:szCs w:val="20"/>
                <w:color w:val="auto"/>
              </w:rPr>
            </w:pPr>
            <w:r>
              <w:rPr>
                <w:rFonts w:ascii="Arial" w:cs="Arial" w:eastAsia="Arial" w:hAnsi="Arial"/>
                <w:sz w:val="16"/>
                <w:szCs w:val="16"/>
                <w:color w:val="auto"/>
              </w:rPr>
              <w:t>share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6"/>
                <w:szCs w:val="16"/>
                <w:color w:val="auto"/>
                <w:w w:val="94"/>
              </w:rPr>
              <w:t>share</w:t>
            </w:r>
          </w:p>
        </w:tc>
        <w:tc>
          <w:tcPr>
            <w:tcW w:w="0" w:type="dxa"/>
            <w:vAlign w:val="bottom"/>
          </w:tcPr>
          <w:p>
            <w:pPr>
              <w:spacing w:after="0"/>
              <w:rPr>
                <w:sz w:val="1"/>
                <w:szCs w:val="1"/>
                <w:color w:val="auto"/>
              </w:rPr>
            </w:pPr>
          </w:p>
        </w:tc>
      </w:tr>
      <w:tr>
        <w:trPr>
          <w:trHeight w:val="175"/>
        </w:trPr>
        <w:tc>
          <w:tcPr>
            <w:tcW w:w="314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(in thousands, except per share data)</w:t>
            </w:r>
          </w:p>
        </w:tc>
        <w:tc>
          <w:tcPr>
            <w:tcW w:w="5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Net income (loss) (GAAP basis)</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199</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(979)</w:t>
            </w: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(0.02)</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0.01</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(1,553)</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back: Actual income tax provision</w:t>
            </w:r>
          </w:p>
        </w:tc>
        <w:tc>
          <w:tcPr>
            <w:tcW w:w="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6"/>
                <w:szCs w:val="16"/>
                <w:color w:val="auto"/>
                <w:w w:val="96"/>
              </w:rPr>
              <w:t>Income tax (provision) benefit, assuming</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a normal tax rate of 40%</w:t>
            </w: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w w:val="89"/>
              </w:rPr>
              <w:t>Adjusted net income (loss) (non-GAAP basis)</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140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(547)</w:t>
            </w: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(0.01)</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0.01</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(855)</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5"/>
              </w:rPr>
              <w:t>Weighted average number of common shares</w:t>
            </w:r>
          </w:p>
        </w:tc>
        <w:tc>
          <w:tcPr>
            <w:tcW w:w="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Arial" w:cs="Arial" w:eastAsia="Arial" w:hAnsi="Arial"/>
                <w:sz w:val="16"/>
                <w:szCs w:val="16"/>
                <w:color w:val="auto"/>
              </w:rPr>
              <w:t>outstanding on a diluted basis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49,953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49,081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6"/>
                <w:szCs w:val="16"/>
                <w:color w:val="auto"/>
              </w:rPr>
              <w:t>49,902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49,050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00" w:type="dxa"/>
            <w:vAlign w:val="bottom"/>
            <w:gridSpan w:val="20"/>
          </w:tcPr>
          <w:p>
            <w:pPr>
              <w:jc w:val="right"/>
              <w:ind w:right="140"/>
              <w:spacing w:after="0"/>
              <w:rPr>
                <w:sz w:val="20"/>
                <w:szCs w:val="20"/>
                <w:color w:val="auto"/>
              </w:rPr>
            </w:pPr>
            <w:r>
              <w:rPr>
                <w:rFonts w:ascii="Arial" w:cs="Arial" w:eastAsia="Arial" w:hAnsi="Arial"/>
                <w:sz w:val="18"/>
                <w:szCs w:val="18"/>
                <w:b w:val="1"/>
                <w:bCs w:val="1"/>
                <w:color w:val="auto"/>
              </w:rPr>
              <w:t>GAAP TO NON-GAAP FREE CASH FLOW RECONCILIATION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10"/>
          </w:tcPr>
          <w:p>
            <w:pPr>
              <w:jc w:val="right"/>
              <w:ind w:right="40"/>
              <w:spacing w:after="0"/>
              <w:rPr>
                <w:sz w:val="20"/>
                <w:szCs w:val="20"/>
                <w:color w:val="auto"/>
              </w:rPr>
            </w:pPr>
            <w:r>
              <w:rPr>
                <w:rFonts w:ascii="Arial" w:cs="Arial" w:eastAsia="Arial" w:hAnsi="Arial"/>
                <w:sz w:val="14"/>
                <w:szCs w:val="14"/>
                <w:color w:val="auto"/>
              </w:rPr>
              <w:t>For the six months ended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w w:val="93"/>
              </w:rPr>
              <w:t>July 30, 2016</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w w:val="95"/>
              </w:rPr>
              <w:t>August 1, 2015</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gridSpan w:val="3"/>
          </w:tcPr>
          <w:p>
            <w:pPr>
              <w:spacing w:after="0"/>
              <w:rPr>
                <w:sz w:val="20"/>
                <w:szCs w:val="20"/>
                <w:color w:val="auto"/>
              </w:rPr>
            </w:pPr>
            <w:r>
              <w:rPr>
                <w:rFonts w:ascii="Arial" w:cs="Arial" w:eastAsia="Arial" w:hAnsi="Arial"/>
                <w:sz w:val="14"/>
                <w:szCs w:val="14"/>
                <w:color w:val="auto"/>
              </w:rPr>
              <w:t>Cash flow from operating activities (GAAP basis)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19.1</w:t>
            </w:r>
          </w:p>
        </w:tc>
        <w:tc>
          <w:tcPr>
            <w:tcW w:w="140" w:type="dxa"/>
            <w:vAlign w:val="bottom"/>
          </w:tcPr>
          <w:p>
            <w:pPr>
              <w:spacing w:after="0"/>
              <w:rPr>
                <w:sz w:val="18"/>
                <w:szCs w:val="18"/>
                <w:color w:val="auto"/>
              </w:rPr>
            </w:pPr>
          </w:p>
        </w:tc>
        <w:tc>
          <w:tcPr>
            <w:tcW w:w="36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Arial" w:cs="Arial" w:eastAsia="Arial" w:hAnsi="Arial"/>
                <w:sz w:val="14"/>
                <w:szCs w:val="14"/>
                <w:color w:val="auto"/>
                <w:w w:val="98"/>
              </w:rPr>
              <w:t>Free Cash Flow, before DXL capital expenditures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8"/>
                <w:szCs w:val="18"/>
                <w:color w:val="auto"/>
              </w:rPr>
            </w:pPr>
          </w:p>
        </w:tc>
        <w:tc>
          <w:tcPr>
            <w:tcW w:w="36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(9.7)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Arial" w:cs="Arial" w:eastAsia="Arial" w:hAnsi="Arial"/>
                <w:sz w:val="14"/>
                <w:szCs w:val="14"/>
                <w:color w:val="auto"/>
              </w:rPr>
              <w:t>Free Cash Flow (non-GAAP basis)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36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60" w:type="dxa"/>
            <w:vAlign w:val="bottom"/>
            <w:gridSpan w:val="3"/>
          </w:tcPr>
          <w:p>
            <w:pPr>
              <w:ind w:left="760"/>
              <w:spacing w:after="0"/>
              <w:rPr>
                <w:sz w:val="20"/>
                <w:szCs w:val="20"/>
                <w:color w:val="auto"/>
              </w:rPr>
            </w:pPr>
            <w:r>
              <w:rPr>
                <w:rFonts w:ascii="Arial" w:cs="Arial" w:eastAsia="Arial" w:hAnsi="Arial"/>
                <w:sz w:val="18"/>
                <w:szCs w:val="18"/>
                <w:b w:val="1"/>
                <w:bCs w:val="1"/>
                <w:color w:val="auto"/>
              </w:rPr>
              <w:t>GAAP TO NON-GAAP RECONCILIATION OF FISCAL 2016 OUTLOOK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920" w:type="dxa"/>
            <w:vAlign w:val="bottom"/>
            <w:gridSpan w:val="2"/>
          </w:tcPr>
          <w:p>
            <w:pPr>
              <w:jc w:val="center"/>
              <w:ind w:left="1748"/>
              <w:spacing w:after="0"/>
              <w:rPr>
                <w:sz w:val="20"/>
                <w:szCs w:val="20"/>
                <w:color w:val="auto"/>
              </w:rPr>
            </w:pPr>
            <w:r>
              <w:rPr>
                <w:rFonts w:ascii="Arial" w:cs="Arial" w:eastAsia="Arial" w:hAnsi="Arial"/>
                <w:sz w:val="14"/>
                <w:szCs w:val="14"/>
                <w:color w:val="auto"/>
                <w:w w:val="91"/>
              </w:rPr>
              <w:t>Projected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tcBorders>
              <w:bottom w:val="single" w:sz="8" w:color="auto"/>
            </w:tcBorders>
            <w:gridSpan w:val="2"/>
          </w:tcPr>
          <w:p>
            <w:pPr>
              <w:jc w:val="center"/>
              <w:ind w:left="1748"/>
              <w:spacing w:after="0"/>
              <w:rPr>
                <w:sz w:val="20"/>
                <w:szCs w:val="20"/>
                <w:color w:val="auto"/>
              </w:rPr>
            </w:pPr>
            <w:r>
              <w:rPr>
                <w:rFonts w:ascii="Arial" w:cs="Arial" w:eastAsia="Arial" w:hAnsi="Arial"/>
                <w:sz w:val="14"/>
                <w:szCs w:val="14"/>
                <w:color w:val="auto"/>
                <w:w w:val="92"/>
              </w:rPr>
              <w:t>Fiscal 2016</w:t>
            </w: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vMerge w:val="restart"/>
          </w:tcPr>
          <w:p>
            <w:pPr>
              <w:jc w:val="right"/>
              <w:spacing w:after="0"/>
              <w:rPr>
                <w:sz w:val="20"/>
                <w:szCs w:val="20"/>
                <w:color w:val="auto"/>
              </w:rPr>
            </w:pPr>
            <w:r>
              <w:rPr>
                <w:rFonts w:ascii="Arial" w:cs="Arial" w:eastAsia="Arial" w:hAnsi="Arial"/>
                <w:sz w:val="14"/>
                <w:szCs w:val="14"/>
                <w:color w:val="auto"/>
              </w:rPr>
              <w:t>$(4.4)-$0.0</w:t>
            </w:r>
          </w:p>
        </w:tc>
        <w:tc>
          <w:tcPr>
            <w:tcW w:w="800" w:type="dxa"/>
            <w:vAlign w:val="bottom"/>
          </w:tcPr>
          <w:p>
            <w:pPr>
              <w:spacing w:after="0"/>
              <w:rPr>
                <w:sz w:val="13"/>
                <w:szCs w:val="13"/>
                <w:color w:val="auto"/>
              </w:rPr>
            </w:pPr>
          </w:p>
        </w:tc>
        <w:tc>
          <w:tcPr>
            <w:tcW w:w="1840" w:type="dxa"/>
            <w:vAlign w:val="bottom"/>
          </w:tcPr>
          <w:p>
            <w:pPr>
              <w:jc w:val="right"/>
              <w:ind w:right="56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income (loss), GAAP basis</w:t>
            </w:r>
          </w:p>
        </w:tc>
        <w:tc>
          <w:tcPr>
            <w:tcW w:w="464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2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tcPr>
          <w:p>
            <w:pPr>
              <w:jc w:val="right"/>
              <w:spacing w:after="0"/>
              <w:rPr>
                <w:sz w:val="20"/>
                <w:szCs w:val="20"/>
                <w:color w:val="auto"/>
              </w:rPr>
            </w:pPr>
            <w:r>
              <w:rPr>
                <w:rFonts w:ascii="Arial" w:cs="Arial" w:eastAsia="Arial" w:hAnsi="Arial"/>
                <w:sz w:val="14"/>
                <w:szCs w:val="14"/>
                <w:color w:val="auto"/>
              </w:rPr>
              <w:t>0.2</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2.9-3.3</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80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EBITDA, non-GAAP basis</w:t>
            </w:r>
          </w:p>
        </w:tc>
        <w:tc>
          <w:tcPr>
            <w:tcW w:w="2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$31.0-$35.0</w:t>
            </w:r>
          </w:p>
        </w:tc>
        <w:tc>
          <w:tcPr>
            <w:tcW w:w="800" w:type="dxa"/>
            <w:vAlign w:val="bottom"/>
            <w:tcBorders>
              <w:bottom w:val="single" w:sz="8" w:color="CFF0FC"/>
            </w:tcBorders>
            <w:shd w:val="clear" w:color="auto" w:fill="CFF0FC"/>
          </w:tcPr>
          <w:p>
            <w:pPr>
              <w:spacing w:after="0"/>
              <w:rPr>
                <w:sz w:val="13"/>
                <w:szCs w:val="13"/>
                <w:color w:val="auto"/>
              </w:rPr>
            </w:pPr>
          </w:p>
        </w:tc>
        <w:tc>
          <w:tcPr>
            <w:tcW w:w="1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(loss),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$(0.09)-$0.00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Income tax benefit, assuming 40% rate</w:t>
            </w:r>
          </w:p>
        </w:tc>
        <w:tc>
          <w:tcPr>
            <w:tcW w:w="2120" w:type="dxa"/>
            <w:vAlign w:val="bottom"/>
          </w:tcPr>
          <w:p>
            <w:pPr>
              <w:jc w:val="right"/>
              <w:spacing w:after="0"/>
              <w:rPr>
                <w:sz w:val="20"/>
                <w:szCs w:val="20"/>
                <w:color w:val="auto"/>
              </w:rPr>
            </w:pPr>
            <w:r>
              <w:rPr>
                <w:rFonts w:ascii="Arial" w:cs="Arial" w:eastAsia="Arial" w:hAnsi="Arial"/>
                <w:sz w:val="14"/>
                <w:szCs w:val="14"/>
                <w:color w:val="auto"/>
              </w:rPr>
              <w:t>$(1.8)-$0.0</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$(0.04)-$0.00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Adjusted net income (loss), non-GAAP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Pr>
          <w:p>
            <w:pPr>
              <w:jc w:val="right"/>
              <w:spacing w:after="0"/>
              <w:rPr>
                <w:sz w:val="20"/>
                <w:szCs w:val="20"/>
                <w:color w:val="auto"/>
              </w:rPr>
            </w:pPr>
            <w:r>
              <w:rPr>
                <w:rFonts w:ascii="Arial" w:cs="Arial" w:eastAsia="Arial" w:hAnsi="Arial"/>
                <w:sz w:val="14"/>
                <w:szCs w:val="14"/>
                <w:color w:val="auto"/>
              </w:rPr>
              <w:t>49.9</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shd w:val="clear" w:color="auto" w:fill="CFF0FC"/>
          </w:tcPr>
          <w:p>
            <w:pPr>
              <w:spacing w:after="0"/>
              <w:rPr>
                <w:sz w:val="14"/>
                <w:szCs w:val="14"/>
                <w:color w:val="auto"/>
              </w:rPr>
            </w:pPr>
          </w:p>
        </w:tc>
        <w:tc>
          <w:tcPr>
            <w:tcW w:w="464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$35.0-$40.0</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2120" w:type="dxa"/>
            <w:vAlign w:val="bottom"/>
          </w:tcPr>
          <w:p>
            <w:pPr>
              <w:jc w:val="right"/>
              <w:spacing w:after="0" w:line="155" w:lineRule="exact"/>
              <w:rPr>
                <w:sz w:val="20"/>
                <w:szCs w:val="20"/>
                <w:color w:val="auto"/>
              </w:rPr>
            </w:pPr>
            <w:r>
              <w:rPr>
                <w:rFonts w:ascii="Arial" w:cs="Arial" w:eastAsia="Arial" w:hAnsi="Arial"/>
                <w:sz w:val="14"/>
                <w:szCs w:val="14"/>
                <w:color w:val="auto"/>
              </w:rPr>
              <w:t>$25.6-$30.6</w:t>
            </w:r>
          </w:p>
        </w:tc>
        <w:tc>
          <w:tcPr>
            <w:tcW w:w="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Free Cash Flow,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$5.0-$10.0</w:t>
            </w:r>
          </w:p>
        </w:tc>
        <w:tc>
          <w:tcPr>
            <w:tcW w:w="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2019-12-05T20:20:22Z</dcterms:created>
  <dcterms:modified xsi:type="dcterms:W3CDTF">2019-12-05T20:20:22Z</dcterms:modified>
</cp:coreProperties>
</file>