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EXCHANGE ACT OF 1934</w:t>
      </w:r>
    </w:p>
    <w:p>
      <w:pPr>
        <w:spacing w:after="0" w:line="15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Date of Report (Date of earliest event reported): April 7, 2005</w:t>
      </w:r>
    </w:p>
    <w:p>
      <w:pPr>
        <w:spacing w:after="0" w:line="158" w:lineRule="exact"/>
        <w:rPr>
          <w:sz w:val="24"/>
          <w:szCs w:val="24"/>
          <w:color w:val="auto"/>
        </w:rPr>
      </w:pPr>
    </w:p>
    <w:p>
      <w:pPr>
        <w:ind w:left="5420"/>
        <w:spacing w:after="0"/>
        <w:rPr>
          <w:sz w:val="20"/>
          <w:szCs w:val="20"/>
          <w:color w:val="auto"/>
        </w:rPr>
      </w:pPr>
      <w:r>
        <w:rPr>
          <w:rFonts w:ascii="Arial" w:cs="Arial" w:eastAsia="Arial" w:hAnsi="Arial"/>
          <w:sz w:val="18"/>
          <w:szCs w:val="18"/>
          <w:color w:val="auto"/>
        </w:rPr>
        <w:t>0-15898</w:t>
      </w:r>
    </w:p>
    <w:p>
      <w:pPr>
        <w:spacing w:after="0" w:line="15"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03" w:right="639" w:bottom="1440" w:gutter="0" w:footer="0" w:header="0"/>
        </w:sectPr>
      </w:pPr>
    </w:p>
    <w:p>
      <w:pPr>
        <w:spacing w:after="0" w:line="121"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503"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57" w:lineRule="exact"/>
        <w:rPr>
          <w:sz w:val="24"/>
          <w:szCs w:val="24"/>
          <w:color w:val="auto"/>
        </w:rPr>
      </w:pPr>
    </w:p>
    <w:p>
      <w:pPr>
        <w:sectPr>
          <w:pgSz w:w="11900" w:h="16838" w:orient="portrait"/>
          <w:cols w:equalWidth="0" w:num="2">
            <w:col w:w="7300" w:space="720"/>
            <w:col w:w="3000"/>
          </w:cols>
          <w:pgMar w:left="240" w:top="503"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503" w:right="639" w:bottom="1440" w:gutter="0" w:footer="0" w:header="0"/>
          <w:type w:val="continuous"/>
        </w:sectPr>
      </w:pPr>
    </w:p>
    <w:p>
      <w:pPr>
        <w:spacing w:after="0" w:line="34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03"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 Regulation FD Disclosure</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Casual Male Retail Group, Inc. (the “Company”) is scheduled to present at the Sidoti &amp; Company, LLC, Ninth Annual New York Emerging Growth Institutional Investor Forum on April 7, 2005. A copy of the slides to be presented are attached to this report as Exhibit 99.1, which slide presentation is incorporated by reference herein.</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slide presentation contained in the exhibit includes statements intended as “forward-looking statements,” which are subject to the cautionary statement about forward-looking statements set forth in the exhibit. The slide presentation is being furnished, not filed, pursuant to Regulation FD. Accordingly, the slide presentation will not be incorporated by reference into any registration statement filed by the Company under the Securities Act of 1933, as amended, unless specifically identified therein as being incorporated therein by reference. The furnishing of the slide presentation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680" w:type="dxa"/>
            <w:vAlign w:val="bottom"/>
          </w:tcPr>
          <w:p>
            <w:pPr>
              <w:spacing w:after="0"/>
              <w:rPr>
                <w:sz w:val="15"/>
                <w:szCs w:val="15"/>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7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r>
      <w:tr>
        <w:trPr>
          <w:trHeight w:val="316"/>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w w:val="87"/>
              </w:rPr>
              <w:t>Presentation dated April 4, 2005</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40"/>
          </w:cols>
          <w:pgMar w:left="240" w:top="274" w:right="3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2005</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980"/>
          </w:cols>
          <w:pgMar w:left="240" w:top="428"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109220</wp:posOffset>
            </wp:positionV>
            <wp:extent cx="5831840" cy="4373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31840" cy="437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FFFFFF"/>
        </w:rPr>
        <w:t>4/04/05</w:t>
      </w:r>
    </w:p>
    <w:p>
      <w:pPr>
        <w:sectPr>
          <w:pgSz w:w="11900" w:h="16838" w:orient="portrait"/>
          <w:cols w:equalWidth="0" w:num="1">
            <w:col w:w="11420"/>
          </w:cols>
          <w:pgMar w:left="240" w:top="125"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The CMRG Story</w:t>
      </w:r>
    </w:p>
    <w:p>
      <w:pPr>
        <w:spacing w:after="0" w:line="211" w:lineRule="auto"/>
        <w:rPr>
          <w:sz w:val="20"/>
          <w:szCs w:val="20"/>
          <w:color w:val="auto"/>
        </w:rPr>
      </w:pPr>
      <w:r>
        <w:rPr>
          <w:rFonts w:ascii="Arial" w:cs="Arial" w:eastAsia="Arial" w:hAnsi="Arial"/>
          <w:sz w:val="2"/>
          <w:szCs w:val="2"/>
          <w:color w:val="FFFFFF"/>
        </w:rPr>
        <w:t>Undisputed leader within</w:t>
      </w:r>
      <w:r>
        <w:rPr>
          <w:rFonts w:ascii="Arial" w:cs="Arial" w:eastAsia="Arial" w:hAnsi="Arial"/>
          <w:sz w:val="4"/>
          <w:szCs w:val="4"/>
          <w:color w:val="FFFFFF"/>
          <w:vertAlign w:val="subscript"/>
        </w:rPr>
        <w:t>specialty</w:t>
      </w:r>
      <w:r>
        <w:rPr>
          <w:rFonts w:ascii="Arial" w:cs="Arial" w:eastAsia="Arial" w:hAnsi="Arial"/>
          <w:sz w:val="2"/>
          <w:szCs w:val="2"/>
          <w:color w:val="FFFFFF"/>
        </w:rPr>
        <w:t>$6billion men’s specialty big &amp; tall apparel arena</w:t>
      </w:r>
    </w:p>
    <w:p>
      <w:pPr>
        <w:spacing w:after="0"/>
        <w:tabs>
          <w:tab w:leader="none" w:pos="1820" w:val="left"/>
        </w:tabs>
        <w:rPr>
          <w:sz w:val="20"/>
          <w:szCs w:val="20"/>
          <w:color w:val="auto"/>
        </w:rPr>
      </w:pPr>
      <w:r>
        <w:rPr>
          <w:rFonts w:ascii="Arial" w:cs="Arial" w:eastAsia="Arial" w:hAnsi="Arial"/>
          <w:sz w:val="3"/>
          <w:szCs w:val="3"/>
          <w:color w:val="FFFFFF"/>
        </w:rPr>
        <w:t>Dominant player within</w:t>
      </w:r>
      <w:r>
        <w:rPr>
          <w:sz w:val="20"/>
          <w:szCs w:val="20"/>
          <w:color w:val="auto"/>
        </w:rPr>
        <w:tab/>
      </w:r>
      <w:r>
        <w:rPr>
          <w:rFonts w:ascii="Arial" w:cs="Arial" w:eastAsia="Arial" w:hAnsi="Arial"/>
          <w:sz w:val="3"/>
          <w:szCs w:val="3"/>
          <w:color w:val="FFFFFF"/>
        </w:rPr>
        <w:t>big &amp; tall space with 65% market share</w:t>
      </w:r>
    </w:p>
    <w:p>
      <w:pPr>
        <w:spacing w:after="0" w:line="194" w:lineRule="auto"/>
        <w:rPr>
          <w:sz w:val="20"/>
          <w:szCs w:val="20"/>
          <w:color w:val="auto"/>
        </w:rPr>
      </w:pPr>
      <w:r>
        <w:rPr>
          <w:rFonts w:ascii="Arial" w:cs="Arial" w:eastAsia="Arial" w:hAnsi="Arial"/>
          <w:sz w:val="3"/>
          <w:szCs w:val="3"/>
          <w:color w:val="FFFFFF"/>
        </w:rPr>
        <w:t>Increased opportunity to consolidate</w:t>
      </w:r>
      <w:r>
        <w:rPr>
          <w:rFonts w:ascii="Arial" w:cs="Arial" w:eastAsia="Arial" w:hAnsi="Arial"/>
          <w:sz w:val="5"/>
          <w:szCs w:val="5"/>
          <w:color w:val="FFFFFF"/>
          <w:vertAlign w:val="superscript"/>
        </w:rPr>
        <w:t>Casual</w:t>
      </w:r>
      <w:r>
        <w:rPr>
          <w:rFonts w:ascii="Arial" w:cs="Arial" w:eastAsia="Arial" w:hAnsi="Arial"/>
          <w:sz w:val="3"/>
          <w:szCs w:val="3"/>
          <w:color w:val="FFFFFF"/>
        </w:rPr>
        <w:t>fragmented market by focused merchandising initiatives and advanced marketing techniques</w:t>
      </w:r>
    </w:p>
    <w:p>
      <w:pPr>
        <w:spacing w:after="0"/>
        <w:tabs>
          <w:tab w:leader="none" w:pos="2300" w:val="left"/>
        </w:tabs>
        <w:rPr>
          <w:sz w:val="20"/>
          <w:szCs w:val="20"/>
          <w:color w:val="auto"/>
        </w:rPr>
      </w:pPr>
      <w:r>
        <w:rPr>
          <w:rFonts w:ascii="Arial" w:cs="Arial" w:eastAsia="Arial" w:hAnsi="Arial"/>
          <w:sz w:val="14"/>
          <w:szCs w:val="14"/>
          <w:color w:val="FFFFFF"/>
        </w:rPr>
        <w:t>Focused growth &amp; profitability for</w:t>
      </w:r>
      <w:r>
        <w:rPr>
          <w:sz w:val="20"/>
          <w:szCs w:val="20"/>
          <w:color w:val="auto"/>
        </w:rPr>
        <w:tab/>
      </w:r>
      <w:r>
        <w:rPr>
          <w:rFonts w:ascii="Arial" w:cs="Arial" w:eastAsia="Arial" w:hAnsi="Arial"/>
          <w:sz w:val="12"/>
          <w:szCs w:val="12"/>
          <w:color w:val="FFFFFF"/>
        </w:rPr>
        <w:t>Male Big &amp; tall and Rochester Big &amp; Tall Businesses.</w:t>
      </w:r>
    </w:p>
    <w:p>
      <w:pPr>
        <w:sectPr>
          <w:pgSz w:w="11900" w:h="16838" w:orient="portrait"/>
          <w:cols w:equalWidth="0" w:num="1">
            <w:col w:w="10219"/>
          </w:cols>
          <w:pgMar w:left="2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20" w:type="dxa"/>
            <w:vAlign w:val="bottom"/>
          </w:tcPr>
          <w:p>
            <w:pPr>
              <w:spacing w:after="0"/>
              <w:rPr>
                <w:sz w:val="20"/>
                <w:szCs w:val="20"/>
                <w:color w:val="auto"/>
              </w:rPr>
            </w:pPr>
            <w:r>
              <w:rPr>
                <w:rFonts w:ascii="Arial" w:cs="Arial" w:eastAsia="Arial" w:hAnsi="Arial"/>
                <w:sz w:val="14"/>
                <w:szCs w:val="14"/>
                <w:color w:val="FFFFFF"/>
              </w:rPr>
              <w:t>Business Overview</w:t>
            </w:r>
          </w:p>
        </w:tc>
        <w:tc>
          <w:tcPr>
            <w:tcW w:w="1260" w:type="dxa"/>
            <w:vAlign w:val="bottom"/>
            <w:vMerge w:val="restart"/>
          </w:tcPr>
          <w:p>
            <w:pPr>
              <w:ind w:left="180"/>
              <w:spacing w:after="0"/>
              <w:rPr>
                <w:sz w:val="20"/>
                <w:szCs w:val="20"/>
                <w:color w:val="auto"/>
              </w:rPr>
            </w:pPr>
            <w:r>
              <w:rPr>
                <w:rFonts w:ascii="Arial" w:cs="Arial" w:eastAsia="Arial" w:hAnsi="Arial"/>
                <w:sz w:val="14"/>
                <w:szCs w:val="14"/>
                <w:color w:val="FFFFFF"/>
                <w:w w:val="86"/>
              </w:rPr>
              <w:t>in 44 states and UK</w:t>
            </w:r>
          </w:p>
        </w:tc>
        <w:tc>
          <w:tcPr>
            <w:tcW w:w="0" w:type="dxa"/>
            <w:vAlign w:val="bottom"/>
          </w:tcPr>
          <w:p>
            <w:pPr>
              <w:spacing w:after="0"/>
              <w:rPr>
                <w:sz w:val="1"/>
                <w:szCs w:val="1"/>
                <w:color w:val="auto"/>
              </w:rPr>
            </w:pPr>
          </w:p>
        </w:tc>
      </w:tr>
      <w:tr>
        <w:trPr>
          <w:trHeight w:val="0"/>
        </w:trPr>
        <w:tc>
          <w:tcPr>
            <w:tcW w:w="6720" w:type="dxa"/>
            <w:vAlign w:val="bottom"/>
          </w:tcPr>
          <w:p>
            <w:pPr>
              <w:spacing w:after="0" w:line="80" w:lineRule="exact"/>
              <w:rPr>
                <w:sz w:val="20"/>
                <w:szCs w:val="20"/>
                <w:color w:val="auto"/>
              </w:rPr>
            </w:pPr>
            <w:r>
              <w:rPr>
                <w:rFonts w:ascii="Arial" w:cs="Arial" w:eastAsia="Arial" w:hAnsi="Arial"/>
                <w:sz w:val="9"/>
                <w:szCs w:val="9"/>
                <w:color w:val="FFFFFF"/>
              </w:rPr>
              <w:t>Casual Male Big &amp; Tall and Rochester Clothing are the nation’s largest specialty retailers of big &amp; tall clothing with 522</w:t>
            </w: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539"/>
        <w:spacing w:after="0"/>
        <w:rPr>
          <w:sz w:val="20"/>
          <w:szCs w:val="20"/>
          <w:color w:val="auto"/>
        </w:rPr>
      </w:pPr>
      <w:r>
        <w:rPr>
          <w:rFonts w:ascii="Arial" w:cs="Arial" w:eastAsia="Arial" w:hAnsi="Arial"/>
          <w:sz w:val="3"/>
          <w:szCs w:val="3"/>
          <w:color w:val="FFFFFF"/>
        </w:rPr>
        <w:t>A highly fragmented marketplace combined with rapidly growing big &amp; tall population creates opportunity for store growthstores 600-700 stores CT-11</w:t>
      </w:r>
    </w:p>
    <w:p>
      <w:pPr>
        <w:spacing w:after="0" w:line="199" w:lineRule="auto"/>
        <w:rPr>
          <w:sz w:val="20"/>
          <w:szCs w:val="20"/>
          <w:color w:val="auto"/>
        </w:rPr>
      </w:pPr>
      <w:r>
        <w:rPr>
          <w:rFonts w:ascii="Arial" w:cs="Arial" w:eastAsia="Arial" w:hAnsi="Arial"/>
          <w:sz w:val="5"/>
          <w:szCs w:val="5"/>
          <w:color w:val="FFFFFF"/>
        </w:rPr>
        <w:t>DE-3</w:t>
      </w:r>
    </w:p>
    <w:p>
      <w:pPr>
        <w:spacing w:after="0" w:line="181" w:lineRule="auto"/>
        <w:rPr>
          <w:sz w:val="20"/>
          <w:szCs w:val="20"/>
          <w:color w:val="auto"/>
        </w:rPr>
      </w:pPr>
      <w:r>
        <w:rPr>
          <w:rFonts w:ascii="Arial" w:cs="Arial" w:eastAsia="Arial" w:hAnsi="Arial"/>
          <w:sz w:val="9"/>
          <w:szCs w:val="9"/>
          <w:color w:val="FFFFFF"/>
        </w:rPr>
        <w:t>RIMD</w:t>
      </w:r>
      <w:r>
        <w:rPr>
          <w:rFonts w:ascii="Arial" w:cs="Arial" w:eastAsia="Arial" w:hAnsi="Arial"/>
          <w:sz w:val="14"/>
          <w:szCs w:val="14"/>
          <w:color w:val="FFFFFF"/>
          <w:vertAlign w:val="superscript"/>
        </w:rPr>
        <w:t>A</w:t>
      </w:r>
      <w:r>
        <w:rPr>
          <w:rFonts w:ascii="Arial" w:cs="Arial" w:eastAsia="Arial" w:hAnsi="Arial"/>
          <w:sz w:val="9"/>
          <w:szCs w:val="9"/>
          <w:color w:val="FFFFFF"/>
        </w:rPr>
        <w:t>-1-13</w:t>
      </w:r>
    </w:p>
    <w:p>
      <w:pPr>
        <w:spacing w:after="0" w:line="181" w:lineRule="auto"/>
        <w:rPr>
          <w:sz w:val="20"/>
          <w:szCs w:val="20"/>
          <w:color w:val="auto"/>
        </w:rPr>
      </w:pPr>
      <w:r>
        <w:rPr>
          <w:rFonts w:ascii="Arial" w:cs="Arial" w:eastAsia="Arial" w:hAnsi="Arial"/>
          <w:sz w:val="9"/>
          <w:szCs w:val="9"/>
          <w:color w:val="FFFFFF"/>
        </w:rPr>
        <w:t>NJ</w:t>
      </w:r>
      <w:r>
        <w:rPr>
          <w:rFonts w:ascii="Arial" w:cs="Arial" w:eastAsia="Arial" w:hAnsi="Arial"/>
          <w:sz w:val="14"/>
          <w:szCs w:val="14"/>
          <w:color w:val="FFFFFF"/>
          <w:vertAlign w:val="superscript"/>
        </w:rPr>
        <w:t>H-</w:t>
      </w:r>
      <w:r>
        <w:rPr>
          <w:rFonts w:ascii="Arial" w:cs="Arial" w:eastAsia="Arial" w:hAnsi="Arial"/>
          <w:sz w:val="9"/>
          <w:szCs w:val="9"/>
          <w:color w:val="FFFFFF"/>
        </w:rPr>
        <w:t>20</w:t>
      </w:r>
      <w:r>
        <w:rPr>
          <w:rFonts w:ascii="Arial" w:cs="Arial" w:eastAsia="Arial" w:hAnsi="Arial"/>
          <w:sz w:val="14"/>
          <w:szCs w:val="14"/>
          <w:color w:val="FFFFFF"/>
          <w:vertAlign w:val="superscript"/>
        </w:rPr>
        <w:t>-</w:t>
      </w:r>
    </w:p>
    <w:p>
      <w:pPr>
        <w:spacing w:after="0"/>
        <w:rPr>
          <w:sz w:val="20"/>
          <w:szCs w:val="20"/>
          <w:color w:val="auto"/>
        </w:rPr>
      </w:pPr>
      <w:r>
        <w:rPr>
          <w:rFonts w:ascii="Arial" w:cs="Arial" w:eastAsia="Arial" w:hAnsi="Arial"/>
          <w:sz w:val="3"/>
          <w:szCs w:val="3"/>
          <w:color w:val="FFFFFF"/>
        </w:rPr>
        <w:t>RochesterVT-1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1 London, United Kingdom</w:t>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Comp Store Trend</w:t>
      </w:r>
    </w:p>
    <w:p>
      <w:pPr>
        <w:spacing w:after="0" w:line="187" w:lineRule="auto"/>
        <w:rPr>
          <w:sz w:val="20"/>
          <w:szCs w:val="20"/>
          <w:color w:val="auto"/>
        </w:rPr>
      </w:pPr>
      <w:r>
        <w:rPr>
          <w:rFonts w:ascii="Arial" w:cs="Arial" w:eastAsia="Arial" w:hAnsi="Arial"/>
          <w:sz w:val="9"/>
          <w:szCs w:val="9"/>
          <w:color w:val="FFFFFF"/>
        </w:rPr>
        <w:t>810.0%</w:t>
      </w:r>
    </w:p>
    <w:p>
      <w:pPr>
        <w:spacing w:after="0"/>
        <w:rPr>
          <w:sz w:val="20"/>
          <w:szCs w:val="20"/>
          <w:color w:val="auto"/>
        </w:rPr>
      </w:pPr>
      <w:r>
        <w:rPr>
          <w:rFonts w:ascii="Arial" w:cs="Arial" w:eastAsia="Arial" w:hAnsi="Arial"/>
          <w:sz w:val="3"/>
          <w:szCs w:val="3"/>
          <w:color w:val="FFFFFF"/>
        </w:rPr>
        <w:t>46</w:t>
      </w:r>
    </w:p>
    <w:p>
      <w:pPr>
        <w:spacing w:after="0" w:line="194" w:lineRule="auto"/>
        <w:rPr>
          <w:sz w:val="20"/>
          <w:szCs w:val="20"/>
          <w:color w:val="auto"/>
        </w:rPr>
      </w:pPr>
      <w:r>
        <w:rPr>
          <w:rFonts w:ascii="Arial" w:cs="Arial" w:eastAsia="Arial" w:hAnsi="Arial"/>
          <w:sz w:val="5"/>
          <w:szCs w:val="5"/>
          <w:color w:val="FFFFFF"/>
          <w:vertAlign w:val="superscript"/>
        </w:rPr>
        <w:t>2</w:t>
      </w:r>
      <w:r>
        <w:rPr>
          <w:rFonts w:ascii="Arial" w:cs="Arial" w:eastAsia="Arial" w:hAnsi="Arial"/>
          <w:sz w:val="3"/>
          <w:szCs w:val="3"/>
          <w:color w:val="FFFFFF"/>
        </w:rPr>
        <w:t>.0%</w:t>
      </w:r>
    </w:p>
    <w:p>
      <w:pPr>
        <w:spacing w:after="0" w:line="188" w:lineRule="auto"/>
        <w:rPr>
          <w:sz w:val="20"/>
          <w:szCs w:val="20"/>
          <w:color w:val="auto"/>
        </w:rPr>
      </w:pPr>
      <w:r>
        <w:rPr>
          <w:rFonts w:ascii="Arial" w:cs="Arial" w:eastAsia="Arial" w:hAnsi="Arial"/>
          <w:sz w:val="7"/>
          <w:szCs w:val="7"/>
          <w:color w:val="FFFFFF"/>
        </w:rPr>
        <w:t>0</w:t>
      </w:r>
      <w:r>
        <w:rPr>
          <w:rFonts w:ascii="Arial" w:cs="Arial" w:eastAsia="Arial" w:hAnsi="Arial"/>
          <w:sz w:val="9"/>
          <w:szCs w:val="9"/>
          <w:color w:val="FFFFFF"/>
          <w:vertAlign w:val="subscript"/>
        </w:rPr>
        <w:t>2</w:t>
      </w:r>
    </w:p>
    <w:p>
      <w:pPr>
        <w:ind w:left="60"/>
        <w:spacing w:after="0"/>
        <w:rPr>
          <w:sz w:val="20"/>
          <w:szCs w:val="20"/>
          <w:color w:val="auto"/>
        </w:rPr>
      </w:pPr>
      <w:r>
        <w:rPr>
          <w:rFonts w:ascii="Arial" w:cs="Arial" w:eastAsia="Arial" w:hAnsi="Arial"/>
          <w:sz w:val="3"/>
          <w:szCs w:val="3"/>
          <w:color w:val="FFFFFF"/>
        </w:rPr>
        <w:t>4</w:t>
      </w:r>
    </w:p>
    <w:p>
      <w:pPr>
        <w:ind w:left="60"/>
        <w:spacing w:after="0" w:line="194" w:lineRule="auto"/>
        <w:rPr>
          <w:sz w:val="20"/>
          <w:szCs w:val="20"/>
          <w:color w:val="auto"/>
        </w:rPr>
      </w:pPr>
      <w:r>
        <w:rPr>
          <w:rFonts w:ascii="Arial" w:cs="Arial" w:eastAsia="Arial" w:hAnsi="Arial"/>
          <w:sz w:val="5"/>
          <w:szCs w:val="5"/>
          <w:color w:val="FFFFFF"/>
        </w:rPr>
        <w:t>6</w:t>
      </w:r>
    </w:p>
    <w:p>
      <w:pPr>
        <w:ind w:left="60"/>
        <w:spacing w:after="0"/>
        <w:rPr>
          <w:sz w:val="20"/>
          <w:szCs w:val="20"/>
          <w:color w:val="auto"/>
        </w:rPr>
      </w:pPr>
      <w:r>
        <w:rPr>
          <w:rFonts w:ascii="Arial" w:cs="Arial" w:eastAsia="Arial" w:hAnsi="Arial"/>
          <w:sz w:val="3"/>
          <w:szCs w:val="3"/>
          <w:color w:val="FFFFFF"/>
        </w:rPr>
        <w:t>5</w:t>
      </w:r>
    </w:p>
    <w:p>
      <w:pPr>
        <w:ind w:left="60"/>
        <w:spacing w:after="0" w:line="181" w:lineRule="auto"/>
        <w:rPr>
          <w:sz w:val="20"/>
          <w:szCs w:val="20"/>
          <w:color w:val="auto"/>
        </w:rPr>
      </w:pPr>
      <w:r>
        <w:rPr>
          <w:rFonts w:ascii="Arial" w:cs="Arial" w:eastAsia="Arial" w:hAnsi="Arial"/>
          <w:sz w:val="10"/>
          <w:szCs w:val="10"/>
          <w:color w:val="FFFFFF"/>
          <w:vertAlign w:val="superscript"/>
        </w:rPr>
        <w:t>1</w:t>
      </w:r>
      <w:r>
        <w:rPr>
          <w:rFonts w:ascii="Arial" w:cs="Arial" w:eastAsia="Arial" w:hAnsi="Arial"/>
          <w:sz w:val="7"/>
          <w:szCs w:val="7"/>
          <w:color w:val="FFFFFF"/>
        </w:rPr>
        <w:t xml:space="preserve"> 0%</w:t>
      </w:r>
    </w:p>
    <w:p>
      <w:pPr>
        <w:ind w:left="60"/>
        <w:spacing w:after="0" w:line="213" w:lineRule="auto"/>
        <w:rPr>
          <w:sz w:val="20"/>
          <w:szCs w:val="20"/>
          <w:color w:val="auto"/>
        </w:rPr>
      </w:pPr>
      <w:r>
        <w:rPr>
          <w:rFonts w:ascii="Arial" w:cs="Arial" w:eastAsia="Arial" w:hAnsi="Arial"/>
          <w:sz w:val="4"/>
          <w:szCs w:val="4"/>
          <w:color w:val="FFFFFF"/>
          <w:vertAlign w:val="superscript"/>
        </w:rPr>
        <w:t>5</w:t>
      </w:r>
    </w:p>
    <w:p>
      <w:pPr>
        <w:spacing w:after="0" w:line="187" w:lineRule="auto"/>
        <w:rPr>
          <w:sz w:val="20"/>
          <w:szCs w:val="20"/>
          <w:color w:val="auto"/>
        </w:rPr>
      </w:pPr>
      <w:r>
        <w:rPr>
          <w:rFonts w:ascii="Arial" w:cs="Arial" w:eastAsia="Arial" w:hAnsi="Arial"/>
          <w:sz w:val="7"/>
          <w:szCs w:val="7"/>
          <w:color w:val="FFFFFF"/>
        </w:rPr>
        <w:t>-</w:t>
      </w:r>
      <w:r>
        <w:rPr>
          <w:rFonts w:ascii="Arial" w:cs="Arial" w:eastAsia="Arial" w:hAnsi="Arial"/>
          <w:sz w:val="9"/>
          <w:szCs w:val="9"/>
          <w:color w:val="FFFFFF"/>
          <w:vertAlign w:val="superscript"/>
        </w:rPr>
        <w:t>12</w:t>
      </w:r>
      <w:r>
        <w:rPr>
          <w:rFonts w:ascii="Arial" w:cs="Arial" w:eastAsia="Arial" w:hAnsi="Arial"/>
          <w:sz w:val="7"/>
          <w:szCs w:val="7"/>
          <w:color w:val="FFFFFF"/>
        </w:rPr>
        <w:t>.1%3%</w:t>
      </w:r>
    </w:p>
    <w:p>
      <w:pPr>
        <w:spacing w:after="0"/>
        <w:rPr>
          <w:sz w:val="20"/>
          <w:szCs w:val="20"/>
          <w:color w:val="auto"/>
        </w:rPr>
      </w:pPr>
      <w:r>
        <w:rPr>
          <w:rFonts w:ascii="Arial" w:cs="Arial" w:eastAsia="Arial" w:hAnsi="Arial"/>
          <w:sz w:val="3"/>
          <w:szCs w:val="3"/>
          <w:color w:val="FFFFFF"/>
        </w:rPr>
        <w:t>2 4%</w:t>
      </w:r>
    </w:p>
    <w:p>
      <w:pPr>
        <w:spacing w:after="0" w:line="181" w:lineRule="auto"/>
        <w:rPr>
          <w:sz w:val="20"/>
          <w:szCs w:val="20"/>
          <w:color w:val="auto"/>
        </w:rPr>
      </w:pPr>
      <w:r>
        <w:rPr>
          <w:rFonts w:ascii="Arial" w:cs="Arial" w:eastAsia="Arial" w:hAnsi="Arial"/>
          <w:sz w:val="10"/>
          <w:szCs w:val="10"/>
          <w:color w:val="FFFFFF"/>
          <w:vertAlign w:val="superscript"/>
        </w:rPr>
        <w:t>49</w:t>
      </w:r>
      <w:r>
        <w:rPr>
          <w:rFonts w:ascii="Arial" w:cs="Arial" w:eastAsia="Arial" w:hAnsi="Arial"/>
          <w:sz w:val="7"/>
          <w:szCs w:val="7"/>
          <w:color w:val="FFFFFF"/>
        </w:rPr>
        <w:t xml:space="preserve"> 6%</w:t>
      </w:r>
      <w:r>
        <w:rPr>
          <w:rFonts w:ascii="Arial" w:cs="Arial" w:eastAsia="Arial" w:hAnsi="Arial"/>
          <w:sz w:val="10"/>
          <w:szCs w:val="10"/>
          <w:color w:val="FFFFFF"/>
          <w:vertAlign w:val="subscript"/>
        </w:rPr>
        <w:t>2%</w:t>
      </w:r>
      <w:r>
        <w:rPr>
          <w:rFonts w:ascii="Arial" w:cs="Arial" w:eastAsia="Arial" w:hAnsi="Arial"/>
          <w:sz w:val="7"/>
          <w:szCs w:val="7"/>
          <w:color w:val="FFFFFF"/>
        </w:rPr>
        <w:t>8%</w:t>
      </w:r>
    </w:p>
    <w:p>
      <w:pPr>
        <w:spacing w:after="0" w:line="213" w:lineRule="auto"/>
        <w:rPr>
          <w:sz w:val="20"/>
          <w:szCs w:val="20"/>
          <w:color w:val="auto"/>
        </w:rPr>
      </w:pPr>
      <w:r>
        <w:rPr>
          <w:rFonts w:ascii="Arial" w:cs="Arial" w:eastAsia="Arial" w:hAnsi="Arial"/>
          <w:sz w:val="2"/>
          <w:szCs w:val="2"/>
          <w:color w:val="FFFFFF"/>
        </w:rPr>
        <w:t>2</w:t>
      </w:r>
      <w:r>
        <w:rPr>
          <w:rFonts w:ascii="Arial" w:cs="Arial" w:eastAsia="Arial" w:hAnsi="Arial"/>
          <w:sz w:val="4"/>
          <w:szCs w:val="4"/>
          <w:color w:val="FFFFFF"/>
          <w:vertAlign w:val="superscript"/>
        </w:rPr>
        <w:t>1</w:t>
      </w:r>
      <w:r>
        <w:rPr>
          <w:rFonts w:ascii="Arial" w:cs="Arial" w:eastAsia="Arial" w:hAnsi="Arial"/>
          <w:sz w:val="2"/>
          <w:szCs w:val="2"/>
          <w:color w:val="FFFFFF"/>
        </w:rPr>
        <w:t>.0%</w:t>
      </w:r>
    </w:p>
    <w:p>
      <w:pPr>
        <w:spacing w:after="0"/>
        <w:rPr>
          <w:sz w:val="20"/>
          <w:szCs w:val="20"/>
          <w:color w:val="auto"/>
        </w:rPr>
      </w:pPr>
      <w:r>
        <w:rPr>
          <w:rFonts w:ascii="Arial" w:cs="Arial" w:eastAsia="Arial" w:hAnsi="Arial"/>
          <w:sz w:val="3"/>
          <w:szCs w:val="3"/>
          <w:color w:val="FFFFFF"/>
        </w:rPr>
        <w:t>Q3 Q4 Q1 Q2 Q3 Q4 Q1 Q2 Q3 Q4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2002 2003 2004</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Traffic Counts</w:t>
      </w:r>
    </w:p>
    <w:p>
      <w:pPr>
        <w:spacing w:after="0" w:line="187" w:lineRule="auto"/>
        <w:rPr>
          <w:sz w:val="20"/>
          <w:szCs w:val="20"/>
          <w:color w:val="auto"/>
        </w:rPr>
      </w:pPr>
      <w:r>
        <w:rPr>
          <w:rFonts w:ascii="Arial" w:cs="Arial" w:eastAsia="Arial" w:hAnsi="Arial"/>
          <w:sz w:val="7"/>
          <w:szCs w:val="7"/>
          <w:color w:val="FFFFFF"/>
        </w:rPr>
        <w:t>0</w:t>
      </w:r>
      <w:r>
        <w:rPr>
          <w:rFonts w:ascii="Arial" w:cs="Arial" w:eastAsia="Arial" w:hAnsi="Arial"/>
          <w:sz w:val="9"/>
          <w:szCs w:val="9"/>
          <w:color w:val="FFFFFF"/>
          <w:vertAlign w:val="superscript"/>
        </w:rPr>
        <w:t>2</w:t>
      </w:r>
      <w:r>
        <w:rPr>
          <w:rFonts w:ascii="Arial" w:cs="Arial" w:eastAsia="Arial" w:hAnsi="Arial"/>
          <w:sz w:val="7"/>
          <w:szCs w:val="7"/>
          <w:color w:val="FFFFFF"/>
        </w:rPr>
        <w:t>.0%</w:t>
      </w:r>
    </w:p>
    <w:p>
      <w:pPr>
        <w:ind w:left="60"/>
        <w:spacing w:after="0" w:line="213" w:lineRule="auto"/>
        <w:rPr>
          <w:sz w:val="20"/>
          <w:szCs w:val="20"/>
          <w:color w:val="auto"/>
        </w:rPr>
      </w:pPr>
      <w:r>
        <w:rPr>
          <w:rFonts w:ascii="Arial" w:cs="Arial" w:eastAsia="Arial" w:hAnsi="Arial"/>
          <w:sz w:val="2"/>
          <w:szCs w:val="2"/>
          <w:color w:val="FFFFFF"/>
        </w:rPr>
        <w:t>4</w:t>
      </w:r>
      <w:r>
        <w:rPr>
          <w:rFonts w:ascii="Arial" w:cs="Arial" w:eastAsia="Arial" w:hAnsi="Arial"/>
          <w:sz w:val="4"/>
          <w:szCs w:val="4"/>
          <w:color w:val="FFFFFF"/>
          <w:vertAlign w:val="subscript"/>
        </w:rPr>
        <w:t>2</w:t>
      </w:r>
    </w:p>
    <w:p>
      <w:pPr>
        <w:ind w:left="60"/>
        <w:spacing w:after="0" w:line="211" w:lineRule="auto"/>
        <w:rPr>
          <w:sz w:val="20"/>
          <w:szCs w:val="20"/>
          <w:color w:val="auto"/>
        </w:rPr>
      </w:pPr>
      <w:r>
        <w:rPr>
          <w:rFonts w:ascii="Arial" w:cs="Arial" w:eastAsia="Arial" w:hAnsi="Arial"/>
          <w:sz w:val="4"/>
          <w:szCs w:val="4"/>
          <w:color w:val="FFFFFF"/>
          <w:vertAlign w:val="superscript"/>
        </w:rPr>
        <w:t>6</w:t>
      </w:r>
      <w:r>
        <w:rPr>
          <w:rFonts w:ascii="Arial" w:cs="Arial" w:eastAsia="Arial" w:hAnsi="Arial"/>
          <w:sz w:val="2"/>
          <w:szCs w:val="2"/>
          <w:color w:val="FFFFFF"/>
        </w:rPr>
        <w:t xml:space="preserve"> 0%</w:t>
      </w:r>
    </w:p>
    <w:p>
      <w:pPr>
        <w:ind w:left="60"/>
        <w:spacing w:after="0" w:line="212" w:lineRule="auto"/>
        <w:rPr>
          <w:sz w:val="20"/>
          <w:szCs w:val="20"/>
          <w:color w:val="auto"/>
        </w:rPr>
      </w:pPr>
      <w:r>
        <w:rPr>
          <w:rFonts w:ascii="Arial" w:cs="Arial" w:eastAsia="Arial" w:hAnsi="Arial"/>
          <w:sz w:val="4"/>
          <w:szCs w:val="4"/>
          <w:color w:val="FFFFFF"/>
          <w:vertAlign w:val="superscript"/>
        </w:rPr>
        <w:t>8</w:t>
      </w:r>
      <w:r>
        <w:rPr>
          <w:rFonts w:ascii="Arial" w:cs="Arial" w:eastAsia="Arial" w:hAnsi="Arial"/>
          <w:sz w:val="2"/>
          <w:szCs w:val="2"/>
          <w:color w:val="FFFFFF"/>
        </w:rPr>
        <w:t xml:space="preserve"> 5%</w:t>
      </w:r>
    </w:p>
    <w:p>
      <w:pPr>
        <w:ind w:left="60"/>
        <w:spacing w:after="0"/>
        <w:rPr>
          <w:sz w:val="20"/>
          <w:szCs w:val="20"/>
          <w:color w:val="auto"/>
        </w:rPr>
      </w:pPr>
      <w:r>
        <w:rPr>
          <w:rFonts w:ascii="Arial" w:cs="Arial" w:eastAsia="Arial" w:hAnsi="Arial"/>
          <w:sz w:val="3"/>
          <w:szCs w:val="3"/>
          <w:color w:val="FFFFFF"/>
        </w:rPr>
        <w:t>6</w:t>
      </w:r>
    </w:p>
    <w:p>
      <w:pPr>
        <w:ind w:left="60"/>
        <w:spacing w:after="0" w:line="181" w:lineRule="auto"/>
        <w:rPr>
          <w:sz w:val="20"/>
          <w:szCs w:val="20"/>
          <w:color w:val="auto"/>
        </w:rPr>
      </w:pPr>
      <w:r>
        <w:rPr>
          <w:rFonts w:ascii="Arial" w:cs="Arial" w:eastAsia="Arial" w:hAnsi="Arial"/>
          <w:sz w:val="10"/>
          <w:szCs w:val="10"/>
          <w:color w:val="FFFFFF"/>
          <w:vertAlign w:val="superscript"/>
        </w:rPr>
        <w:t>5</w:t>
      </w:r>
    </w:p>
    <w:p>
      <w:pPr>
        <w:spacing w:after="0"/>
        <w:rPr>
          <w:sz w:val="20"/>
          <w:szCs w:val="20"/>
          <w:color w:val="auto"/>
        </w:rPr>
      </w:pPr>
      <w:r>
        <w:rPr>
          <w:rFonts w:ascii="Arial" w:cs="Arial" w:eastAsia="Arial" w:hAnsi="Arial"/>
          <w:sz w:val="3"/>
          <w:szCs w:val="3"/>
          <w:color w:val="FFFFFF"/>
        </w:rPr>
        <w:t>-4.0%</w:t>
      </w:r>
    </w:p>
    <w:p>
      <w:pPr>
        <w:spacing w:after="0" w:line="194" w:lineRule="auto"/>
        <w:rPr>
          <w:sz w:val="20"/>
          <w:szCs w:val="20"/>
          <w:color w:val="auto"/>
        </w:rPr>
      </w:pPr>
      <w:r>
        <w:rPr>
          <w:rFonts w:ascii="Arial" w:cs="Arial" w:eastAsia="Arial" w:hAnsi="Arial"/>
          <w:sz w:val="5"/>
          <w:szCs w:val="5"/>
          <w:color w:val="FFFFFF"/>
          <w:vertAlign w:val="subscript"/>
        </w:rPr>
        <w:t>Q1</w:t>
      </w:r>
      <w:r>
        <w:rPr>
          <w:rFonts w:ascii="Arial" w:cs="Arial" w:eastAsia="Arial" w:hAnsi="Arial"/>
          <w:sz w:val="3"/>
          <w:szCs w:val="3"/>
          <w:color w:val="FFFFFF"/>
        </w:rPr>
        <w:t>.0%</w:t>
      </w:r>
    </w:p>
    <w:p>
      <w:pPr>
        <w:jc w:val="right"/>
        <w:ind w:right="9259"/>
        <w:spacing w:after="0"/>
        <w:rPr>
          <w:sz w:val="20"/>
          <w:szCs w:val="20"/>
          <w:color w:val="auto"/>
        </w:rPr>
      </w:pPr>
      <w:r>
        <w:rPr>
          <w:rFonts w:ascii="Arial" w:cs="Arial" w:eastAsia="Arial" w:hAnsi="Arial"/>
          <w:sz w:val="3"/>
          <w:szCs w:val="3"/>
          <w:color w:val="FFFFFF"/>
        </w:rPr>
        <w:t>Q2 Q3 Q4 Q1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2004 2005</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FFFFFF"/>
        </w:rPr>
        <w:t>Internet</w:t>
      </w:r>
      <w:r>
        <w:rPr>
          <w:rFonts w:ascii="Arial" w:cs="Arial" w:eastAsia="Arial" w:hAnsi="Arial"/>
          <w:sz w:val="27"/>
          <w:szCs w:val="27"/>
          <w:color w:val="FFFFFF"/>
          <w:vertAlign w:val="superscript"/>
        </w:rPr>
        <w:t>8</w:t>
      </w:r>
      <w:r>
        <w:rPr>
          <w:rFonts w:ascii="Arial" w:cs="Arial" w:eastAsia="Arial" w:hAnsi="Arial"/>
          <w:sz w:val="14"/>
          <w:szCs w:val="14"/>
          <w:color w:val="FFFFFF"/>
        </w:rPr>
        <w:t>6 Sales by Month</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3"/>
          <w:szCs w:val="3"/>
          <w:color w:val="FFFFFF"/>
        </w:rPr>
        <w:t>24</w:t>
      </w:r>
    </w:p>
    <w:p>
      <w:pPr>
        <w:spacing w:after="0" w:line="6" w:lineRule="exact"/>
        <w:rPr>
          <w:sz w:val="20"/>
          <w:szCs w:val="20"/>
          <w:color w:val="auto"/>
        </w:rPr>
      </w:pPr>
    </w:p>
    <w:p>
      <w:pPr>
        <w:ind w:left="80"/>
        <w:spacing w:after="0"/>
        <w:rPr>
          <w:sz w:val="20"/>
          <w:szCs w:val="20"/>
          <w:color w:val="auto"/>
        </w:rPr>
      </w:pPr>
      <w:r>
        <w:rPr>
          <w:rFonts w:ascii="Arial" w:cs="Arial" w:eastAsia="Arial" w:hAnsi="Arial"/>
          <w:sz w:val="3"/>
          <w:szCs w:val="3"/>
          <w:color w:val="FFFFFF"/>
        </w:rPr>
        <w:t>1,00 ,000</w:t>
      </w:r>
    </w:p>
    <w:p>
      <w:pPr>
        <w:spacing w:after="0" w:line="6" w:lineRule="exact"/>
        <w:rPr>
          <w:sz w:val="20"/>
          <w:szCs w:val="20"/>
          <w:color w:val="auto"/>
        </w:rPr>
      </w:pPr>
    </w:p>
    <w:p>
      <w:pPr>
        <w:ind w:left="80"/>
        <w:spacing w:after="0"/>
        <w:rPr>
          <w:sz w:val="20"/>
          <w:szCs w:val="20"/>
          <w:color w:val="auto"/>
        </w:rPr>
      </w:pPr>
      <w:r>
        <w:rPr>
          <w:rFonts w:ascii="Arial" w:cs="Arial" w:eastAsia="Arial" w:hAnsi="Arial"/>
          <w:sz w:val="3"/>
          <w:szCs w:val="3"/>
          <w:color w:val="FFFFFF"/>
        </w:rPr>
        <w:t>8</w:t>
      </w:r>
    </w:p>
    <w:p>
      <w:pPr>
        <w:spacing w:after="0" w:line="6" w:lineRule="exact"/>
        <w:rPr>
          <w:sz w:val="20"/>
          <w:szCs w:val="20"/>
          <w:color w:val="auto"/>
        </w:rPr>
      </w:pPr>
    </w:p>
    <w:p>
      <w:pPr>
        <w:ind w:left="80"/>
        <w:spacing w:after="0"/>
        <w:rPr>
          <w:sz w:val="20"/>
          <w:szCs w:val="20"/>
          <w:color w:val="auto"/>
        </w:rPr>
      </w:pPr>
      <w:r>
        <w:rPr>
          <w:rFonts w:ascii="Arial" w:cs="Arial" w:eastAsia="Arial" w:hAnsi="Arial"/>
          <w:sz w:val="3"/>
          <w:szCs w:val="3"/>
          <w:color w:val="FFFFFF"/>
        </w:rPr>
        <w:t>6</w:t>
      </w:r>
    </w:p>
    <w:p>
      <w:pPr>
        <w:ind w:left="80"/>
        <w:spacing w:after="0" w:line="187" w:lineRule="auto"/>
        <w:rPr>
          <w:sz w:val="20"/>
          <w:szCs w:val="20"/>
          <w:color w:val="auto"/>
        </w:rPr>
      </w:pPr>
      <w:r>
        <w:rPr>
          <w:rFonts w:ascii="Arial" w:cs="Arial" w:eastAsia="Arial" w:hAnsi="Arial"/>
          <w:sz w:val="9"/>
          <w:szCs w:val="9"/>
          <w:color w:val="FFFFFF"/>
        </w:rPr>
        <w:t>4</w:t>
      </w:r>
    </w:p>
    <w:p>
      <w:pPr>
        <w:spacing w:after="0" w:line="6" w:lineRule="exact"/>
        <w:rPr>
          <w:sz w:val="20"/>
          <w:szCs w:val="20"/>
          <w:color w:val="auto"/>
        </w:rPr>
      </w:pPr>
    </w:p>
    <w:p>
      <w:pPr>
        <w:spacing w:after="0"/>
        <w:rPr>
          <w:sz w:val="20"/>
          <w:szCs w:val="20"/>
          <w:color w:val="auto"/>
        </w:rPr>
      </w:pPr>
      <w:r>
        <w:rPr>
          <w:rFonts w:ascii="Arial" w:cs="Arial" w:eastAsia="Arial" w:hAnsi="Arial"/>
          <w:sz w:val="3"/>
          <w:szCs w:val="3"/>
          <w:color w:val="FFFFFF"/>
        </w:rPr>
        <w:t>$0200,000</w:t>
      </w:r>
    </w:p>
    <w:p>
      <w:pPr>
        <w:spacing w:after="0" w:line="187" w:lineRule="auto"/>
        <w:rPr>
          <w:sz w:val="20"/>
          <w:szCs w:val="20"/>
          <w:color w:val="auto"/>
        </w:rPr>
      </w:pPr>
      <w:r>
        <w:rPr>
          <w:rFonts w:ascii="Arial" w:cs="Arial" w:eastAsia="Arial" w:hAnsi="Arial"/>
          <w:sz w:val="9"/>
          <w:szCs w:val="9"/>
          <w:color w:val="FFFFFF"/>
        </w:rPr>
        <w:t>2002 2003 2004</w:t>
      </w:r>
    </w:p>
    <w:p>
      <w:pPr>
        <w:spacing w:after="0"/>
        <w:rPr>
          <w:sz w:val="20"/>
          <w:szCs w:val="20"/>
          <w:color w:val="auto"/>
        </w:rPr>
      </w:pPr>
      <w:r>
        <w:rPr>
          <w:rFonts w:ascii="Arial" w:cs="Arial" w:eastAsia="Arial" w:hAnsi="Arial"/>
          <w:sz w:val="12"/>
          <w:szCs w:val="12"/>
          <w:color w:val="FFFFFF"/>
        </w:rPr>
        <w:t>Jan Feb Mar Apr May Jun Jul Aug Sep Oct Nov Dec</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StoreMulti-Channel</w:t>
      </w:r>
    </w:p>
    <w:p>
      <w:pPr>
        <w:spacing w:after="0"/>
        <w:rPr>
          <w:sz w:val="20"/>
          <w:szCs w:val="20"/>
          <w:color w:val="auto"/>
        </w:rPr>
      </w:pPr>
      <w:r>
        <w:rPr>
          <w:rFonts w:ascii="Arial" w:cs="Arial" w:eastAsia="Arial" w:hAnsi="Arial"/>
          <w:sz w:val="3"/>
          <w:szCs w:val="3"/>
          <w:color w:val="FFFFFF"/>
        </w:rPr>
        <w:t>100% 80% 60% 40% 20% 0%</w:t>
      </w:r>
    </w:p>
    <w:p>
      <w:pPr>
        <w:spacing w:after="0" w:line="181" w:lineRule="auto"/>
        <w:rPr>
          <w:sz w:val="20"/>
          <w:szCs w:val="20"/>
          <w:color w:val="auto"/>
        </w:rPr>
      </w:pPr>
      <w:r>
        <w:rPr>
          <w:rFonts w:ascii="Arial" w:cs="Arial" w:eastAsia="Arial" w:hAnsi="Arial"/>
          <w:sz w:val="7"/>
          <w:szCs w:val="7"/>
          <w:color w:val="FFFFFF"/>
        </w:rPr>
        <w:t>2</w:t>
      </w:r>
      <w:r>
        <w:rPr>
          <w:rFonts w:ascii="Arial" w:cs="Arial" w:eastAsia="Arial" w:hAnsi="Arial"/>
          <w:sz w:val="10"/>
          <w:szCs w:val="10"/>
          <w:color w:val="FFFFFF"/>
          <w:vertAlign w:val="subscript"/>
        </w:rPr>
        <w:t>.4%</w:t>
      </w:r>
      <w:r>
        <w:rPr>
          <w:rFonts w:ascii="Arial" w:cs="Arial" w:eastAsia="Arial" w:hAnsi="Arial"/>
          <w:sz w:val="7"/>
          <w:szCs w:val="7"/>
          <w:color w:val="FFFFFF"/>
        </w:rPr>
        <w:t>9%</w:t>
      </w:r>
    </w:p>
    <w:p>
      <w:pPr>
        <w:spacing w:after="0"/>
        <w:rPr>
          <w:sz w:val="20"/>
          <w:szCs w:val="20"/>
          <w:color w:val="auto"/>
        </w:rPr>
      </w:pPr>
      <w:r>
        <w:rPr>
          <w:rFonts w:ascii="Arial" w:cs="Arial" w:eastAsia="Arial" w:hAnsi="Arial"/>
          <w:sz w:val="3"/>
          <w:szCs w:val="3"/>
          <w:color w:val="FFFFFF"/>
        </w:rPr>
        <w:t>Catalog7online catalog</w:t>
      </w:r>
    </w:p>
    <w:p>
      <w:pPr>
        <w:spacing w:after="0" w:line="194" w:lineRule="auto"/>
        <w:rPr>
          <w:sz w:val="20"/>
          <w:szCs w:val="20"/>
          <w:color w:val="auto"/>
        </w:rPr>
      </w:pPr>
      <w:r>
        <w:rPr>
          <w:rFonts w:ascii="Arial" w:cs="Arial" w:eastAsia="Arial" w:hAnsi="Arial"/>
          <w:sz w:val="5"/>
          <w:szCs w:val="5"/>
          <w:color w:val="FFFFFF"/>
        </w:rPr>
        <w:t>100% 80% 60% 40% 20% 0%</w:t>
      </w:r>
    </w:p>
    <w:p>
      <w:pPr>
        <w:spacing w:after="0" w:line="188" w:lineRule="auto"/>
        <w:rPr>
          <w:sz w:val="20"/>
          <w:szCs w:val="20"/>
          <w:color w:val="auto"/>
        </w:rPr>
      </w:pPr>
      <w:r>
        <w:rPr>
          <w:rFonts w:ascii="Arial" w:cs="Arial" w:eastAsia="Arial" w:hAnsi="Arial"/>
          <w:sz w:val="9"/>
          <w:szCs w:val="9"/>
          <w:color w:val="FFFFFF"/>
          <w:vertAlign w:val="superscript"/>
        </w:rPr>
        <w:t>46</w:t>
      </w:r>
      <w:r>
        <w:rPr>
          <w:rFonts w:ascii="Arial" w:cs="Arial" w:eastAsia="Arial" w:hAnsi="Arial"/>
          <w:sz w:val="7"/>
          <w:szCs w:val="7"/>
          <w:color w:val="FFFFFF"/>
        </w:rPr>
        <w:t>.6%</w:t>
      </w:r>
    </w:p>
    <w:p>
      <w:pPr>
        <w:spacing w:after="0"/>
        <w:rPr>
          <w:sz w:val="20"/>
          <w:szCs w:val="20"/>
          <w:color w:val="auto"/>
        </w:rPr>
      </w:pPr>
      <w:r>
        <w:rPr>
          <w:rFonts w:ascii="Arial" w:cs="Arial" w:eastAsia="Arial" w:hAnsi="Arial"/>
          <w:sz w:val="3"/>
          <w:szCs w:val="3"/>
          <w:color w:val="FFFFFF"/>
        </w:rPr>
        <w:t>Online18 store online</w:t>
      </w:r>
    </w:p>
    <w:p>
      <w:pPr>
        <w:spacing w:after="0" w:line="194" w:lineRule="auto"/>
        <w:rPr>
          <w:sz w:val="20"/>
          <w:szCs w:val="20"/>
          <w:color w:val="auto"/>
        </w:rPr>
      </w:pPr>
      <w:r>
        <w:rPr>
          <w:rFonts w:ascii="Arial" w:cs="Arial" w:eastAsia="Arial" w:hAnsi="Arial"/>
          <w:sz w:val="5"/>
          <w:szCs w:val="5"/>
          <w:color w:val="FFFFFF"/>
        </w:rPr>
        <w:t>100% 80% 60% 40% 20% 0% store catalog</w:t>
      </w:r>
    </w:p>
    <w:p>
      <w:pPr>
        <w:spacing w:after="0" w:line="211" w:lineRule="auto"/>
        <w:rPr>
          <w:sz w:val="20"/>
          <w:szCs w:val="20"/>
          <w:color w:val="auto"/>
        </w:rPr>
      </w:pPr>
      <w:r>
        <w:rPr>
          <w:rFonts w:ascii="Arial" w:cs="Arial" w:eastAsia="Arial" w:hAnsi="Arial"/>
          <w:sz w:val="4"/>
          <w:szCs w:val="4"/>
          <w:color w:val="FFFFFF"/>
          <w:vertAlign w:val="superscript"/>
        </w:rPr>
        <w:t>51</w:t>
      </w:r>
      <w:r>
        <w:rPr>
          <w:rFonts w:ascii="Arial" w:cs="Arial" w:eastAsia="Arial" w:hAnsi="Arial"/>
          <w:sz w:val="2"/>
          <w:szCs w:val="2"/>
          <w:color w:val="FFFFFF"/>
        </w:rPr>
        <w:t>.1%</w:t>
      </w:r>
    </w:p>
    <w:p>
      <w:pPr>
        <w:spacing w:after="0"/>
        <w:rPr>
          <w:sz w:val="20"/>
          <w:szCs w:val="20"/>
          <w:color w:val="auto"/>
        </w:rPr>
      </w:pPr>
      <w:r>
        <w:rPr>
          <w:rFonts w:ascii="Arial" w:cs="Arial" w:eastAsia="Arial" w:hAnsi="Arial"/>
          <w:sz w:val="14"/>
          <w:szCs w:val="14"/>
          <w:color w:val="FFFFFF"/>
        </w:rPr>
        <w:t>32</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Email File Growth Rate Comparison 2003-2005</w:t>
      </w:r>
    </w:p>
    <w:p>
      <w:pPr>
        <w:ind w:left="620"/>
        <w:spacing w:after="0" w:line="211" w:lineRule="auto"/>
        <w:rPr>
          <w:sz w:val="20"/>
          <w:szCs w:val="20"/>
          <w:color w:val="auto"/>
        </w:rPr>
      </w:pPr>
      <w:r>
        <w:rPr>
          <w:rFonts w:ascii="Arial" w:cs="Arial" w:eastAsia="Arial" w:hAnsi="Arial"/>
          <w:sz w:val="4"/>
          <w:szCs w:val="4"/>
          <w:color w:val="FFFFFF"/>
          <w:vertAlign w:val="superscript"/>
        </w:rPr>
        <w:t>2003</w:t>
      </w:r>
    </w:p>
    <w:p>
      <w:pPr>
        <w:spacing w:after="0"/>
        <w:rPr>
          <w:sz w:val="20"/>
          <w:szCs w:val="20"/>
          <w:color w:val="auto"/>
        </w:rPr>
      </w:pPr>
      <w:r>
        <w:rPr>
          <w:rFonts w:ascii="Arial" w:cs="Arial" w:eastAsia="Arial" w:hAnsi="Arial"/>
          <w:sz w:val="3"/>
          <w:szCs w:val="3"/>
          <w:color w:val="FFFFFF"/>
        </w:rPr>
        <w:t>20051,600,00020041,4 0,000 1,200,000 1,000,000 800,000 600,000 400,000 200,000 -</w:t>
      </w:r>
    </w:p>
    <w:p>
      <w:pPr>
        <w:spacing w:after="0" w:line="194" w:lineRule="auto"/>
        <w:rPr>
          <w:sz w:val="20"/>
          <w:szCs w:val="20"/>
          <w:color w:val="auto"/>
        </w:rPr>
      </w:pPr>
      <w:r>
        <w:rPr>
          <w:rFonts w:ascii="Arial" w:cs="Arial" w:eastAsia="Arial" w:hAnsi="Arial"/>
          <w:sz w:val="5"/>
          <w:szCs w:val="5"/>
          <w:color w:val="FFFFFF"/>
        </w:rPr>
        <w:t>Feb</w:t>
      </w:r>
    </w:p>
    <w:p>
      <w:pPr>
        <w:spacing w:after="0"/>
        <w:rPr>
          <w:sz w:val="20"/>
          <w:szCs w:val="20"/>
          <w:color w:val="auto"/>
        </w:rPr>
      </w:pPr>
      <w:r>
        <w:rPr>
          <w:rFonts w:ascii="Arial" w:cs="Arial" w:eastAsia="Arial" w:hAnsi="Arial"/>
          <w:sz w:val="3"/>
          <w:szCs w:val="3"/>
          <w:color w:val="FFFFFF"/>
        </w:rPr>
        <w:t>March</w:t>
      </w:r>
    </w:p>
    <w:p>
      <w:pPr>
        <w:spacing w:after="0" w:line="194" w:lineRule="auto"/>
        <w:rPr>
          <w:sz w:val="20"/>
          <w:szCs w:val="20"/>
          <w:color w:val="auto"/>
        </w:rPr>
      </w:pPr>
      <w:r>
        <w:rPr>
          <w:rFonts w:ascii="Arial" w:cs="Arial" w:eastAsia="Arial" w:hAnsi="Arial"/>
          <w:sz w:val="5"/>
          <w:szCs w:val="5"/>
          <w:color w:val="FFFFFF"/>
        </w:rPr>
        <w:t>April</w:t>
      </w:r>
    </w:p>
    <w:p>
      <w:pPr>
        <w:spacing w:after="0"/>
        <w:rPr>
          <w:sz w:val="20"/>
          <w:szCs w:val="20"/>
          <w:color w:val="auto"/>
        </w:rPr>
      </w:pPr>
      <w:r>
        <w:rPr>
          <w:rFonts w:ascii="Arial" w:cs="Arial" w:eastAsia="Arial" w:hAnsi="Arial"/>
          <w:sz w:val="3"/>
          <w:szCs w:val="3"/>
          <w:color w:val="FFFFFF"/>
        </w:rPr>
        <w:t>May</w:t>
      </w:r>
    </w:p>
    <w:p>
      <w:pPr>
        <w:spacing w:after="0" w:line="181" w:lineRule="auto"/>
        <w:rPr>
          <w:sz w:val="20"/>
          <w:szCs w:val="20"/>
          <w:color w:val="auto"/>
        </w:rPr>
      </w:pPr>
      <w:r>
        <w:rPr>
          <w:rFonts w:ascii="Arial" w:cs="Arial" w:eastAsia="Arial" w:hAnsi="Arial"/>
          <w:sz w:val="7"/>
          <w:szCs w:val="7"/>
          <w:color w:val="FFFFFF"/>
        </w:rPr>
        <w:t>July</w:t>
      </w:r>
      <w:r>
        <w:rPr>
          <w:rFonts w:ascii="Arial" w:cs="Arial" w:eastAsia="Arial" w:hAnsi="Arial"/>
          <w:sz w:val="10"/>
          <w:szCs w:val="10"/>
          <w:color w:val="FFFFFF"/>
          <w:vertAlign w:val="superscript"/>
        </w:rPr>
        <w:t>ne</w:t>
      </w:r>
    </w:p>
    <w:p>
      <w:pPr>
        <w:spacing w:after="0"/>
        <w:rPr>
          <w:sz w:val="20"/>
          <w:szCs w:val="20"/>
          <w:color w:val="auto"/>
        </w:rPr>
      </w:pPr>
      <w:r>
        <w:rPr>
          <w:rFonts w:ascii="Arial" w:cs="Arial" w:eastAsia="Arial" w:hAnsi="Arial"/>
          <w:sz w:val="3"/>
          <w:szCs w:val="3"/>
          <w:color w:val="FFFFFF"/>
        </w:rPr>
        <w:t>Aug</w:t>
      </w:r>
    </w:p>
    <w:p>
      <w:pPr>
        <w:spacing w:after="0" w:line="194" w:lineRule="auto"/>
        <w:rPr>
          <w:sz w:val="20"/>
          <w:szCs w:val="20"/>
          <w:color w:val="auto"/>
        </w:rPr>
      </w:pPr>
      <w:r>
        <w:rPr>
          <w:rFonts w:ascii="Arial" w:cs="Arial" w:eastAsia="Arial" w:hAnsi="Arial"/>
          <w:sz w:val="5"/>
          <w:szCs w:val="5"/>
          <w:color w:val="FFFFFF"/>
        </w:rPr>
        <w:t>Sept</w:t>
      </w:r>
    </w:p>
    <w:p>
      <w:pPr>
        <w:spacing w:after="0"/>
        <w:rPr>
          <w:sz w:val="20"/>
          <w:szCs w:val="20"/>
          <w:color w:val="auto"/>
        </w:rPr>
      </w:pPr>
      <w:r>
        <w:rPr>
          <w:rFonts w:ascii="Arial" w:cs="Arial" w:eastAsia="Arial" w:hAnsi="Arial"/>
          <w:sz w:val="3"/>
          <w:szCs w:val="3"/>
          <w:color w:val="FFFFFF"/>
        </w:rPr>
        <w:t>Oct</w:t>
      </w:r>
    </w:p>
    <w:p>
      <w:pPr>
        <w:spacing w:after="0" w:line="194" w:lineRule="auto"/>
        <w:rPr>
          <w:sz w:val="20"/>
          <w:szCs w:val="20"/>
          <w:color w:val="auto"/>
        </w:rPr>
      </w:pPr>
      <w:r>
        <w:rPr>
          <w:rFonts w:ascii="Arial" w:cs="Arial" w:eastAsia="Arial" w:hAnsi="Arial"/>
          <w:sz w:val="5"/>
          <w:szCs w:val="5"/>
          <w:color w:val="FFFFFF"/>
        </w:rPr>
        <w:t>Nov</w:t>
      </w:r>
    </w:p>
    <w:p>
      <w:pPr>
        <w:spacing w:after="0"/>
        <w:rPr>
          <w:sz w:val="20"/>
          <w:szCs w:val="20"/>
          <w:color w:val="auto"/>
        </w:rPr>
      </w:pPr>
      <w:r>
        <w:rPr>
          <w:rFonts w:ascii="Arial" w:cs="Arial" w:eastAsia="Arial" w:hAnsi="Arial"/>
          <w:sz w:val="3"/>
          <w:szCs w:val="3"/>
          <w:color w:val="FFFFFF"/>
        </w:rPr>
        <w:t>Dec</w:t>
      </w:r>
    </w:p>
    <w:p>
      <w:pPr>
        <w:spacing w:after="0" w:line="194" w:lineRule="auto"/>
        <w:rPr>
          <w:sz w:val="20"/>
          <w:szCs w:val="20"/>
          <w:color w:val="auto"/>
        </w:rPr>
      </w:pPr>
      <w:r>
        <w:rPr>
          <w:rFonts w:ascii="Arial" w:cs="Arial" w:eastAsia="Arial" w:hAnsi="Arial"/>
          <w:sz w:val="5"/>
          <w:szCs w:val="5"/>
          <w:color w:val="FFFFFF"/>
        </w:rPr>
        <w:t>Jan</w:t>
      </w:r>
    </w:p>
    <w:p>
      <w:pPr>
        <w:spacing w:after="0"/>
        <w:rPr>
          <w:sz w:val="20"/>
          <w:szCs w:val="20"/>
          <w:color w:val="auto"/>
        </w:rPr>
      </w:pPr>
      <w:r>
        <w:rPr>
          <w:rFonts w:ascii="Arial" w:cs="Arial" w:eastAsia="Arial" w:hAnsi="Arial"/>
          <w:sz w:val="3"/>
          <w:szCs w:val="3"/>
          <w:color w:val="FFFFFF"/>
        </w:rPr>
        <w:t>Feb Jan % Change</w:t>
      </w:r>
    </w:p>
    <w:p>
      <w:pPr>
        <w:ind w:left="220"/>
        <w:spacing w:after="0" w:line="194" w:lineRule="auto"/>
        <w:rPr>
          <w:sz w:val="20"/>
          <w:szCs w:val="20"/>
          <w:color w:val="auto"/>
        </w:rPr>
      </w:pPr>
      <w:r>
        <w:rPr>
          <w:rFonts w:ascii="Arial" w:cs="Arial" w:eastAsia="Arial" w:hAnsi="Arial"/>
          <w:sz w:val="5"/>
          <w:szCs w:val="5"/>
          <w:color w:val="FFFFFF"/>
          <w:vertAlign w:val="superscript"/>
        </w:rPr>
        <w:t>4</w:t>
      </w:r>
      <w:r>
        <w:rPr>
          <w:rFonts w:ascii="Arial" w:cs="Arial" w:eastAsia="Arial" w:hAnsi="Arial"/>
          <w:sz w:val="3"/>
          <w:szCs w:val="3"/>
          <w:color w:val="FFFFFF"/>
        </w:rPr>
        <w:t xml:space="preserve">5 </w:t>
      </w:r>
      <w:r>
        <w:rPr>
          <w:rFonts w:ascii="Arial" w:cs="Arial" w:eastAsia="Arial" w:hAnsi="Arial"/>
          <w:sz w:val="5"/>
          <w:szCs w:val="5"/>
          <w:color w:val="FFFFFF"/>
          <w:vertAlign w:val="superscript"/>
        </w:rPr>
        <w:t>686</w:t>
      </w:r>
      <w:r>
        <w:rPr>
          <w:rFonts w:ascii="Arial" w:cs="Arial" w:eastAsia="Arial" w:hAnsi="Arial"/>
          <w:sz w:val="3"/>
          <w:szCs w:val="3"/>
          <w:color w:val="FFFFFF"/>
        </w:rPr>
        <w:t xml:space="preserve">993 </w:t>
      </w:r>
      <w:r>
        <w:rPr>
          <w:rFonts w:ascii="Arial" w:cs="Arial" w:eastAsia="Arial" w:hAnsi="Arial"/>
          <w:sz w:val="5"/>
          <w:szCs w:val="5"/>
          <w:color w:val="FFFFFF"/>
          <w:vertAlign w:val="superscript"/>
        </w:rPr>
        <w:t>100</w:t>
      </w:r>
      <w:r>
        <w:rPr>
          <w:rFonts w:ascii="Arial" w:cs="Arial" w:eastAsia="Arial" w:hAnsi="Arial"/>
          <w:sz w:val="3"/>
          <w:szCs w:val="3"/>
          <w:color w:val="FFFFFF"/>
        </w:rPr>
        <w:t>850 1,451,276 +46%</w:t>
      </w:r>
    </w:p>
    <w:p>
      <w:pPr>
        <w:spacing w:after="0"/>
        <w:rPr>
          <w:sz w:val="20"/>
          <w:szCs w:val="20"/>
          <w:color w:val="auto"/>
        </w:rPr>
      </w:pPr>
      <w:r>
        <w:rPr>
          <w:rFonts w:ascii="Arial" w:cs="Arial" w:eastAsia="Arial" w:hAnsi="Arial"/>
          <w:sz w:val="14"/>
          <w:szCs w:val="14"/>
          <w:color w:val="FFFFFF"/>
        </w:rPr>
        <w:t>2003 342,619 686,781</w:t>
      </w:r>
      <w:r>
        <w:rPr>
          <w:rFonts w:ascii="Arial" w:cs="Arial" w:eastAsia="Arial" w:hAnsi="Arial"/>
          <w:sz w:val="27"/>
          <w:szCs w:val="27"/>
          <w:color w:val="FFFFFF"/>
          <w:vertAlign w:val="superscript"/>
        </w:rPr>
        <w:t>910637</w:t>
      </w:r>
      <w:r>
        <w:rPr>
          <w:rFonts w:ascii="Arial" w:cs="Arial" w:eastAsia="Arial" w:hAnsi="Arial"/>
          <w:sz w:val="14"/>
          <w:szCs w:val="14"/>
          <w:color w:val="FFFFFF"/>
        </w:rPr>
        <w:t xml:space="preserve"> +100%</w:t>
      </w:r>
      <w:r>
        <w:rPr>
          <w:rFonts w:ascii="Arial" w:cs="Arial" w:eastAsia="Arial" w:hAnsi="Arial"/>
          <w:sz w:val="27"/>
          <w:szCs w:val="27"/>
          <w:color w:val="FFFFFF"/>
          <w:vertAlign w:val="superscript"/>
        </w:rPr>
        <w:t>33%</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3"/>
          </w:tcPr>
          <w:p>
            <w:pPr>
              <w:spacing w:after="0"/>
              <w:rPr>
                <w:sz w:val="20"/>
                <w:szCs w:val="20"/>
                <w:color w:val="auto"/>
              </w:rPr>
            </w:pPr>
            <w:r>
              <w:rPr>
                <w:rFonts w:ascii="Arial" w:cs="Arial" w:eastAsia="Arial" w:hAnsi="Arial"/>
                <w:sz w:val="14"/>
                <w:szCs w:val="14"/>
                <w:color w:val="FFFFFF"/>
                <w:w w:val="83"/>
              </w:rPr>
              <w:t>Store Catalog Sales</w:t>
            </w:r>
          </w:p>
        </w:tc>
      </w:tr>
      <w:tr>
        <w:trPr>
          <w:trHeight w:val="41"/>
        </w:trPr>
        <w:tc>
          <w:tcPr>
            <w:tcW w:w="320" w:type="dxa"/>
            <w:vAlign w:val="bottom"/>
          </w:tcPr>
          <w:p>
            <w:pPr>
              <w:ind w:left="80"/>
              <w:spacing w:after="0"/>
              <w:rPr>
                <w:sz w:val="20"/>
                <w:szCs w:val="20"/>
                <w:color w:val="auto"/>
              </w:rPr>
            </w:pPr>
            <w:r>
              <w:rPr>
                <w:rFonts w:ascii="Arial" w:cs="Arial" w:eastAsia="Arial" w:hAnsi="Arial"/>
                <w:sz w:val="3"/>
                <w:szCs w:val="3"/>
                <w:color w:val="FFFFFF"/>
              </w:rPr>
              <w:t>10,</w:t>
            </w:r>
          </w:p>
        </w:tc>
        <w:tc>
          <w:tcPr>
            <w:tcW w:w="300" w:type="dxa"/>
            <w:vAlign w:val="bottom"/>
          </w:tcPr>
          <w:p>
            <w:pPr>
              <w:jc w:val="right"/>
              <w:ind w:right="123"/>
              <w:spacing w:after="0"/>
              <w:rPr>
                <w:sz w:val="20"/>
                <w:szCs w:val="20"/>
                <w:color w:val="auto"/>
              </w:rPr>
            </w:pPr>
            <w:r>
              <w:rPr>
                <w:rFonts w:ascii="Arial" w:cs="Arial" w:eastAsia="Arial" w:hAnsi="Arial"/>
                <w:sz w:val="3"/>
                <w:szCs w:val="3"/>
                <w:color w:val="FFFFFF"/>
              </w:rPr>
              <w:t>0,</w:t>
            </w:r>
          </w:p>
        </w:tc>
        <w:tc>
          <w:tcPr>
            <w:tcW w:w="440" w:type="dxa"/>
            <w:vAlign w:val="bottom"/>
          </w:tcPr>
          <w:p>
            <w:pPr>
              <w:jc w:val="right"/>
              <w:ind w:right="363"/>
              <w:spacing w:after="0"/>
              <w:rPr>
                <w:sz w:val="20"/>
                <w:szCs w:val="20"/>
                <w:color w:val="auto"/>
              </w:rPr>
            </w:pPr>
            <w:r>
              <w:rPr>
                <w:rFonts w:ascii="Arial" w:cs="Arial" w:eastAsia="Arial" w:hAnsi="Arial"/>
                <w:sz w:val="3"/>
                <w:szCs w:val="3"/>
                <w:color w:val="FFFFFF"/>
              </w:rPr>
              <w:t>0</w:t>
            </w:r>
          </w:p>
        </w:tc>
      </w:tr>
      <w:tr>
        <w:trPr>
          <w:trHeight w:val="41"/>
        </w:trPr>
        <w:tc>
          <w:tcPr>
            <w:tcW w:w="320" w:type="dxa"/>
            <w:vAlign w:val="bottom"/>
          </w:tcPr>
          <w:p>
            <w:pPr>
              <w:ind w:left="80"/>
              <w:spacing w:after="0"/>
              <w:rPr>
                <w:sz w:val="20"/>
                <w:szCs w:val="20"/>
                <w:color w:val="auto"/>
              </w:rPr>
            </w:pPr>
            <w:r>
              <w:rPr>
                <w:rFonts w:ascii="Arial" w:cs="Arial" w:eastAsia="Arial" w:hAnsi="Arial"/>
                <w:sz w:val="3"/>
                <w:szCs w:val="3"/>
                <w:color w:val="FFFFFF"/>
              </w:rPr>
              <w:t>8</w:t>
            </w: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41"/>
        </w:trPr>
        <w:tc>
          <w:tcPr>
            <w:tcW w:w="320" w:type="dxa"/>
            <w:vAlign w:val="bottom"/>
          </w:tcPr>
          <w:p>
            <w:pPr>
              <w:ind w:left="80"/>
              <w:spacing w:after="0"/>
              <w:rPr>
                <w:sz w:val="20"/>
                <w:szCs w:val="20"/>
                <w:color w:val="auto"/>
              </w:rPr>
            </w:pPr>
            <w:r>
              <w:rPr>
                <w:rFonts w:ascii="Arial" w:cs="Arial" w:eastAsia="Arial" w:hAnsi="Arial"/>
                <w:sz w:val="3"/>
                <w:szCs w:val="3"/>
                <w:color w:val="FFFFFF"/>
              </w:rPr>
              <w:t>6</w:t>
            </w: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41"/>
        </w:trPr>
        <w:tc>
          <w:tcPr>
            <w:tcW w:w="320" w:type="dxa"/>
            <w:vAlign w:val="bottom"/>
          </w:tcPr>
          <w:p>
            <w:pPr>
              <w:ind w:left="80"/>
              <w:spacing w:after="0"/>
              <w:rPr>
                <w:sz w:val="20"/>
                <w:szCs w:val="20"/>
                <w:color w:val="auto"/>
              </w:rPr>
            </w:pPr>
            <w:r>
              <w:rPr>
                <w:rFonts w:ascii="Arial" w:cs="Arial" w:eastAsia="Arial" w:hAnsi="Arial"/>
                <w:sz w:val="3"/>
                <w:szCs w:val="3"/>
                <w:color w:val="FFFFFF"/>
              </w:rPr>
              <w:t>4</w:t>
            </w: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0"/>
        </w:trPr>
        <w:tc>
          <w:tcPr>
            <w:tcW w:w="620" w:type="dxa"/>
            <w:vAlign w:val="bottom"/>
            <w:gridSpan w:val="2"/>
          </w:tcPr>
          <w:p>
            <w:pPr>
              <w:ind w:left="80"/>
              <w:spacing w:after="0"/>
              <w:rPr>
                <w:sz w:val="20"/>
                <w:szCs w:val="20"/>
                <w:color w:val="auto"/>
              </w:rPr>
            </w:pPr>
            <w:r>
              <w:rPr>
                <w:rFonts w:ascii="Arial" w:cs="Arial" w:eastAsia="Arial" w:hAnsi="Arial"/>
                <w:sz w:val="3"/>
                <w:szCs w:val="3"/>
                <w:color w:val="FFFFFF"/>
              </w:rPr>
              <w:t>2,000,000</w:t>
            </w:r>
          </w:p>
        </w:tc>
        <w:tc>
          <w:tcPr>
            <w:tcW w:w="440" w:type="dxa"/>
            <w:vAlign w:val="bottom"/>
          </w:tcPr>
          <w:p>
            <w:pPr>
              <w:spacing w:after="0" w:line="20" w:lineRule="exact"/>
              <w:rPr>
                <w:sz w:val="1"/>
                <w:szCs w:val="1"/>
                <w:color w:val="auto"/>
              </w:rPr>
            </w:pPr>
          </w:p>
        </w:tc>
      </w:tr>
    </w:tbl>
    <w:p>
      <w:pPr>
        <w:ind w:left="80"/>
        <w:spacing w:after="0" w:line="217" w:lineRule="auto"/>
        <w:rPr>
          <w:sz w:val="20"/>
          <w:szCs w:val="20"/>
          <w:color w:val="auto"/>
        </w:rPr>
      </w:pPr>
      <w:r>
        <w:rPr>
          <w:rFonts w:ascii="Arial" w:cs="Arial" w:eastAsia="Arial" w:hAnsi="Arial"/>
          <w:sz w:val="2"/>
          <w:szCs w:val="2"/>
          <w:color w:val="FFFFFF"/>
        </w:rPr>
        <w:t>-$</w:t>
      </w:r>
      <w:r>
        <w:rPr>
          <w:rFonts w:ascii="Arial" w:cs="Arial" w:eastAsia="Arial" w:hAnsi="Arial"/>
          <w:sz w:val="4"/>
          <w:szCs w:val="4"/>
          <w:color w:val="FFFFFF"/>
          <w:vertAlign w:val="subscript"/>
        </w:rPr>
        <w:t>283</w:t>
      </w:r>
      <w:r>
        <w:rPr>
          <w:rFonts w:ascii="Arial" w:cs="Arial" w:eastAsia="Arial" w:hAnsi="Arial"/>
          <w:sz w:val="2"/>
          <w:szCs w:val="2"/>
          <w:color w:val="FFFFFF"/>
        </w:rPr>
        <w:t>7,053,300</w:t>
      </w:r>
      <w:r>
        <w:rPr>
          <w:rFonts w:ascii="Arial" w:cs="Arial" w:eastAsia="Arial" w:hAnsi="Arial"/>
          <w:sz w:val="4"/>
          <w:szCs w:val="4"/>
          <w:color w:val="FFFFFF"/>
          <w:vertAlign w:val="subscript"/>
        </w:rPr>
        <w:t>1</w:t>
      </w:r>
    </w:p>
    <w:p>
      <w:pPr>
        <w:spacing w:after="0" w:line="188" w:lineRule="auto"/>
        <w:rPr>
          <w:sz w:val="20"/>
          <w:szCs w:val="20"/>
          <w:color w:val="auto"/>
        </w:rPr>
      </w:pPr>
      <w:r>
        <w:rPr>
          <w:rFonts w:ascii="Arial" w:cs="Arial" w:eastAsia="Arial" w:hAnsi="Arial"/>
          <w:sz w:val="9"/>
          <w:szCs w:val="9"/>
          <w:color w:val="FFFFFF"/>
        </w:rPr>
        <w:t>$8,814,10079689</w:t>
      </w:r>
    </w:p>
    <w:p>
      <w:pPr>
        <w:spacing w:after="0"/>
        <w:rPr>
          <w:sz w:val="20"/>
          <w:szCs w:val="20"/>
          <w:color w:val="auto"/>
        </w:rPr>
      </w:pPr>
      <w:r>
        <w:rPr>
          <w:rFonts w:ascii="Arial" w:cs="Arial" w:eastAsia="Arial" w:hAnsi="Arial"/>
          <w:sz w:val="12"/>
          <w:szCs w:val="12"/>
          <w:color w:val="FFFFFF"/>
        </w:rPr>
        <w:t>FYE02 FYE03 FYE04 FYE05</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4"/>
          </w:tcPr>
          <w:p>
            <w:pPr>
              <w:spacing w:after="0"/>
              <w:rPr>
                <w:sz w:val="20"/>
                <w:szCs w:val="20"/>
                <w:color w:val="auto"/>
              </w:rPr>
            </w:pPr>
            <w:r>
              <w:rPr>
                <w:rFonts w:ascii="Arial" w:cs="Arial" w:eastAsia="Arial" w:hAnsi="Arial"/>
                <w:sz w:val="14"/>
                <w:szCs w:val="14"/>
                <w:color w:val="FFFFFF"/>
                <w:w w:val="99"/>
              </w:rPr>
              <w:t>Customer Sales by Channel</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Re</w:t>
            </w:r>
          </w:p>
        </w:tc>
        <w:tc>
          <w:tcPr>
            <w:tcW w:w="1100" w:type="dxa"/>
            <w:vAlign w:val="bottom"/>
            <w:gridSpan w:val="2"/>
          </w:tcPr>
          <w:p>
            <w:pPr>
              <w:ind w:left="60"/>
              <w:spacing w:after="0"/>
              <w:rPr>
                <w:sz w:val="20"/>
                <w:szCs w:val="20"/>
                <w:color w:val="auto"/>
              </w:rPr>
            </w:pPr>
            <w:r>
              <w:rPr>
                <w:rFonts w:ascii="Arial" w:cs="Arial" w:eastAsia="Arial" w:hAnsi="Arial"/>
                <w:sz w:val="3"/>
                <w:szCs w:val="3"/>
                <w:color w:val="FFFFFF"/>
              </w:rPr>
              <w:t>il Only $155.46</w:t>
            </w: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gridSpan w:val="3"/>
          </w:tcPr>
          <w:p>
            <w:pPr>
              <w:spacing w:after="0"/>
              <w:rPr>
                <w:sz w:val="20"/>
                <w:szCs w:val="20"/>
                <w:color w:val="auto"/>
              </w:rPr>
            </w:pPr>
            <w:r>
              <w:rPr>
                <w:rFonts w:ascii="Arial" w:cs="Arial" w:eastAsia="Arial" w:hAnsi="Arial"/>
                <w:sz w:val="3"/>
                <w:szCs w:val="3"/>
                <w:color w:val="FFFFFF"/>
              </w:rPr>
              <w:t>Catalog Only $190.</w:t>
            </w: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 w:type="dxa"/>
            <w:vAlign w:val="bottom"/>
            <w:gridSpan w:val="2"/>
          </w:tcPr>
          <w:p>
            <w:pPr>
              <w:spacing w:after="0"/>
              <w:rPr>
                <w:sz w:val="20"/>
                <w:szCs w:val="20"/>
                <w:color w:val="auto"/>
              </w:rPr>
            </w:pPr>
            <w:r>
              <w:rPr>
                <w:rFonts w:ascii="Arial" w:cs="Arial" w:eastAsia="Arial" w:hAnsi="Arial"/>
                <w:sz w:val="3"/>
                <w:szCs w:val="3"/>
                <w:color w:val="FFFFFF"/>
              </w:rPr>
              <w:t>E-commerce Only</w:t>
            </w:r>
          </w:p>
        </w:tc>
        <w:tc>
          <w:tcPr>
            <w:tcW w:w="740" w:type="dxa"/>
            <w:vAlign w:val="bottom"/>
            <w:gridSpan w:val="2"/>
          </w:tcPr>
          <w:p>
            <w:pPr>
              <w:jc w:val="right"/>
              <w:ind w:right="235"/>
              <w:spacing w:after="0"/>
              <w:rPr>
                <w:sz w:val="20"/>
                <w:szCs w:val="20"/>
                <w:color w:val="auto"/>
              </w:rPr>
            </w:pPr>
            <w:r>
              <w:rPr>
                <w:rFonts w:ascii="Arial" w:cs="Arial" w:eastAsia="Arial" w:hAnsi="Arial"/>
                <w:sz w:val="3"/>
                <w:szCs w:val="3"/>
                <w:color w:val="FFFFFF"/>
              </w:rPr>
              <w:t>$161.74</w:t>
            </w:r>
          </w:p>
        </w:tc>
        <w:tc>
          <w:tcPr>
            <w:tcW w:w="0" w:type="dxa"/>
            <w:vAlign w:val="bottom"/>
          </w:tcPr>
          <w:p>
            <w:pPr>
              <w:spacing w:after="0"/>
              <w:rPr>
                <w:sz w:val="1"/>
                <w:szCs w:val="1"/>
                <w:color w:val="auto"/>
              </w:rPr>
            </w:pPr>
          </w:p>
        </w:tc>
      </w:tr>
      <w:tr>
        <w:trPr>
          <w:trHeight w:val="41"/>
        </w:trPr>
        <w:tc>
          <w:tcPr>
            <w:tcW w:w="200" w:type="dxa"/>
            <w:vAlign w:val="bottom"/>
            <w:vMerge w:val="restart"/>
          </w:tcPr>
          <w:p>
            <w:pPr>
              <w:spacing w:after="0" w:line="81" w:lineRule="exact"/>
              <w:rPr>
                <w:sz w:val="20"/>
                <w:szCs w:val="20"/>
                <w:color w:val="auto"/>
              </w:rPr>
            </w:pPr>
            <w:r>
              <w:rPr>
                <w:rFonts w:ascii="Arial" w:cs="Arial" w:eastAsia="Arial" w:hAnsi="Arial"/>
                <w:sz w:val="9"/>
                <w:szCs w:val="9"/>
                <w:color w:val="FFFFFF"/>
              </w:rPr>
              <w:t>Re</w:t>
            </w:r>
          </w:p>
        </w:tc>
        <w:tc>
          <w:tcPr>
            <w:tcW w:w="1560" w:type="dxa"/>
            <w:vAlign w:val="bottom"/>
            <w:gridSpan w:val="3"/>
          </w:tcPr>
          <w:p>
            <w:pPr>
              <w:ind w:left="300"/>
              <w:spacing w:after="0"/>
              <w:rPr>
                <w:sz w:val="20"/>
                <w:szCs w:val="20"/>
                <w:color w:val="auto"/>
              </w:rPr>
            </w:pPr>
            <w:r>
              <w:rPr>
                <w:rFonts w:ascii="Arial" w:cs="Arial" w:eastAsia="Arial" w:hAnsi="Arial"/>
                <w:sz w:val="3"/>
                <w:szCs w:val="3"/>
                <w:color w:val="FFFFFF"/>
              </w:rPr>
              <w:t>Catalog $429.60</w:t>
            </w:r>
          </w:p>
        </w:tc>
        <w:tc>
          <w:tcPr>
            <w:tcW w:w="0" w:type="dxa"/>
            <w:vAlign w:val="bottom"/>
          </w:tcPr>
          <w:p>
            <w:pPr>
              <w:spacing w:after="0"/>
              <w:rPr>
                <w:sz w:val="1"/>
                <w:szCs w:val="1"/>
                <w:color w:val="auto"/>
              </w:rPr>
            </w:pPr>
          </w:p>
        </w:tc>
      </w:tr>
      <w:tr>
        <w:trPr>
          <w:trHeight w:val="41"/>
        </w:trPr>
        <w:tc>
          <w:tcPr>
            <w:tcW w:w="200" w:type="dxa"/>
            <w:vAlign w:val="bottom"/>
            <w:vMerge w:val="continue"/>
          </w:tcPr>
          <w:p>
            <w:pPr>
              <w:spacing w:after="0"/>
              <w:rPr>
                <w:sz w:val="3"/>
                <w:szCs w:val="3"/>
                <w:color w:val="auto"/>
              </w:rPr>
            </w:pPr>
          </w:p>
        </w:tc>
        <w:tc>
          <w:tcPr>
            <w:tcW w:w="820" w:type="dxa"/>
            <w:vAlign w:val="bottom"/>
          </w:tcPr>
          <w:p>
            <w:pPr>
              <w:ind w:left="60"/>
              <w:spacing w:after="0"/>
              <w:rPr>
                <w:sz w:val="20"/>
                <w:szCs w:val="20"/>
                <w:color w:val="auto"/>
              </w:rPr>
            </w:pPr>
            <w:r>
              <w:rPr>
                <w:rFonts w:ascii="Arial" w:cs="Arial" w:eastAsia="Arial" w:hAnsi="Arial"/>
                <w:sz w:val="3"/>
                <w:szCs w:val="3"/>
                <w:color w:val="FFFFFF"/>
              </w:rPr>
              <w:t>il &amp; E-</w:t>
            </w:r>
          </w:p>
        </w:tc>
        <w:tc>
          <w:tcPr>
            <w:tcW w:w="740" w:type="dxa"/>
            <w:vAlign w:val="bottom"/>
            <w:gridSpan w:val="2"/>
          </w:tcPr>
          <w:p>
            <w:pPr>
              <w:jc w:val="right"/>
              <w:ind w:right="55"/>
              <w:spacing w:after="0"/>
              <w:rPr>
                <w:sz w:val="20"/>
                <w:szCs w:val="20"/>
                <w:color w:val="auto"/>
              </w:rPr>
            </w:pPr>
            <w:r>
              <w:rPr>
                <w:rFonts w:ascii="Arial" w:cs="Arial" w:eastAsia="Arial" w:hAnsi="Arial"/>
                <w:sz w:val="3"/>
                <w:szCs w:val="3"/>
                <w:color w:val="FFFFFF"/>
              </w:rPr>
              <w:t>$450.19</w:t>
            </w:r>
          </w:p>
        </w:tc>
        <w:tc>
          <w:tcPr>
            <w:tcW w:w="0" w:type="dxa"/>
            <w:vAlign w:val="bottom"/>
          </w:tcPr>
          <w:p>
            <w:pPr>
              <w:spacing w:after="0"/>
              <w:rPr>
                <w:sz w:val="1"/>
                <w:szCs w:val="1"/>
                <w:color w:val="auto"/>
              </w:rPr>
            </w:pPr>
          </w:p>
        </w:tc>
      </w:tr>
      <w:tr>
        <w:trPr>
          <w:trHeight w:val="0"/>
        </w:trPr>
        <w:tc>
          <w:tcPr>
            <w:tcW w:w="200" w:type="dxa"/>
            <w:vAlign w:val="bottom"/>
          </w:tcPr>
          <w:p>
            <w:pPr>
              <w:spacing w:after="0" w:line="80" w:lineRule="exact"/>
              <w:rPr>
                <w:sz w:val="20"/>
                <w:szCs w:val="20"/>
                <w:color w:val="auto"/>
              </w:rPr>
            </w:pPr>
            <w:r>
              <w:rPr>
                <w:rFonts w:ascii="Arial" w:cs="Arial" w:eastAsia="Arial" w:hAnsi="Arial"/>
                <w:sz w:val="9"/>
                <w:szCs w:val="9"/>
                <w:color w:val="FFFFFF"/>
              </w:rPr>
              <w:t>Ca</w:t>
            </w:r>
          </w:p>
        </w:tc>
        <w:tc>
          <w:tcPr>
            <w:tcW w:w="1100" w:type="dxa"/>
            <w:vAlign w:val="bottom"/>
            <w:gridSpan w:val="2"/>
          </w:tcPr>
          <w:p>
            <w:pPr>
              <w:ind w:left="60"/>
              <w:spacing w:after="0" w:line="80" w:lineRule="exact"/>
              <w:rPr>
                <w:sz w:val="20"/>
                <w:szCs w:val="20"/>
                <w:color w:val="auto"/>
              </w:rPr>
            </w:pPr>
            <w:r>
              <w:rPr>
                <w:rFonts w:ascii="Arial" w:cs="Arial" w:eastAsia="Arial" w:hAnsi="Arial"/>
                <w:sz w:val="9"/>
                <w:szCs w:val="9"/>
                <w:color w:val="FFFFFF"/>
              </w:rPr>
              <w:t>log &amp; Ecommerce-</w:t>
            </w:r>
          </w:p>
        </w:tc>
        <w:tc>
          <w:tcPr>
            <w:tcW w:w="460" w:type="dxa"/>
            <w:vAlign w:val="bottom"/>
          </w:tcPr>
          <w:p>
            <w:pPr>
              <w:jc w:val="right"/>
              <w:spacing w:after="0" w:line="80" w:lineRule="exact"/>
              <w:rPr>
                <w:sz w:val="20"/>
                <w:szCs w:val="20"/>
                <w:color w:val="auto"/>
              </w:rPr>
            </w:pPr>
            <w:r>
              <w:rPr>
                <w:rFonts w:ascii="Arial" w:cs="Arial" w:eastAsia="Arial" w:hAnsi="Arial"/>
                <w:sz w:val="9"/>
                <w:szCs w:val="9"/>
                <w:color w:val="FFFFFF"/>
              </w:rPr>
              <w:t>$443.78</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Retail &amp; Catalog &amp; E-commerce $706.62</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10"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tcPr>
          <w:p>
            <w:pPr>
              <w:spacing w:after="0"/>
              <w:rPr>
                <w:sz w:val="20"/>
                <w:szCs w:val="20"/>
                <w:color w:val="auto"/>
              </w:rPr>
            </w:pPr>
            <w:r>
              <w:rPr>
                <w:rFonts w:ascii="Arial" w:cs="Arial" w:eastAsia="Arial" w:hAnsi="Arial"/>
                <w:sz w:val="14"/>
                <w:szCs w:val="14"/>
                <w:color w:val="FFFFFF"/>
              </w:rPr>
              <w:t>Recent Ca alog Performance</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FFFFFF"/>
                <w:w w:val="85"/>
              </w:rPr>
              <w:t>$1,200,000</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FFFFFF"/>
                <w:w w:val="85"/>
              </w:rPr>
              <w:t>$1,000,000</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FFFFFF"/>
                <w:w w:val="85"/>
              </w:rPr>
              <w:t>$800,000</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FFFFFF"/>
                <w:w w:val="85"/>
              </w:rPr>
              <w:t>$600,000</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FFFFFF"/>
                <w:w w:val="88"/>
              </w:rPr>
              <w:t>$400,000</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FFFFFF"/>
                <w:w w:val="88"/>
              </w:rPr>
              <w:t>$200,000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FFFFFF"/>
                <w:w w:val="89"/>
              </w:rPr>
              <w:t>$0</w:t>
            </w:r>
          </w:p>
        </w:tc>
        <w:tc>
          <w:tcPr>
            <w:tcW w:w="0" w:type="dxa"/>
            <w:vAlign w:val="bottom"/>
          </w:tcPr>
          <w:p>
            <w:pPr>
              <w:spacing w:after="0"/>
              <w:rPr>
                <w:sz w:val="1"/>
                <w:szCs w:val="1"/>
                <w:color w:val="auto"/>
              </w:rPr>
            </w:pPr>
          </w:p>
        </w:tc>
      </w:tr>
      <w:tr>
        <w:trPr>
          <w:trHeight w:val="41"/>
        </w:trPr>
        <w:tc>
          <w:tcPr>
            <w:tcW w:w="2580" w:type="dxa"/>
            <w:vAlign w:val="bottom"/>
            <w:gridSpan w:val="2"/>
          </w:tcPr>
          <w:p>
            <w:pPr>
              <w:spacing w:after="0"/>
              <w:rPr>
                <w:sz w:val="20"/>
                <w:szCs w:val="20"/>
                <w:color w:val="auto"/>
              </w:rPr>
            </w:pPr>
            <w:r>
              <w:rPr>
                <w:rFonts w:ascii="Arial" w:cs="Arial" w:eastAsia="Arial" w:hAnsi="Arial"/>
                <w:sz w:val="3"/>
                <w:szCs w:val="3"/>
                <w:color w:val="FFFFFF"/>
              </w:rPr>
              <w:t>Demand$ through Catalog Channel $1,400,000</w:t>
            </w:r>
          </w:p>
        </w:tc>
        <w:tc>
          <w:tcPr>
            <w:tcW w:w="6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980" w:type="dxa"/>
            <w:vAlign w:val="bottom"/>
          </w:tcPr>
          <w:p>
            <w:pPr>
              <w:ind w:left="80"/>
              <w:spacing w:after="0" w:line="81" w:lineRule="exact"/>
              <w:rPr>
                <w:sz w:val="20"/>
                <w:szCs w:val="20"/>
                <w:color w:val="auto"/>
              </w:rPr>
            </w:pPr>
            <w:r>
              <w:rPr>
                <w:rFonts w:ascii="Arial" w:cs="Arial" w:eastAsia="Arial" w:hAnsi="Arial"/>
                <w:sz w:val="9"/>
                <w:szCs w:val="9"/>
                <w:color w:val="FFFFFF"/>
                <w:vertAlign w:val="subscript"/>
              </w:rPr>
              <w:t>27%</w:t>
            </w:r>
            <w:r>
              <w:rPr>
                <w:rFonts w:ascii="Arial" w:cs="Arial" w:eastAsia="Arial" w:hAnsi="Arial"/>
                <w:sz w:val="7"/>
                <w:szCs w:val="7"/>
                <w:color w:val="FFFFFF"/>
              </w:rPr>
              <w:t>70%</w:t>
            </w:r>
          </w:p>
        </w:tc>
        <w:tc>
          <w:tcPr>
            <w:tcW w:w="1600" w:type="dxa"/>
            <w:vAlign w:val="bottom"/>
          </w:tcPr>
          <w:p>
            <w:pPr>
              <w:ind w:left="40"/>
              <w:spacing w:after="0" w:line="81" w:lineRule="exact"/>
              <w:rPr>
                <w:sz w:val="20"/>
                <w:szCs w:val="20"/>
                <w:color w:val="auto"/>
              </w:rPr>
            </w:pPr>
            <w:r>
              <w:rPr>
                <w:rFonts w:ascii="Arial" w:cs="Arial" w:eastAsia="Arial" w:hAnsi="Arial"/>
                <w:sz w:val="9"/>
                <w:szCs w:val="9"/>
                <w:color w:val="FFFFFF"/>
              </w:rPr>
              <w:t>12%</w:t>
            </w: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980" w:type="dxa"/>
            <w:vAlign w:val="bottom"/>
          </w:tcPr>
          <w:p>
            <w:pPr>
              <w:ind w:left="80"/>
              <w:spacing w:after="0"/>
              <w:rPr>
                <w:sz w:val="20"/>
                <w:szCs w:val="20"/>
                <w:color w:val="auto"/>
              </w:rPr>
            </w:pPr>
            <w:r>
              <w:rPr>
                <w:rFonts w:ascii="Arial" w:cs="Arial" w:eastAsia="Arial" w:hAnsi="Arial"/>
                <w:sz w:val="3"/>
                <w:szCs w:val="3"/>
                <w:color w:val="FFFFFF"/>
              </w:rPr>
              <w:t>49%</w:t>
            </w:r>
          </w:p>
        </w:tc>
        <w:tc>
          <w:tcPr>
            <w:tcW w:w="1600" w:type="dxa"/>
            <w:vAlign w:val="bottom"/>
          </w:tcPr>
          <w:p>
            <w:pPr>
              <w:ind w:left="40"/>
              <w:spacing w:after="0"/>
              <w:rPr>
                <w:sz w:val="20"/>
                <w:szCs w:val="20"/>
                <w:color w:val="auto"/>
              </w:rPr>
            </w:pPr>
            <w:r>
              <w:rPr>
                <w:rFonts w:ascii="Arial" w:cs="Arial" w:eastAsia="Arial" w:hAnsi="Arial"/>
                <w:sz w:val="3"/>
                <w:szCs w:val="3"/>
                <w:color w:val="FFFFFF"/>
              </w:rPr>
              <w:t>5</w:t>
            </w: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80" w:type="dxa"/>
            <w:vAlign w:val="bottom"/>
            <w:gridSpan w:val="2"/>
          </w:tcPr>
          <w:p>
            <w:pPr>
              <w:spacing w:after="0"/>
              <w:rPr>
                <w:sz w:val="20"/>
                <w:szCs w:val="20"/>
                <w:color w:val="auto"/>
              </w:rPr>
            </w:pPr>
            <w:r>
              <w:rPr>
                <w:rFonts w:ascii="Arial" w:cs="Arial" w:eastAsia="Arial" w:hAnsi="Arial"/>
                <w:sz w:val="3"/>
                <w:szCs w:val="3"/>
                <w:color w:val="FFFFFF"/>
              </w:rPr>
              <w:t>+31% over Plan, +14% over LY</w:t>
            </w: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980" w:type="dxa"/>
            <w:vAlign w:val="bottom"/>
          </w:tcPr>
          <w:p>
            <w:pPr>
              <w:spacing w:after="0"/>
              <w:rPr>
                <w:sz w:val="20"/>
                <w:szCs w:val="20"/>
                <w:color w:val="auto"/>
              </w:rPr>
            </w:pPr>
            <w:r>
              <w:rPr>
                <w:rFonts w:ascii="Arial" w:cs="Arial" w:eastAsia="Arial" w:hAnsi="Arial"/>
                <w:sz w:val="14"/>
                <w:szCs w:val="14"/>
                <w:color w:val="FFFFFF"/>
                <w:w w:val="89"/>
              </w:rPr>
              <w:t>Forecast Plan LY</w:t>
            </w:r>
          </w:p>
        </w:tc>
        <w:tc>
          <w:tcPr>
            <w:tcW w:w="1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CM PreSpring Drop 3</w:t>
      </w:r>
    </w:p>
    <w:p>
      <w:pPr>
        <w:ind w:left="640"/>
        <w:spacing w:after="0"/>
        <w:rPr>
          <w:sz w:val="20"/>
          <w:szCs w:val="20"/>
          <w:color w:val="auto"/>
        </w:rPr>
      </w:pPr>
      <w:r>
        <w:rPr>
          <w:rFonts w:ascii="Arial" w:cs="Arial" w:eastAsia="Arial" w:hAnsi="Arial"/>
          <w:sz w:val="14"/>
          <w:szCs w:val="14"/>
          <w:color w:val="FFFFFF"/>
        </w:rPr>
        <w:t>Drop 1 (excl retail catalogs)</w:t>
      </w:r>
    </w:p>
    <w:p>
      <w:pPr>
        <w:sectPr>
          <w:pgSz w:w="11900" w:h="16838" w:orient="portrait"/>
          <w:cols w:equalWidth="0" w:num="1">
            <w:col w:w="10219"/>
          </w:cols>
          <w:pgMar w:left="240" w:top="1440" w:right="1440" w:bottom="1440"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Rochester Big &amp; Tall Transaction</w:t>
      </w:r>
    </w:p>
    <w:p>
      <w:pPr>
        <w:spacing w:after="0" w:line="187" w:lineRule="auto"/>
        <w:rPr>
          <w:sz w:val="20"/>
          <w:szCs w:val="20"/>
          <w:color w:val="auto"/>
        </w:rPr>
      </w:pPr>
      <w:r>
        <w:rPr>
          <w:rFonts w:ascii="Arial" w:cs="Arial" w:eastAsia="Arial" w:hAnsi="Arial"/>
          <w:sz w:val="9"/>
          <w:szCs w:val="9"/>
          <w:color w:val="FFFFFF"/>
        </w:rPr>
        <w:t>Total21U.S.revenuestores;$165.0MinLondon</w:t>
      </w:r>
    </w:p>
    <w:p>
      <w:pPr>
        <w:ind w:left="480"/>
        <w:spacing w:after="0"/>
        <w:rPr>
          <w:sz w:val="20"/>
          <w:szCs w:val="20"/>
          <w:color w:val="auto"/>
        </w:rPr>
      </w:pPr>
      <w:r>
        <w:rPr>
          <w:rFonts w:ascii="Arial" w:cs="Arial" w:eastAsia="Arial" w:hAnsi="Arial"/>
          <w:sz w:val="3"/>
          <w:szCs w:val="3"/>
          <w:color w:val="FFFFFF"/>
        </w:rPr>
        <w:t>retailsales perpricestoreper $item2.3M$100vsCMvsCM$650,000$30</w:t>
      </w:r>
    </w:p>
    <w:p>
      <w:pPr>
        <w:ind w:left="100"/>
        <w:spacing w:after="0" w:line="181" w:lineRule="auto"/>
        <w:rPr>
          <w:sz w:val="20"/>
          <w:szCs w:val="20"/>
          <w:color w:val="auto"/>
        </w:rPr>
      </w:pPr>
      <w:r>
        <w:rPr>
          <w:rFonts w:ascii="Arial" w:cs="Arial" w:eastAsia="Arial" w:hAnsi="Arial"/>
          <w:sz w:val="10"/>
          <w:szCs w:val="10"/>
          <w:color w:val="FFFFFF"/>
          <w:vertAlign w:val="subscript"/>
        </w:rPr>
        <w:t>verage</w:t>
      </w:r>
      <w:r>
        <w:rPr>
          <w:rFonts w:ascii="Arial" w:cs="Arial" w:eastAsia="Arial" w:hAnsi="Arial"/>
          <w:sz w:val="7"/>
          <w:szCs w:val="7"/>
          <w:color w:val="FFFFFF"/>
        </w:rPr>
        <w:t xml:space="preserve"> transaction $400 vs CM $75</w:t>
      </w:r>
    </w:p>
    <w:p>
      <w:pPr>
        <w:spacing w:after="0" w:line="223" w:lineRule="auto"/>
        <w:rPr>
          <w:sz w:val="20"/>
          <w:szCs w:val="20"/>
          <w:color w:val="auto"/>
        </w:rPr>
      </w:pPr>
      <w:r>
        <w:rPr>
          <w:rFonts w:ascii="Arial" w:cs="Arial" w:eastAsia="Arial" w:hAnsi="Arial"/>
          <w:sz w:val="15"/>
          <w:szCs w:val="15"/>
          <w:color w:val="FFFFFF"/>
          <w:vertAlign w:val="subscript"/>
        </w:rPr>
        <w:t>Audited</w:t>
      </w:r>
      <w:r>
        <w:rPr>
          <w:rFonts w:ascii="Arial" w:cs="Arial" w:eastAsia="Arial" w:hAnsi="Arial"/>
          <w:sz w:val="9"/>
          <w:szCs w:val="9"/>
          <w:color w:val="FFFFFF"/>
        </w:rPr>
        <w:t xml:space="preserve"> EBIDTAstoresq. footageof$3.3M7,500sq. ft. vs CM 3,500 sq. ft</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FFFFFF"/>
        </w:rPr>
        <w:t>Benefits to CMRG</w:t>
      </w:r>
    </w:p>
    <w:p>
      <w:pPr>
        <w:spacing w:after="0" w:line="187" w:lineRule="auto"/>
        <w:rPr>
          <w:sz w:val="20"/>
          <w:szCs w:val="20"/>
          <w:color w:val="auto"/>
        </w:rPr>
      </w:pPr>
      <w:r>
        <w:rPr>
          <w:rFonts w:ascii="Arial" w:cs="Arial" w:eastAsia="Arial" w:hAnsi="Arial"/>
          <w:sz w:val="9"/>
          <w:szCs w:val="9"/>
          <w:color w:val="FFFFFF"/>
        </w:rPr>
        <w:t>NotCombinedaturn aroundentities –giveaccretiveCMRGto 65%earningsmarketin yearshareoneof specialty retail sector</w:t>
      </w:r>
    </w:p>
    <w:p>
      <w:pPr>
        <w:spacing w:after="0" w:line="212" w:lineRule="auto"/>
        <w:rPr>
          <w:sz w:val="20"/>
          <w:szCs w:val="20"/>
          <w:color w:val="auto"/>
        </w:rPr>
      </w:pPr>
      <w:r>
        <w:rPr>
          <w:rFonts w:ascii="Arial" w:cs="Arial" w:eastAsia="Arial" w:hAnsi="Arial"/>
          <w:sz w:val="8"/>
          <w:szCs w:val="8"/>
          <w:color w:val="FFFFFF"/>
        </w:rPr>
        <w:t>ComparableSynergieswillmultiincrease-channelgrossopportunitiesmargin,reducetoCasualoverheadMalecosts (warehouse, administration, insurance, etc.)</w:t>
      </w:r>
    </w:p>
    <w:p>
      <w:pPr>
        <w:spacing w:after="0"/>
        <w:rPr>
          <w:sz w:val="20"/>
          <w:szCs w:val="20"/>
          <w:color w:val="auto"/>
        </w:rPr>
      </w:pPr>
      <w:r>
        <w:rPr>
          <w:rFonts w:ascii="Arial" w:cs="Arial" w:eastAsia="Arial" w:hAnsi="Arial"/>
          <w:sz w:val="3"/>
          <w:szCs w:val="3"/>
          <w:color w:val="FFFFFF"/>
        </w:rPr>
        <w:t>StoreInternet/cataloggrowthopportunitiesover20%of sales in less than 3 years</w:t>
      </w:r>
    </w:p>
    <w:p>
      <w:pPr>
        <w:spacing w:after="0" w:line="181" w:lineRule="auto"/>
        <w:rPr>
          <w:sz w:val="20"/>
          <w:szCs w:val="20"/>
          <w:color w:val="auto"/>
        </w:rPr>
      </w:pPr>
      <w:r>
        <w:rPr>
          <w:rFonts w:ascii="Arial" w:cs="Arial" w:eastAsia="Arial" w:hAnsi="Arial"/>
          <w:sz w:val="10"/>
          <w:szCs w:val="10"/>
          <w:color w:val="FFFFFF"/>
        </w:rPr>
        <w:t>Underserved markets</w:t>
      </w:r>
    </w:p>
    <w:p>
      <w:pPr>
        <w:spacing w:after="0"/>
        <w:rPr>
          <w:sz w:val="20"/>
          <w:szCs w:val="20"/>
          <w:color w:val="auto"/>
        </w:rPr>
      </w:pPr>
      <w:r>
        <w:rPr>
          <w:rFonts w:ascii="Arial" w:cs="Arial" w:eastAsia="Arial" w:hAnsi="Arial"/>
          <w:sz w:val="14"/>
          <w:szCs w:val="14"/>
          <w:color w:val="FFFFFF"/>
        </w:rPr>
        <w:t>InternationalGrowthof5 –opportunities7stores/yr</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40"/>
        <w:spacing w:after="0"/>
        <w:rPr>
          <w:sz w:val="20"/>
          <w:szCs w:val="20"/>
          <w:color w:val="auto"/>
        </w:rPr>
      </w:pPr>
      <w:r>
        <w:rPr>
          <w:rFonts w:ascii="Arial" w:cs="Arial" w:eastAsia="Arial" w:hAnsi="Arial"/>
          <w:sz w:val="14"/>
          <w:szCs w:val="14"/>
          <w:color w:val="FFFFFF"/>
        </w:rPr>
        <w:t>Balance Sheet Refinancing</w:t>
      </w:r>
    </w:p>
    <w:p>
      <w:pPr>
        <w:ind w:right="6759" w:firstLine="248"/>
        <w:spacing w:after="0" w:line="187" w:lineRule="auto"/>
        <w:rPr>
          <w:sz w:val="20"/>
          <w:szCs w:val="20"/>
          <w:color w:val="auto"/>
        </w:rPr>
      </w:pPr>
      <w:r>
        <w:rPr>
          <w:rFonts w:ascii="Arial" w:cs="Arial" w:eastAsia="Arial" w:hAnsi="Arial"/>
          <w:sz w:val="10"/>
          <w:szCs w:val="10"/>
          <w:color w:val="FFFFFF"/>
        </w:rPr>
        <w:t>Post- RBT Acquisition and Levi</w:t>
      </w:r>
      <w:r>
        <w:rPr>
          <w:rFonts w:ascii="Arial" w:cs="Arial" w:eastAsia="Arial" w:hAnsi="Arial"/>
          <w:sz w:val="18"/>
          <w:szCs w:val="18"/>
          <w:color w:val="FFFFFF"/>
          <w:vertAlign w:val="superscript"/>
        </w:rPr>
        <w:t>’s and Ecko Sales 3rd Qtr, 2004</w:t>
      </w:r>
      <w:r>
        <w:rPr>
          <w:rFonts w:ascii="Arial" w:cs="Arial" w:eastAsia="Arial" w:hAnsi="Arial"/>
          <w:sz w:val="10"/>
          <w:szCs w:val="10"/>
          <w:color w:val="FFFFFF"/>
        </w:rPr>
        <w:t xml:space="preserve"> Sale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3"/>
          <w:szCs w:val="3"/>
          <w:color w:val="FFFFFF"/>
        </w:rPr>
        <w:t>BalanceAverage InterestDebtAnnualizedRateBalanceAverageInterestAverageRate Debt Annualized Average</w:t>
      </w:r>
    </w:p>
    <w:p>
      <w:pPr>
        <w:ind w:left="240"/>
        <w:spacing w:after="0" w:line="194" w:lineRule="auto"/>
        <w:tabs>
          <w:tab w:leader="none" w:pos="1760" w:val="left"/>
        </w:tabs>
        <w:rPr>
          <w:sz w:val="20"/>
          <w:szCs w:val="20"/>
          <w:color w:val="auto"/>
        </w:rPr>
      </w:pPr>
      <w:r>
        <w:rPr>
          <w:rFonts w:ascii="Arial" w:cs="Arial" w:eastAsia="Arial" w:hAnsi="Arial"/>
          <w:sz w:val="5"/>
          <w:szCs w:val="5"/>
          <w:color w:val="FFFFFF"/>
          <w:vertAlign w:val="superscript"/>
        </w:rPr>
        <w:t>9%</w:t>
      </w:r>
      <w:r>
        <w:rPr>
          <w:sz w:val="20"/>
          <w:szCs w:val="20"/>
          <w:color w:val="auto"/>
        </w:rPr>
        <w:tab/>
      </w:r>
      <w:r>
        <w:rPr>
          <w:rFonts w:ascii="Arial" w:cs="Arial" w:eastAsia="Arial" w:hAnsi="Arial"/>
          <w:sz w:val="5"/>
          <w:szCs w:val="5"/>
          <w:color w:val="FFFFFF"/>
          <w:vertAlign w:val="superscript"/>
        </w:rPr>
        <w:t>0%</w:t>
      </w:r>
    </w:p>
    <w:p>
      <w:pPr>
        <w:ind w:left="240"/>
        <w:spacing w:after="0" w:line="188" w:lineRule="auto"/>
        <w:rPr>
          <w:sz w:val="20"/>
          <w:szCs w:val="20"/>
          <w:color w:val="auto"/>
        </w:rPr>
      </w:pPr>
      <w:r>
        <w:rPr>
          <w:rFonts w:ascii="Arial" w:cs="Arial" w:eastAsia="Arial" w:hAnsi="Arial"/>
          <w:sz w:val="7"/>
          <w:szCs w:val="7"/>
          <w:color w:val="FFFFFF"/>
        </w:rPr>
        <w:t>5% Mortgagedue2007 $Note7.60 $$0.3810.</w:t>
      </w:r>
      <w:r>
        <w:rPr>
          <w:rFonts w:ascii="Arial" w:cs="Arial" w:eastAsia="Arial" w:hAnsi="Arial"/>
          <w:sz w:val="9"/>
          <w:szCs w:val="9"/>
          <w:color w:val="FFFFFF"/>
          <w:vertAlign w:val="superscript"/>
        </w:rPr>
        <w:t>10</w:t>
      </w:r>
      <w:r>
        <w:rPr>
          <w:rFonts w:ascii="Arial" w:cs="Arial" w:eastAsia="Arial" w:hAnsi="Arial"/>
          <w:sz w:val="7"/>
          <w:szCs w:val="7"/>
          <w:color w:val="FFFFFF"/>
        </w:rPr>
        <w:t>5.$  .91$7.609.0%$0.38$10.5.0%</w:t>
      </w:r>
      <w:r>
        <w:rPr>
          <w:rFonts w:ascii="Arial" w:cs="Arial" w:eastAsia="Arial" w:hAnsi="Arial"/>
          <w:sz w:val="9"/>
          <w:szCs w:val="9"/>
          <w:color w:val="FFFFFF"/>
          <w:vertAlign w:val="superscript"/>
        </w:rPr>
        <w:t>10</w:t>
      </w:r>
      <w:r>
        <w:rPr>
          <w:rFonts w:ascii="Arial" w:cs="Arial" w:eastAsia="Arial" w:hAnsi="Arial"/>
          <w:sz w:val="7"/>
          <w:szCs w:val="7"/>
          <w:color w:val="FFFFFF"/>
        </w:rPr>
        <w:t>$ 0.91 9.0%</w:t>
      </w:r>
    </w:p>
    <w:p>
      <w:pPr>
        <w:ind w:left="240"/>
        <w:spacing w:after="0" w:line="187" w:lineRule="auto"/>
        <w:rPr>
          <w:sz w:val="20"/>
          <w:szCs w:val="20"/>
          <w:color w:val="auto"/>
        </w:rPr>
      </w:pPr>
      <w:r>
        <w:rPr>
          <w:rFonts w:ascii="Arial" w:cs="Arial" w:eastAsia="Arial" w:hAnsi="Arial"/>
          <w:sz w:val="7"/>
          <w:szCs w:val="7"/>
          <w:color w:val="FFFFFF"/>
        </w:rPr>
        <w:t xml:space="preserve">TermCreditLoanFacility$- $$ -35.80$7.50$ </w:t>
      </w:r>
      <w:r>
        <w:rPr>
          <w:rFonts w:ascii="Arial" w:cs="Arial" w:eastAsia="Arial" w:hAnsi="Arial"/>
          <w:sz w:val="9"/>
          <w:szCs w:val="9"/>
          <w:color w:val="FFFFFF"/>
          <w:vertAlign w:val="subscript"/>
        </w:rPr>
        <w:t>100</w:t>
      </w:r>
      <w:r>
        <w:rPr>
          <w:rFonts w:ascii="Arial" w:cs="Arial" w:eastAsia="Arial" w:hAnsi="Arial"/>
          <w:sz w:val="7"/>
          <w:szCs w:val="7"/>
          <w:color w:val="FFFFFF"/>
        </w:rPr>
        <w:t>$.58.564.4%7.</w:t>
      </w:r>
      <w:r>
        <w:rPr>
          <w:rFonts w:ascii="Arial" w:cs="Arial" w:eastAsia="Arial" w:hAnsi="Arial"/>
          <w:sz w:val="9"/>
          <w:szCs w:val="9"/>
          <w:color w:val="FFFFFF"/>
          <w:vertAlign w:val="subscript"/>
        </w:rPr>
        <w:t>5%</w:t>
      </w:r>
      <w:r>
        <w:rPr>
          <w:rFonts w:ascii="Arial" w:cs="Arial" w:eastAsia="Arial" w:hAnsi="Arial"/>
          <w:sz w:val="7"/>
          <w:szCs w:val="7"/>
          <w:color w:val="FFFFFF"/>
        </w:rPr>
        <w:t>$ 20.00 $  .88 4.4%</w:t>
      </w:r>
    </w:p>
    <w:p>
      <w:pPr>
        <w:ind w:left="240"/>
        <w:spacing w:after="0"/>
        <w:rPr>
          <w:sz w:val="20"/>
          <w:szCs w:val="20"/>
          <w:color w:val="auto"/>
        </w:rPr>
      </w:pPr>
      <w:r>
        <w:rPr>
          <w:rFonts w:ascii="Arial" w:cs="Arial" w:eastAsia="Arial" w:hAnsi="Arial"/>
          <w:sz w:val="9"/>
          <w:szCs w:val="9"/>
          <w:color w:val="FFFFFF"/>
        </w:rPr>
        <w:t>$New153.50Sr.Sub.$7.86Convert.5.1%$$145.20.00$$7.73.005.3%5.0% $ 100.00 $ 5.00 5.0%</w:t>
      </w:r>
    </w:p>
    <w:p>
      <w:pPr>
        <w:sectPr>
          <w:pgSz w:w="11900" w:h="16838" w:orient="portrait"/>
          <w:cols w:equalWidth="0" w:num="1">
            <w:col w:w="10459"/>
          </w:cols>
          <w:pgMar w:left="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FFFFFF"/>
        </w:rPr>
        <w:t>Forward - Looking Statement</w:t>
      </w:r>
    </w:p>
    <w:p>
      <w:pPr>
        <w:spacing w:after="0"/>
        <w:rPr>
          <w:sz w:val="20"/>
          <w:szCs w:val="20"/>
          <w:color w:val="auto"/>
        </w:rPr>
      </w:pPr>
      <w:r>
        <w:rPr>
          <w:rFonts w:ascii="Arial" w:cs="Arial" w:eastAsia="Arial" w:hAnsi="Arial"/>
          <w:sz w:val="8"/>
          <w:szCs w:val="8"/>
          <w:color w:val="FFFFFF"/>
        </w:rPr>
        <w:t xml:space="preserve">Any remarks that we make today about future expectations, plans and prospects for Casual Male Retail Group, Inc. which are not historical facts, are forward-looking statements that involve risks and uncertainties. For a discussion of such risks and </w:t>
      </w:r>
      <w:r>
        <w:rPr>
          <w:rFonts w:ascii="Arial" w:cs="Arial" w:eastAsia="Arial" w:hAnsi="Arial"/>
          <w:sz w:val="12"/>
          <w:szCs w:val="12"/>
          <w:color w:val="FFFFFF"/>
          <w:vertAlign w:val="subscript"/>
        </w:rPr>
        <w:t>uncertainties,</w:t>
      </w:r>
      <w:r>
        <w:rPr>
          <w:rFonts w:ascii="Arial" w:cs="Arial" w:eastAsia="Arial" w:hAnsi="Arial"/>
          <w:sz w:val="8"/>
          <w:szCs w:val="8"/>
          <w:color w:val="FFFFFF"/>
        </w:rPr>
        <w:t xml:space="preserve"> which could cause the Company’s actual results to differ from those contained in the forward-looking statements, please read the section entitled “Forward-Looking Statements” in the Company’ most recent Form 10-K and Form 10-Q and the Form 8-K filed on April 14, 2004 with the Securities and Exchange Commission.</w:t>
      </w:r>
    </w:p>
    <w:p>
      <w:pPr>
        <w:sectPr>
          <w:pgSz w:w="11900" w:h="16838" w:orient="portrait"/>
          <w:cols w:equalWidth="0" w:num="1">
            <w:col w:w="11200"/>
          </w:cols>
          <w:pgMar w:left="240" w:top="1440" w:right="4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467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446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2"/>
          <w:szCs w:val="12"/>
          <w:color w:val="FFFFFF"/>
        </w:rPr>
        <w:t>Casual Male Retail Group 555 Turnpike Street Canton, MA 02021 (781) 828-9300 x 2004 clinsky@cmal.com</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2019-12-20T17:14:30Z</dcterms:created>
  <dcterms:modified xsi:type="dcterms:W3CDTF">2019-12-20T17:14:30Z</dcterms:modified>
</cp:coreProperties>
</file>