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March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825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411480"/>
                    </a:xfrm>
                    <a:prstGeom prst="rect">
                      <a:avLst/>
                    </a:prstGeom>
                    <a:noFill/>
                  </pic:spPr>
                </pic:pic>
              </a:graphicData>
            </a:graphic>
          </wp:anchor>
        </w:drawing>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3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41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1"/>
              </w:rPr>
              <w:t>Trading symbol(s)Name of each exchange on which registered</w:t>
            </w:r>
          </w:p>
        </w:tc>
      </w:tr>
      <w:tr>
        <w:trPr>
          <w:trHeight w:val="33"/>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2890" w:type="dxa"/>
            <w:vAlign w:val="bottom"/>
            <w:tcBorders>
              <w:bottom w:val="single" w:sz="8" w:color="auto"/>
              <w:right w:val="single" w:sz="8" w:color="auto"/>
            </w:tcBorders>
          </w:tcPr>
          <w:p>
            <w:pPr>
              <w:spacing w:after="0"/>
              <w:rPr>
                <w:sz w:val="2"/>
                <w:szCs w:val="2"/>
                <w:color w:val="auto"/>
              </w:rPr>
            </w:pPr>
          </w:p>
        </w:tc>
      </w:tr>
      <w:tr>
        <w:trPr>
          <w:trHeight w:val="200"/>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210" w:type="dxa"/>
            <w:vAlign w:val="bottom"/>
          </w:tcPr>
          <w:p>
            <w:pPr>
              <w:ind w:left="380"/>
              <w:spacing w:after="0"/>
              <w:rPr>
                <w:sz w:val="20"/>
                <w:szCs w:val="20"/>
                <w:color w:val="auto"/>
              </w:rPr>
            </w:pPr>
            <w:r>
              <w:rPr>
                <w:rFonts w:ascii="Arial" w:cs="Arial" w:eastAsia="Arial" w:hAnsi="Arial"/>
                <w:sz w:val="16"/>
                <w:szCs w:val="16"/>
                <w:color w:val="auto"/>
              </w:rPr>
              <w:t>DXLG</w:t>
            </w:r>
          </w:p>
        </w:tc>
        <w:tc>
          <w:tcPr>
            <w:tcW w:w="2890" w:type="dxa"/>
            <w:vAlign w:val="bottom"/>
            <w:tcBorders>
              <w:right w:val="single" w:sz="8" w:color="auto"/>
            </w:tcBorders>
          </w:tcPr>
          <w:p>
            <w:pPr>
              <w:ind w:left="470"/>
              <w:spacing w:after="0"/>
              <w:rPr>
                <w:sz w:val="20"/>
                <w:szCs w:val="20"/>
                <w:color w:val="auto"/>
              </w:rPr>
            </w:pPr>
            <w:r>
              <w:rPr>
                <w:rFonts w:ascii="Arial" w:cs="Arial" w:eastAsia="Arial" w:hAnsi="Arial"/>
                <w:sz w:val="16"/>
                <w:szCs w:val="16"/>
                <w:color w:val="auto"/>
              </w:rPr>
              <w:t>NASDAQ Stock Market LLC</w:t>
            </w:r>
          </w:p>
        </w:tc>
      </w:tr>
      <w:tr>
        <w:trPr>
          <w:trHeight w:val="64"/>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10" w:type="dxa"/>
            <w:vAlign w:val="bottom"/>
            <w:tcBorders>
              <w:bottom w:val="single" w:sz="8" w:color="auto"/>
            </w:tcBorders>
          </w:tcPr>
          <w:p>
            <w:pPr>
              <w:spacing w:after="0"/>
              <w:rPr>
                <w:sz w:val="5"/>
                <w:szCs w:val="5"/>
                <w:color w:val="auto"/>
              </w:rPr>
            </w:pPr>
          </w:p>
        </w:tc>
        <w:tc>
          <w:tcPr>
            <w:tcW w:w="289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607" w:right="499" w:bottom="1440" w:gutter="0" w:footer="0" w:header="0"/>
        </w:sectPr>
      </w:pPr>
    </w:p>
    <w:bookmarkStart w:id="1" w:name="page2"/>
    <w:bookmarkEnd w:id="1"/>
    <w:p>
      <w:pPr>
        <w:ind w:right="500"/>
        <w:spacing w:after="0" w:line="256" w:lineRule="auto"/>
        <w:rPr>
          <w:sz w:val="20"/>
          <w:szCs w:val="20"/>
          <w:color w:val="auto"/>
        </w:rPr>
      </w:pPr>
      <w:r>
        <w:rPr>
          <w:rFonts w:ascii="Arial" w:cs="Arial" w:eastAsia="Arial" w:hAnsi="Arial"/>
          <w:sz w:val="22"/>
          <w:szCs w:val="22"/>
          <w:b w:val="1"/>
          <w:bCs w:val="1"/>
          <w:color w:val="auto"/>
        </w:rPr>
        <w:t>Item 2.03 Creation of a Direct Financial Obligation or an Obligation under an Off-Balance Sheet Arrangement of a Registrant.</w:t>
      </w:r>
    </w:p>
    <w:p>
      <w:pPr>
        <w:spacing w:after="0" w:line="168" w:lineRule="exact"/>
        <w:rPr>
          <w:sz w:val="20"/>
          <w:szCs w:val="20"/>
          <w:color w:val="auto"/>
        </w:rPr>
      </w:pPr>
    </w:p>
    <w:p>
      <w:pPr>
        <w:jc w:val="both"/>
        <w:ind w:right="80"/>
        <w:spacing w:after="0" w:line="271" w:lineRule="auto"/>
        <w:rPr>
          <w:sz w:val="20"/>
          <w:szCs w:val="20"/>
          <w:color w:val="auto"/>
        </w:rPr>
      </w:pPr>
      <w:r>
        <w:rPr>
          <w:rFonts w:ascii="Arial" w:cs="Arial" w:eastAsia="Arial" w:hAnsi="Arial"/>
          <w:sz w:val="19"/>
          <w:szCs w:val="19"/>
          <w:color w:val="auto"/>
        </w:rPr>
        <w:t>As previously disclosed, Destination XL Group, Inc. (the “Company”) has a credit agreement, dated May 24, 2018 and as most recently amended September 5, 2019, with Bank of America, N.A., as agent (the “Credit Agreement”). The Credit Agreement provides for a secured $140.0 million credit facility, maturing May 24, 2023, and provides maximum committed borrowings of $125.0 million in revolver loans (the “Revolving Facility”). The material terms of the Credit Agreement are described in the</w:t>
      </w:r>
    </w:p>
    <w:p>
      <w:pPr>
        <w:spacing w:after="0" w:line="3" w:lineRule="exact"/>
        <w:rPr>
          <w:sz w:val="20"/>
          <w:szCs w:val="20"/>
          <w:color w:val="auto"/>
        </w:rPr>
      </w:pPr>
    </w:p>
    <w:p>
      <w:pPr>
        <w:ind w:right="20" w:firstLine="8"/>
        <w:spacing w:after="0" w:line="234" w:lineRule="auto"/>
        <w:tabs>
          <w:tab w:leader="none" w:pos="258"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“Liquidity and Capital Resources” section of the Company’s Form 10-K for the fiscal year ended February 1, 2020 filed with the Securities and Exchange Commission (the “SEC”) on March 19, 2020 and (ii) the Company’s Form 8-Ks filed with the SEC on May 30, 2018, June 6, 2019 and September 6, 2019.</w:t>
      </w:r>
    </w:p>
    <w:p>
      <w:pPr>
        <w:spacing w:after="0" w:line="187"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At February 1, 2020, the Company had outstanding borrowings under the Revolving Facility of $39.6 million. Unused excess availability at February 1, 2020 was $48.5 million.</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On March 20, 2020, the Company borrowed an additional $30.0 million under the Revolving Facility. The borrowings under the Revolving Facility are being held as cash on the Company's balance sheet.</w:t>
      </w:r>
    </w:p>
    <w:p>
      <w:pPr>
        <w:spacing w:after="0" w:line="175"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This borrowing under the Revolving Facility is a proactive measure in order to increase the Company’s cash position and preserve financial flexibility in light of current uncertainty in the global markets resulting from the coronavirus (COVID-19) outbreak. In accordance with the terms of the Credit Agreement, the proceeds from the borrowings may be used for working capital, capital expenditures 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28" w:right="4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5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780" w:val="left"/>
          <w:tab w:leader="none" w:pos="80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March 23, 2020</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6985</wp:posOffset>
            </wp:positionV>
            <wp:extent cx="2948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jc w:val="center"/>
        <w:ind w:left="6540"/>
        <w:spacing w:after="0"/>
        <w:rPr>
          <w:sz w:val="20"/>
          <w:szCs w:val="20"/>
          <w:color w:val="auto"/>
        </w:rPr>
      </w:pPr>
      <w:r>
        <w:rPr>
          <w:rFonts w:ascii="Arial" w:cs="Arial" w:eastAsia="Arial" w:hAnsi="Arial"/>
          <w:sz w:val="14"/>
          <w:szCs w:val="14"/>
          <w:b w:val="1"/>
          <w:bCs w:val="1"/>
          <w:color w:val="auto"/>
        </w:rPr>
        <w:t>Robert S. Molloy</w:t>
      </w:r>
    </w:p>
    <w:p>
      <w:pPr>
        <w:jc w:val="center"/>
        <w:ind w:left="6540"/>
        <w:spacing w:after="0"/>
        <w:rPr>
          <w:sz w:val="20"/>
          <w:szCs w:val="20"/>
          <w:color w:val="auto"/>
        </w:rPr>
      </w:pPr>
      <w:r>
        <w:rPr>
          <w:rFonts w:ascii="Arial" w:cs="Arial" w:eastAsia="Arial" w:hAnsi="Arial"/>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2020-03-23T15:31:53Z</dcterms:created>
  <dcterms:modified xsi:type="dcterms:W3CDTF">2020-03-23T15:31:53Z</dcterms:modified>
</cp:coreProperties>
</file>