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17, 2022</w:t>
      </w:r>
    </w:p>
    <w:p>
      <w:pPr>
        <w:spacing w:after="0" w:line="2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STATEMENT UNDER THE SECURITIES ACT OF 1933</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390"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220" w:space="720"/>
            <w:col w:w="3300"/>
          </w:cols>
          <w:pgMar w:left="320" w:top="225" w:right="339" w:bottom="1440" w:gutter="0" w:footer="0" w:header="0"/>
          <w:type w:val="continuous"/>
        </w:sectPr>
      </w:pPr>
    </w:p>
    <w:p>
      <w:pPr>
        <w:spacing w:after="0" w:line="31"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2720" w:type="dxa"/>
            <w:vAlign w:val="bottom"/>
          </w:tcPr>
          <w:p>
            <w:pPr>
              <w:spacing w:after="0"/>
              <w:rPr>
                <w:sz w:val="17"/>
                <w:szCs w:val="17"/>
                <w:color w:val="auto"/>
              </w:rPr>
            </w:pPr>
          </w:p>
        </w:tc>
      </w:tr>
      <w:tr>
        <w:trPr>
          <w:trHeight w:val="232"/>
        </w:trPr>
        <w:tc>
          <w:tcPr>
            <w:tcW w:w="422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Canton, MA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w:t>
      </w:r>
    </w:p>
    <w:p>
      <w:pPr>
        <w:spacing w:after="0" w:line="32" w:lineRule="exact"/>
        <w:rPr>
          <w:sz w:val="24"/>
          <w:szCs w:val="24"/>
          <w:color w:val="auto"/>
        </w:rPr>
      </w:pPr>
    </w:p>
    <w:p>
      <w:pPr>
        <w:ind w:left="4720" w:right="2820" w:hanging="4712"/>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STAND-ALONE INDUCEMENT RESTRICTED STOCK UNIT AWARD AGREEMENTS </w:t>
      </w:r>
      <w:r>
        <w:rPr>
          <w:rFonts w:ascii="Times New Roman" w:cs="Times New Roman" w:eastAsia="Times New Roman" w:hAnsi="Times New Roman"/>
          <w:sz w:val="22"/>
          <w:szCs w:val="22"/>
          <w:color w:val="auto"/>
        </w:rPr>
        <w:t>(Full title of the plan)</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Robert S. Molloy</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Counsel and Secretary</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Destination XL Group, Inc.</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555 Turnpike Street</w:t>
      </w:r>
    </w:p>
    <w:p>
      <w:pPr>
        <w:jc w:val="center"/>
        <w:spacing w:after="0"/>
        <w:rPr>
          <w:sz w:val="20"/>
          <w:szCs w:val="20"/>
          <w:color w:val="auto"/>
        </w:rPr>
      </w:pPr>
      <w:r>
        <w:rPr>
          <w:rFonts w:ascii="Times New Roman" w:cs="Times New Roman" w:eastAsia="Times New Roman" w:hAnsi="Times New Roman"/>
          <w:sz w:val="22"/>
          <w:szCs w:val="22"/>
          <w:b w:val="1"/>
          <w:bCs w:val="1"/>
          <w:color w:val="auto"/>
        </w:rPr>
        <w:t>Canton, Massachusetts 02021</w:t>
      </w:r>
    </w:p>
    <w:p>
      <w:pPr>
        <w:spacing w:after="0" w:line="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and address of agent for service)</w:t>
      </w:r>
    </w:p>
    <w:p>
      <w:pPr>
        <w:spacing w:after="0" w:line="17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(781) 828−9300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(Telephone number, including area code, of agent for service)</w:t>
      </w:r>
    </w:p>
    <w:p>
      <w:pPr>
        <w:spacing w:after="0" w:line="182"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2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00"/>
              <w:spacing w:after="0"/>
              <w:rPr>
                <w:sz w:val="20"/>
                <w:szCs w:val="20"/>
                <w:color w:val="auto"/>
              </w:rPr>
            </w:pPr>
            <w:r>
              <w:rPr>
                <w:rFonts w:ascii="Wingdings" w:cs="Wingdings" w:eastAsia="Wingdings" w:hAnsi="Wingdings"/>
                <w:sz w:val="18"/>
                <w:szCs w:val="18"/>
                <w:b w:val="1"/>
                <w:bCs w:val="1"/>
                <w:color w:val="auto"/>
                <w:w w:val="83"/>
              </w:rPr>
              <w:t></w:t>
            </w:r>
          </w:p>
        </w:tc>
      </w:tr>
      <w:tr>
        <w:trPr>
          <w:trHeight w:val="51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2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00"/>
              <w:spacing w:after="0"/>
              <w:rPr>
                <w:sz w:val="20"/>
                <w:szCs w:val="20"/>
                <w:color w:val="auto"/>
              </w:rPr>
            </w:pPr>
            <w:r>
              <w:rPr>
                <w:rFonts w:ascii="Wingdings" w:cs="Wingdings" w:eastAsia="Wingdings" w:hAnsi="Wingdings"/>
                <w:sz w:val="18"/>
                <w:szCs w:val="18"/>
                <w:b w:val="1"/>
                <w:bCs w:val="1"/>
                <w:color w:val="auto"/>
                <w:w w:val="99"/>
              </w:rPr>
              <w:t></w:t>
            </w:r>
          </w:p>
        </w:tc>
      </w:tr>
      <w:tr>
        <w:trPr>
          <w:trHeight w:val="51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40" w:type="dxa"/>
            <w:vAlign w:val="bottom"/>
          </w:tcPr>
          <w:p>
            <w:pPr>
              <w:ind w:left="42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75" w:lineRule="exact"/>
        <w:rPr>
          <w:sz w:val="24"/>
          <w:szCs w:val="24"/>
          <w:color w:val="auto"/>
        </w:rPr>
      </w:pPr>
    </w:p>
    <w:p>
      <w:pPr>
        <w:jc w:val="both"/>
        <w:ind w:right="140"/>
        <w:spacing w:after="0" w:line="259"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34" w:lineRule="auto"/>
        <w:rPr>
          <w:sz w:val="20"/>
          <w:szCs w:val="20"/>
          <w:color w:val="auto"/>
        </w:rPr>
      </w:pPr>
      <w:r>
        <w:rPr>
          <w:rFonts w:ascii="Wingdings" w:cs="Wingdings" w:eastAsia="Wingdings" w:hAnsi="Wingdings"/>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212121"/>
        </w:rPr>
        <w:t>PART I</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121"/>
        </w:rPr>
        <w:t>INFORMATION REQUIRED IN THE SECTION 10(a) PROSPECTUS</w:t>
      </w:r>
    </w:p>
    <w:p>
      <w:pPr>
        <w:spacing w:after="0" w:line="228"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212121"/>
        </w:rPr>
        <w:t>Item 1.</w:t>
      </w:r>
      <w:r>
        <w:rPr>
          <w:sz w:val="20"/>
          <w:szCs w:val="20"/>
          <w:color w:val="auto"/>
        </w:rPr>
        <w:tab/>
      </w:r>
      <w:r>
        <w:rPr>
          <w:rFonts w:ascii="Times New Roman" w:cs="Times New Roman" w:eastAsia="Times New Roman" w:hAnsi="Times New Roman"/>
          <w:sz w:val="17"/>
          <w:szCs w:val="17"/>
          <w:b w:val="1"/>
          <w:bCs w:val="1"/>
          <w:color w:val="212121"/>
        </w:rPr>
        <w:t>Plan Information.</w:t>
      </w:r>
    </w:p>
    <w:p>
      <w:pPr>
        <w:spacing w:after="0" w:line="12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212121"/>
        </w:rPr>
        <w:t>The documents containing the information specified in Part I will be delivered in accordance with the instructions to Form S-8 and Rule 428(b) under the Securities Act. Such documents are not required to be, and are not,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on Form S-8, taken together, constitute a prospectus that meets the requirements of Section 10(a) of the Securities Act.</w:t>
      </w:r>
    </w:p>
    <w:p>
      <w:pPr>
        <w:spacing w:after="0" w:line="339"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212121"/>
        </w:rPr>
        <w:t>Item 2.</w:t>
      </w:r>
      <w:r>
        <w:rPr>
          <w:sz w:val="20"/>
          <w:szCs w:val="20"/>
          <w:color w:val="auto"/>
        </w:rPr>
        <w:tab/>
      </w:r>
      <w:r>
        <w:rPr>
          <w:rFonts w:ascii="Times New Roman" w:cs="Times New Roman" w:eastAsia="Times New Roman" w:hAnsi="Times New Roman"/>
          <w:sz w:val="17"/>
          <w:szCs w:val="17"/>
          <w:b w:val="1"/>
          <w:bCs w:val="1"/>
          <w:color w:val="212121"/>
        </w:rPr>
        <w:t>Registrant Information and Employee Plan Annual Information.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12121"/>
        </w:rPr>
        <w:t>The written statement required by Item 2 of Part I is included in documents delivered to participants in the plans covered by this Registration Statement pursuant to Rule 428(b) of the Securities Act.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8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ind w:right="140" w:firstLine="374"/>
        <w:spacing w:after="0" w:line="250"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by reference in this Registration Statement:</w:t>
      </w:r>
    </w:p>
    <w:p>
      <w:pPr>
        <w:spacing w:after="0" w:line="177"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w:t>
      </w:r>
      <w:hyperlink r:id="rId9">
        <w:r>
          <w:rPr>
            <w:rFonts w:ascii="Times New Roman" w:cs="Times New Roman" w:eastAsia="Times New Roman" w:hAnsi="Times New Roman"/>
            <w:sz w:val="18"/>
            <w:szCs w:val="18"/>
            <w:u w:val="single" w:color="auto"/>
            <w:color w:val="0000FF"/>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January 29, 2022, as amended;</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document referred to in (a) above;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filed as </w:t>
      </w:r>
      <w:hyperlink r:id="rId10">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January 29, 2022, and all amendments and reports updating such description.</w:t>
      </w:r>
    </w:p>
    <w:p>
      <w:pPr>
        <w:spacing w:after="0" w:line="149" w:lineRule="exact"/>
        <w:rPr>
          <w:rFonts w:ascii="Times New Roman" w:cs="Times New Roman" w:eastAsia="Times New Roman" w:hAnsi="Times New Roman"/>
          <w:sz w:val="18"/>
          <w:szCs w:val="18"/>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69" w:lineRule="exact"/>
        <w:rPr>
          <w:rFonts w:ascii="Times New Roman" w:cs="Times New Roman" w:eastAsia="Times New Roman" w:hAnsi="Times New Roman"/>
          <w:sz w:val="18"/>
          <w:szCs w:val="18"/>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0" w:lineRule="exact"/>
        <w:rPr>
          <w:rFonts w:ascii="Times New Roman" w:cs="Times New Roman" w:eastAsia="Times New Roman" w:hAnsi="Times New Roman"/>
          <w:sz w:val="18"/>
          <w:szCs w:val="18"/>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212121"/>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rFonts w:ascii="Times New Roman" w:cs="Times New Roman" w:eastAsia="Times New Roman" w:hAnsi="Times New Roman"/>
          <w:sz w:val="18"/>
          <w:szCs w:val="18"/>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212121"/>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rFonts w:ascii="Times New Roman" w:cs="Times New Roman" w:eastAsia="Times New Roman" w:hAnsi="Times New Roman"/>
          <w:sz w:val="18"/>
          <w:szCs w:val="18"/>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212121"/>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60"/>
        <w:spacing w:after="0" w:line="246" w:lineRule="auto"/>
        <w:rPr>
          <w:sz w:val="20"/>
          <w:szCs w:val="20"/>
          <w:color w:val="auto"/>
        </w:rPr>
      </w:pPr>
      <w:r>
        <w:rPr>
          <w:rFonts w:ascii="Times New Roman" w:cs="Times New Roman" w:eastAsia="Times New Roman" w:hAnsi="Times New Roman"/>
          <w:sz w:val="18"/>
          <w:szCs w:val="18"/>
          <w:color w:val="auto"/>
        </w:rPr>
        <w:t>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9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 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Registrant maintains an insurance policy on behalf of its directors and officers covering certain liabilities which may arise as a result of the actions of the directors and officers.</w:t>
      </w:r>
    </w:p>
    <w:p>
      <w:pPr>
        <w:spacing w:after="0" w:line="158"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212121"/>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0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8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Opinion of Greenberg Traurig LLP, counsel to the Registrant.</w:t>
            </w:r>
          </w:p>
        </w:tc>
      </w:tr>
      <w:tr>
        <w:trPr>
          <w:trHeight w:val="20"/>
        </w:trPr>
        <w:tc>
          <w:tcPr>
            <w:tcW w:w="10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Stand-Alone Inducement Restricted Stock Award Agreement between the Company and James Reath dated as of October 7, 2022 (included</w:t>
              </w:r>
            </w:hyperlink>
          </w:p>
        </w:tc>
      </w:tr>
      <w:tr>
        <w:trPr>
          <w:trHeight w:val="169"/>
        </w:trPr>
        <w:tc>
          <w:tcPr>
            <w:tcW w:w="1020" w:type="dxa"/>
            <w:vAlign w:val="bottom"/>
          </w:tcPr>
          <w:p>
            <w:pPr>
              <w:spacing w:after="0"/>
              <w:rPr>
                <w:sz w:val="14"/>
                <w:szCs w:val="14"/>
                <w:color w:val="auto"/>
              </w:rPr>
            </w:pPr>
          </w:p>
        </w:tc>
        <w:tc>
          <w:tcPr>
            <w:tcW w:w="96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as Exhibit 10.2 to the Company's Quarterly Report on Form 10-Q filed on November 17, 2022 and incorporated herein by reference).</w:t>
              </w:r>
            </w:hyperlink>
          </w:p>
        </w:tc>
        <w:tc>
          <w:tcPr>
            <w:tcW w:w="500" w:type="dxa"/>
            <w:vAlign w:val="bottom"/>
            <w:gridSpan w:val="2"/>
          </w:tcPr>
          <w:p>
            <w:pPr>
              <w:spacing w:after="0"/>
              <w:rPr>
                <w:sz w:val="14"/>
                <w:szCs w:val="14"/>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9"/>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Stand-Alone Inducement Restricted Stock Award Agreement between the Company and Jonathan Sainsbury dated as of October 26, 2022</w:t>
              </w:r>
            </w:hyperlink>
          </w:p>
        </w:tc>
      </w:tr>
      <w:tr>
        <w:trPr>
          <w:trHeight w:val="169"/>
        </w:trPr>
        <w:tc>
          <w:tcPr>
            <w:tcW w:w="1020" w:type="dxa"/>
            <w:vAlign w:val="bottom"/>
          </w:tcPr>
          <w:p>
            <w:pPr>
              <w:spacing w:after="0"/>
              <w:rPr>
                <w:sz w:val="14"/>
                <w:szCs w:val="14"/>
                <w:color w:val="auto"/>
              </w:rPr>
            </w:pPr>
          </w:p>
        </w:tc>
        <w:tc>
          <w:tcPr>
            <w:tcW w:w="99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(included as Exhibit 10.3 to the Company's Quarterly Report on Form 10-Q filed on November 17, 2022 and incorporated herein by</w:t>
              </w:r>
            </w:hyperlink>
          </w:p>
        </w:tc>
        <w:tc>
          <w:tcPr>
            <w:tcW w:w="14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954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reference).</w:t>
              </w:r>
            </w:hyperlink>
          </w:p>
        </w:tc>
        <w:tc>
          <w:tcPr>
            <w:tcW w:w="560" w:type="dxa"/>
            <w:vAlign w:val="bottom"/>
            <w:gridSpan w:val="3"/>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Greenberg Traurig LLP (included in Exhibit 5.1).</w:t>
            </w: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7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Consent of KPMG LLP.</w:t>
            </w:r>
          </w:p>
        </w:tc>
        <w:tc>
          <w:tcPr>
            <w:tcW w:w="2680" w:type="dxa"/>
            <w:vAlign w:val="bottom"/>
            <w:tcBorders>
              <w:top w:val="single" w:sz="8" w:color="0000FF"/>
            </w:tcBorders>
          </w:tcPr>
          <w:p>
            <w:pPr>
              <w:spacing w:after="0"/>
              <w:rPr>
                <w:sz w:val="24"/>
                <w:szCs w:val="24"/>
                <w:color w:val="auto"/>
              </w:rPr>
            </w:pPr>
          </w:p>
        </w:tc>
        <w:tc>
          <w:tcPr>
            <w:tcW w:w="5680" w:type="dxa"/>
            <w:vAlign w:val="bottom"/>
            <w:gridSpan w:val="5"/>
          </w:tcPr>
          <w:p>
            <w:pPr>
              <w:spacing w:after="0"/>
              <w:rPr>
                <w:sz w:val="24"/>
                <w:szCs w:val="24"/>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to this Registration Statement)</w:t>
            </w:r>
          </w:p>
        </w:tc>
        <w:tc>
          <w:tcPr>
            <w:tcW w:w="4480" w:type="dxa"/>
            <w:vAlign w:val="bottom"/>
            <w:gridSpan w:val="4"/>
          </w:tcPr>
          <w:p>
            <w:pPr>
              <w:spacing w:after="0"/>
              <w:rPr>
                <w:sz w:val="24"/>
                <w:szCs w:val="24"/>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8880" w:type="dxa"/>
            <w:vAlign w:val="bottom"/>
            <w:gridSpan w:val="7"/>
          </w:tcPr>
          <w:p>
            <w:pPr>
              <w:spacing w:after="0"/>
              <w:rPr>
                <w:sz w:val="24"/>
                <w:szCs w:val="24"/>
                <w:color w:val="auto"/>
              </w:rPr>
            </w:pPr>
          </w:p>
        </w:tc>
      </w:tr>
      <w:tr>
        <w:trPr>
          <w:trHeight w:val="73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10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Undertakings.</w:t>
            </w:r>
          </w:p>
        </w:tc>
      </w:tr>
    </w:tbl>
    <w:p>
      <w:pPr>
        <w:spacing w:after="0" w:line="306"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0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2040" w:right="20" w:hanging="505"/>
        <w:spacing w:after="0" w:line="243" w:lineRule="auto"/>
        <w:tabs>
          <w:tab w:leader="none" w:pos="2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8" w:lineRule="exact"/>
        <w:rPr>
          <w:rFonts w:ascii="Times New Roman" w:cs="Times New Roman" w:eastAsia="Times New Roman" w:hAnsi="Times New Roman"/>
          <w:sz w:val="18"/>
          <w:szCs w:val="18"/>
          <w:color w:val="auto"/>
        </w:rPr>
      </w:pPr>
    </w:p>
    <w:p>
      <w:pPr>
        <w:ind w:left="2040" w:right="620" w:hanging="505"/>
        <w:spacing w:after="0" w:line="266" w:lineRule="auto"/>
        <w:tabs>
          <w:tab w:leader="none" w:pos="2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(a)(i) and (a)(ii)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periodic reports filed with or furnished to the Commission by the Registrant pursuant to Section 13 or Section 15(d) of the Exchange Act that are incorporated by reference in the Registration Statement.</w:t>
      </w:r>
    </w:p>
    <w:p>
      <w:pPr>
        <w:spacing w:after="0" w:line="263" w:lineRule="exact"/>
        <w:rPr>
          <w:sz w:val="20"/>
          <w:szCs w:val="20"/>
          <w:color w:val="auto"/>
        </w:rPr>
      </w:pPr>
    </w:p>
    <w:p>
      <w:pPr>
        <w:jc w:val="both"/>
        <w:ind w:left="1540" w:right="20" w:hanging="514"/>
        <w:spacing w:after="0" w:line="258"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7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rFonts w:ascii="Times New Roman" w:cs="Times New Roman" w:eastAsia="Times New Roman" w:hAnsi="Times New Roman"/>
          <w:sz w:val="18"/>
          <w:szCs w:val="18"/>
          <w:color w:val="auto"/>
        </w:rPr>
      </w:pPr>
    </w:p>
    <w:p>
      <w:pPr>
        <w:ind w:right="120" w:firstLine="8"/>
        <w:spacing w:after="0" w:line="245"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Times New Roman" w:cs="Times New Roman" w:eastAsia="Times New Roman" w:hAnsi="Times New Roman"/>
          <w:sz w:val="18"/>
          <w:szCs w:val="18"/>
          <w:color w:val="auto"/>
        </w:rPr>
      </w:pPr>
    </w:p>
    <w:p>
      <w:pPr>
        <w:ind w:right="140" w:firstLine="8"/>
        <w:spacing w:after="0" w:line="243"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000033"/>
        </w:rPr>
        <w:t>SIGNATURES</w:t>
      </w:r>
    </w:p>
    <w:p>
      <w:pPr>
        <w:spacing w:after="0" w:line="220" w:lineRule="exact"/>
        <w:rPr>
          <w:sz w:val="20"/>
          <w:szCs w:val="20"/>
          <w:color w:val="auto"/>
        </w:rPr>
      </w:pPr>
    </w:p>
    <w:p>
      <w:pPr>
        <w:jc w:val="both"/>
        <w:ind w:right="760"/>
        <w:spacing w:after="0" w:line="258" w:lineRule="auto"/>
        <w:rPr>
          <w:sz w:val="20"/>
          <w:szCs w:val="20"/>
          <w:color w:val="auto"/>
        </w:rPr>
      </w:pPr>
      <w:r>
        <w:rPr>
          <w:rFonts w:ascii="Times New Roman" w:cs="Times New Roman" w:eastAsia="Times New Roman" w:hAnsi="Times New Roman"/>
          <w:sz w:val="18"/>
          <w:szCs w:val="18"/>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November 17, 2022.</w:t>
      </w:r>
    </w:p>
    <w:p>
      <w:pPr>
        <w:spacing w:after="0" w:line="38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256" w:lineRule="exact"/>
        <w:rPr>
          <w:sz w:val="20"/>
          <w:szCs w:val="20"/>
          <w:color w:val="auto"/>
        </w:rPr>
      </w:pPr>
    </w:p>
    <w:p>
      <w:pPr>
        <w:ind w:left="6700"/>
        <w:spacing w:after="0"/>
        <w:tabs>
          <w:tab w:leader="none" w:pos="8380" w:val="left"/>
        </w:tabs>
        <w:rPr>
          <w:sz w:val="20"/>
          <w:szCs w:val="20"/>
          <w:color w:val="auto"/>
        </w:rPr>
      </w:pPr>
      <w:r>
        <w:rPr>
          <w:rFonts w:ascii="Times New Roman" w:cs="Times New Roman" w:eastAsia="Times New Roman" w:hAnsi="Times New Roman"/>
          <w:sz w:val="18"/>
          <w:szCs w:val="18"/>
          <w:color w:val="000033"/>
        </w:rPr>
        <w:t>By:</w:t>
      </w:r>
      <w:r>
        <w:rPr>
          <w:sz w:val="20"/>
          <w:szCs w:val="20"/>
          <w:color w:val="auto"/>
        </w:rPr>
        <w:tab/>
      </w:r>
      <w:r>
        <w:rPr>
          <w:rFonts w:ascii="Times New Roman" w:cs="Times New Roman" w:eastAsia="Times New Roman" w:hAnsi="Times New Roman"/>
          <w:sz w:val="22"/>
          <w:szCs w:val="22"/>
          <w:color w:val="000033"/>
        </w:rPr>
        <w:t>/</w:t>
      </w:r>
      <w:r>
        <w:rPr>
          <w:rFonts w:ascii="Times New Roman" w:cs="Times New Roman" w:eastAsia="Times New Roman" w:hAnsi="Times New Roman"/>
          <w:sz w:val="17"/>
          <w:szCs w:val="17"/>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19685</wp:posOffset>
            </wp:positionV>
            <wp:extent cx="2614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9"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000033"/>
        </w:rPr>
        <w:t>Robert S. Molloy</w:t>
      </w:r>
    </w:p>
    <w:p>
      <w:pPr>
        <w:jc w:val="center"/>
        <w:ind w:left="7100"/>
        <w:spacing w:after="0"/>
        <w:rPr>
          <w:sz w:val="20"/>
          <w:szCs w:val="20"/>
          <w:color w:val="auto"/>
        </w:rPr>
      </w:pPr>
      <w:r>
        <w:rPr>
          <w:rFonts w:ascii="Times New Roman" w:cs="Times New Roman" w:eastAsia="Times New Roman" w:hAnsi="Times New Roman"/>
          <w:sz w:val="14"/>
          <w:szCs w:val="14"/>
          <w:b w:val="1"/>
          <w:bCs w:val="1"/>
          <w:color w:val="000033"/>
        </w:rPr>
        <w:t>General Counsel and Secretary</w:t>
      </w:r>
    </w:p>
    <w:p>
      <w:pPr>
        <w:spacing w:after="0" w:line="20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000033"/>
        </w:rPr>
        <w:t>KNOW ALL PERSONS BY THESE PRESENTS, that each person whose signature appears below constitutes and appoints Harvey S. Kanter and Robert S. Molloy as such person’s true and lawful attorney-in-fact and agent, each with full power of substitution and resubstitution, for such person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w:t>
      </w:r>
    </w:p>
    <w:p>
      <w:pPr>
        <w:spacing w:after="0" w:line="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000033"/>
        </w:rPr>
        <w:t>Pursuant to the requirements of the Securities Act of 1933, this Registration Statement has been signed by the following persons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000033"/>
                <w:w w:val="98"/>
              </w:rPr>
              <w:t>Signatures</w:t>
            </w:r>
          </w:p>
        </w:tc>
        <w:tc>
          <w:tcPr>
            <w:tcW w:w="160" w:type="dxa"/>
            <w:vAlign w:val="bottom"/>
          </w:tcPr>
          <w:p>
            <w:pPr>
              <w:spacing w:after="0"/>
              <w:rPr>
                <w:sz w:val="18"/>
                <w:szCs w:val="18"/>
                <w:color w:val="auto"/>
              </w:rPr>
            </w:pPr>
          </w:p>
        </w:tc>
        <w:tc>
          <w:tcPr>
            <w:tcW w:w="50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6"/>
                <w:szCs w:val="16"/>
                <w:b w:val="1"/>
                <w:bCs w:val="1"/>
                <w:color w:val="000033"/>
              </w:rPr>
              <w:t>Title</w:t>
            </w:r>
          </w:p>
        </w:tc>
        <w:tc>
          <w:tcPr>
            <w:tcW w:w="140" w:type="dxa"/>
            <w:vAlign w:val="bottom"/>
          </w:tcPr>
          <w:p>
            <w:pPr>
              <w:spacing w:after="0"/>
              <w:rPr>
                <w:sz w:val="18"/>
                <w:szCs w:val="18"/>
                <w:color w:val="auto"/>
              </w:rPr>
            </w:pPr>
          </w:p>
        </w:tc>
        <w:tc>
          <w:tcPr>
            <w:tcW w:w="19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000033"/>
              </w:rPr>
              <w:t>Date</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000033"/>
              </w:rPr>
              <w:t>/s/</w:t>
            </w:r>
          </w:p>
        </w:tc>
        <w:tc>
          <w:tcPr>
            <w:tcW w:w="26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000033"/>
                <w:w w:val="99"/>
              </w:rPr>
              <w:t>HARVEY S. KANTER</w:t>
            </w: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President and Chief Executive Officer (Principal Executive Officer) and</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w w:val="99"/>
              </w:rPr>
              <w:t>Harvey S. Kanter</w:t>
            </w:r>
          </w:p>
        </w:tc>
        <w:tc>
          <w:tcPr>
            <w:tcW w:w="16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6"/>
                <w:szCs w:val="16"/>
                <w:color w:val="000033"/>
              </w:rPr>
              <w:t>/s/</w:t>
            </w:r>
          </w:p>
        </w:tc>
        <w:tc>
          <w:tcPr>
            <w:tcW w:w="2840" w:type="dxa"/>
            <w:vAlign w:val="bottom"/>
            <w:gridSpan w:val="4"/>
          </w:tcPr>
          <w:p>
            <w:pPr>
              <w:jc w:val="center"/>
              <w:ind w:right="920"/>
              <w:spacing w:after="0"/>
              <w:rPr>
                <w:sz w:val="20"/>
                <w:szCs w:val="20"/>
                <w:color w:val="auto"/>
              </w:rPr>
            </w:pPr>
            <w:r>
              <w:rPr>
                <w:rFonts w:ascii="Times New Roman" w:cs="Times New Roman" w:eastAsia="Times New Roman" w:hAnsi="Times New Roman"/>
                <w:sz w:val="16"/>
                <w:szCs w:val="16"/>
                <w:color w:val="000033"/>
                <w:w w:val="99"/>
              </w:rPr>
              <w:t>PETER H. STRATTON, JR.</w:t>
            </w: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Executive Vice President, Chief Financial Officer and Treasurer (Principal</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33"/>
              </w:rPr>
              <w:t>Financial Officer)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40" w:type="dxa"/>
            <w:vAlign w:val="bottom"/>
            <w:gridSpan w:val="4"/>
          </w:tcPr>
          <w:p>
            <w:pPr>
              <w:jc w:val="center"/>
              <w:ind w:right="1200"/>
              <w:spacing w:after="0"/>
              <w:rPr>
                <w:sz w:val="20"/>
                <w:szCs w:val="20"/>
                <w:color w:val="auto"/>
              </w:rPr>
            </w:pPr>
            <w:r>
              <w:rPr>
                <w:rFonts w:ascii="Times New Roman" w:cs="Times New Roman" w:eastAsia="Times New Roman" w:hAnsi="Times New Roman"/>
                <w:sz w:val="16"/>
                <w:szCs w:val="16"/>
                <w:b w:val="1"/>
                <w:bCs w:val="1"/>
                <w:color w:val="000033"/>
                <w:w w:val="99"/>
              </w:rPr>
              <w:t>Peter H. Stratton, Jr.</w:t>
            </w:r>
          </w:p>
        </w:tc>
        <w:tc>
          <w:tcPr>
            <w:tcW w:w="16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000033"/>
                <w:w w:val="92"/>
              </w:rPr>
              <w:t>/s/</w:t>
            </w:r>
          </w:p>
        </w:tc>
        <w:tc>
          <w:tcPr>
            <w:tcW w:w="26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color w:val="000033"/>
                <w:w w:val="99"/>
              </w:rPr>
              <w:t>JOHN F. COONEY</w:t>
            </w: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Senior Vice President, Chief Accounting Officer and Corporate Controller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33"/>
              </w:rPr>
              <w:t>(Principal Accounting Officer)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rPr>
              <w:t>John F. Cooney</w:t>
            </w:r>
          </w:p>
        </w:tc>
        <w:tc>
          <w:tcPr>
            <w:tcW w:w="16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000033"/>
                <w:w w:val="92"/>
              </w:rPr>
              <w:t>/s/</w:t>
            </w:r>
          </w:p>
        </w:tc>
        <w:tc>
          <w:tcPr>
            <w:tcW w:w="2820" w:type="dxa"/>
            <w:vAlign w:val="bottom"/>
            <w:tcBorders>
              <w:bottom w:val="single" w:sz="8" w:color="auto"/>
            </w:tcBorders>
            <w:gridSpan w:val="3"/>
          </w:tcPr>
          <w:p>
            <w:pPr>
              <w:jc w:val="center"/>
              <w:ind w:right="819"/>
              <w:spacing w:after="0"/>
              <w:rPr>
                <w:sz w:val="20"/>
                <w:szCs w:val="20"/>
                <w:color w:val="auto"/>
              </w:rPr>
            </w:pPr>
            <w:r>
              <w:rPr>
                <w:rFonts w:ascii="Times New Roman" w:cs="Times New Roman" w:eastAsia="Times New Roman" w:hAnsi="Times New Roman"/>
                <w:sz w:val="16"/>
                <w:szCs w:val="16"/>
                <w:color w:val="000033"/>
              </w:rPr>
              <w:t>LIONEL F. CONACHER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Chairman of the Board of Directors</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40" w:type="dxa"/>
            <w:vAlign w:val="bottom"/>
            <w:gridSpan w:val="4"/>
          </w:tcPr>
          <w:p>
            <w:pPr>
              <w:jc w:val="center"/>
              <w:ind w:right="1200"/>
              <w:spacing w:after="0"/>
              <w:rPr>
                <w:sz w:val="20"/>
                <w:szCs w:val="20"/>
                <w:color w:val="auto"/>
              </w:rPr>
            </w:pPr>
            <w:r>
              <w:rPr>
                <w:rFonts w:ascii="Times New Roman" w:cs="Times New Roman" w:eastAsia="Times New Roman" w:hAnsi="Times New Roman"/>
                <w:sz w:val="16"/>
                <w:szCs w:val="16"/>
                <w:b w:val="1"/>
                <w:bCs w:val="1"/>
                <w:color w:val="000033"/>
                <w:w w:val="99"/>
              </w:rPr>
              <w:t>Lionel F. Conacher</w:t>
            </w:r>
          </w:p>
        </w:tc>
        <w:tc>
          <w:tcPr>
            <w:tcW w:w="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000033"/>
                <w:w w:val="92"/>
              </w:rPr>
              <w:t>/s/</w:t>
            </w:r>
          </w:p>
        </w:tc>
        <w:tc>
          <w:tcPr>
            <w:tcW w:w="2620" w:type="dxa"/>
            <w:vAlign w:val="bottom"/>
            <w:tcBorders>
              <w:bottom w:val="single" w:sz="8" w:color="auto"/>
            </w:tcBorders>
            <w:gridSpan w:val="2"/>
          </w:tcPr>
          <w:p>
            <w:pPr>
              <w:jc w:val="center"/>
              <w:ind w:right="1019"/>
              <w:spacing w:after="0"/>
              <w:rPr>
                <w:sz w:val="20"/>
                <w:szCs w:val="20"/>
                <w:color w:val="auto"/>
              </w:rPr>
            </w:pPr>
            <w:r>
              <w:rPr>
                <w:rFonts w:ascii="Times New Roman" w:cs="Times New Roman" w:eastAsia="Times New Roman" w:hAnsi="Times New Roman"/>
                <w:sz w:val="16"/>
                <w:szCs w:val="16"/>
                <w:color w:val="000033"/>
              </w:rPr>
              <w:t>CARMEN BAUZA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rPr>
              <w:t>Carmen Bauza</w:t>
            </w:r>
          </w:p>
        </w:tc>
        <w:tc>
          <w:tcPr>
            <w:tcW w:w="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000033"/>
              </w:rPr>
              <w:t>/s/</w:t>
            </w:r>
          </w:p>
        </w:tc>
        <w:tc>
          <w:tcPr>
            <w:tcW w:w="2380" w:type="dxa"/>
            <w:vAlign w:val="bottom"/>
            <w:tcBorders>
              <w:bottom w:val="single" w:sz="8" w:color="auto"/>
            </w:tcBorders>
          </w:tcPr>
          <w:p>
            <w:pPr>
              <w:jc w:val="center"/>
              <w:ind w:right="1279"/>
              <w:spacing w:after="0"/>
              <w:rPr>
                <w:sz w:val="20"/>
                <w:szCs w:val="20"/>
                <w:color w:val="auto"/>
              </w:rPr>
            </w:pPr>
            <w:r>
              <w:rPr>
                <w:rFonts w:ascii="Times New Roman" w:cs="Times New Roman" w:eastAsia="Times New Roman" w:hAnsi="Times New Roman"/>
                <w:sz w:val="16"/>
                <w:szCs w:val="16"/>
                <w:color w:val="000033"/>
              </w:rPr>
              <w:t>JACK BOYLE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000033"/>
              </w:rPr>
              <w:t>Jack Boyle</w:t>
            </w:r>
          </w:p>
        </w:tc>
        <w:tc>
          <w:tcPr>
            <w:tcW w:w="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33"/>
              </w:rPr>
              <w:t>/s/</w:t>
            </w:r>
          </w:p>
        </w:tc>
        <w:tc>
          <w:tcPr>
            <w:tcW w:w="2620" w:type="dxa"/>
            <w:vAlign w:val="bottom"/>
            <w:tcBorders>
              <w:bottom w:val="single" w:sz="8" w:color="auto"/>
            </w:tcBorders>
            <w:gridSpan w:val="2"/>
          </w:tcPr>
          <w:p>
            <w:pPr>
              <w:jc w:val="center"/>
              <w:ind w:right="1019"/>
              <w:spacing w:after="0"/>
              <w:rPr>
                <w:sz w:val="20"/>
                <w:szCs w:val="20"/>
                <w:color w:val="auto"/>
              </w:rPr>
            </w:pPr>
            <w:r>
              <w:rPr>
                <w:rFonts w:ascii="Times New Roman" w:cs="Times New Roman" w:eastAsia="Times New Roman" w:hAnsi="Times New Roman"/>
                <w:sz w:val="16"/>
                <w:szCs w:val="16"/>
                <w:color w:val="000033"/>
              </w:rPr>
              <w:t>WILLEM MESDAG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rPr>
              <w:t>Willem Mesdag</w:t>
            </w:r>
          </w:p>
        </w:tc>
        <w:tc>
          <w:tcPr>
            <w:tcW w:w="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000033"/>
                <w:w w:val="92"/>
              </w:rPr>
              <w:t>/s/</w:t>
            </w:r>
          </w:p>
        </w:tc>
        <w:tc>
          <w:tcPr>
            <w:tcW w:w="2380" w:type="dxa"/>
            <w:vAlign w:val="bottom"/>
            <w:tcBorders>
              <w:bottom w:val="single" w:sz="8" w:color="auto"/>
            </w:tcBorders>
          </w:tcPr>
          <w:p>
            <w:pPr>
              <w:jc w:val="center"/>
              <w:ind w:right="1259"/>
              <w:spacing w:after="0"/>
              <w:rPr>
                <w:sz w:val="20"/>
                <w:szCs w:val="20"/>
                <w:color w:val="auto"/>
              </w:rPr>
            </w:pPr>
            <w:r>
              <w:rPr>
                <w:rFonts w:ascii="Times New Roman" w:cs="Times New Roman" w:eastAsia="Times New Roman" w:hAnsi="Times New Roman"/>
                <w:sz w:val="16"/>
                <w:szCs w:val="16"/>
                <w:color w:val="000033"/>
                <w:w w:val="99"/>
              </w:rPr>
              <w:t>IVY ROSS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000033"/>
              </w:rPr>
              <w:t>Ivy Ross</w:t>
            </w:r>
          </w:p>
        </w:tc>
        <w:tc>
          <w:tcPr>
            <w:tcW w:w="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right="1139"/>
              <w:spacing w:after="0"/>
              <w:rPr>
                <w:sz w:val="20"/>
                <w:szCs w:val="20"/>
                <w:color w:val="auto"/>
              </w:rPr>
            </w:pPr>
            <w:r>
              <w:rPr>
                <w:rFonts w:ascii="Times New Roman" w:cs="Times New Roman" w:eastAsia="Times New Roman" w:hAnsi="Times New Roman"/>
                <w:sz w:val="16"/>
                <w:szCs w:val="16"/>
                <w:color w:val="000033"/>
              </w:rPr>
              <w:t>/s/ ELAINE RUBIN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17, 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rPr>
              <w:t>Elaine Rubin</w:t>
            </w:r>
          </w:p>
        </w:tc>
        <w:tc>
          <w:tcPr>
            <w:tcW w:w="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97155</wp:posOffset>
            </wp:positionV>
            <wp:extent cx="2031365"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325755"/>
                    </a:xfrm>
                    <a:prstGeom prst="rect">
                      <a:avLst/>
                    </a:prstGeom>
                    <a:noFill/>
                  </pic:spPr>
                </pic:pic>
              </a:graphicData>
            </a:graphic>
          </wp:anchor>
        </w:drawing>
        <w:t>Exhibit 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Turnpike Street</w:t>
      </w:r>
    </w:p>
    <w:p>
      <w:pPr>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Stand-Alone Inducement Restricted Stock Unit Awards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48,014 shares (the “Shares”) of common stock, $0.01 par value per share, of Destination Group XL, Inc., a Delaware corporation (the “Company”), that may be issued pursuant to those certain Stand-Alone Inducement Restricted Stock Unit Award Agreements dated October 7, 2022, and October 26, 2022 (the “Inducement Awards”).</w:t>
      </w:r>
    </w:p>
    <w:p>
      <w:pPr>
        <w:spacing w:after="0" w:line="19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have examined the Certificate of Incorporation and Bylaws of the Company, each as amended to date, and originals, or copies certified to our satisfaction, of all pertinent records of the meetings of the directors of the Company, the Inducement Awards, the Registration Statement and such other documents relating to the Company as we have deemed material for the purposes of this opinion.</w:t>
      </w:r>
    </w:p>
    <w:p>
      <w:pPr>
        <w:spacing w:after="0" w:line="19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9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assume that the appropriate action will be taken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7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upon the terms and conditions and in the manner set forth in the Inducement Awards, the Shares will be validly issued, fully paid and nonassessable.</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6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 Greenberg Traurig, LLP</w:t>
      </w:r>
    </w:p>
    <w:p>
      <w:pPr>
        <w:spacing w:after="0" w:line="2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Georgia" w:cs="Georgia" w:eastAsia="Georgia" w:hAnsi="Georgia"/>
          <w:sz w:val="14"/>
          <w:szCs w:val="14"/>
          <w:b w:val="1"/>
          <w:bCs w:val="1"/>
          <w:color w:val="4A4A4A"/>
        </w:rPr>
        <w:t>Greenberg Traurig, LLP | Attorneys at Law</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4A4A4A"/>
        </w:rPr>
        <w:t>One International Place | Suite 2000 | Boston, Massachusetts 02110 | T +1 617.310.6000 | F +1 617.310.6001</w:t>
      </w:r>
    </w:p>
    <w:p>
      <w:pPr>
        <w:spacing w:after="0" w:line="91" w:lineRule="exact"/>
        <w:rPr>
          <w:sz w:val="20"/>
          <w:szCs w:val="20"/>
          <w:color w:val="auto"/>
        </w:rPr>
      </w:pPr>
    </w:p>
    <w:p>
      <w:pPr>
        <w:ind w:left="20"/>
        <w:spacing w:after="0"/>
        <w:rPr>
          <w:sz w:val="20"/>
          <w:szCs w:val="20"/>
          <w:color w:val="auto"/>
        </w:rPr>
      </w:pPr>
      <w:r>
        <w:rPr>
          <w:rFonts w:ascii="Georgia" w:cs="Georgia" w:eastAsia="Georgia" w:hAnsi="Georgia"/>
          <w:sz w:val="13"/>
          <w:szCs w:val="13"/>
          <w:color w:val="4A4A4A"/>
        </w:rPr>
        <w:t>Albany. Amsterdam. Atlanta. Austin. Berlin</w:t>
      </w:r>
      <w:r>
        <w:rPr>
          <w:rFonts w:ascii="Georgia" w:cs="Georgia" w:eastAsia="Georgia" w:hAnsi="Georgia"/>
          <w:sz w:val="6"/>
          <w:szCs w:val="6"/>
          <w:color w:val="4A4A4A"/>
        </w:rPr>
        <w:t>¬</w:t>
      </w:r>
      <w:r>
        <w:rPr>
          <w:rFonts w:ascii="Georgia" w:cs="Georgia" w:eastAsia="Georgia" w:hAnsi="Georgia"/>
          <w:sz w:val="13"/>
          <w:szCs w:val="13"/>
          <w:color w:val="4A4A4A"/>
        </w:rPr>
        <w:t>. Boca Raton. Boston. Chicago. Dallas. Delaware. Denver. Fort Lauderdale. Houston. Las Vegas. London.</w:t>
      </w:r>
      <w:r>
        <w:rPr>
          <w:rFonts w:ascii="Georgia" w:cs="Georgia" w:eastAsia="Georgia" w:hAnsi="Georgia"/>
          <w:sz w:val="16"/>
          <w:szCs w:val="16"/>
          <w:color w:val="4A4A4A"/>
          <w:vertAlign w:val="superscript"/>
        </w:rPr>
        <w:t>*</w:t>
      </w:r>
      <w:r>
        <w:rPr>
          <w:rFonts w:ascii="Georgia" w:cs="Georgia" w:eastAsia="Georgia" w:hAnsi="Georgia"/>
          <w:sz w:val="13"/>
          <w:szCs w:val="13"/>
          <w:color w:val="4A4A4A"/>
        </w:rPr>
        <w:t xml:space="preserve"> Los Angeles. Mexico City</w:t>
      </w:r>
      <w:r>
        <w:rPr>
          <w:rFonts w:ascii="Georgia" w:cs="Georgia" w:eastAsia="Georgia" w:hAnsi="Georgia"/>
          <w:sz w:val="16"/>
          <w:szCs w:val="16"/>
          <w:color w:val="4A4A4A"/>
          <w:vertAlign w:val="superscript"/>
        </w:rPr>
        <w:t>+</w:t>
      </w:r>
      <w:r>
        <w:rPr>
          <w:rFonts w:ascii="Georgia" w:cs="Georgia" w:eastAsia="Georgia" w:hAnsi="Georgia"/>
          <w:sz w:val="13"/>
          <w:szCs w:val="13"/>
          <w:color w:val="4A4A4A"/>
        </w:rPr>
        <w:t>. Miami. Milan</w:t>
      </w:r>
      <w:r>
        <w:rPr>
          <w:rFonts w:ascii="Georgia" w:cs="Georgia" w:eastAsia="Georgia" w:hAnsi="Georgia"/>
          <w:sz w:val="16"/>
          <w:szCs w:val="16"/>
          <w:color w:val="4A4A4A"/>
          <w:vertAlign w:val="superscript"/>
        </w:rPr>
        <w:t>»</w:t>
      </w:r>
      <w:r>
        <w:rPr>
          <w:rFonts w:ascii="Georgia" w:cs="Georgia" w:eastAsia="Georgia" w:hAnsi="Georgia"/>
          <w:sz w:val="13"/>
          <w:szCs w:val="13"/>
          <w:color w:val="4A4A4A"/>
        </w:rPr>
        <w:t>.</w:t>
      </w:r>
    </w:p>
    <w:p>
      <w:pPr>
        <w:ind w:left="20"/>
        <w:spacing w:after="0" w:line="187" w:lineRule="auto"/>
        <w:rPr>
          <w:sz w:val="20"/>
          <w:szCs w:val="20"/>
          <w:color w:val="auto"/>
        </w:rPr>
      </w:pPr>
      <w:r>
        <w:rPr>
          <w:rFonts w:ascii="Georgia" w:cs="Georgia" w:eastAsia="Georgia" w:hAnsi="Georgia"/>
          <w:sz w:val="13"/>
          <w:szCs w:val="13"/>
          <w:color w:val="4A4A4A"/>
        </w:rPr>
        <w:t>Minneapolis. Nashville. New Jersey. New York. Northern Virginia. Orange County. Orlando. Philadelphia. Phoenix. Sacramento.</w:t>
      </w:r>
    </w:p>
    <w:p>
      <w:pPr>
        <w:ind w:left="20"/>
        <w:spacing w:after="0"/>
        <w:rPr>
          <w:sz w:val="20"/>
          <w:szCs w:val="20"/>
          <w:color w:val="auto"/>
        </w:rPr>
      </w:pPr>
      <w:r>
        <w:rPr>
          <w:rFonts w:ascii="Georgia" w:cs="Georgia" w:eastAsia="Georgia" w:hAnsi="Georgia"/>
          <w:sz w:val="13"/>
          <w:szCs w:val="13"/>
          <w:color w:val="4A4A4A"/>
        </w:rPr>
        <w:t>San Francisco. Seoul</w:t>
      </w:r>
      <w:r>
        <w:rPr>
          <w:rFonts w:ascii="Georgia" w:cs="Georgia" w:eastAsia="Georgia" w:hAnsi="Georgia"/>
          <w:sz w:val="16"/>
          <w:szCs w:val="16"/>
          <w:color w:val="4A4A4A"/>
          <w:vertAlign w:val="superscript"/>
        </w:rPr>
        <w:t>∞</w:t>
      </w:r>
      <w:r>
        <w:rPr>
          <w:rFonts w:ascii="Georgia" w:cs="Georgia" w:eastAsia="Georgia" w:hAnsi="Georgia"/>
          <w:sz w:val="13"/>
          <w:szCs w:val="13"/>
          <w:color w:val="4A4A4A"/>
        </w:rPr>
        <w:t>. Shanghai. Silicon Valley. Tallahassee. Tampa. Tel Aviv</w:t>
      </w:r>
      <w:r>
        <w:rPr>
          <w:rFonts w:ascii="Georgia" w:cs="Georgia" w:eastAsia="Georgia" w:hAnsi="Georgia"/>
          <w:sz w:val="16"/>
          <w:szCs w:val="16"/>
          <w:color w:val="4A4A4A"/>
          <w:vertAlign w:val="superscript"/>
        </w:rPr>
        <w:t>^</w:t>
      </w:r>
      <w:r>
        <w:rPr>
          <w:rFonts w:ascii="Georgia" w:cs="Georgia" w:eastAsia="Georgia" w:hAnsi="Georgia"/>
          <w:sz w:val="13"/>
          <w:szCs w:val="13"/>
          <w:color w:val="4A4A4A"/>
        </w:rPr>
        <w:t>. Tokyo</w:t>
      </w:r>
      <w:r>
        <w:rPr>
          <w:rFonts w:ascii="Georgia" w:cs="Georgia" w:eastAsia="Georgia" w:hAnsi="Georgia"/>
          <w:sz w:val="6"/>
          <w:szCs w:val="6"/>
          <w:color w:val="4A4A4A"/>
        </w:rPr>
        <w:t>¤</w:t>
      </w:r>
      <w:r>
        <w:rPr>
          <w:rFonts w:ascii="Georgia" w:cs="Georgia" w:eastAsia="Georgia" w:hAnsi="Georgia"/>
          <w:sz w:val="13"/>
          <w:szCs w:val="13"/>
          <w:color w:val="4A4A4A"/>
        </w:rPr>
        <w:t>. Warsaw</w:t>
      </w:r>
      <w:r>
        <w:rPr>
          <w:rFonts w:ascii="Georgia" w:cs="Georgia" w:eastAsia="Georgia" w:hAnsi="Georgia"/>
          <w:sz w:val="16"/>
          <w:szCs w:val="16"/>
          <w:color w:val="4A4A4A"/>
          <w:vertAlign w:val="superscript"/>
        </w:rPr>
        <w:t>~</w:t>
      </w:r>
      <w:r>
        <w:rPr>
          <w:rFonts w:ascii="Georgia" w:cs="Georgia" w:eastAsia="Georgia" w:hAnsi="Georgia"/>
          <w:sz w:val="13"/>
          <w:szCs w:val="13"/>
          <w:color w:val="4A4A4A"/>
        </w:rPr>
        <w:t>. Washington, D.C. West Palm Beach. Westchester County.</w:t>
      </w:r>
    </w:p>
    <w:p>
      <w:pPr>
        <w:spacing w:after="0" w:line="5" w:lineRule="exact"/>
        <w:rPr>
          <w:sz w:val="20"/>
          <w:szCs w:val="20"/>
          <w:color w:val="auto"/>
        </w:rPr>
      </w:pPr>
    </w:p>
    <w:p>
      <w:pPr>
        <w:ind w:left="20"/>
        <w:spacing w:after="0"/>
        <w:rPr>
          <w:sz w:val="20"/>
          <w:szCs w:val="20"/>
          <w:color w:val="auto"/>
        </w:rPr>
      </w:pPr>
      <w:r>
        <w:rPr>
          <w:rFonts w:ascii="Arial" w:cs="Arial" w:eastAsia="Arial" w:hAnsi="Arial"/>
          <w:sz w:val="7"/>
          <w:szCs w:val="7"/>
          <w:color w:val="4A4A4A"/>
        </w:rPr>
        <w:t>Operates as: ¬Greenberg Traurig Germany, LLP; *A separate UK registered legal entity; +Greenberg Traurig, S.C.; »Greenberg Traurig Santa Maria; ∞Greenberg Traurig LLP Foreign Legal Consultant Office; ^A branch of Greenberg Traurig, P.A., Florida, USA; ¤GT Tokyo Horitsu Jimusho; ~Greenberg Traurig Grzesiak sp.k.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reports dated March 17, 2022, with respect to the consolidated financial statements of Destination XL Group, Inc., and the effectiveness of internal control over financial reporting, incorporated herein by reference.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(Form Type)</w:t>
      </w:r>
    </w:p>
    <w:p>
      <w:pPr>
        <w:spacing w:after="0" w:line="19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32"/>
          <w:szCs w:val="32"/>
          <w:b w:val="1"/>
          <w:bCs w:val="1"/>
          <w:color w:val="auto"/>
        </w:rPr>
        <w:t>Destination XL Group, Inc.</w:t>
      </w:r>
    </w:p>
    <w:p>
      <w:pPr>
        <w:spacing w:after="0" w:line="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18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3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3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200" w:type="dxa"/>
            <w:vAlign w:val="bottom"/>
          </w:tcPr>
          <w:p>
            <w:pPr>
              <w:jc w:val="center"/>
              <w:spacing w:after="0" w:line="204" w:lineRule="exact"/>
              <w:rPr>
                <w:sz w:val="20"/>
                <w:szCs w:val="20"/>
                <w:color w:val="auto"/>
              </w:rPr>
            </w:pP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23"/>
                <w:szCs w:val="23"/>
                <w:color w:val="auto"/>
                <w:vertAlign w:val="superscript"/>
              </w:rPr>
              <w:t>(1)</w:t>
            </w:r>
          </w:p>
        </w:tc>
        <w:tc>
          <w:tcPr>
            <w:tcW w:w="13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7"/>
              </w:rPr>
              <w:t>Per Unit</w:t>
            </w:r>
          </w:p>
        </w:tc>
        <w:tc>
          <w:tcPr>
            <w:tcW w:w="12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920" w:type="dxa"/>
            <w:vAlign w:val="bottom"/>
            <w:vMerge w:val="continue"/>
          </w:tcPr>
          <w:p>
            <w:pPr>
              <w:spacing w:after="0"/>
              <w:rPr>
                <w:sz w:val="17"/>
                <w:szCs w:val="17"/>
                <w:color w:val="auto"/>
              </w:rPr>
            </w:pPr>
          </w:p>
        </w:tc>
        <w:tc>
          <w:tcPr>
            <w:tcW w:w="13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rPr>
              <w:t>Registration Fee</w:t>
            </w: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 (c) and</w:t>
            </w: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18"/>
                <w:szCs w:val="18"/>
                <w:color w:val="auto"/>
                <w:w w:val="93"/>
              </w:rPr>
              <w:t xml:space="preserve">48,014 </w:t>
            </w:r>
            <w:r>
              <w:rPr>
                <w:rFonts w:ascii="Times New Roman" w:cs="Times New Roman" w:eastAsia="Times New Roman" w:hAnsi="Times New Roman"/>
                <w:sz w:val="24"/>
                <w:szCs w:val="24"/>
                <w:color w:val="auto"/>
                <w:w w:val="93"/>
                <w:vertAlign w:val="superscript"/>
              </w:rPr>
              <w:t>(2)</w:t>
            </w:r>
          </w:p>
        </w:tc>
        <w:tc>
          <w:tcPr>
            <w:tcW w:w="1360" w:type="dxa"/>
            <w:vAlign w:val="bottom"/>
          </w:tcPr>
          <w:p>
            <w:pPr>
              <w:jc w:val="center"/>
              <w:spacing w:after="0" w:line="222" w:lineRule="exact"/>
              <w:rPr>
                <w:sz w:val="20"/>
                <w:szCs w:val="20"/>
                <w:color w:val="auto"/>
              </w:rPr>
            </w:pPr>
            <w:r>
              <w:rPr>
                <w:rFonts w:ascii="Times New Roman" w:cs="Times New Roman" w:eastAsia="Times New Roman" w:hAnsi="Times New Roman"/>
                <w:sz w:val="18"/>
                <w:szCs w:val="18"/>
                <w:color w:val="auto"/>
                <w:w w:val="90"/>
              </w:rPr>
              <w:t xml:space="preserve">$6.825 </w:t>
            </w:r>
            <w:r>
              <w:rPr>
                <w:rFonts w:ascii="Times New Roman" w:cs="Times New Roman" w:eastAsia="Times New Roman" w:hAnsi="Times New Roman"/>
                <w:sz w:val="24"/>
                <w:szCs w:val="24"/>
                <w:color w:val="auto"/>
                <w:w w:val="90"/>
                <w:vertAlign w:val="superscript"/>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$327,695.55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0.00011020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$36.11</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$0.01 par value per</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457(h)</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$327,695.55</w:t>
            </w:r>
          </w:p>
        </w:tc>
        <w:tc>
          <w:tcPr>
            <w:tcW w:w="920" w:type="dxa"/>
            <w:vAlign w:val="bottom"/>
          </w:tcPr>
          <w:p>
            <w:pPr>
              <w:spacing w:after="0"/>
              <w:rPr>
                <w:sz w:val="24"/>
                <w:szCs w:val="24"/>
                <w:color w:val="auto"/>
              </w:rPr>
            </w:pPr>
          </w:p>
        </w:tc>
        <w:tc>
          <w:tcPr>
            <w:tcW w:w="13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jc w:val="center"/>
              <w:ind w:right="36"/>
              <w:spacing w:after="0" w:line="246"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(4)</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-934085</wp:posOffset>
            </wp:positionV>
            <wp:extent cx="6489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326" w:lineRule="exact"/>
        <w:rPr>
          <w:sz w:val="20"/>
          <w:szCs w:val="20"/>
          <w:color w:val="auto"/>
        </w:rPr>
      </w:pPr>
    </w:p>
    <w:p>
      <w:pPr>
        <w:ind w:left="620" w:right="820" w:hanging="356"/>
        <w:spacing w:after="0" w:line="266" w:lineRule="auto"/>
        <w:tabs>
          <w:tab w:leader="none" w:pos="6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Common Stock which become issuable because of any stock dividend, stock split, recapitalization or any other similar transaction effected without the receipt of consideration which results in an increase in the number of the outstanding shares of Common Stock.</w:t>
      </w:r>
    </w:p>
    <w:p>
      <w:pPr>
        <w:spacing w:after="0" w:line="189" w:lineRule="exact"/>
        <w:rPr>
          <w:rFonts w:ascii="Times New Roman" w:cs="Times New Roman" w:eastAsia="Times New Roman" w:hAnsi="Times New Roman"/>
          <w:sz w:val="18"/>
          <w:szCs w:val="18"/>
          <w:color w:val="auto"/>
        </w:rPr>
      </w:pPr>
    </w:p>
    <w:p>
      <w:pPr>
        <w:ind w:left="620" w:right="860" w:hanging="356"/>
        <w:spacing w:after="0" w:line="297" w:lineRule="auto"/>
        <w:tabs>
          <w:tab w:leader="none" w:pos="6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48,014 shares of Common Stock issuable to certain employees upon vesting of restricted stock units granted as inducement awards in connection with their employment with the Registrant.</w:t>
      </w:r>
    </w:p>
    <w:p>
      <w:pPr>
        <w:spacing w:after="0" w:line="149" w:lineRule="exact"/>
        <w:rPr>
          <w:rFonts w:ascii="Times New Roman" w:cs="Times New Roman" w:eastAsia="Times New Roman" w:hAnsi="Times New Roman"/>
          <w:sz w:val="18"/>
          <w:szCs w:val="18"/>
          <w:color w:val="auto"/>
        </w:rPr>
      </w:pPr>
    </w:p>
    <w:p>
      <w:pPr>
        <w:ind w:left="620" w:right="920" w:hanging="356"/>
        <w:spacing w:after="0" w:line="274" w:lineRule="auto"/>
        <w:tabs>
          <w:tab w:leader="none" w:pos="6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Global Select Market on November 14, 2022.</w:t>
      </w:r>
    </w:p>
    <w:p>
      <w:pPr>
        <w:spacing w:after="0" w:line="182"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295910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2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lvl w:ilvl="1">
      <w:lvlJc w:val="left"/>
      <w:lvlText w:val="%2."/>
      <w:numFmt w:val="lowerRoman"/>
      <w:start w:val="1"/>
    </w:lvl>
  </w:abstractNum>
  <w:abstractNum w:abstractNumId="3">
    <w:nsid w:val="3D1B58BA"/>
    <w:multiLevelType w:val="hybridMultilevel"/>
    <w:lvl w:ilvl="0">
      <w:lvlJc w:val="left"/>
      <w:lvlText w:val="%1"/>
      <w:numFmt w:val="decimal"/>
      <w:start w:val="1"/>
    </w:lvl>
    <w:lvl w:ilvl="1">
      <w:lvlJc w:val="left"/>
      <w:lvlText w:val="%2."/>
      <w:numFmt w:val="lowerLetter"/>
      <w:start w:val="2"/>
    </w:lvl>
  </w:abstractNum>
  <w:abstractNum w:abstractNumId="4">
    <w:nsid w:val="507ED7AB"/>
    <w:multiLevelType w:val="hybridMultilevel"/>
    <w:lvl w:ilvl="0">
      <w:lvlJc w:val="left"/>
      <w:lvlText w:val="%1."/>
      <w:numFmt w:val="decimal"/>
      <w:start w:val="2"/>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jpe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9" Type="http://schemas.openxmlformats.org/officeDocument/2006/relationships/hyperlink" Target="https://www.sec.gov/Archives/edgar/data/813298/000156459021014278/dxlg-10k_20210130.htm" TargetMode="External"/><Relationship Id="rId10" Type="http://schemas.openxmlformats.org/officeDocument/2006/relationships/hyperlink" Target="https://www.sec.gov/Archives/edgar/data/813298/000095017022004055/dxlg-ex4_1.htm" TargetMode="External"/><Relationship Id="rId12" Type="http://schemas.openxmlformats.org/officeDocument/2006/relationships/hyperlink" Target="https://www.sec.gov/Archives/edgar/data/813298/000095017022025372/dxlg-ex10_2.htm" TargetMode="External"/><Relationship Id="rId13" Type="http://schemas.openxmlformats.org/officeDocument/2006/relationships/hyperlink" Target="https://www.sec.gov/Archives/edgar/data/813298/000095017022025372/dxlg-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2022-11-17T13:59:35Z</dcterms:created>
  <dcterms:modified xsi:type="dcterms:W3CDTF">2022-11-17T13:59:35Z</dcterms:modified>
</cp:coreProperties>
</file>