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-601980</wp:posOffset>
            </wp:positionV>
            <wp:extent cx="825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-610235</wp:posOffset>
            </wp:positionV>
            <wp:extent cx="825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-585470</wp:posOffset>
            </wp:positionV>
            <wp:extent cx="1270000" cy="56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19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27305</wp:posOffset>
            </wp:positionV>
            <wp:extent cx="6969125" cy="1734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41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Dhoot Ujjwal</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1"/>
        </w:trPr>
        <w:tc>
          <w:tcPr>
            <w:tcW w:w="3820" w:type="dxa"/>
            <w:vAlign w:val="bottom"/>
            <w:gridSpan w:val="2"/>
          </w:tcPr>
          <w:p>
            <w:pPr>
              <w:ind w:left="60"/>
              <w:spacing w:after="0" w:line="201"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DESTINATION XL GROUP,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03/08/2021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871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871220"/>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70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0319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03/09/2022</w:t>
            </w:r>
            <w:r>
              <w:rPr>
                <w:rFonts w:ascii="Arial" w:cs="Arial" w:eastAsia="Arial" w:hAnsi="Arial"/>
                <w:sz w:val="21"/>
                <w:szCs w:val="21"/>
                <w:color w:val="008000"/>
                <w:vertAlign w:val="superscript"/>
              </w:rPr>
              <w:t>(1)</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5"/>
              <w:spacing w:after="0"/>
              <w:rPr>
                <w:sz w:val="20"/>
                <w:szCs w:val="20"/>
                <w:color w:val="auto"/>
              </w:rPr>
            </w:pPr>
            <w:r>
              <w:rPr>
                <w:rFonts w:ascii="Arial" w:cs="Arial" w:eastAsia="Arial" w:hAnsi="Arial"/>
                <w:sz w:val="17"/>
                <w:szCs w:val="17"/>
                <w:color w:val="0000FF"/>
                <w:w w:val="93"/>
              </w:rPr>
              <w:t>8,413</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0.75</w:t>
            </w:r>
          </w:p>
        </w:tc>
        <w:tc>
          <w:tcPr>
            <w:tcW w:w="1080" w:type="dxa"/>
            <w:vAlign w:val="bottom"/>
            <w:vMerge w:val="restart"/>
          </w:tcPr>
          <w:p>
            <w:pPr>
              <w:jc w:val="right"/>
              <w:ind w:right="200"/>
              <w:spacing w:after="0" w:line="141" w:lineRule="exact"/>
              <w:rPr>
                <w:sz w:val="20"/>
                <w:szCs w:val="20"/>
                <w:color w:val="auto"/>
              </w:rPr>
            </w:pPr>
            <w:r>
              <w:rPr>
                <w:rFonts w:ascii="Arial" w:cs="Arial" w:eastAsia="Arial" w:hAnsi="Arial"/>
                <w:sz w:val="13"/>
                <w:szCs w:val="13"/>
                <w:color w:val="0000FF"/>
              </w:rPr>
              <w:t>03/09/2021</w:t>
            </w:r>
          </w:p>
        </w:tc>
        <w:tc>
          <w:tcPr>
            <w:tcW w:w="1080" w:type="dxa"/>
            <w:vAlign w:val="bottom"/>
          </w:tcPr>
          <w:p>
            <w:pPr>
              <w:spacing w:after="0"/>
              <w:rPr>
                <w:sz w:val="5"/>
                <w:szCs w:val="5"/>
                <w:color w:val="auto"/>
              </w:rPr>
            </w:pPr>
          </w:p>
        </w:tc>
        <w:tc>
          <w:tcPr>
            <w:tcW w:w="78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A</w:t>
            </w:r>
          </w:p>
        </w:tc>
        <w:tc>
          <w:tcPr>
            <w:tcW w:w="500" w:type="dxa"/>
            <w:vAlign w:val="bottom"/>
            <w:vMerge w:val="restart"/>
          </w:tcPr>
          <w:p>
            <w:pPr>
              <w:jc w:val="right"/>
              <w:ind w:right="41"/>
              <w:spacing w:after="0" w:line="141" w:lineRule="exact"/>
              <w:rPr>
                <w:sz w:val="20"/>
                <w:szCs w:val="20"/>
                <w:color w:val="auto"/>
              </w:rPr>
            </w:pPr>
            <w:r>
              <w:rPr>
                <w:rFonts w:ascii="Arial" w:cs="Arial" w:eastAsia="Arial" w:hAnsi="Arial"/>
                <w:sz w:val="13"/>
                <w:szCs w:val="13"/>
                <w:color w:val="0000FF"/>
              </w:rPr>
              <w:t>8,413</w:t>
            </w:r>
          </w:p>
        </w:tc>
        <w:tc>
          <w:tcPr>
            <w:tcW w:w="3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40" w:type="dxa"/>
            <w:vAlign w:val="bottom"/>
            <w:vMerge w:val="restart"/>
          </w:tcPr>
          <w:p>
            <w:pPr>
              <w:spacing w:after="0" w:line="141" w:lineRule="exact"/>
              <w:rPr>
                <w:sz w:val="20"/>
                <w:szCs w:val="20"/>
                <w:color w:val="auto"/>
              </w:rPr>
            </w:pPr>
            <w:r>
              <w:rPr>
                <w:rFonts w:ascii="Arial" w:cs="Arial" w:eastAsia="Arial" w:hAnsi="Arial"/>
                <w:sz w:val="13"/>
                <w:szCs w:val="13"/>
                <w:color w:val="0000FF"/>
                <w:w w:val="95"/>
              </w:rPr>
              <w:t>03/09/2031</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restart"/>
          </w:tcPr>
          <w:p>
            <w:pPr>
              <w:jc w:val="right"/>
              <w:ind w:right="261"/>
              <w:spacing w:after="0" w:line="141" w:lineRule="exact"/>
              <w:rPr>
                <w:sz w:val="20"/>
                <w:szCs w:val="20"/>
                <w:color w:val="auto"/>
              </w:rPr>
            </w:pPr>
            <w:r>
              <w:rPr>
                <w:rFonts w:ascii="Arial" w:cs="Arial" w:eastAsia="Arial" w:hAnsi="Arial"/>
                <w:sz w:val="13"/>
                <w:szCs w:val="13"/>
                <w:color w:val="0000FF"/>
              </w:rPr>
              <w:t>8,413</w:t>
            </w:r>
          </w:p>
        </w:tc>
        <w:tc>
          <w:tcPr>
            <w:tcW w:w="74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04/01/2022</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5"/>
              <w:spacing w:after="0"/>
              <w:rPr>
                <w:sz w:val="20"/>
                <w:szCs w:val="20"/>
                <w:color w:val="auto"/>
              </w:rPr>
            </w:pPr>
            <w:r>
              <w:rPr>
                <w:rFonts w:ascii="Arial" w:cs="Arial" w:eastAsia="Arial" w:hAnsi="Arial"/>
                <w:sz w:val="17"/>
                <w:szCs w:val="17"/>
                <w:color w:val="0000FF"/>
                <w:w w:val="84"/>
              </w:rPr>
              <w:t>72,461</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0.69</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03/08/2021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jc w:val="right"/>
              <w:ind w:right="1"/>
              <w:spacing w:after="0" w:line="138" w:lineRule="exact"/>
              <w:rPr>
                <w:sz w:val="20"/>
                <w:szCs w:val="20"/>
                <w:color w:val="auto"/>
              </w:rPr>
            </w:pPr>
            <w:r>
              <w:rPr>
                <w:rFonts w:ascii="Arial" w:cs="Arial" w:eastAsia="Arial" w:hAnsi="Arial"/>
                <w:sz w:val="13"/>
                <w:szCs w:val="13"/>
                <w:color w:val="0000FF"/>
              </w:rPr>
              <w:t>72,461</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03/08/2031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right"/>
              <w:ind w:right="221"/>
              <w:spacing w:after="0" w:line="138" w:lineRule="exact"/>
              <w:rPr>
                <w:sz w:val="20"/>
                <w:szCs w:val="20"/>
                <w:color w:val="auto"/>
              </w:rPr>
            </w:pPr>
            <w:r>
              <w:rPr>
                <w:rFonts w:ascii="Arial" w:cs="Arial" w:eastAsia="Arial" w:hAnsi="Arial"/>
                <w:sz w:val="13"/>
                <w:szCs w:val="13"/>
                <w:color w:val="0000FF"/>
              </w:rPr>
              <w:t>72,461</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74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Non-Qualfied Stock Options ("Stock Options") represent a discretionary award to the Reporting Person pursuant to the Company's 2016 Incentive Compenstion Plan. The Stock Options become exercisable in three equal installments on March 9, 2022, March 9, 2023 and March 9, 2024.</w:t>
      </w:r>
    </w:p>
    <w:p>
      <w:pPr>
        <w:spacing w:after="0" w:line="26" w:lineRule="exact"/>
        <w:rPr>
          <w:rFonts w:ascii="Arial" w:cs="Arial" w:eastAsia="Arial" w:hAnsi="Arial"/>
          <w:sz w:val="13"/>
          <w:szCs w:val="13"/>
          <w:color w:val="008000"/>
        </w:rPr>
      </w:pPr>
    </w:p>
    <w:p>
      <w:pPr>
        <w:ind w:left="40" w:right="38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represent the time-based portion of the 2021-2023 Long-Term Incentive Plan award to the Reporting Person. The Stock Options become exercisable in four equal installments on April 1, 2022, April 1, 2023, April 1, 2024 and April 1, 2025.</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Ujjwal Dhoot</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03/10/2021</w:t>
            </w:r>
          </w:p>
        </w:tc>
      </w:tr>
      <w:tr>
        <w:trPr>
          <w:trHeight w:val="20"/>
        </w:trPr>
        <w:tc>
          <w:tcPr>
            <w:tcW w:w="9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12939"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2021-03-10T15:33:59Z</dcterms:created>
  <dcterms:modified xsi:type="dcterms:W3CDTF">2021-03-10T15:33:59Z</dcterms:modified>
</cp:coreProperties>
</file>