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(Rule 13d-101)</w:t>
      </w:r>
    </w:p>
    <w:p>
      <w:pPr>
        <w:spacing w:after="0" w:line="18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22"/>
          <w:szCs w:val="22"/>
          <w:color w:val="auto"/>
        </w:rPr>
        <w:t>INFORMATION TO BE INCLUDED IN STATEMENTS FILED PURSUANT</w:t>
      </w:r>
    </w:p>
    <w:p>
      <w:pPr>
        <w:spacing w:after="0" w:line="4"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color w:val="auto"/>
        </w:rPr>
        <w:t>TO § 240.13d-1(a) AND AMENDMENTS THERETO FILED PURSUANT TO</w:t>
      </w:r>
    </w:p>
    <w:p>
      <w:pPr>
        <w:ind w:left="4720" w:right="4700" w:firstLine="262"/>
        <w:spacing w:after="0" w:line="466" w:lineRule="auto"/>
        <w:tabs>
          <w:tab w:leader="none" w:pos="5143"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240.13d-2(a) (Amendment No. 1)</w:t>
      </w:r>
      <w:r>
        <w:rPr>
          <w:rFonts w:ascii="Times New Roman" w:cs="Times New Roman" w:eastAsia="Times New Roman" w:hAnsi="Times New Roman"/>
          <w:sz w:val="11"/>
          <w:szCs w:val="11"/>
          <w:color w:val="auto"/>
        </w:rPr>
        <w:t>1</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Destination XL Group, Inc.</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Common Stock, par value $0.01 per share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25065K104</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Kenneth Mantel, Esq.</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Olshan Frome Wolosky LLP</w:t>
      </w:r>
    </w:p>
    <w:p>
      <w:pPr>
        <w:jc w:val="center"/>
        <w:ind w:right="-19"/>
        <w:spacing w:after="0" w:line="235" w:lineRule="auto"/>
        <w:rPr>
          <w:sz w:val="20"/>
          <w:szCs w:val="20"/>
          <w:color w:val="auto"/>
        </w:rPr>
      </w:pPr>
      <w:r>
        <w:rPr>
          <w:rFonts w:ascii="Times New Roman" w:cs="Times New Roman" w:eastAsia="Times New Roman" w:hAnsi="Times New Roman"/>
          <w:sz w:val="22"/>
          <w:szCs w:val="22"/>
          <w:color w:val="auto"/>
        </w:rPr>
        <w:t>1325 Avenue of the Americas</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New York, New York 10019</w:t>
      </w:r>
    </w:p>
    <w:p>
      <w:pPr>
        <w:jc w:val="center"/>
        <w:ind w:right="-19"/>
        <w:spacing w:after="0" w:line="230" w:lineRule="auto"/>
        <w:rPr>
          <w:sz w:val="20"/>
          <w:szCs w:val="20"/>
          <w:color w:val="auto"/>
        </w:rPr>
      </w:pPr>
      <w:r>
        <w:rPr>
          <w:rFonts w:ascii="Times New Roman" w:cs="Times New Roman" w:eastAsia="Times New Roman" w:hAnsi="Times New Roman"/>
          <w:sz w:val="22"/>
          <w:szCs w:val="22"/>
          <w:u w:val="single" w:color="auto"/>
          <w:color w:val="auto"/>
        </w:rPr>
        <w:t>(212) 451-2300</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July 5, 2024</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18" w:lineRule="exact"/>
        <w:rPr>
          <w:sz w:val="24"/>
          <w:szCs w:val="24"/>
          <w:color w:val="auto"/>
        </w:rPr>
      </w:pPr>
    </w:p>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8" w:lineRule="exact"/>
        <w:rPr>
          <w:sz w:val="24"/>
          <w:szCs w:val="24"/>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both"/>
        <w:ind w:firstLine="8"/>
        <w:spacing w:after="0" w:line="244" w:lineRule="auto"/>
        <w:tabs>
          <w:tab w:leader="none" w:pos="81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25065K104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Fund 1 Investments,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70"/>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5"/>
        </w:trPr>
        <w:tc>
          <w:tcPr>
            <w:tcW w:w="40" w:type="dxa"/>
            <w:vAlign w:val="bottom"/>
            <w:tcBorders>
              <w:right w:val="single" w:sz="8" w:color="auto"/>
            </w:tcBorders>
            <w:shd w:val="clear" w:color="auto" w:fill="000000"/>
          </w:tcPr>
          <w:p>
            <w:pPr>
              <w:spacing w:after="0"/>
              <w:rPr>
                <w:sz w:val="17"/>
                <w:szCs w:val="17"/>
                <w:color w:val="auto"/>
              </w:rPr>
            </w:pPr>
          </w:p>
        </w:tc>
        <w:tc>
          <w:tcPr>
            <w:tcW w:w="16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5,732,261</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5,732,261</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5,732,261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 HC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25065K104</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constitutes Amendment No. 1 to the Schedule 13D filed by the undersigned (“Amendment No. 1”). This Amendment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amends the Schedule 13D as specifically set forth herein.</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Contracts, Arrangements, Understandings or Relationships With Respect to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6 is hereby amended and restated to read as follows: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Reporting Person has entered into certain cash-settled swap agreements with an unaffiliated third-party financial institution (the “Cash-Settled Swaps”). Collectively, the Cash-Settled Swaps held by the Reporting Person represent economic exposure to an aggregate of 5,136,073 notional Shares, representing approximately 8.8% of the outstanding Shares. The Cash-Settled Swaps provide the Reporting person with economic results that are comparable to the economic results of ownership, but do not provide it with the power to vote or direct the voting, or dispose of or direct the disposition, of the Shares that are subject to the Cash-Settled Swaps.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Other than as described herein, there are no contracts, arrangements, understandings or relationships between the Reporting Person and any other person, with respect to the securities of the Issuer.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25065K104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11, 2024</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FUND 1 INVESTMENTS, LLC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Benjamin C. Cable</w:t>
            </w:r>
          </w:p>
        </w:tc>
      </w:tr>
      <w:tr>
        <w:trPr>
          <w:trHeight w:val="191"/>
        </w:trPr>
        <w:tc>
          <w:tcPr>
            <w:tcW w:w="68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Benjamin C. Cable</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2024-07-11T15:53:01Z</dcterms:created>
  <dcterms:modified xsi:type="dcterms:W3CDTF">2024-07-11T15:53:01Z</dcterms:modified>
</cp:coreProperties>
</file>