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3, 2005</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039"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16" w:lineRule="exact"/>
        <w:rPr>
          <w:sz w:val="24"/>
          <w:szCs w:val="24"/>
          <w:color w:val="auto"/>
        </w:rPr>
      </w:pPr>
    </w:p>
    <w:p>
      <w:pPr>
        <w:sectPr>
          <w:pgSz w:w="11900" w:h="16838" w:orient="portrait"/>
          <w:cols w:equalWidth="0" w:num="2">
            <w:col w:w="5300" w:space="720"/>
            <w:col w:w="4199"/>
          </w:cols>
          <w:pgMar w:left="240" w:top="447" w:right="1440" w:bottom="1039" w:gutter="0" w:footer="0" w:header="0"/>
          <w:type w:val="continuous"/>
        </w:sectPr>
      </w:pPr>
    </w:p>
    <w:p>
      <w:pPr>
        <w:ind w:left="5700"/>
        <w:spacing w:after="0"/>
        <w:rPr>
          <w:sz w:val="20"/>
          <w:szCs w:val="20"/>
          <w:color w:val="auto"/>
        </w:rPr>
      </w:pPr>
      <w:r>
        <w:rPr>
          <w:rFonts w:ascii="Courier New" w:cs="Courier New" w:eastAsia="Courier New" w:hAnsi="Courier New"/>
          <w:sz w:val="18"/>
          <w:szCs w:val="18"/>
          <w:color w:val="auto"/>
        </w:rPr>
        <w:t>Identification Number)</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10" w:lineRule="exact"/>
        <w:rPr>
          <w:sz w:val="24"/>
          <w:szCs w:val="24"/>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420" w:right="2619" w:hanging="412"/>
        <w:spacing w:after="0" w:line="235" w:lineRule="auto"/>
        <w:tabs>
          <w:tab w:leader="none" w:pos="20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420" w:right="2839" w:hanging="412"/>
        <w:spacing w:after="0" w:line="235" w:lineRule="auto"/>
        <w:tabs>
          <w:tab w:leader="none" w:pos="20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 under the Exchange Act (17 CFR 240.14a-12)</w:t>
      </w:r>
    </w:p>
    <w:p>
      <w:pPr>
        <w:spacing w:after="0" w:line="208" w:lineRule="exact"/>
        <w:rPr>
          <w:sz w:val="24"/>
          <w:szCs w:val="24"/>
          <w:color w:val="auto"/>
        </w:rPr>
      </w:pPr>
    </w:p>
    <w:p>
      <w:pPr>
        <w:ind w:left="420" w:right="2739" w:hanging="412"/>
        <w:spacing w:after="0" w:line="235" w:lineRule="auto"/>
        <w:tabs>
          <w:tab w:leader="none" w:pos="20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Act(17 CFR 240.14d-2(b))</w:t>
      </w:r>
    </w:p>
    <w:p>
      <w:pPr>
        <w:spacing w:after="0" w:line="208" w:lineRule="exact"/>
        <w:rPr>
          <w:sz w:val="24"/>
          <w:szCs w:val="24"/>
          <w:color w:val="auto"/>
        </w:rPr>
      </w:pPr>
    </w:p>
    <w:p>
      <w:pPr>
        <w:ind w:left="420" w:right="2739" w:hanging="412"/>
        <w:spacing w:after="0" w:line="235" w:lineRule="auto"/>
        <w:tabs>
          <w:tab w:leader="none" w:pos="20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Act(17 CFR 240.13e-4(c))</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3, 2005, Casual Male Retail Group, Inc. (the "Company") issued a press release announcing the Company's sales for the third quarter and nine months ended October 29, 2005. A copy of this press release is attached hereto as Exhibit 99.1.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4"/>
          <w:szCs w:val="24"/>
          <w:color w:val="auto"/>
        </w:rPr>
      </w:pPr>
    </w:p>
    <w:p>
      <w:pPr>
        <w:jc w:val="center"/>
        <w:ind w:right="7259"/>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tabs>
          <w:tab w:leader="none" w:pos="21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8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announcing sales for the third quarter</w:t>
      </w:r>
    </w:p>
    <w:p>
      <w:pPr>
        <w:spacing w:after="0" w:line="3" w:lineRule="exact"/>
        <w:rPr>
          <w:sz w:val="24"/>
          <w:szCs w:val="24"/>
          <w:color w:val="auto"/>
        </w:rPr>
      </w:pPr>
    </w:p>
    <w:p>
      <w:pPr>
        <w:ind w:left="640" w:right="3159"/>
        <w:spacing w:after="0" w:line="235" w:lineRule="auto"/>
        <w:rPr>
          <w:sz w:val="20"/>
          <w:szCs w:val="20"/>
          <w:color w:val="auto"/>
        </w:rPr>
      </w:pPr>
      <w:r>
        <w:rPr>
          <w:rFonts w:ascii="Courier New" w:cs="Courier New" w:eastAsia="Courier New" w:hAnsi="Courier New"/>
          <w:sz w:val="18"/>
          <w:szCs w:val="18"/>
          <w:color w:val="auto"/>
        </w:rPr>
        <w:t>and nine months ended October 29, 2005 for Casual Male Retail Group, Inc.</w:t>
      </w:r>
    </w:p>
    <w:p>
      <w:pPr>
        <w:sectPr>
          <w:pgSz w:w="11900" w:h="16838" w:orient="portrait"/>
          <w:cols w:equalWidth="0" w:num="1">
            <w:col w:w="10219"/>
          </w:cols>
          <w:pgMar w:left="240" w:top="447" w:right="1440" w:bottom="1039"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8" w:lineRule="auto"/>
        <w:rPr>
          <w:sz w:val="20"/>
          <w:szCs w:val="20"/>
          <w:color w:val="auto"/>
        </w:rPr>
      </w:pPr>
      <w:r>
        <w:rPr>
          <w:rFonts w:ascii="Courier New" w:cs="Courier New" w:eastAsia="Courier New" w:hAnsi="Courier New"/>
          <w:sz w:val="18"/>
          <w:szCs w:val="18"/>
          <w:color w:val="auto"/>
        </w:rPr>
        <w:t>Title: Executive Vice President</w:t>
      </w:r>
    </w:p>
    <w:p>
      <w:pPr>
        <w:ind w:left="560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3, 2005</w:t>
      </w:r>
    </w:p>
    <w:p>
      <w:pPr>
        <w:sectPr>
          <w:pgSz w:w="11900" w:h="16838" w:orient="portrait"/>
          <w:cols w:equalWidth="0" w:num="1">
            <w:col w:w="10219"/>
          </w:cols>
          <w:pgMar w:left="240" w:top="144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Contact: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 Investor Relations</w:t>
      </w:r>
    </w:p>
    <w:p>
      <w:pPr>
        <w:spacing w:after="0" w:line="238" w:lineRule="auto"/>
        <w:rPr>
          <w:sz w:val="20"/>
          <w:szCs w:val="20"/>
          <w:color w:val="auto"/>
        </w:rPr>
      </w:pPr>
      <w:r>
        <w:rPr>
          <w:rFonts w:ascii="Courier New" w:cs="Courier New" w:eastAsia="Courier New" w:hAnsi="Courier New"/>
          <w:sz w:val="18"/>
          <w:szCs w:val="18"/>
          <w:color w:val="auto"/>
        </w:rPr>
        <w:t>(561) 514-0115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Andrew Bard, Weber Shandwick Worldwide</w:t>
      </w:r>
    </w:p>
    <w:p>
      <w:pPr>
        <w:spacing w:after="0" w:line="238" w:lineRule="auto"/>
        <w:rPr>
          <w:sz w:val="20"/>
          <w:szCs w:val="20"/>
          <w:color w:val="auto"/>
        </w:rPr>
      </w:pPr>
      <w:r>
        <w:rPr>
          <w:rFonts w:ascii="Courier New" w:cs="Courier New" w:eastAsia="Courier New" w:hAnsi="Courier New"/>
          <w:sz w:val="18"/>
          <w:szCs w:val="18"/>
          <w:color w:val="auto"/>
        </w:rPr>
        <w:t>(212) 445-8368</w:t>
      </w:r>
    </w:p>
    <w:p>
      <w:pPr>
        <w:spacing w:after="0" w:line="200" w:lineRule="exact"/>
        <w:rPr>
          <w:sz w:val="20"/>
          <w:szCs w:val="20"/>
          <w:color w:val="auto"/>
        </w:rPr>
      </w:pPr>
    </w:p>
    <w:p>
      <w:pPr>
        <w:spacing w:after="0" w:line="21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Casual Male Retail Group Reports Total Sales Increase of 25.7% and Comparable Store Sales Increase of 3.7% for Third Quarter Fiscal 2005</w:t>
      </w:r>
    </w:p>
    <w:p>
      <w:pPr>
        <w:spacing w:after="0" w:line="372"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CANTON, MA, November 3, 2005 -- Casual Male Retail Group, Inc. (NASDAQ/NMS: "CMRG"), retail brand operator of Casual Male Big &amp; Tall and Rochester Big &amp; Tall, today reported its sales results for the third quarter of fiscal 2005.</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Total sales for the 13 week period ended October 29, 2005 increased 25.7% to $93.8 million from $74.6 million for the prior year's 13 week period ended October 30, 2004. Comparable store sales for the third quarter of fiscal 2005 increased 3.7% when compared with the third quarter of fiscal 2004.</w:t>
      </w:r>
    </w:p>
    <w:p>
      <w:pPr>
        <w:spacing w:after="0" w:line="209" w:lineRule="exact"/>
        <w:rPr>
          <w:sz w:val="20"/>
          <w:szCs w:val="20"/>
          <w:color w:val="auto"/>
        </w:rPr>
      </w:pPr>
    </w:p>
    <w:p>
      <w:pPr>
        <w:ind w:right="2739"/>
        <w:spacing w:after="0" w:line="275" w:lineRule="auto"/>
        <w:rPr>
          <w:sz w:val="20"/>
          <w:szCs w:val="20"/>
          <w:color w:val="auto"/>
        </w:rPr>
      </w:pPr>
      <w:r>
        <w:rPr>
          <w:rFonts w:ascii="Courier New" w:cs="Courier New" w:eastAsia="Courier New" w:hAnsi="Courier New"/>
          <w:sz w:val="16"/>
          <w:szCs w:val="16"/>
          <w:color w:val="auto"/>
        </w:rPr>
        <w:t>For the nine months ended October 29, 2005, total sales increased 24.5% to $291.7 million from $234.3 million for the nine months ended October 30, 2004. Comparable store sales for the nine months of fiscal 2005 increased 3.1% when compared with the nine months of the prior year.</w:t>
      </w:r>
    </w:p>
    <w:p>
      <w:pPr>
        <w:spacing w:after="0" w:line="182"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CMRG's sales results for the prior fiscal periods exclude sales related to its divested Other Branded Apparel Businesses and include all Rochester Big &amp; Tall sales as of the acquisition date of October 29, 2004. The comparable store sales performance includes prior year sales for Rochester Big &amp; Tall for the similar reporting periods.</w:t>
      </w:r>
    </w:p>
    <w:p>
      <w:pPr>
        <w:spacing w:after="0" w:line="209"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"This is our eighth consecutive quarter of positive comp sales and we anticipate gross margin improvement of at least 100 basis points and SG&amp;A expenses to be consistent with prior quarter levels. In line with our internal expectations, the Company expects to report a loss for the third quarter in the range of $0.04 to $0.06 per diluted share," said David Levin, Chief Executive Officer and President of Casual Male.</w:t>
      </w:r>
    </w:p>
    <w:p>
      <w:pPr>
        <w:spacing w:after="0" w:line="186"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Company will hold an Analyst Day on November 8, 2005 at its corporate headquarters in Canton, Massachusetts. The Analyst Day will be web cast at http://www.casualmale.com/investor from 10:00 am to 2:00 pm EST.</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The Company will release third quarter fiscal 2005 earnings on November 17, 2005 and will hold a conference call and web cast at http://www.casualmale.com/investor.</w:t>
      </w: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209"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with retail operations throughout the United States, Canada and London, England, operates 491 Casual Male Big &amp; Tall stores, the Casual Male e-commerce site, Casual Male catalog business, 13 Casual Male at Sears-Canada stores, 23 Rochester Big &amp; Tall stores and a direct to consumer business. The Company is headquartered in Canton, Massachusetts, and its common stock is listed on the NASDAQ National Market under the symbol "CMRG."</w:t>
      </w:r>
    </w:p>
    <w:p>
      <w:pPr>
        <w:spacing w:after="0" w:line="212"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381" w:lineRule="exact"/>
        <w:rPr>
          <w:sz w:val="20"/>
          <w:szCs w:val="20"/>
          <w:color w:val="auto"/>
        </w:rPr>
      </w:pPr>
    </w:p>
    <w:p>
      <w:pPr>
        <w:spacing w:after="0"/>
        <w:tabs>
          <w:tab w:leader="none" w:pos="840" w:val="left"/>
          <w:tab w:leader="none" w:pos="1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78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2019-12-19T22:00:12Z</dcterms:created>
  <dcterms:modified xsi:type="dcterms:W3CDTF">2019-12-19T22:00:12Z</dcterms:modified>
</cp:coreProperties>
</file>