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902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028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HUSIC FRANK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line="159" w:lineRule="exact"/>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restart"/>
          </w:tcPr>
          <w:p>
            <w:pPr>
              <w:ind w:left="60"/>
              <w:spacing w:after="0" w:line="113"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9"/>
                <w:szCs w:val="9"/>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gridSpan w:val="5"/>
          </w:tcPr>
          <w:p>
            <w:pPr>
              <w:ind w:left="280"/>
              <w:spacing w:after="0"/>
              <w:rPr>
                <w:sz w:val="20"/>
                <w:szCs w:val="20"/>
                <w:color w:val="auto"/>
              </w:rPr>
            </w:pPr>
            <w:r>
              <w:rPr>
                <w:rFonts w:ascii="Arial" w:cs="Arial" w:eastAsia="Arial" w:hAnsi="Arial"/>
                <w:sz w:val="17"/>
                <w:szCs w:val="17"/>
                <w:color w:val="0000FF"/>
              </w:rPr>
              <w:t>08/07/2003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2960" w:type="dxa"/>
            <w:vAlign w:val="bottom"/>
            <w:tcBorders>
              <w:bottom w:val="single" w:sz="8" w:color="2C2C2C"/>
            </w:tcBorders>
            <w:gridSpan w:val="5"/>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96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line="20" w:lineRule="exact"/>
              <w:rPr>
                <w:sz w:val="1"/>
                <w:szCs w:val="1"/>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gridSpan w:val="9"/>
            <w:vMerge w:val="continue"/>
          </w:tcPr>
          <w:p>
            <w:pPr>
              <w:spacing w:after="0"/>
              <w:rPr>
                <w:sz w:val="13"/>
                <w:szCs w:val="13"/>
                <w:color w:val="auto"/>
              </w:rPr>
            </w:pPr>
          </w:p>
        </w:tc>
        <w:tc>
          <w:tcPr>
            <w:tcW w:w="200" w:type="dxa"/>
            <w:vAlign w:val="bottom"/>
          </w:tcPr>
          <w:p>
            <w:pPr>
              <w:spacing w:after="0"/>
              <w:rPr>
                <w:sz w:val="13"/>
                <w:szCs w:val="13"/>
                <w:color w:val="auto"/>
              </w:rPr>
            </w:pPr>
          </w:p>
        </w:tc>
        <w:tc>
          <w:tcPr>
            <w:tcW w:w="35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restart"/>
          </w:tcPr>
          <w:p>
            <w:pPr>
              <w:spacing w:after="0"/>
              <w:rPr>
                <w:sz w:val="11"/>
                <w:szCs w:val="11"/>
                <w:color w:val="auto"/>
              </w:rPr>
            </w:pPr>
          </w:p>
        </w:tc>
        <w:tc>
          <w:tcPr>
            <w:tcW w:w="3560" w:type="dxa"/>
            <w:vAlign w:val="bottom"/>
            <w:gridSpan w:val="10"/>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92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$.01 par value</w:t>
            </w:r>
          </w:p>
        </w:tc>
        <w:tc>
          <w:tcPr>
            <w:tcW w:w="1920" w:type="dxa"/>
            <w:vAlign w:val="bottom"/>
            <w:tcBorders>
              <w:bottom w:val="single" w:sz="8" w:color="2C2C2C"/>
            </w:tcBorders>
            <w:gridSpan w:val="5"/>
          </w:tcPr>
          <w:p>
            <w:pPr>
              <w:ind w:left="940"/>
              <w:spacing w:after="0"/>
              <w:rPr>
                <w:sz w:val="20"/>
                <w:szCs w:val="20"/>
                <w:color w:val="auto"/>
              </w:rPr>
            </w:pPr>
            <w:r>
              <w:rPr>
                <w:rFonts w:ascii="Arial" w:cs="Arial" w:eastAsia="Arial" w:hAnsi="Arial"/>
                <w:sz w:val="17"/>
                <w:szCs w:val="17"/>
                <w:color w:val="0000FF"/>
              </w:rPr>
              <w:t>08/07/2003</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499</w:t>
            </w:r>
          </w:p>
        </w:tc>
        <w:tc>
          <w:tcPr>
            <w:tcW w:w="70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6.01</w:t>
            </w:r>
          </w:p>
        </w:tc>
        <w:tc>
          <w:tcPr>
            <w:tcW w:w="1300" w:type="dxa"/>
            <w:vAlign w:val="bottom"/>
            <w:tcBorders>
              <w:bottom w:val="single" w:sz="8" w:color="2C2C2C"/>
            </w:tcBorders>
            <w:gridSpan w:val="3"/>
          </w:tcPr>
          <w:p>
            <w:pPr>
              <w:ind w:left="460"/>
              <w:spacing w:after="0" w:line="320" w:lineRule="exact"/>
              <w:rPr>
                <w:sz w:val="20"/>
                <w:szCs w:val="20"/>
                <w:color w:val="auto"/>
              </w:rPr>
            </w:pPr>
            <w:r>
              <w:rPr>
                <w:rFonts w:ascii="Arial" w:cs="Arial" w:eastAsia="Arial" w:hAnsi="Arial"/>
                <w:sz w:val="34"/>
                <w:szCs w:val="34"/>
                <w:color w:val="0000FF"/>
                <w:vertAlign w:val="subscript"/>
              </w:rPr>
              <w:t>499</w:t>
            </w:r>
            <w:r>
              <w:rPr>
                <w:rFonts w:ascii="Arial" w:cs="Arial" w:eastAsia="Arial" w:hAnsi="Arial"/>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40" w:type="dxa"/>
            <w:vAlign w:val="bottom"/>
            <w:gridSpan w:val="15"/>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08/07/2003</w:t>
            </w:r>
            <w:r>
              <w:rPr>
                <w:rFonts w:ascii="Arial" w:cs="Arial" w:eastAsia="Arial" w:hAnsi="Arial"/>
                <w:sz w:val="22"/>
                <w:szCs w:val="22"/>
                <w:color w:val="008000"/>
                <w:vertAlign w:val="superscript"/>
              </w:rPr>
              <w:t>(3)</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(4)</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6.01</w:t>
            </w:r>
          </w:p>
        </w:tc>
        <w:tc>
          <w:tcPr>
            <w:tcW w:w="1100" w:type="dxa"/>
            <w:vAlign w:val="bottom"/>
            <w:gridSpan w:val="2"/>
          </w:tcPr>
          <w:p>
            <w:pPr>
              <w:jc w:val="right"/>
              <w:ind w:right="153"/>
              <w:spacing w:after="0" w:line="144" w:lineRule="exact"/>
              <w:rPr>
                <w:sz w:val="20"/>
                <w:szCs w:val="20"/>
                <w:color w:val="auto"/>
              </w:rPr>
            </w:pPr>
            <w:r>
              <w:rPr>
                <w:rFonts w:ascii="Arial" w:cs="Arial" w:eastAsia="Arial" w:hAnsi="Arial"/>
                <w:sz w:val="13"/>
                <w:szCs w:val="13"/>
                <w:color w:val="0000FF"/>
              </w:rPr>
              <w:t>08/07/2003</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4" w:lineRule="exact"/>
              <w:rPr>
                <w:sz w:val="20"/>
                <w:szCs w:val="20"/>
                <w:color w:val="auto"/>
              </w:rPr>
            </w:pPr>
            <w:r>
              <w:rPr>
                <w:rFonts w:ascii="Arial" w:cs="Arial" w:eastAsia="Arial" w:hAnsi="Arial"/>
                <w:sz w:val="13"/>
                <w:szCs w:val="13"/>
                <w:color w:val="0000FF"/>
              </w:rPr>
              <w:t>15,000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0000FF"/>
                <w:w w:val="92"/>
              </w:rPr>
              <w:t>08/07/2013</w:t>
            </w:r>
          </w:p>
        </w:tc>
        <w:tc>
          <w:tcPr>
            <w:tcW w:w="70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160"/>
              <w:spacing w:after="0" w:line="134"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issued in lieu of certain director's fees for participation in meetings of the Board of Directors and certain of its committees.</w:t>
      </w:r>
    </w:p>
    <w:p>
      <w:pPr>
        <w:spacing w:after="0" w:line="50" w:lineRule="exact"/>
        <w:rPr>
          <w:rFonts w:ascii="Arial" w:cs="Arial" w:eastAsia="Arial" w:hAnsi="Arial"/>
          <w:sz w:val="13"/>
          <w:szCs w:val="13"/>
          <w:color w:val="008000"/>
        </w:rPr>
      </w:pPr>
    </w:p>
    <w:p>
      <w:pPr>
        <w:ind w:left="40" w:right="140" w:firstLine="7"/>
        <w:spacing w:after="0" w:line="274"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indirectly has sole voting and dispositive power with respect to 1,591,344 shares of the Issuer's common stock, over which Husic Capital Management, a California limited partnership and registered investment adviser, has discretionary authority to buy, sell or vote (the "Investment Adviser"). The Investment Adviser's sole partner is Frank J. Husic and Co., a California corporation (the "General Partner"). Such 1,591,344 shares are indirectly beneficially owned by the Reporting Person based on the relationship of the Reporting Person to the Investment Adviser and the General Partner. However, the Reporting Person, Investment Adviser and General Partner disclaim any beneficial ownership in the subject security except to the extent of their pecuniary interest.</w:t>
      </w:r>
    </w:p>
    <w:p>
      <w:pPr>
        <w:spacing w:after="0" w:line="9"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5,000 share are currently exercisable and 5,000 shares will become exercisable on each of August 7, 2004 and August 7, 2005.</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has previously reported a grant of options to purchase an aggregate of 15,000 shares of the Issuer's common stock.</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Arlene C. Feldman,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08/08/2003</w:t>
            </w:r>
          </w:p>
        </w:tc>
        <w:tc>
          <w:tcPr>
            <w:tcW w:w="0" w:type="dxa"/>
            <w:vAlign w:val="bottom"/>
          </w:tcPr>
          <w:p>
            <w:pPr>
              <w:spacing w:after="0"/>
              <w:rPr>
                <w:sz w:val="1"/>
                <w:szCs w:val="1"/>
                <w:color w:val="auto"/>
              </w:rPr>
            </w:pPr>
          </w:p>
        </w:tc>
      </w:tr>
      <w:tr>
        <w:trPr>
          <w:trHeight w:val="92"/>
        </w:trPr>
        <w:tc>
          <w:tcPr>
            <w:tcW w:w="208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 for Frank J. Husic</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18220"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2019-12-16T05:14:08Z</dcterms:created>
  <dcterms:modified xsi:type="dcterms:W3CDTF">2019-12-16T05:14:08Z</dcterms:modified>
</cp:coreProperties>
</file>