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91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9110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3"/>
            <w:vMerge w:val="restart"/>
          </w:tcPr>
          <w:p>
            <w:pPr>
              <w:spacing w:after="0" w:line="250" w:lineRule="exact"/>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HOLTZMAN SEYMOUR</w:t>
              </w:r>
            </w:hyperlink>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CASUAL MALE RETAIL GROUP INC </w:t>
              </w:r>
            </w:hyperlink>
            <w:r>
              <w:rPr>
                <w:rFonts w:ascii="Times New Roman" w:cs="Times New Roman" w:eastAsia="Times New Roman" w:hAnsi="Times New Roman"/>
                <w:sz w:val="12"/>
                <w:szCs w:val="12"/>
                <w:color w:val="000000"/>
              </w:rPr>
              <w:t>[</w:t>
            </w:r>
          </w:p>
        </w:tc>
        <w:tc>
          <w:tcPr>
            <w:tcW w:w="13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1"/>
              </w:rPr>
              <w:t>X</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tcBorders>
              <w:bottom w:val="single" w:sz="8" w:color="0000EE"/>
            </w:tcBorders>
            <w:gridSpan w:val="3"/>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 xml:space="preserve">CMRG </w:t>
            </w:r>
            <w:r>
              <w:rPr>
                <w:rFonts w:ascii="Times New Roman" w:cs="Times New Roman" w:eastAsia="Times New Roman" w:hAnsi="Times New Roman"/>
                <w:sz w:val="21"/>
                <w:szCs w:val="21"/>
                <w:color w:val="000000"/>
              </w:rPr>
              <w:t>]</w:t>
            </w: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20" w:type="dxa"/>
            <w:vAlign w:val="bottom"/>
            <w:gridSpan w:val="3"/>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32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500" w:type="dxa"/>
            <w:vAlign w:val="bottom"/>
            <w:vMerge w:val="continue"/>
          </w:tcPr>
          <w:p>
            <w:pPr>
              <w:spacing w:after="0"/>
              <w:rPr>
                <w:sz w:val="9"/>
                <w:szCs w:val="9"/>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11/23/2011</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9"/>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gridSpan w:val="9"/>
            <w:vMerge w:val="restart"/>
          </w:tcPr>
          <w:p>
            <w:pPr>
              <w:ind w:left="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8"/>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2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840" w:type="dxa"/>
            <w:vAlign w:val="bottom"/>
            <w:tcBorders>
              <w:top w:val="single" w:sz="8" w:color="2C2C2C"/>
            </w:tcBorders>
            <w:gridSpan w:val="21"/>
          </w:tcPr>
          <w:p>
            <w:pPr>
              <w:jc w:val="center"/>
              <w:ind w:left="3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5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gridSpan w:val="4"/>
            <w:vMerge w:val="restart"/>
          </w:tcPr>
          <w:p>
            <w:pPr>
              <w:ind w:left="40"/>
              <w:spacing w:after="0"/>
              <w:rPr>
                <w:sz w:val="20"/>
                <w:szCs w:val="20"/>
                <w:color w:val="auto"/>
              </w:rPr>
            </w:pPr>
            <w:r>
              <w:rPr>
                <w:rFonts w:ascii="Arial" w:cs="Arial" w:eastAsia="Arial" w:hAnsi="Arial"/>
                <w:sz w:val="18"/>
                <w:szCs w:val="18"/>
                <w:color w:val="auto"/>
                <w:w w:val="95"/>
              </w:rPr>
              <w:t>$</w:t>
            </w:r>
            <w:r>
              <w:rPr>
                <w:rFonts w:ascii="Times New Roman" w:cs="Times New Roman" w:eastAsia="Times New Roman" w:hAnsi="Times New Roman"/>
                <w:sz w:val="18"/>
                <w:szCs w:val="18"/>
                <w:color w:val="0000FF"/>
                <w:w w:val="95"/>
              </w:rPr>
              <w:t>3.07</w:t>
            </w:r>
            <w:r>
              <w:rPr>
                <w:rFonts w:ascii="Times New Roman" w:cs="Times New Roman" w:eastAsia="Times New Roman" w:hAnsi="Times New Roman"/>
                <w:sz w:val="22"/>
                <w:szCs w:val="22"/>
                <w:color w:val="008000"/>
                <w:w w:val="95"/>
                <w:vertAlign w:val="superscript"/>
              </w:rPr>
              <w:t>(1)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0000FF"/>
              </w:rPr>
              <w:t>Common Stock, $.01 par value</w:t>
            </w:r>
          </w:p>
        </w:tc>
        <w:tc>
          <w:tcPr>
            <w:tcW w:w="142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0000FF"/>
                <w:w w:val="95"/>
              </w:rPr>
              <w:t>11/23/2011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0000FF"/>
              </w:rPr>
              <w:t>P</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13,000</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0000FF"/>
              </w:rPr>
              <w:t>141,300</w:t>
            </w:r>
          </w:p>
        </w:tc>
        <w:tc>
          <w:tcPr>
            <w:tcW w:w="300" w:type="dxa"/>
            <w:vAlign w:val="bottom"/>
          </w:tcPr>
          <w:p>
            <w:pPr>
              <w:spacing w:after="0"/>
              <w:rPr>
                <w:sz w:val="18"/>
                <w:szCs w:val="18"/>
                <w:color w:val="auto"/>
              </w:rPr>
            </w:pPr>
          </w:p>
        </w:tc>
        <w:tc>
          <w:tcPr>
            <w:tcW w:w="500" w:type="dxa"/>
            <w:vAlign w:val="bottom"/>
          </w:tcPr>
          <w:p>
            <w:pPr>
              <w:ind w:left="20"/>
              <w:spacing w:after="0" w:line="216"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(2)</w:t>
            </w: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Management,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0000FF"/>
              </w:rPr>
              <w:t>Common Stock, $.01 par value</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0000FF"/>
                <w:w w:val="97"/>
              </w:rPr>
              <w:t>4,054,815</w:t>
            </w:r>
          </w:p>
        </w:tc>
        <w:tc>
          <w:tcPr>
            <w:tcW w:w="30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260" w:type="dxa"/>
            <w:vAlign w:val="bottom"/>
            <w:tcBorders>
              <w:bottom w:val="single" w:sz="8" w:color="2C2C2C"/>
            </w:tcBorders>
            <w:gridSpan w:val="5"/>
          </w:tcPr>
          <w:p>
            <w:pPr>
              <w:spacing w:after="0"/>
              <w:rPr>
                <w:sz w:val="8"/>
                <w:szCs w:val="8"/>
                <w:color w:val="auto"/>
              </w:rPr>
            </w:pPr>
          </w:p>
        </w:tc>
        <w:tc>
          <w:tcPr>
            <w:tcW w:w="5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20" w:type="dxa"/>
            <w:vAlign w:val="bottom"/>
            <w:gridSpan w:val="16"/>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w:t>
            </w: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Price represents the weighted average price with respect to shares purchased on this date. This transaction was executed in multiple trades ranging from $3.07 to $3.08. The Reporting Person hereby undertakes to provide upon request to the SEC, the Issuer of any stockholder of the Issuer, full information regarding the number of shares and prices which the transaction was effected.</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is an indirect controlling shareholder of Jewelcor Management, Inc.</w:t>
      </w:r>
    </w:p>
    <w:p>
      <w:pPr>
        <w:spacing w:after="0" w:line="5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0000FF"/>
                <w:w w:val="96"/>
              </w:rPr>
              <w:t>Seymour Holtzman</w:t>
            </w:r>
          </w:p>
        </w:tc>
        <w:tc>
          <w:tcPr>
            <w:tcW w:w="7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2"/>
              </w:rPr>
              <w:t>11/25/2011</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2019-12-16T04:54:16Z</dcterms:created>
  <dcterms:modified xsi:type="dcterms:W3CDTF">2019-12-16T04:54:16Z</dcterms:modified>
</cp:coreProperties>
</file>