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Molloy Robert S</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420"/>
              <w:spacing w:after="0"/>
              <w:rPr>
                <w:sz w:val="20"/>
                <w:szCs w:val="20"/>
                <w:color w:val="auto"/>
              </w:rPr>
            </w:pPr>
            <w:r>
              <w:rPr>
                <w:rFonts w:ascii="Arial" w:cs="Arial" w:eastAsia="Arial" w:hAnsi="Arial"/>
                <w:sz w:val="17"/>
                <w:szCs w:val="17"/>
                <w:color w:val="0000FF"/>
              </w:rPr>
              <w:t>SVP, General Counsel</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28,025</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28,025</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28,025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Robert S. Molloy</w:t>
            </w:r>
          </w:p>
        </w:tc>
        <w:tc>
          <w:tcPr>
            <w:tcW w:w="10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2019-12-16T05:28:58Z</dcterms:created>
  <dcterms:modified xsi:type="dcterms:W3CDTF">2019-12-16T05:28:58Z</dcterms:modified>
</cp:coreProperties>
</file>