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2004</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spacing w:after="0" w:line="201"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640" w:right="347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The Clark Estates, Inc.</w:t>
      </w:r>
    </w:p>
    <w:p>
      <w:pPr>
        <w:ind w:left="640"/>
        <w:spacing w:after="0" w:line="234" w:lineRule="auto"/>
        <w:rPr>
          <w:sz w:val="20"/>
          <w:szCs w:val="20"/>
          <w:color w:val="auto"/>
        </w:rPr>
      </w:pPr>
      <w:r>
        <w:rPr>
          <w:rFonts w:ascii="Courier New" w:cs="Courier New" w:eastAsia="Courier New" w:hAnsi="Courier New"/>
          <w:sz w:val="18"/>
          <w:szCs w:val="18"/>
          <w:color w:val="auto"/>
        </w:rPr>
        <w:t>13-5524538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(SEE INSTRUCTIONS)</w:t>
      </w:r>
    </w:p>
    <w:p>
      <w:pPr>
        <w:ind w:left="7700"/>
        <w:spacing w:after="0" w:line="238" w:lineRule="auto"/>
        <w:rPr>
          <w:sz w:val="20"/>
          <w:szCs w:val="20"/>
          <w:color w:val="auto"/>
        </w:rPr>
      </w:pPr>
      <w:r>
        <w:rPr>
          <w:rFonts w:ascii="Courier New" w:cs="Courier New" w:eastAsia="Courier New" w:hAnsi="Courier New"/>
          <w:sz w:val="18"/>
          <w:szCs w:val="18"/>
          <w:color w:val="auto"/>
        </w:rPr>
        <w:t>(a) [_]</w:t>
      </w:r>
    </w:p>
    <w:p>
      <w:pPr>
        <w:ind w:left="7700"/>
        <w:spacing w:after="0"/>
        <w:rPr>
          <w:sz w:val="20"/>
          <w:szCs w:val="20"/>
          <w:color w:val="auto"/>
        </w:rPr>
      </w:pPr>
      <w:r>
        <w:rPr>
          <w:rFonts w:ascii="Courier New" w:cs="Courier New" w:eastAsia="Courier New" w:hAnsi="Courier New"/>
          <w:sz w:val="18"/>
          <w:szCs w:val="18"/>
          <w:color w:val="auto"/>
        </w:rPr>
        <w:t>(b) [_]</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632"/>
        <w:spacing w:after="0" w:line="238"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Courier New" w:cs="Courier New" w:eastAsia="Courier New" w:hAnsi="Courier New"/>
                <w:sz w:val="18"/>
                <w:szCs w:val="18"/>
                <w:color w:val="auto"/>
              </w:rPr>
              <w:t>2,646,324</w:t>
            </w:r>
          </w:p>
        </w:tc>
      </w:tr>
      <w:tr>
        <w:trPr>
          <w:trHeight w:val="203"/>
        </w:trPr>
        <w:tc>
          <w:tcPr>
            <w:tcW w:w="1360" w:type="dxa"/>
            <w:vAlign w:val="bottom"/>
          </w:tcPr>
          <w:p>
            <w:pPr>
              <w:spacing w:after="0"/>
              <w:rPr>
                <w:sz w:val="17"/>
                <w:szCs w:val="17"/>
                <w:color w:val="auto"/>
              </w:rPr>
            </w:pPr>
          </w:p>
        </w:tc>
        <w:tc>
          <w:tcPr>
            <w:tcW w:w="6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40" w:type="dxa"/>
            <w:vAlign w:val="bottom"/>
          </w:tcPr>
          <w:p>
            <w:pPr>
              <w:spacing w:after="0"/>
              <w:rPr>
                <w:sz w:val="17"/>
                <w:szCs w:val="17"/>
                <w:color w:val="auto"/>
              </w:rPr>
            </w:pPr>
          </w:p>
        </w:tc>
        <w:tc>
          <w:tcPr>
            <w:tcW w:w="6220" w:type="dxa"/>
            <w:vAlign w:val="bottom"/>
          </w:tcPr>
          <w:p>
            <w:pPr>
              <w:spacing w:after="0"/>
              <w:rPr>
                <w:sz w:val="17"/>
                <w:szCs w:val="17"/>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740" w:type="dxa"/>
            <w:vAlign w:val="bottom"/>
          </w:tcPr>
          <w:p>
            <w:pPr>
              <w:spacing w:after="0"/>
              <w:rPr>
                <w:sz w:val="17"/>
                <w:szCs w:val="17"/>
                <w:color w:val="auto"/>
              </w:rPr>
            </w:pP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spacing w:after="0"/>
              <w:rPr>
                <w:sz w:val="17"/>
                <w:szCs w:val="17"/>
                <w:color w:val="auto"/>
              </w:rPr>
            </w:pPr>
          </w:p>
        </w:tc>
        <w:tc>
          <w:tcPr>
            <w:tcW w:w="6220" w:type="dxa"/>
            <w:vAlign w:val="bottom"/>
          </w:tcPr>
          <w:p>
            <w:pPr>
              <w:spacing w:after="0"/>
              <w:rPr>
                <w:sz w:val="17"/>
                <w:szCs w:val="17"/>
                <w:color w:val="auto"/>
              </w:rPr>
            </w:pPr>
          </w:p>
        </w:tc>
      </w:tr>
      <w:tr>
        <w:trPr>
          <w:trHeight w:val="203"/>
        </w:trPr>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spacing w:after="0"/>
              <w:rPr>
                <w:sz w:val="17"/>
                <w:szCs w:val="17"/>
                <w:color w:val="auto"/>
              </w:rPr>
            </w:pPr>
          </w:p>
        </w:tc>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2,646,324</w:t>
            </w:r>
          </w:p>
        </w:tc>
      </w:tr>
    </w:tbl>
    <w:p>
      <w:pPr>
        <w:sectPr>
          <w:pgSz w:w="11900" w:h="16838" w:orient="portrait"/>
          <w:cols w:equalWidth="0" w:num="1">
            <w:col w:w="10219"/>
          </w:cols>
          <w:pgMar w:left="240" w:top="244" w:right="1440" w:bottom="0" w:gutter="0" w:footer="0" w:header="0"/>
        </w:sectPr>
      </w:pPr>
    </w:p>
    <w:bookmarkStart w:id="1" w:name="page2"/>
    <w:bookmarkEnd w:id="1"/>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220" w:right="5479" w:hanging="632"/>
        <w:spacing w:after="0" w:line="35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2,646,324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4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3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247,059 shares of common stock subject to warrants exercisable within 60 days of the date hereof.</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555 Turnpike Street</w:t>
      </w:r>
    </w:p>
    <w:p>
      <w:pPr>
        <w:ind w:left="640"/>
        <w:spacing w:after="0" w:line="238" w:lineRule="auto"/>
        <w:rPr>
          <w:sz w:val="20"/>
          <w:szCs w:val="20"/>
          <w:color w:val="auto"/>
        </w:rPr>
      </w:pPr>
      <w:r>
        <w:rPr>
          <w:rFonts w:ascii="Courier New" w:cs="Courier New" w:eastAsia="Courier New" w:hAnsi="Courier New"/>
          <w:sz w:val="18"/>
          <w:szCs w:val="18"/>
          <w:color w:val="auto"/>
        </w:rPr>
        <w:t>Canton, Massachusetts 02021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Clark Estates,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One Rockefeller Plaza</w:t>
      </w:r>
    </w:p>
    <w:p>
      <w:pPr>
        <w:ind w:left="640"/>
        <w:spacing w:after="0" w:line="238" w:lineRule="auto"/>
        <w:rPr>
          <w:sz w:val="20"/>
          <w:szCs w:val="20"/>
          <w:color w:val="auto"/>
        </w:rPr>
      </w:pPr>
      <w:r>
        <w:rPr>
          <w:rFonts w:ascii="Courier New" w:cs="Courier New" w:eastAsia="Courier New" w:hAnsi="Courier New"/>
          <w:sz w:val="18"/>
          <w:szCs w:val="18"/>
          <w:color w:val="auto"/>
        </w:rPr>
        <w:t>31st Floor</w:t>
      </w:r>
    </w:p>
    <w:p>
      <w:pPr>
        <w:ind w:left="640"/>
        <w:spacing w:after="0"/>
        <w:rPr>
          <w:sz w:val="20"/>
          <w:szCs w:val="20"/>
          <w:color w:val="auto"/>
        </w:rPr>
      </w:pPr>
      <w:r>
        <w:rPr>
          <w:rFonts w:ascii="Courier New" w:cs="Courier New" w:eastAsia="Courier New" w:hAnsi="Courier New"/>
          <w:sz w:val="18"/>
          <w:szCs w:val="18"/>
          <w:color w:val="auto"/>
        </w:rPr>
        <w:t>New York, New York 10020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Common Stock, par value $.01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900" w:right="1999" w:hanging="1260"/>
        <w:spacing w:after="0" w:line="235" w:lineRule="auto"/>
        <w:tabs>
          <w:tab w:leader="none" w:pos="12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1" w:lineRule="exact"/>
        <w:rPr>
          <w:rFonts w:ascii="Courier New" w:cs="Courier New" w:eastAsia="Courier New" w:hAnsi="Courier New"/>
          <w:sz w:val="18"/>
          <w:szCs w:val="18"/>
          <w:color w:val="auto"/>
        </w:rPr>
      </w:pPr>
    </w:p>
    <w:p>
      <w:pPr>
        <w:ind w:left="1280" w:hanging="640"/>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4" w:lineRule="exact"/>
        <w:rPr>
          <w:rFonts w:ascii="Courier New" w:cs="Courier New" w:eastAsia="Courier New" w:hAnsi="Courier New"/>
          <w:sz w:val="18"/>
          <w:szCs w:val="18"/>
          <w:color w:val="auto"/>
        </w:rPr>
      </w:pPr>
    </w:p>
    <w:p>
      <w:pPr>
        <w:ind w:left="1900" w:right="2519" w:hanging="1260"/>
        <w:spacing w:after="0" w:line="235" w:lineRule="auto"/>
        <w:tabs>
          <w:tab w:leader="none" w:pos="12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5" w:lineRule="exact"/>
        <w:rPr>
          <w:rFonts w:ascii="Courier New" w:cs="Courier New" w:eastAsia="Courier New" w:hAnsi="Courier New"/>
          <w:sz w:val="18"/>
          <w:szCs w:val="18"/>
          <w:color w:val="auto"/>
        </w:rPr>
      </w:pPr>
    </w:p>
    <w:p>
      <w:pPr>
        <w:ind w:left="1900" w:right="1999" w:hanging="1260"/>
        <w:spacing w:after="0" w:line="235" w:lineRule="auto"/>
        <w:tabs>
          <w:tab w:leader="none" w:pos="12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as defined in Section 8 of the Investment Company Act.</w:t>
      </w:r>
    </w:p>
    <w:p>
      <w:pPr>
        <w:spacing w:after="0" w:line="1" w:lineRule="exact"/>
        <w:rPr>
          <w:rFonts w:ascii="Courier New" w:cs="Courier New" w:eastAsia="Courier New" w:hAnsi="Courier New"/>
          <w:sz w:val="18"/>
          <w:szCs w:val="18"/>
          <w:color w:val="auto"/>
        </w:rPr>
      </w:pPr>
    </w:p>
    <w:p>
      <w:pPr>
        <w:ind w:left="1280" w:hanging="640"/>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w:t>
      </w:r>
    </w:p>
    <w:p>
      <w:pPr>
        <w:ind w:left="19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1900" w:right="1879" w:hanging="1260"/>
        <w:spacing w:after="0" w:line="235"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900" w:right="1879" w:hanging="1260"/>
        <w:spacing w:after="0" w:line="235"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900" w:right="2519" w:hanging="1260"/>
        <w:spacing w:after="0" w:line="235"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900" w:right="2099" w:hanging="1260"/>
        <w:spacing w:after="0" w:line="236" w:lineRule="auto"/>
        <w:tabs>
          <w:tab w:leader="none" w:pos="126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280" w:hanging="640"/>
        <w:spacing w:after="0" w:line="238"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2,646,324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160" w:type="dxa"/>
            <w:vAlign w:val="bottom"/>
          </w:tcPr>
          <w:p>
            <w:pPr>
              <w:ind w:left="10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2,646,324</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160" w:type="dxa"/>
            <w:vAlign w:val="bottom"/>
          </w:tcPr>
          <w:p>
            <w:pPr>
              <w:ind w:left="10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7480" w:right="1779" w:hanging="6208"/>
        <w:spacing w:after="0" w:line="265" w:lineRule="auto"/>
        <w:tabs>
          <w:tab w:leader="none" w:pos="189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2,646,324</w:t>
      </w:r>
    </w:p>
    <w:p>
      <w:pPr>
        <w:spacing w:after="0" w:line="200" w:lineRule="exact"/>
        <w:rPr>
          <w:sz w:val="20"/>
          <w:szCs w:val="20"/>
          <w:color w:val="auto"/>
        </w:rPr>
      </w:pP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6780" w:type="dxa"/>
            <w:vAlign w:val="bottom"/>
          </w:tcPr>
          <w:p>
            <w:pPr>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a class of securities, check the following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11, 2005</w:t>
      </w:r>
    </w:p>
    <w:p>
      <w:pPr>
        <w:ind w:left="5060"/>
        <w:spacing w:after="0" w:line="238" w:lineRule="auto"/>
        <w:rPr>
          <w:sz w:val="20"/>
          <w:szCs w:val="20"/>
          <w:color w:val="auto"/>
        </w:rPr>
      </w:pPr>
      <w:r>
        <w:rPr>
          <w:rFonts w:ascii="Courier New" w:cs="Courier New" w:eastAsia="Courier New" w:hAnsi="Courier New"/>
          <w:sz w:val="18"/>
          <w:szCs w:val="18"/>
          <w:color w:val="auto"/>
        </w:rPr>
        <w:t>THE CLARK ESTATES, INC.</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Kevin S. Moore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Kevin S. Moore</w:t>
      </w:r>
    </w:p>
    <w:p>
      <w:pPr>
        <w:ind w:left="5060"/>
        <w:spacing w:after="0" w:line="238" w:lineRule="auto"/>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
      <w:numFmt w:val="bullet"/>
      <w:start w:val="1"/>
    </w:lvl>
    <w:lvl w:ilvl="1">
      <w:lvlJc w:val="left"/>
      <w:lvlText w:val="%2."/>
      <w:numFmt w:val="decimal"/>
      <w:start w:val="5"/>
    </w:lvl>
  </w:abstractNum>
  <w:abstractNum w:abstractNumId="5">
    <w:nsid w:val="216231B"/>
    <w:multiLevelType w:val="hybridMultilevel"/>
    <w:lvl w:ilvl="0">
      <w:lvlJc w:val="left"/>
      <w:lvlText w:val="-"/>
      <w:numFmt w:val="bullet"/>
      <w:start w:val="1"/>
    </w:lvl>
    <w:lvl w:ilvl="1">
      <w:lvlJc w:val="left"/>
      <w:lvlText w:val="%2."/>
      <w:numFmt w:val="decimal"/>
      <w:start w:val="8"/>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6"/>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2019-12-21T02:03:00Z</dcterms:created>
  <dcterms:modified xsi:type="dcterms:W3CDTF">2019-12-21T02:03:00Z</dcterms:modified>
</cp:coreProperties>
</file>