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80" w:type="dxa"/>
            <w:vAlign w:val="bottom"/>
            <w:gridSpan w:val="11"/>
          </w:tcPr>
          <w:p>
            <w:pPr>
              <w:spacing w:after="0" w:line="175" w:lineRule="exact"/>
              <w:rPr>
                <w:rFonts w:ascii="Arial" w:cs="Arial" w:eastAsia="Arial" w:hAnsi="Arial"/>
                <w:sz w:val="19"/>
                <w:szCs w:val="19"/>
                <w:color w:val="0000EE"/>
              </w:rPr>
            </w:pPr>
            <w:hyperlink r:id="rId13">
              <w:r>
                <w:rPr>
                  <w:rFonts w:ascii="Arial" w:cs="Arial" w:eastAsia="Arial" w:hAnsi="Arial"/>
                  <w:sz w:val="19"/>
                  <w:szCs w:val="19"/>
                  <w:color w:val="0000EE"/>
                </w:rPr>
                <w:t xml:space="preserve">DESTINATION XL GROUP, INC.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DXLG</w:t>
            </w:r>
            <w:r>
              <w:rPr>
                <w:rFonts w:ascii="Arial" w:cs="Arial" w:eastAsia="Arial" w:hAnsi="Arial"/>
                <w:sz w:val="19"/>
                <w:szCs w:val="19"/>
                <w:color w:val="0000EE"/>
              </w:rPr>
              <w:t xml:space="preserve"> </w:t>
            </w:r>
            <w:r>
              <w:rPr>
                <w:rFonts w:ascii="Arial" w:cs="Arial" w:eastAsia="Arial" w:hAnsi="Arial"/>
                <w:sz w:val="19"/>
                <w:szCs w:val="19"/>
                <w:color w:val="000000"/>
              </w:rPr>
              <w:t>]</w:t>
            </w:r>
          </w:p>
        </w:tc>
        <w:tc>
          <w:tcPr>
            <w:tcW w:w="1640" w:type="dxa"/>
            <w:vAlign w:val="bottom"/>
            <w:gridSpan w:val="4"/>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restart"/>
          </w:tcPr>
          <w:p>
            <w:pPr>
              <w:ind w:left="100"/>
              <w:spacing w:after="0" w:line="195" w:lineRule="exact"/>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0000EE"/>
            </w:tcBorders>
          </w:tcPr>
          <w:p>
            <w:pPr>
              <w:spacing w:after="0"/>
              <w:rPr>
                <w:sz w:val="9"/>
                <w:szCs w:val="9"/>
                <w:color w:val="auto"/>
              </w:rPr>
            </w:pPr>
          </w:p>
        </w:tc>
        <w:tc>
          <w:tcPr>
            <w:tcW w:w="800" w:type="dxa"/>
            <w:vAlign w:val="bottom"/>
            <w:tcBorders>
              <w:top w:val="single" w:sz="8" w:color="0000EE"/>
            </w:tcBorders>
          </w:tcPr>
          <w:p>
            <w:pPr>
              <w:spacing w:after="0"/>
              <w:rPr>
                <w:sz w:val="9"/>
                <w:szCs w:val="9"/>
                <w:color w:val="auto"/>
              </w:rPr>
            </w:pPr>
          </w:p>
        </w:tc>
        <w:tc>
          <w:tcPr>
            <w:tcW w:w="400" w:type="dxa"/>
            <w:vAlign w:val="bottom"/>
            <w:tcBorders>
              <w:top w:val="single" w:sz="8" w:color="0000EE"/>
            </w:tcBorders>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3"/>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0" w:type="dxa"/>
            <w:vAlign w:val="bottom"/>
            <w:gridSpan w:val="7"/>
            <w:vMerge w:val="continue"/>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w w:val="98"/>
              </w:rPr>
              <w:t>C/O RED MOUNTAIN CAPITAL</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7"/>
          </w:tcPr>
          <w:p>
            <w:pPr>
              <w:ind w:left="160"/>
              <w:spacing w:after="0"/>
              <w:rPr>
                <w:sz w:val="20"/>
                <w:szCs w:val="20"/>
                <w:color w:val="auto"/>
              </w:rPr>
            </w:pPr>
            <w:r>
              <w:rPr>
                <w:rFonts w:ascii="Arial" w:cs="Arial" w:eastAsia="Arial" w:hAnsi="Arial"/>
                <w:sz w:val="18"/>
                <w:szCs w:val="18"/>
                <w:color w:val="0000FF"/>
              </w:rPr>
              <w:t>04/06/2018</w:t>
            </w: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MANAGEMENT, INC</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gridSpan w:val="7"/>
          </w:tcPr>
          <w:p>
            <w:pPr>
              <w:spacing w:after="0" w:line="198" w:lineRule="exact"/>
              <w:rPr>
                <w:sz w:val="20"/>
                <w:szCs w:val="20"/>
                <w:color w:val="auto"/>
              </w:rPr>
            </w:pPr>
            <w:r>
              <w:rPr>
                <w:rFonts w:ascii="Arial" w:cs="Arial" w:eastAsia="Arial" w:hAnsi="Arial"/>
                <w:sz w:val="18"/>
                <w:szCs w:val="18"/>
                <w:color w:val="0000FF"/>
              </w:rPr>
              <w:t>10100 SANTA MONICA BOULEVARD, SUITE</w:t>
            </w: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0" w:type="dxa"/>
            <w:vAlign w:val="bottom"/>
            <w:gridSpan w:val="3"/>
          </w:tcPr>
          <w:p>
            <w:pPr>
              <w:ind w:left="120"/>
              <w:spacing w:after="0" w:line="202" w:lineRule="exact"/>
              <w:rPr>
                <w:sz w:val="20"/>
                <w:szCs w:val="20"/>
                <w:color w:val="auto"/>
              </w:rPr>
            </w:pPr>
            <w:r>
              <w:rPr>
                <w:rFonts w:ascii="Arial" w:cs="Arial" w:eastAsia="Arial" w:hAnsi="Arial"/>
                <w:sz w:val="18"/>
                <w:szCs w:val="18"/>
                <w:color w:val="0000FF"/>
              </w:rPr>
              <w:t>925</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00" w:type="dxa"/>
            <w:vAlign w:val="bottom"/>
            <w:gridSpan w:val="9"/>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LOS ANGELES CA</w:t>
            </w:r>
          </w:p>
        </w:tc>
        <w:tc>
          <w:tcPr>
            <w:tcW w:w="680" w:type="dxa"/>
            <w:vAlign w:val="bottom"/>
            <w:vMerge w:val="restart"/>
          </w:tcPr>
          <w:p>
            <w:pPr>
              <w:spacing w:after="0"/>
              <w:rPr>
                <w:sz w:val="20"/>
                <w:szCs w:val="20"/>
                <w:color w:val="auto"/>
              </w:rPr>
            </w:pPr>
            <w:r>
              <w:rPr>
                <w:rFonts w:ascii="Arial" w:cs="Arial" w:eastAsia="Arial" w:hAnsi="Arial"/>
                <w:sz w:val="18"/>
                <w:szCs w:val="18"/>
                <w:color w:val="0000FF"/>
              </w:rPr>
              <w:t>90067</w:t>
            </w: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gridSpan w:val="2"/>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2"/>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1"/>
          </w:tcPr>
          <w:p>
            <w:pPr>
              <w:jc w:val="center"/>
              <w:ind w:right="1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6"/>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0" w:type="dxa"/>
            <w:vAlign w:val="bottom"/>
            <w:gridSpan w:val="6"/>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4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w w:val="93"/>
              </w:rPr>
              <w:t>(A) or</w:t>
            </w:r>
          </w:p>
        </w:tc>
        <w:tc>
          <w:tcPr>
            <w:tcW w:w="900" w:type="dxa"/>
            <w:vAlign w:val="bottom"/>
            <w:gridSpan w:val="4"/>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4"/>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8"/>
                <w:szCs w:val="18"/>
                <w:color w:val="0000FF"/>
                <w:w w:val="99"/>
              </w:rPr>
              <w:t>Common Stock, $0.01 par value</w:t>
            </w:r>
          </w:p>
        </w:tc>
        <w:tc>
          <w:tcPr>
            <w:tcW w:w="1800" w:type="dxa"/>
            <w:vAlign w:val="bottom"/>
            <w:gridSpan w:val="6"/>
            <w:vMerge w:val="restart"/>
          </w:tcPr>
          <w:p>
            <w:pPr>
              <w:ind w:left="780"/>
              <w:spacing w:after="0"/>
              <w:rPr>
                <w:sz w:val="20"/>
                <w:szCs w:val="20"/>
                <w:color w:val="auto"/>
              </w:rPr>
            </w:pPr>
            <w:r>
              <w:rPr>
                <w:rFonts w:ascii="Arial" w:cs="Arial" w:eastAsia="Arial" w:hAnsi="Arial"/>
                <w:sz w:val="18"/>
                <w:szCs w:val="18"/>
                <w:color w:val="0000FF"/>
              </w:rPr>
              <w:t>04/06/2018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740" w:type="dxa"/>
            <w:vAlign w:val="bottom"/>
            <w:vMerge w:val="restart"/>
          </w:tcPr>
          <w:p>
            <w:pPr>
              <w:ind w:left="200"/>
              <w:spacing w:after="0"/>
              <w:rPr>
                <w:sz w:val="20"/>
                <w:szCs w:val="20"/>
                <w:color w:val="auto"/>
              </w:rPr>
            </w:pPr>
            <w:r>
              <w:rPr>
                <w:rFonts w:ascii="Arial" w:cs="Arial" w:eastAsia="Arial" w:hAnsi="Arial"/>
                <w:sz w:val="18"/>
                <w:szCs w:val="18"/>
                <w:color w:val="0000FF"/>
                <w:w w:val="94"/>
              </w:rPr>
              <w:t>50,000</w:t>
            </w:r>
          </w:p>
        </w:tc>
        <w:tc>
          <w:tcPr>
            <w:tcW w:w="40" w:type="dxa"/>
            <w:vAlign w:val="bottom"/>
          </w:tcPr>
          <w:p>
            <w:pPr>
              <w:spacing w:after="0"/>
              <w:rPr>
                <w:sz w:val="22"/>
                <w:szCs w:val="22"/>
                <w:color w:val="auto"/>
              </w:rPr>
            </w:pPr>
          </w:p>
        </w:tc>
        <w:tc>
          <w:tcPr>
            <w:tcW w:w="460" w:type="dxa"/>
            <w:vAlign w:val="bottom"/>
            <w:vMerge w:val="restart"/>
          </w:tcPr>
          <w:p>
            <w:pPr>
              <w:ind w:left="260"/>
              <w:spacing w:after="0"/>
              <w:rPr>
                <w:sz w:val="20"/>
                <w:szCs w:val="20"/>
                <w:color w:val="auto"/>
              </w:rPr>
            </w:pPr>
            <w:r>
              <w:rPr>
                <w:rFonts w:ascii="Arial" w:cs="Arial" w:eastAsia="Arial" w:hAnsi="Arial"/>
                <w:sz w:val="18"/>
                <w:szCs w:val="18"/>
                <w:color w:val="0000FF"/>
              </w:rPr>
              <w:t>A</w:t>
            </w:r>
          </w:p>
        </w:tc>
        <w:tc>
          <w:tcPr>
            <w:tcW w:w="900" w:type="dxa"/>
            <w:vAlign w:val="bottom"/>
            <w:gridSpan w:val="4"/>
            <w:vMerge w:val="restart"/>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1.718</w:t>
            </w:r>
            <w:r>
              <w:rPr>
                <w:rFonts w:ascii="Arial" w:cs="Arial" w:eastAsia="Arial" w:hAnsi="Arial"/>
                <w:sz w:val="22"/>
                <w:szCs w:val="22"/>
                <w:color w:val="008000"/>
                <w:w w:val="93"/>
                <w:vertAlign w:val="superscript"/>
              </w:rPr>
              <w:t>(1)</w:t>
            </w:r>
          </w:p>
        </w:tc>
        <w:tc>
          <w:tcPr>
            <w:tcW w:w="1220" w:type="dxa"/>
            <w:vAlign w:val="bottom"/>
            <w:gridSpan w:val="2"/>
            <w:vMerge w:val="restart"/>
          </w:tcPr>
          <w:p>
            <w:pPr>
              <w:ind w:left="160"/>
              <w:spacing w:after="0"/>
              <w:rPr>
                <w:sz w:val="20"/>
                <w:szCs w:val="20"/>
                <w:color w:val="auto"/>
              </w:rPr>
            </w:pPr>
            <w:r>
              <w:rPr>
                <w:rFonts w:ascii="Arial" w:cs="Arial" w:eastAsia="Arial" w:hAnsi="Arial"/>
                <w:sz w:val="18"/>
                <w:szCs w:val="18"/>
                <w:color w:val="0000FF"/>
              </w:rPr>
              <w:t>7,966,369</w:t>
            </w:r>
            <w:r>
              <w:rPr>
                <w:rFonts w:ascii="Arial" w:cs="Arial" w:eastAsia="Arial" w:hAnsi="Arial"/>
                <w:sz w:val="22"/>
                <w:szCs w:val="22"/>
                <w:color w:val="008000"/>
                <w:vertAlign w:val="superscript"/>
              </w:rPr>
              <w:t>(2)</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80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480" w:type="dxa"/>
            <w:vAlign w:val="bottom"/>
            <w:tcBorders>
              <w:bottom w:val="single" w:sz="8" w:color="2C2C2C"/>
            </w:tcBorders>
            <w:gridSpan w:val="2"/>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10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6960" w:type="dxa"/>
            <w:vAlign w:val="bottom"/>
            <w:tcBorders>
              <w:top w:val="single" w:sz="8" w:color="2C2C2C"/>
            </w:tcBorders>
            <w:gridSpan w:val="20"/>
          </w:tcPr>
          <w:p>
            <w:pPr>
              <w:jc w:val="center"/>
              <w:ind w:left="4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20" w:type="dxa"/>
            <w:vAlign w:val="bottom"/>
            <w:gridSpan w:val="18"/>
          </w:tcPr>
          <w:p>
            <w:pPr>
              <w:jc w:val="center"/>
              <w:ind w:left="22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6"/>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3"/>
          </w:tcPr>
          <w:p>
            <w:pPr>
              <w:spacing w:after="0"/>
              <w:rPr>
                <w:sz w:val="8"/>
                <w:szCs w:val="8"/>
                <w:color w:val="auto"/>
              </w:rPr>
            </w:pPr>
          </w:p>
        </w:tc>
        <w:tc>
          <w:tcPr>
            <w:tcW w:w="138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gridSpan w:val="10"/>
          </w:tcPr>
          <w:p>
            <w:pPr>
              <w:spacing w:after="0"/>
              <w:rPr>
                <w:sz w:val="20"/>
                <w:szCs w:val="20"/>
                <w:color w:val="auto"/>
              </w:rPr>
            </w:pPr>
            <w:r>
              <w:rPr>
                <w:rFonts w:ascii="Arial" w:cs="Arial" w:eastAsia="Arial" w:hAnsi="Arial"/>
                <w:sz w:val="18"/>
                <w:szCs w:val="18"/>
                <w:color w:val="0000FF"/>
              </w:rPr>
              <w:t>C/O RED MOUNTAIN CAPITAL MANAGEMENT, INC</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gridSpan w:val="10"/>
          </w:tcPr>
          <w:p>
            <w:pPr>
              <w:spacing w:after="0"/>
              <w:rPr>
                <w:sz w:val="20"/>
                <w:szCs w:val="20"/>
                <w:color w:val="auto"/>
              </w:rPr>
            </w:pPr>
            <w:r>
              <w:rPr>
                <w:rFonts w:ascii="Arial" w:cs="Arial" w:eastAsia="Arial" w:hAnsi="Arial"/>
                <w:sz w:val="18"/>
                <w:szCs w:val="18"/>
                <w:color w:val="0000FF"/>
              </w:rPr>
              <w:t>10100 SANTA MONICA BOULEVARD, SUITE 925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CA</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90067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RED MOUNTAIN PARTNERS, L.P.</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10100 SANTA MONICA BOULEVARD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SUITE 925</w:t>
            </w: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CA</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90067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5">
        <w:r>
          <w:rPr>
            <w:rFonts w:ascii="Arial" w:cs="Arial" w:eastAsia="Arial" w:hAnsi="Arial"/>
            <w:sz w:val="19"/>
            <w:szCs w:val="19"/>
            <w:u w:val="single" w:color="auto"/>
            <w:color w:val="0000EE"/>
          </w:rPr>
          <w:t>RMCP GP LLC</w:t>
        </w:r>
      </w:hyperlink>
    </w:p>
    <w:p>
      <w:pPr>
        <w:sectPr>
          <w:pgSz w:w="11900" w:h="16838" w:orient="portrait"/>
          <w:cols w:equalWidth="0" w:num="1">
            <w:col w:w="11420"/>
          </w:cols>
          <w:pgMar w:left="240" w:top="226" w:right="239" w:bottom="0" w:gutter="0" w:footer="0" w:header="0"/>
          <w:type w:val="continuous"/>
        </w:sectPr>
      </w:pPr>
    </w:p>
    <w:bookmarkStart w:id="1" w:name="page2"/>
    <w:bookmarkEnd w:id="1"/>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5081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5081270"/>
                    </a:xfrm>
                    <a:prstGeom prst="rect">
                      <a:avLst/>
                    </a:prstGeom>
                    <a:noFill/>
                  </pic:spPr>
                </pic:pic>
              </a:graphicData>
            </a:graphic>
          </wp:anchor>
        </w:drawing>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10100 SANTA MONICA BOULEVARD</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SUITE 925</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080" w:type="dxa"/>
            <w:vAlign w:val="bottom"/>
          </w:tcPr>
          <w:p>
            <w:pPr>
              <w:ind w:left="140"/>
              <w:spacing w:after="0"/>
              <w:rPr>
                <w:sz w:val="20"/>
                <w:szCs w:val="20"/>
                <w:color w:val="auto"/>
              </w:rPr>
            </w:pPr>
            <w:r>
              <w:rPr>
                <w:rFonts w:ascii="Arial" w:cs="Arial" w:eastAsia="Arial" w:hAnsi="Arial"/>
                <w:sz w:val="18"/>
                <w:szCs w:val="18"/>
                <w:color w:val="0000FF"/>
              </w:rPr>
              <w:t>CA</w:t>
            </w:r>
          </w:p>
        </w:tc>
        <w:tc>
          <w:tcPr>
            <w:tcW w:w="1940" w:type="dxa"/>
            <w:vAlign w:val="bottom"/>
          </w:tcPr>
          <w:p>
            <w:pPr>
              <w:ind w:left="520"/>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14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RED MOUNTAIN CAPITAL PARTNERS LLC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line="230" w:lineRule="auto"/>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RED MOUNTAIN CAPITAL MANAGEMENT</w:t>
        </w:r>
      </w:hyperlink>
    </w:p>
    <w:p>
      <w:pPr>
        <w:spacing w:after="0" w:line="1" w:lineRule="exact"/>
        <w:rPr>
          <w:sz w:val="20"/>
          <w:szCs w:val="20"/>
          <w:color w:val="auto"/>
        </w:rPr>
      </w:pPr>
    </w:p>
    <w:p>
      <w:pPr>
        <w:ind w:left="80"/>
        <w:spacing w:after="0"/>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INC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right="20" w:firstLine="9"/>
        <w:spacing w:after="0" w:line="230"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of common stock were purchased by Red Mountain Capital Partners LLC ("RMCP LLC") on the open market. The price reported in Column 4 is a weighted average price per share, at prices ranging from $1.675 to $1.75, inclusive. Each of Willem Mesdag, Red Mountain Partners, L.P. ("RMP"), RMCP GP LLC ("RMCP GP"), RMCP LLC, and Red Mountain Capital Management, Inc. ("RMCM") undertakes to provide to Destination XL Group, Inc. (the "Company"), any securityholder of the Company, or the staff of the Securities and Exchange Commission, upon request, full information regarding the price at which these shares were purchased.</w:t>
      </w:r>
    </w:p>
    <w:p>
      <w:pPr>
        <w:spacing w:after="0" w:line="3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7,522,354 of these shares are held directly by RMP and the remaining 444,015 shares are held directly by RMCP LLC.</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line="270" w:lineRule="auto"/>
        <w:rPr>
          <w:sz w:val="20"/>
          <w:szCs w:val="20"/>
          <w:color w:val="auto"/>
        </w:rPr>
      </w:pPr>
      <w:r>
        <w:rPr>
          <w:rFonts w:ascii="Arial" w:cs="Arial" w:eastAsia="Arial" w:hAnsi="Arial"/>
          <w:sz w:val="12"/>
          <w:szCs w:val="12"/>
          <w:color w:val="008000"/>
        </w:rPr>
        <w:t>This Form 4 is jointly filed by (i) RMP, (ii) RMCP GP, (iii) RMCP LLC, (iv) RMCM, and (v) Willem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 RMCP LLC.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14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himself and the Other</w:t>
      </w:r>
      <w:r>
        <w:rPr>
          <w:sz w:val="20"/>
          <w:szCs w:val="20"/>
          <w:color w:val="auto"/>
        </w:rPr>
        <w:tab/>
      </w:r>
      <w:r>
        <w:rPr>
          <w:rFonts w:ascii="Arial" w:cs="Arial" w:eastAsia="Arial" w:hAnsi="Arial"/>
          <w:sz w:val="15"/>
          <w:szCs w:val="15"/>
          <w:color w:val="0000FF"/>
        </w:rPr>
        <w:t>04/10/2018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17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374603" TargetMode="External"/><Relationship Id="rId15" Type="http://schemas.openxmlformats.org/officeDocument/2006/relationships/hyperlink" Target="http://www.sec.gov/cgi-bin/browse-edgar?action=getcompany&amp;CIK=0001374606" TargetMode="External"/><Relationship Id="rId17" Type="http://schemas.openxmlformats.org/officeDocument/2006/relationships/hyperlink" Target="http://www.sec.gov/cgi-bin/browse-edgar?action=getcompany&amp;CIK=0001374588" TargetMode="External"/><Relationship Id="rId18" Type="http://schemas.openxmlformats.org/officeDocument/2006/relationships/hyperlink" Target="http://www.sec.gov/cgi-bin/browse-edgar?action=getcompany&amp;CIK=00013746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2019-12-24T03:48:53Z</dcterms:created>
  <dcterms:modified xsi:type="dcterms:W3CDTF">2019-12-24T03:48:53Z</dcterms:modified>
</cp:coreProperties>
</file>