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154305</wp:posOffset>
            </wp:positionV>
            <wp:extent cx="15303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39"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37" w:lineRule="exact"/>
        <w:rPr>
          <w:sz w:val="24"/>
          <w:szCs w:val="24"/>
          <w:color w:val="auto"/>
        </w:rPr>
      </w:pPr>
    </w:p>
    <w:p>
      <w:pPr>
        <w:ind w:left="5006"/>
        <w:spacing w:after="0"/>
        <w:rPr>
          <w:sz w:val="20"/>
          <w:szCs w:val="20"/>
          <w:color w:val="auto"/>
        </w:rPr>
      </w:pPr>
      <w:r>
        <w:rPr>
          <w:rFonts w:ascii="Arial" w:cs="Arial" w:eastAsia="Arial" w:hAnsi="Arial"/>
          <w:sz w:val="15"/>
          <w:szCs w:val="15"/>
          <w:b w:val="1"/>
          <w:bCs w:val="1"/>
          <w:color w:val="auto"/>
        </w:rPr>
        <w:t>CURRENT REPORT</w:t>
      </w:r>
    </w:p>
    <w:p>
      <w:pPr>
        <w:spacing w:after="0" w:line="141" w:lineRule="exact"/>
        <w:rPr>
          <w:sz w:val="24"/>
          <w:szCs w:val="24"/>
          <w:color w:val="auto"/>
        </w:rPr>
      </w:pPr>
    </w:p>
    <w:p>
      <w:pPr>
        <w:ind w:left="4086"/>
        <w:spacing w:after="0"/>
        <w:rPr>
          <w:sz w:val="20"/>
          <w:szCs w:val="20"/>
          <w:color w:val="auto"/>
        </w:rPr>
      </w:pPr>
      <w:r>
        <w:rPr>
          <w:rFonts w:ascii="Arial" w:cs="Arial" w:eastAsia="Arial" w:hAnsi="Arial"/>
          <w:sz w:val="15"/>
          <w:szCs w:val="15"/>
          <w:b w:val="1"/>
          <w:bCs w:val="1"/>
          <w:color w:val="auto"/>
        </w:rPr>
        <w:t>PURSUANT TO SECTION 13 OR 15(d) OF THE</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SECURITIES EXCHANGE ACT OF 1934</w:t>
      </w:r>
    </w:p>
    <w:p>
      <w:pPr>
        <w:spacing w:after="0" w:line="151" w:lineRule="exact"/>
        <w:rPr>
          <w:sz w:val="24"/>
          <w:szCs w:val="24"/>
          <w:color w:val="auto"/>
        </w:rPr>
      </w:pPr>
    </w:p>
    <w:p>
      <w:pPr>
        <w:jc w:val="center"/>
        <w:ind w:right="-365"/>
        <w:spacing w:after="0"/>
        <w:tabs>
          <w:tab w:leader="none" w:pos="140" w:val="left"/>
        </w:tabs>
        <w:rPr>
          <w:sz w:val="20"/>
          <w:szCs w:val="20"/>
          <w:color w:val="auto"/>
        </w:rPr>
      </w:pPr>
      <w:r>
        <w:rPr>
          <w:rFonts w:ascii="Arial" w:cs="Arial" w:eastAsia="Arial" w:hAnsi="Arial"/>
          <w:sz w:val="15"/>
          <w:szCs w:val="15"/>
          <w:color w:val="auto"/>
        </w:rPr>
        <w:t>Date of Report (Date of earliest event reported):</w:t>
      </w:r>
      <w:r>
        <w:rPr>
          <w:sz w:val="20"/>
          <w:szCs w:val="20"/>
          <w:color w:val="auto"/>
        </w:rPr>
        <w:tab/>
      </w:r>
      <w:r>
        <w:rPr>
          <w:rFonts w:ascii="Arial" w:cs="Arial" w:eastAsia="Arial" w:hAnsi="Arial"/>
          <w:sz w:val="13"/>
          <w:szCs w:val="13"/>
          <w:color w:val="auto"/>
        </w:rPr>
        <w:t>June 2, 2008</w:t>
      </w:r>
    </w:p>
    <w:p>
      <w:pPr>
        <w:spacing w:after="0" w:line="294"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159385</wp:posOffset>
            </wp:positionV>
            <wp:extent cx="15303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47"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CASUAL MALE RETAIL GROUP, INC.</w:t>
      </w:r>
    </w:p>
    <w:p>
      <w:pPr>
        <w:spacing w:after="0" w:line="33"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066"/>
          </w:cols>
          <w:pgMar w:left="234" w:top="209" w:right="599" w:bottom="1440" w:gutter="0" w:footer="0" w:header="0"/>
        </w:sectPr>
      </w:pPr>
    </w:p>
    <w:p>
      <w:pPr>
        <w:spacing w:after="0" w:line="297" w:lineRule="exact"/>
        <w:rPr>
          <w:sz w:val="24"/>
          <w:szCs w:val="24"/>
          <w:color w:val="auto"/>
        </w:rPr>
      </w:pPr>
    </w:p>
    <w:p>
      <w:pPr>
        <w:ind w:left="254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8" w:lineRule="exact"/>
        <w:rPr>
          <w:sz w:val="24"/>
          <w:szCs w:val="24"/>
          <w:color w:val="auto"/>
        </w:rPr>
      </w:pPr>
    </w:p>
    <w:p>
      <w:pPr>
        <w:sectPr>
          <w:pgSz w:w="11900" w:h="16838" w:orient="portrait"/>
          <w:cols w:equalWidth="0" w:num="2">
            <w:col w:w="7606" w:space="720"/>
            <w:col w:w="2740"/>
          </w:cols>
          <w:pgMar w:left="234" w:top="209" w:right="599" w:bottom="1440" w:gutter="0" w:footer="0" w:header="0"/>
          <w:type w:val="continuous"/>
        </w:sectPr>
      </w:pPr>
    </w:p>
    <w:p>
      <w:pPr>
        <w:ind w:left="2266"/>
        <w:spacing w:after="0"/>
        <w:rPr>
          <w:sz w:val="20"/>
          <w:szCs w:val="20"/>
          <w:color w:val="auto"/>
        </w:rPr>
      </w:pPr>
      <w:r>
        <w:rPr>
          <w:rFonts w:ascii="Arial" w:cs="Arial" w:eastAsia="Arial" w:hAnsi="Arial"/>
          <w:sz w:val="9"/>
          <w:szCs w:val="9"/>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006" w:space="720"/>
            <w:col w:w="3340"/>
          </w:cols>
          <w:pgMar w:left="234" w:top="209" w:right="599" w:bottom="1440" w:gutter="0" w:footer="0" w:header="0"/>
          <w:type w:val="continuous"/>
        </w:sectPr>
      </w:pPr>
    </w:p>
    <w:p>
      <w:pPr>
        <w:spacing w:after="0" w:line="98"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263"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151765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5"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ectPr>
          <w:pgSz w:w="11900" w:h="16838" w:orient="portrait"/>
          <w:cols w:equalWidth="0" w:num="1">
            <w:col w:w="11066"/>
          </w:cols>
          <w:pgMar w:left="234" w:top="209"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7.01—Regulation FD Disclosure</w:t>
      </w:r>
    </w:p>
    <w:p>
      <w:pPr>
        <w:spacing w:after="0" w:line="86" w:lineRule="exact"/>
        <w:rPr>
          <w:sz w:val="20"/>
          <w:szCs w:val="20"/>
          <w:color w:val="auto"/>
        </w:rPr>
      </w:pPr>
    </w:p>
    <w:p>
      <w:pPr>
        <w:ind w:right="380"/>
        <w:spacing w:after="0" w:line="329" w:lineRule="auto"/>
        <w:rPr>
          <w:sz w:val="20"/>
          <w:szCs w:val="20"/>
          <w:color w:val="auto"/>
        </w:rPr>
      </w:pPr>
      <w:r>
        <w:rPr>
          <w:rFonts w:ascii="Arial" w:cs="Arial" w:eastAsia="Arial" w:hAnsi="Arial"/>
          <w:sz w:val="14"/>
          <w:szCs w:val="14"/>
          <w:color w:val="auto"/>
        </w:rPr>
        <w:t>The Company has updated its slide presentation as filed via Form 8-K on April 25, 2008 to include three additional slides. A copy of the additional slides is attached to this report as Exhibit 99.1 and is incorporated by reference herein. The updated slide presentation will be presented at upcoming meetings with various investment groups.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slides contained in the exhibit include statements intended as “forward-looking statements,” which are subject to the cautionary statement about forward-looking statements set forth in the exhibit. The slides are being furnished, not filed, pursuant to Regulation FD. Accordingly, the slides will not be incorporated by reference into any registration statement filed by the Company under the Securities Act of 1933, as amended, unless specifically identified therein as being incorporated therein by reference. The furnishing of the slides is not intended to, and does not, constitute a determination or admission by the Company that the information in the slides is material or complete, or that investors should consider this information before making an investment decision with respect to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ITEM 9.01—FINANCIAL STATEMENTS AND EXHIBITS</w:t>
      </w:r>
    </w:p>
    <w:p>
      <w:pPr>
        <w:spacing w:after="0" w:line="86" w:lineRule="exact"/>
        <w:rPr>
          <w:sz w:val="20"/>
          <w:szCs w:val="20"/>
          <w:color w:val="auto"/>
        </w:rPr>
      </w:pPr>
    </w:p>
    <w:p>
      <w:pPr>
        <w:ind w:left="880" w:hanging="439"/>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Exhibit No.</w:t>
            </w:r>
          </w:p>
        </w:tc>
        <w:tc>
          <w:tcPr>
            <w:tcW w:w="70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3060" w:type="dxa"/>
            <w:vAlign w:val="bottom"/>
          </w:tcPr>
          <w:p>
            <w:pPr>
              <w:spacing w:after="0"/>
              <w:rPr>
                <w:sz w:val="12"/>
                <w:szCs w:val="12"/>
                <w:color w:val="auto"/>
              </w:rPr>
            </w:pPr>
          </w:p>
        </w:tc>
      </w:tr>
      <w:tr>
        <w:trPr>
          <w:trHeight w:val="273"/>
        </w:trPr>
        <w:tc>
          <w:tcPr>
            <w:tcW w:w="600" w:type="dxa"/>
            <w:vAlign w:val="bottom"/>
          </w:tcPr>
          <w:p>
            <w:pPr>
              <w:spacing w:after="0"/>
              <w:rPr>
                <w:sz w:val="20"/>
                <w:szCs w:val="20"/>
                <w:color w:val="auto"/>
              </w:rPr>
            </w:pPr>
            <w:r>
              <w:rPr>
                <w:rFonts w:ascii="Arial" w:cs="Arial" w:eastAsia="Arial" w:hAnsi="Arial"/>
                <w:sz w:val="15"/>
                <w:szCs w:val="15"/>
                <w:color w:val="auto"/>
              </w:rPr>
              <w:t>99.1</w:t>
            </w:r>
          </w:p>
        </w:tc>
        <w:tc>
          <w:tcPr>
            <w:tcW w:w="4380" w:type="dxa"/>
            <w:vAlign w:val="bottom"/>
            <w:gridSpan w:val="3"/>
          </w:tcPr>
          <w:p>
            <w:pPr>
              <w:ind w:left="700"/>
              <w:spacing w:after="0"/>
              <w:rPr>
                <w:sz w:val="20"/>
                <w:szCs w:val="20"/>
                <w:color w:val="auto"/>
              </w:rPr>
            </w:pPr>
            <w:r>
              <w:rPr>
                <w:rFonts w:ascii="Arial" w:cs="Arial" w:eastAsia="Arial" w:hAnsi="Arial"/>
                <w:sz w:val="15"/>
                <w:szCs w:val="15"/>
                <w:color w:val="auto"/>
                <w:w w:val="93"/>
              </w:rPr>
              <w:t>Additional Slides to Slide Presentation dated April 24, 2008</w:t>
            </w:r>
          </w:p>
        </w:tc>
      </w:tr>
    </w:tbl>
    <w:p>
      <w:pPr>
        <w:sectPr>
          <w:pgSz w:w="11900" w:h="16838" w:orient="portrait"/>
          <w:cols w:equalWidth="0" w:num="1">
            <w:col w:w="11420"/>
          </w:cols>
          <w:pgMar w:left="240" w:top="262"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6949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4940" cy="762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Name: Dennis R. Hernreich</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Executive Vice President</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and Chief Financial Officer</w:t>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Date: June 2, 2008</w:t>
      </w:r>
    </w:p>
    <w:p>
      <w:pPr>
        <w:sectPr>
          <w:pgSz w:w="11900" w:h="16838" w:orient="portrait"/>
          <w:cols w:equalWidth="0" w:num="1">
            <w:col w:w="11200"/>
          </w:cols>
          <w:pgMar w:left="240" w:top="262" w:right="459" w:bottom="1440" w:gutter="0" w:footer="0" w:header="0"/>
        </w:sectPr>
      </w:pPr>
    </w:p>
    <w:bookmarkStart w:id="3" w:name="page4"/>
    <w:bookmarkEnd w:id="3"/>
    <w:p>
      <w:pPr>
        <w:ind w:left="8920"/>
        <w:spacing w:after="0"/>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141" w:lineRule="exact"/>
        <w:rPr>
          <w:sz w:val="20"/>
          <w:szCs w:val="20"/>
          <w:color w:val="auto"/>
        </w:rPr>
      </w:pPr>
    </w:p>
    <w:p>
      <w:pPr>
        <w:ind w:left="4340"/>
        <w:spacing w:after="0"/>
        <w:rPr>
          <w:sz w:val="20"/>
          <w:szCs w:val="20"/>
          <w:color w:val="auto"/>
        </w:rPr>
      </w:pPr>
      <w:r>
        <w:rPr>
          <w:rFonts w:ascii="Arial" w:cs="Arial" w:eastAsia="Arial" w:hAnsi="Arial"/>
          <w:sz w:val="56"/>
          <w:szCs w:val="56"/>
          <w:color w:val="FFFFFF"/>
        </w:rPr>
        <w:t>B &amp; T Factory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w:t>
      </w:r>
    </w:p>
    <w:p>
      <w:pPr>
        <w:sectPr>
          <w:pgSz w:w="11900" w:h="16838" w:orient="portrait"/>
          <w:cols w:equalWidth="0" w:num="1">
            <w:col w:w="10000"/>
          </w:cols>
          <w:pgMar w:left="1440" w:top="406" w:right="459" w:bottom="1440" w:gutter="0" w:footer="0" w:header="0"/>
        </w:sectPr>
      </w:pPr>
    </w:p>
    <w:bookmarkStart w:id="4" w:name="page5"/>
    <w:bookmarkEnd w:id="4"/>
    <w:p>
      <w:pPr>
        <w:ind w:left="50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Comp Store Trend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FFFFFF"/>
        </w:rPr>
        <w:t>14.0%</w:t>
      </w:r>
    </w:p>
    <w:p>
      <w:pPr>
        <w:ind w:left="6740"/>
        <w:spacing w:after="0"/>
        <w:rPr>
          <w:sz w:val="20"/>
          <w:szCs w:val="20"/>
          <w:color w:val="auto"/>
        </w:rPr>
      </w:pPr>
      <w:r>
        <w:rPr>
          <w:rFonts w:ascii="Arial" w:cs="Arial" w:eastAsia="Arial" w:hAnsi="Arial"/>
          <w:sz w:val="15"/>
          <w:szCs w:val="15"/>
          <w:color w:val="FFFFFF"/>
        </w:rPr>
        <w:t>13.0%</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FFFFFF"/>
        </w:rPr>
        <w:t>12.0%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FFFFFF"/>
              </w:rPr>
              <w:t>10.6%</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100" w:type="dxa"/>
            <w:vAlign w:val="bottom"/>
          </w:tcPr>
          <w:p>
            <w:pPr>
              <w:jc w:val="right"/>
              <w:ind w:right="558"/>
              <w:spacing w:after="0"/>
              <w:rPr>
                <w:sz w:val="20"/>
                <w:szCs w:val="20"/>
                <w:color w:val="auto"/>
              </w:rPr>
            </w:pPr>
            <w:r>
              <w:rPr>
                <w:rFonts w:ascii="Arial" w:cs="Arial" w:eastAsia="Arial" w:hAnsi="Arial"/>
                <w:sz w:val="16"/>
                <w:szCs w:val="16"/>
                <w:color w:val="FFFFFF"/>
                <w:w w:val="96"/>
              </w:rPr>
              <w:t>10.0%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9.2%</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1100" w:type="dxa"/>
            <w:vAlign w:val="bottom"/>
            <w:vMerge w:val="restart"/>
          </w:tcPr>
          <w:p>
            <w:pPr>
              <w:jc w:val="right"/>
              <w:ind w:right="538"/>
              <w:spacing w:after="0"/>
              <w:rPr>
                <w:sz w:val="20"/>
                <w:szCs w:val="20"/>
                <w:color w:val="auto"/>
              </w:rPr>
            </w:pPr>
            <w:r>
              <w:rPr>
                <w:rFonts w:ascii="Arial" w:cs="Arial" w:eastAsia="Arial" w:hAnsi="Arial"/>
                <w:sz w:val="16"/>
                <w:szCs w:val="16"/>
                <w:color w:val="FFFFFF"/>
              </w:rPr>
              <w:t>8.0%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FFFFFF"/>
              </w:rPr>
              <w:t>7.9%</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FFFFFF"/>
              </w:rPr>
              <w:t>7.5%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FFFFFF"/>
              </w:rPr>
              <w:t>6.2%</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00" w:type="dxa"/>
            <w:vAlign w:val="bottom"/>
          </w:tcPr>
          <w:p>
            <w:pPr>
              <w:jc w:val="right"/>
              <w:ind w:right="538"/>
              <w:spacing w:after="0"/>
              <w:rPr>
                <w:sz w:val="20"/>
                <w:szCs w:val="20"/>
                <w:color w:val="auto"/>
              </w:rPr>
            </w:pPr>
            <w:r>
              <w:rPr>
                <w:rFonts w:ascii="Arial" w:cs="Arial" w:eastAsia="Arial" w:hAnsi="Arial"/>
                <w:sz w:val="16"/>
                <w:szCs w:val="16"/>
                <w:color w:val="FFFFFF"/>
              </w:rPr>
              <w:t>6.0%</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4.8%</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FFFFFF"/>
              </w:rPr>
              <w:t>5.4%</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100" w:type="dxa"/>
            <w:vAlign w:val="bottom"/>
            <w:vMerge w:val="restart"/>
          </w:tcPr>
          <w:p>
            <w:pPr>
              <w:jc w:val="right"/>
              <w:ind w:right="538"/>
              <w:spacing w:after="0"/>
              <w:rPr>
                <w:sz w:val="20"/>
                <w:szCs w:val="20"/>
                <w:color w:val="auto"/>
              </w:rPr>
            </w:pPr>
            <w:r>
              <w:rPr>
                <w:rFonts w:ascii="Arial" w:cs="Arial" w:eastAsia="Arial" w:hAnsi="Arial"/>
                <w:sz w:val="16"/>
                <w:szCs w:val="16"/>
                <w:color w:val="FFFFFF"/>
              </w:rPr>
              <w:t>4.0%</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3.7%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FFFFFF"/>
                <w:w w:val="98"/>
              </w:rPr>
              <w:t>3.90%</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1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FFFFFF"/>
              </w:rPr>
              <w:t>2.4%</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FFFFFF"/>
              </w:rPr>
              <w:t>2.8%</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2.3%</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2.5%</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right"/>
              <w:ind w:right="538"/>
              <w:spacing w:after="0"/>
              <w:rPr>
                <w:sz w:val="20"/>
                <w:szCs w:val="20"/>
                <w:color w:val="auto"/>
              </w:rPr>
            </w:pPr>
            <w:r>
              <w:rPr>
                <w:rFonts w:ascii="Arial" w:cs="Arial" w:eastAsia="Arial" w:hAnsi="Arial"/>
                <w:sz w:val="16"/>
                <w:szCs w:val="16"/>
                <w:color w:val="FFFFFF"/>
              </w:rPr>
              <w:t>2.0%</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FFFFFF"/>
              </w:rPr>
              <w:t>1.6%</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1100" w:type="dxa"/>
            <w:vAlign w:val="bottom"/>
          </w:tcPr>
          <w:p>
            <w:pPr>
              <w:jc w:val="right"/>
              <w:ind w:right="538"/>
              <w:spacing w:after="0"/>
              <w:rPr>
                <w:sz w:val="20"/>
                <w:szCs w:val="20"/>
                <w:color w:val="auto"/>
              </w:rPr>
            </w:pPr>
            <w:r>
              <w:rPr>
                <w:rFonts w:ascii="Arial" w:cs="Arial" w:eastAsia="Arial" w:hAnsi="Arial"/>
                <w:sz w:val="16"/>
                <w:szCs w:val="16"/>
                <w:color w:val="FFFFFF"/>
              </w:rPr>
              <w:t>0.0%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00" w:type="dxa"/>
            <w:vAlign w:val="bottom"/>
          </w:tcPr>
          <w:p>
            <w:pPr>
              <w:jc w:val="right"/>
              <w:spacing w:after="0"/>
              <w:rPr>
                <w:sz w:val="20"/>
                <w:szCs w:val="20"/>
                <w:color w:val="auto"/>
              </w:rPr>
            </w:pPr>
            <w:r>
              <w:rPr>
                <w:rFonts w:ascii="Arial" w:cs="Arial" w:eastAsia="Arial" w:hAnsi="Arial"/>
                <w:sz w:val="16"/>
                <w:szCs w:val="16"/>
                <w:color w:val="FFFFFF"/>
              </w:rPr>
              <w:t>Q1</w:t>
            </w:r>
          </w:p>
        </w:tc>
        <w:tc>
          <w:tcPr>
            <w:tcW w:w="440" w:type="dxa"/>
            <w:vAlign w:val="bottom"/>
          </w:tcPr>
          <w:p>
            <w:pPr>
              <w:jc w:val="right"/>
              <w:spacing w:after="0"/>
              <w:rPr>
                <w:sz w:val="20"/>
                <w:szCs w:val="20"/>
                <w:color w:val="auto"/>
              </w:rPr>
            </w:pPr>
            <w:r>
              <w:rPr>
                <w:rFonts w:ascii="Arial" w:cs="Arial" w:eastAsia="Arial" w:hAnsi="Arial"/>
                <w:sz w:val="16"/>
                <w:szCs w:val="16"/>
                <w:color w:val="FFFFFF"/>
              </w:rPr>
              <w:t>Q2</w:t>
            </w:r>
          </w:p>
        </w:tc>
        <w:tc>
          <w:tcPr>
            <w:tcW w:w="440" w:type="dxa"/>
            <w:vAlign w:val="bottom"/>
          </w:tcPr>
          <w:p>
            <w:pPr>
              <w:jc w:val="right"/>
              <w:spacing w:after="0"/>
              <w:rPr>
                <w:sz w:val="20"/>
                <w:szCs w:val="20"/>
                <w:color w:val="auto"/>
              </w:rPr>
            </w:pPr>
            <w:r>
              <w:rPr>
                <w:rFonts w:ascii="Arial" w:cs="Arial" w:eastAsia="Arial" w:hAnsi="Arial"/>
                <w:sz w:val="16"/>
                <w:szCs w:val="16"/>
                <w:color w:val="FFFFFF"/>
              </w:rPr>
              <w:t>Q3</w:t>
            </w:r>
          </w:p>
        </w:tc>
        <w:tc>
          <w:tcPr>
            <w:tcW w:w="420" w:type="dxa"/>
            <w:vAlign w:val="bottom"/>
          </w:tcPr>
          <w:p>
            <w:pPr>
              <w:jc w:val="right"/>
              <w:spacing w:after="0"/>
              <w:rPr>
                <w:sz w:val="20"/>
                <w:szCs w:val="20"/>
                <w:color w:val="auto"/>
              </w:rPr>
            </w:pPr>
            <w:r>
              <w:rPr>
                <w:rFonts w:ascii="Arial" w:cs="Arial" w:eastAsia="Arial" w:hAnsi="Arial"/>
                <w:sz w:val="16"/>
                <w:szCs w:val="16"/>
                <w:color w:val="FFFFFF"/>
              </w:rPr>
              <w:t>Q4</w:t>
            </w:r>
          </w:p>
        </w:tc>
        <w:tc>
          <w:tcPr>
            <w:tcW w:w="440" w:type="dxa"/>
            <w:vAlign w:val="bottom"/>
          </w:tcPr>
          <w:p>
            <w:pPr>
              <w:ind w:left="160"/>
              <w:spacing w:after="0"/>
              <w:rPr>
                <w:sz w:val="20"/>
                <w:szCs w:val="20"/>
                <w:color w:val="auto"/>
              </w:rPr>
            </w:pPr>
            <w:r>
              <w:rPr>
                <w:rFonts w:ascii="Arial" w:cs="Arial" w:eastAsia="Arial" w:hAnsi="Arial"/>
                <w:sz w:val="16"/>
                <w:szCs w:val="16"/>
                <w:color w:val="FFFFFF"/>
              </w:rPr>
              <w:t>Q1</w:t>
            </w:r>
          </w:p>
        </w:tc>
        <w:tc>
          <w:tcPr>
            <w:tcW w:w="440" w:type="dxa"/>
            <w:vAlign w:val="bottom"/>
          </w:tcPr>
          <w:p>
            <w:pPr>
              <w:jc w:val="center"/>
              <w:spacing w:after="0"/>
              <w:rPr>
                <w:sz w:val="20"/>
                <w:szCs w:val="20"/>
                <w:color w:val="auto"/>
              </w:rPr>
            </w:pPr>
            <w:r>
              <w:rPr>
                <w:rFonts w:ascii="Arial" w:cs="Arial" w:eastAsia="Arial" w:hAnsi="Arial"/>
                <w:sz w:val="16"/>
                <w:szCs w:val="16"/>
                <w:color w:val="FFFFFF"/>
              </w:rPr>
              <w:t>Q2</w:t>
            </w:r>
          </w:p>
        </w:tc>
        <w:tc>
          <w:tcPr>
            <w:tcW w:w="440" w:type="dxa"/>
            <w:vAlign w:val="bottom"/>
          </w:tcPr>
          <w:p>
            <w:pPr>
              <w:jc w:val="center"/>
              <w:spacing w:after="0"/>
              <w:rPr>
                <w:sz w:val="20"/>
                <w:szCs w:val="20"/>
                <w:color w:val="auto"/>
              </w:rPr>
            </w:pPr>
            <w:r>
              <w:rPr>
                <w:rFonts w:ascii="Arial" w:cs="Arial" w:eastAsia="Arial" w:hAnsi="Arial"/>
                <w:sz w:val="16"/>
                <w:szCs w:val="16"/>
                <w:color w:val="FFFFFF"/>
              </w:rPr>
              <w:t>Q3</w:t>
            </w:r>
          </w:p>
        </w:tc>
        <w:tc>
          <w:tcPr>
            <w:tcW w:w="420" w:type="dxa"/>
            <w:vAlign w:val="bottom"/>
          </w:tcPr>
          <w:p>
            <w:pPr>
              <w:jc w:val="right"/>
              <w:spacing w:after="0"/>
              <w:rPr>
                <w:sz w:val="20"/>
                <w:szCs w:val="20"/>
                <w:color w:val="auto"/>
              </w:rPr>
            </w:pPr>
            <w:r>
              <w:rPr>
                <w:rFonts w:ascii="Arial" w:cs="Arial" w:eastAsia="Arial" w:hAnsi="Arial"/>
                <w:sz w:val="16"/>
                <w:szCs w:val="16"/>
                <w:color w:val="FFFFFF"/>
              </w:rPr>
              <w:t>Q4</w:t>
            </w:r>
          </w:p>
        </w:tc>
        <w:tc>
          <w:tcPr>
            <w:tcW w:w="440" w:type="dxa"/>
            <w:vAlign w:val="bottom"/>
          </w:tcPr>
          <w:p>
            <w:pPr>
              <w:jc w:val="right"/>
              <w:spacing w:after="0"/>
              <w:rPr>
                <w:sz w:val="20"/>
                <w:szCs w:val="20"/>
                <w:color w:val="auto"/>
              </w:rPr>
            </w:pPr>
            <w:r>
              <w:rPr>
                <w:rFonts w:ascii="Arial" w:cs="Arial" w:eastAsia="Arial" w:hAnsi="Arial"/>
                <w:sz w:val="16"/>
                <w:szCs w:val="16"/>
                <w:color w:val="FFFFFF"/>
              </w:rPr>
              <w:t>Q1</w:t>
            </w:r>
          </w:p>
        </w:tc>
        <w:tc>
          <w:tcPr>
            <w:tcW w:w="440" w:type="dxa"/>
            <w:vAlign w:val="bottom"/>
          </w:tcPr>
          <w:p>
            <w:pPr>
              <w:jc w:val="right"/>
              <w:spacing w:after="0"/>
              <w:rPr>
                <w:sz w:val="20"/>
                <w:szCs w:val="20"/>
                <w:color w:val="auto"/>
              </w:rPr>
            </w:pPr>
            <w:r>
              <w:rPr>
                <w:rFonts w:ascii="Arial" w:cs="Arial" w:eastAsia="Arial" w:hAnsi="Arial"/>
                <w:sz w:val="16"/>
                <w:szCs w:val="16"/>
                <w:color w:val="FFFFFF"/>
              </w:rPr>
              <w:t>Q2</w:t>
            </w:r>
          </w:p>
        </w:tc>
        <w:tc>
          <w:tcPr>
            <w:tcW w:w="440" w:type="dxa"/>
            <w:vAlign w:val="bottom"/>
          </w:tcPr>
          <w:p>
            <w:pPr>
              <w:jc w:val="right"/>
              <w:ind w:right="1"/>
              <w:spacing w:after="0"/>
              <w:rPr>
                <w:sz w:val="20"/>
                <w:szCs w:val="20"/>
                <w:color w:val="auto"/>
              </w:rPr>
            </w:pPr>
            <w:r>
              <w:rPr>
                <w:rFonts w:ascii="Arial" w:cs="Arial" w:eastAsia="Arial" w:hAnsi="Arial"/>
                <w:sz w:val="16"/>
                <w:szCs w:val="16"/>
                <w:color w:val="FFFFFF"/>
              </w:rPr>
              <w:t>Q3</w:t>
            </w:r>
          </w:p>
        </w:tc>
        <w:tc>
          <w:tcPr>
            <w:tcW w:w="440" w:type="dxa"/>
            <w:vAlign w:val="bottom"/>
          </w:tcPr>
          <w:p>
            <w:pPr>
              <w:jc w:val="center"/>
              <w:spacing w:after="0"/>
              <w:rPr>
                <w:sz w:val="20"/>
                <w:szCs w:val="20"/>
                <w:color w:val="auto"/>
              </w:rPr>
            </w:pPr>
            <w:r>
              <w:rPr>
                <w:rFonts w:ascii="Arial" w:cs="Arial" w:eastAsia="Arial" w:hAnsi="Arial"/>
                <w:sz w:val="16"/>
                <w:szCs w:val="16"/>
                <w:color w:val="FFFFFF"/>
              </w:rPr>
              <w:t>Q4</w:t>
            </w:r>
          </w:p>
        </w:tc>
        <w:tc>
          <w:tcPr>
            <w:tcW w:w="400" w:type="dxa"/>
            <w:vAlign w:val="bottom"/>
          </w:tcPr>
          <w:p>
            <w:pPr>
              <w:jc w:val="right"/>
              <w:spacing w:after="0"/>
              <w:rPr>
                <w:sz w:val="20"/>
                <w:szCs w:val="20"/>
                <w:color w:val="auto"/>
              </w:rPr>
            </w:pPr>
            <w:r>
              <w:rPr>
                <w:rFonts w:ascii="Arial" w:cs="Arial" w:eastAsia="Arial" w:hAnsi="Arial"/>
                <w:sz w:val="16"/>
                <w:szCs w:val="16"/>
                <w:color w:val="FFFFFF"/>
              </w:rPr>
              <w:t>Q1</w:t>
            </w:r>
          </w:p>
        </w:tc>
        <w:tc>
          <w:tcPr>
            <w:tcW w:w="540" w:type="dxa"/>
            <w:vAlign w:val="bottom"/>
          </w:tcPr>
          <w:p>
            <w:pPr>
              <w:jc w:val="right"/>
              <w:ind w:right="46"/>
              <w:spacing w:after="0"/>
              <w:rPr>
                <w:sz w:val="20"/>
                <w:szCs w:val="20"/>
                <w:color w:val="auto"/>
              </w:rPr>
            </w:pPr>
            <w:r>
              <w:rPr>
                <w:rFonts w:ascii="Arial" w:cs="Arial" w:eastAsia="Arial" w:hAnsi="Arial"/>
                <w:sz w:val="16"/>
                <w:szCs w:val="16"/>
                <w:color w:val="FFFFFF"/>
              </w:rPr>
              <w:t>Q2</w:t>
            </w:r>
          </w:p>
        </w:tc>
        <w:tc>
          <w:tcPr>
            <w:tcW w:w="340" w:type="dxa"/>
            <w:vAlign w:val="bottom"/>
          </w:tcPr>
          <w:p>
            <w:pPr>
              <w:jc w:val="right"/>
              <w:spacing w:after="0"/>
              <w:rPr>
                <w:sz w:val="20"/>
                <w:szCs w:val="20"/>
                <w:color w:val="auto"/>
              </w:rPr>
            </w:pPr>
            <w:r>
              <w:rPr>
                <w:rFonts w:ascii="Arial" w:cs="Arial" w:eastAsia="Arial" w:hAnsi="Arial"/>
                <w:sz w:val="16"/>
                <w:szCs w:val="16"/>
                <w:color w:val="FFFFFF"/>
              </w:rPr>
              <w:t>Q3</w:t>
            </w:r>
          </w:p>
        </w:tc>
        <w:tc>
          <w:tcPr>
            <w:tcW w:w="460" w:type="dxa"/>
            <w:vAlign w:val="bottom"/>
          </w:tcPr>
          <w:p>
            <w:pPr>
              <w:jc w:val="right"/>
              <w:ind w:right="1"/>
              <w:spacing w:after="0"/>
              <w:rPr>
                <w:sz w:val="20"/>
                <w:szCs w:val="20"/>
                <w:color w:val="auto"/>
              </w:rPr>
            </w:pPr>
            <w:r>
              <w:rPr>
                <w:rFonts w:ascii="Arial" w:cs="Arial" w:eastAsia="Arial" w:hAnsi="Arial"/>
                <w:sz w:val="16"/>
                <w:szCs w:val="16"/>
                <w:color w:val="FFFFFF"/>
              </w:rPr>
              <w:t>Q4</w:t>
            </w:r>
          </w:p>
        </w:tc>
        <w:tc>
          <w:tcPr>
            <w:tcW w:w="400" w:type="dxa"/>
            <w:vAlign w:val="bottom"/>
          </w:tcPr>
          <w:p>
            <w:pPr>
              <w:jc w:val="center"/>
              <w:spacing w:after="0"/>
              <w:rPr>
                <w:sz w:val="20"/>
                <w:szCs w:val="20"/>
                <w:color w:val="auto"/>
              </w:rPr>
            </w:pPr>
            <w:r>
              <w:rPr>
                <w:rFonts w:ascii="Arial" w:cs="Arial" w:eastAsia="Arial" w:hAnsi="Arial"/>
                <w:sz w:val="16"/>
                <w:szCs w:val="16"/>
                <w:color w:val="FFFFFF"/>
              </w:rPr>
              <w:t>Q1</w:t>
            </w:r>
          </w:p>
        </w:tc>
        <w:tc>
          <w:tcPr>
            <w:tcW w:w="460" w:type="dxa"/>
            <w:vAlign w:val="bottom"/>
          </w:tcPr>
          <w:p>
            <w:pPr>
              <w:jc w:val="right"/>
              <w:spacing w:after="0"/>
              <w:rPr>
                <w:sz w:val="20"/>
                <w:szCs w:val="20"/>
                <w:color w:val="auto"/>
              </w:rPr>
            </w:pPr>
            <w:r>
              <w:rPr>
                <w:rFonts w:ascii="Arial" w:cs="Arial" w:eastAsia="Arial" w:hAnsi="Arial"/>
                <w:sz w:val="16"/>
                <w:szCs w:val="16"/>
                <w:color w:val="FFFFFF"/>
              </w:rPr>
              <w:t>Q2</w:t>
            </w:r>
          </w:p>
        </w:tc>
        <w:tc>
          <w:tcPr>
            <w:tcW w:w="480" w:type="dxa"/>
            <w:vAlign w:val="bottom"/>
          </w:tcPr>
          <w:p>
            <w:pPr>
              <w:ind w:left="160"/>
              <w:spacing w:after="0"/>
              <w:rPr>
                <w:sz w:val="20"/>
                <w:szCs w:val="20"/>
                <w:color w:val="auto"/>
              </w:rPr>
            </w:pPr>
            <w:r>
              <w:rPr>
                <w:rFonts w:ascii="Arial" w:cs="Arial" w:eastAsia="Arial" w:hAnsi="Arial"/>
                <w:sz w:val="16"/>
                <w:szCs w:val="16"/>
                <w:color w:val="FFFFFF"/>
              </w:rPr>
              <w:t>Q3</w:t>
            </w:r>
          </w:p>
        </w:tc>
        <w:tc>
          <w:tcPr>
            <w:tcW w:w="340" w:type="dxa"/>
            <w:vAlign w:val="bottom"/>
          </w:tcPr>
          <w:p>
            <w:pPr>
              <w:ind w:left="100"/>
              <w:spacing w:after="0"/>
              <w:rPr>
                <w:sz w:val="20"/>
                <w:szCs w:val="20"/>
                <w:color w:val="auto"/>
              </w:rPr>
            </w:pPr>
            <w:r>
              <w:rPr>
                <w:rFonts w:ascii="Arial" w:cs="Arial" w:eastAsia="Arial" w:hAnsi="Arial"/>
                <w:sz w:val="16"/>
                <w:szCs w:val="16"/>
                <w:color w:val="FFFFFF"/>
              </w:rPr>
              <w:t>Q4</w:t>
            </w:r>
          </w:p>
        </w:tc>
        <w:tc>
          <w:tcPr>
            <w:tcW w:w="560" w:type="dxa"/>
            <w:vAlign w:val="bottom"/>
          </w:tcPr>
          <w:p>
            <w:pPr>
              <w:jc w:val="right"/>
              <w:ind w:right="46"/>
              <w:spacing w:after="0"/>
              <w:rPr>
                <w:sz w:val="20"/>
                <w:szCs w:val="20"/>
                <w:color w:val="auto"/>
              </w:rPr>
            </w:pPr>
            <w:r>
              <w:rPr>
                <w:rFonts w:ascii="Arial" w:cs="Arial" w:eastAsia="Arial" w:hAnsi="Arial"/>
                <w:sz w:val="16"/>
                <w:szCs w:val="16"/>
                <w:color w:val="FFFFFF"/>
              </w:rPr>
              <w:t>Q1</w:t>
            </w:r>
          </w:p>
        </w:tc>
        <w:tc>
          <w:tcPr>
            <w:tcW w:w="0" w:type="dxa"/>
            <w:vAlign w:val="bottom"/>
          </w:tcPr>
          <w:p>
            <w:pPr>
              <w:spacing w:after="0"/>
              <w:rPr>
                <w:sz w:val="1"/>
                <w:szCs w:val="1"/>
                <w:color w:val="auto"/>
              </w:rPr>
            </w:pPr>
          </w:p>
        </w:tc>
      </w:tr>
      <w:tr>
        <w:trPr>
          <w:trHeight w:val="326"/>
        </w:trPr>
        <w:tc>
          <w:tcPr>
            <w:tcW w:w="1100" w:type="dxa"/>
            <w:vAlign w:val="bottom"/>
            <w:vMerge w:val="restart"/>
          </w:tcPr>
          <w:p>
            <w:pPr>
              <w:jc w:val="right"/>
              <w:ind w:right="578"/>
              <w:spacing w:after="0"/>
              <w:rPr>
                <w:sz w:val="20"/>
                <w:szCs w:val="20"/>
                <w:color w:val="auto"/>
              </w:rPr>
            </w:pPr>
            <w:r>
              <w:rPr>
                <w:rFonts w:ascii="Arial" w:cs="Arial" w:eastAsia="Arial" w:hAnsi="Arial"/>
                <w:sz w:val="16"/>
                <w:szCs w:val="16"/>
                <w:color w:val="FFFFFF"/>
              </w:rPr>
              <w:t>-2.0%</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FFFFFF"/>
                <w:w w:val="96"/>
              </w:rPr>
              <w:t>-1.1%</w:t>
            </w:r>
          </w:p>
        </w:tc>
        <w:tc>
          <w:tcPr>
            <w:tcW w:w="420" w:type="dxa"/>
            <w:vAlign w:val="bottom"/>
          </w:tcPr>
          <w:p>
            <w:pPr>
              <w:spacing w:after="0"/>
              <w:rPr>
                <w:sz w:val="24"/>
                <w:szCs w:val="24"/>
                <w:color w:val="auto"/>
              </w:rPr>
            </w:pPr>
          </w:p>
        </w:tc>
        <w:tc>
          <w:tcPr>
            <w:tcW w:w="1740" w:type="dxa"/>
            <w:vAlign w:val="bottom"/>
            <w:gridSpan w:val="4"/>
            <w:vMerge w:val="restart"/>
          </w:tcPr>
          <w:p>
            <w:pPr>
              <w:ind w:left="160"/>
              <w:spacing w:after="0"/>
              <w:rPr>
                <w:sz w:val="20"/>
                <w:szCs w:val="20"/>
                <w:color w:val="auto"/>
              </w:rPr>
            </w:pPr>
            <w:r>
              <w:rPr>
                <w:rFonts w:ascii="Arial" w:cs="Arial" w:eastAsia="Arial" w:hAnsi="Arial"/>
                <w:sz w:val="19"/>
                <w:szCs w:val="19"/>
                <w:b w:val="1"/>
                <w:bCs w:val="1"/>
                <w:color w:val="FFFFFF"/>
              </w:rPr>
              <w:t>Stores change to</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3"/>
          </w:tcPr>
          <w:p>
            <w:pPr>
              <w:jc w:val="right"/>
              <w:ind w:right="386"/>
              <w:spacing w:after="0" w:line="327" w:lineRule="exact"/>
              <w:rPr>
                <w:sz w:val="20"/>
                <w:szCs w:val="20"/>
                <w:color w:val="auto"/>
              </w:rPr>
            </w:pPr>
            <w:r>
              <w:rPr>
                <w:rFonts w:ascii="Arial" w:cs="Arial" w:eastAsia="Arial" w:hAnsi="Arial"/>
                <w:sz w:val="15"/>
                <w:szCs w:val="15"/>
                <w:color w:val="FFFFFF"/>
                <w:w w:val="92"/>
              </w:rPr>
              <w:t xml:space="preserve">-1.1% </w:t>
            </w:r>
            <w:r>
              <w:rPr>
                <w:rFonts w:ascii="Arial" w:cs="Arial" w:eastAsia="Arial" w:hAnsi="Arial"/>
                <w:sz w:val="30"/>
                <w:szCs w:val="30"/>
                <w:color w:val="FFFFFF"/>
                <w:w w:val="92"/>
                <w:vertAlign w:val="superscript"/>
              </w:rPr>
              <w:t>-0.3%</w:t>
            </w:r>
          </w:p>
        </w:tc>
        <w:tc>
          <w:tcPr>
            <w:tcW w:w="0" w:type="dxa"/>
            <w:vAlign w:val="bottom"/>
          </w:tcPr>
          <w:p>
            <w:pPr>
              <w:spacing w:after="0"/>
              <w:rPr>
                <w:sz w:val="1"/>
                <w:szCs w:val="1"/>
                <w:color w:val="auto"/>
              </w:rPr>
            </w:pPr>
          </w:p>
        </w:tc>
      </w:tr>
      <w:tr>
        <w:trPr>
          <w:trHeight w:val="29"/>
        </w:trPr>
        <w:tc>
          <w:tcPr>
            <w:tcW w:w="110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5"/>
                <w:szCs w:val="15"/>
                <w:color w:val="FFFFFF"/>
              </w:rPr>
              <w:t>-2%</w:t>
            </w:r>
          </w:p>
        </w:tc>
        <w:tc>
          <w:tcPr>
            <w:tcW w:w="0" w:type="dxa"/>
            <w:vAlign w:val="bottom"/>
          </w:tcPr>
          <w:p>
            <w:pPr>
              <w:spacing w:after="0" w:line="20" w:lineRule="exact"/>
              <w:rPr>
                <w:sz w:val="1"/>
                <w:szCs w:val="1"/>
                <w:color w:val="auto"/>
              </w:rPr>
            </w:pPr>
          </w:p>
        </w:tc>
      </w:tr>
      <w:tr>
        <w:trPr>
          <w:trHeight w:val="158"/>
        </w:trPr>
        <w:tc>
          <w:tcPr>
            <w:tcW w:w="1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FFFFFF"/>
              </w:rPr>
              <w:t>-2.3%</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gridSpan w:val="5"/>
            <w:vMerge w:val="restart"/>
          </w:tcPr>
          <w:p>
            <w:pPr>
              <w:jc w:val="center"/>
              <w:spacing w:after="0"/>
              <w:rPr>
                <w:sz w:val="20"/>
                <w:szCs w:val="20"/>
                <w:color w:val="auto"/>
              </w:rPr>
            </w:pPr>
            <w:r>
              <w:rPr>
                <w:rFonts w:ascii="Arial" w:cs="Arial" w:eastAsia="Arial" w:hAnsi="Arial"/>
                <w:sz w:val="19"/>
                <w:szCs w:val="19"/>
                <w:b w:val="1"/>
                <w:bCs w:val="1"/>
                <w:color w:val="FFFFFF"/>
                <w:w w:val="98"/>
              </w:rPr>
              <w:t>lifestyle presentation</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100" w:type="dxa"/>
            <w:vAlign w:val="bottom"/>
          </w:tcPr>
          <w:p>
            <w:pPr>
              <w:jc w:val="right"/>
              <w:ind w:right="578"/>
              <w:spacing w:after="0"/>
              <w:rPr>
                <w:sz w:val="20"/>
                <w:szCs w:val="20"/>
                <w:color w:val="auto"/>
              </w:rPr>
            </w:pPr>
            <w:r>
              <w:rPr>
                <w:rFonts w:ascii="Arial" w:cs="Arial" w:eastAsia="Arial" w:hAnsi="Arial"/>
                <w:sz w:val="16"/>
                <w:szCs w:val="16"/>
                <w:color w:val="FFFFFF"/>
              </w:rPr>
              <w:t>-4.0%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00" w:type="dxa"/>
            <w:vAlign w:val="bottom"/>
          </w:tcPr>
          <w:p>
            <w:pPr>
              <w:jc w:val="right"/>
              <w:spacing w:after="0"/>
              <w:rPr>
                <w:sz w:val="20"/>
                <w:szCs w:val="20"/>
                <w:color w:val="auto"/>
              </w:rPr>
            </w:pPr>
            <w:r>
              <w:rPr>
                <w:rFonts w:ascii="Arial" w:cs="Arial" w:eastAsia="Arial" w:hAnsi="Arial"/>
                <w:sz w:val="15"/>
                <w:szCs w:val="15"/>
                <w:color w:val="FFFFFF"/>
              </w:rPr>
              <w:t>-5.0%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25"/>
                <w:szCs w:val="25"/>
                <w:b w:val="1"/>
                <w:bCs w:val="1"/>
                <w:color w:val="FFFFFF"/>
                <w:w w:val="97"/>
              </w:rPr>
              <w:t>2004</w:t>
            </w:r>
          </w:p>
        </w:tc>
        <w:tc>
          <w:tcPr>
            <w:tcW w:w="440" w:type="dxa"/>
            <w:vAlign w:val="bottom"/>
          </w:tcPr>
          <w:p>
            <w:pPr>
              <w:spacing w:after="0"/>
              <w:rPr>
                <w:sz w:val="24"/>
                <w:szCs w:val="24"/>
                <w:color w:val="auto"/>
              </w:rPr>
            </w:pPr>
          </w:p>
        </w:tc>
        <w:tc>
          <w:tcPr>
            <w:tcW w:w="880" w:type="dxa"/>
            <w:vAlign w:val="bottom"/>
            <w:gridSpan w:val="2"/>
            <w:vMerge w:val="restart"/>
          </w:tcPr>
          <w:p>
            <w:pPr>
              <w:jc w:val="right"/>
              <w:ind w:right="21"/>
              <w:spacing w:after="0"/>
              <w:rPr>
                <w:sz w:val="20"/>
                <w:szCs w:val="20"/>
                <w:color w:val="auto"/>
              </w:rPr>
            </w:pPr>
            <w:r>
              <w:rPr>
                <w:rFonts w:ascii="Arial" w:cs="Arial" w:eastAsia="Arial" w:hAnsi="Arial"/>
                <w:sz w:val="25"/>
                <w:szCs w:val="25"/>
                <w:b w:val="1"/>
                <w:bCs w:val="1"/>
                <w:color w:val="FFFFFF"/>
              </w:rPr>
              <w:t>2005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25"/>
                <w:szCs w:val="25"/>
                <w:b w:val="1"/>
                <w:bCs w:val="1"/>
                <w:color w:val="FFFFFF"/>
                <w:w w:val="97"/>
              </w:rPr>
              <w:t>2008</w:t>
            </w:r>
          </w:p>
        </w:tc>
        <w:tc>
          <w:tcPr>
            <w:tcW w:w="0" w:type="dxa"/>
            <w:vAlign w:val="bottom"/>
          </w:tcPr>
          <w:p>
            <w:pPr>
              <w:spacing w:after="0"/>
              <w:rPr>
                <w:sz w:val="1"/>
                <w:szCs w:val="1"/>
                <w:color w:val="auto"/>
              </w:rPr>
            </w:pPr>
          </w:p>
        </w:tc>
      </w:tr>
      <w:tr>
        <w:trPr>
          <w:trHeight w:val="197"/>
        </w:trPr>
        <w:tc>
          <w:tcPr>
            <w:tcW w:w="1100" w:type="dxa"/>
            <w:vAlign w:val="bottom"/>
          </w:tcPr>
          <w:p>
            <w:pPr>
              <w:jc w:val="right"/>
              <w:ind w:right="578"/>
              <w:spacing w:after="0"/>
              <w:rPr>
                <w:sz w:val="20"/>
                <w:szCs w:val="20"/>
                <w:color w:val="auto"/>
              </w:rPr>
            </w:pPr>
            <w:r>
              <w:rPr>
                <w:rFonts w:ascii="Arial" w:cs="Arial" w:eastAsia="Arial" w:hAnsi="Arial"/>
                <w:sz w:val="16"/>
                <w:szCs w:val="16"/>
                <w:color w:val="FFFFFF"/>
              </w:rPr>
              <w:t>-6.0%</w:t>
            </w:r>
          </w:p>
        </w:tc>
        <w:tc>
          <w:tcPr>
            <w:tcW w:w="440" w:type="dxa"/>
            <w:vAlign w:val="bottom"/>
          </w:tcPr>
          <w:p>
            <w:pPr>
              <w:spacing w:after="0"/>
              <w:rPr>
                <w:sz w:val="17"/>
                <w:szCs w:val="17"/>
                <w:color w:val="auto"/>
              </w:rPr>
            </w:pPr>
          </w:p>
        </w:tc>
        <w:tc>
          <w:tcPr>
            <w:tcW w:w="860" w:type="dxa"/>
            <w:vAlign w:val="bottom"/>
            <w:gridSpan w:val="2"/>
            <w:vMerge w:val="restart"/>
          </w:tcPr>
          <w:p>
            <w:pPr>
              <w:jc w:val="right"/>
              <w:ind w:right="221"/>
              <w:spacing w:after="0"/>
              <w:rPr>
                <w:sz w:val="20"/>
                <w:szCs w:val="20"/>
                <w:color w:val="auto"/>
              </w:rPr>
            </w:pPr>
            <w:r>
              <w:rPr>
                <w:rFonts w:ascii="Arial" w:cs="Arial" w:eastAsia="Arial" w:hAnsi="Arial"/>
                <w:sz w:val="25"/>
                <w:szCs w:val="25"/>
                <w:b w:val="1"/>
                <w:bCs w:val="1"/>
                <w:color w:val="FFFFFF"/>
                <w:w w:val="97"/>
              </w:rPr>
              <w:t>2003</w:t>
            </w:r>
          </w:p>
        </w:tc>
        <w:tc>
          <w:tcPr>
            <w:tcW w:w="4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25"/>
                <w:szCs w:val="25"/>
                <w:b w:val="1"/>
                <w:bCs w:val="1"/>
                <w:color w:val="FFFFFF"/>
              </w:rPr>
              <w:t>2006</w:t>
            </w:r>
          </w:p>
        </w:tc>
        <w:tc>
          <w:tcPr>
            <w:tcW w:w="460" w:type="dxa"/>
            <w:vAlign w:val="bottom"/>
          </w:tcPr>
          <w:p>
            <w:pPr>
              <w:spacing w:after="0"/>
              <w:rPr>
                <w:sz w:val="17"/>
                <w:szCs w:val="17"/>
                <w:color w:val="auto"/>
              </w:rPr>
            </w:pPr>
          </w:p>
        </w:tc>
        <w:tc>
          <w:tcPr>
            <w:tcW w:w="860" w:type="dxa"/>
            <w:vAlign w:val="bottom"/>
            <w:gridSpan w:val="2"/>
            <w:vMerge w:val="restart"/>
          </w:tcPr>
          <w:p>
            <w:pPr>
              <w:jc w:val="right"/>
              <w:ind w:right="21"/>
              <w:spacing w:after="0"/>
              <w:rPr>
                <w:sz w:val="20"/>
                <w:szCs w:val="20"/>
                <w:color w:val="auto"/>
              </w:rPr>
            </w:pPr>
            <w:r>
              <w:rPr>
                <w:rFonts w:ascii="Arial" w:cs="Arial" w:eastAsia="Arial" w:hAnsi="Arial"/>
                <w:sz w:val="25"/>
                <w:szCs w:val="25"/>
                <w:b w:val="1"/>
                <w:bCs w:val="1"/>
                <w:color w:val="FFFFFF"/>
              </w:rPr>
              <w:t>2007</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180"/>
          </w:cols>
          <w:pgMar w:left="1260" w:top="755" w:right="459" w:bottom="1440" w:gutter="0" w:footer="0" w:header="0"/>
        </w:sectPr>
      </w:pPr>
    </w:p>
    <w:bookmarkStart w:id="5" w:name="page6"/>
    <w:bookmarkEnd w:id="5"/>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Forward Looking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4"/>
          <w:szCs w:val="24"/>
          <w:color w:val="FFFFFF"/>
        </w:rPr>
        <w:t>This presentation contains certain forward-looking statements concerning the</w:t>
      </w:r>
    </w:p>
    <w:p>
      <w:pPr>
        <w:ind w:left="60" w:right="1120"/>
        <w:spacing w:after="0" w:line="199" w:lineRule="auto"/>
        <w:rPr>
          <w:sz w:val="20"/>
          <w:szCs w:val="20"/>
          <w:color w:val="auto"/>
        </w:rPr>
      </w:pPr>
      <w:r>
        <w:rPr>
          <w:rFonts w:ascii="Arial" w:cs="Arial" w:eastAsia="Arial" w:hAnsi="Arial"/>
          <w:sz w:val="24"/>
          <w:szCs w:val="24"/>
          <w:color w:val="FFFFFF"/>
        </w:rPr>
        <w:t>Company's operations, performance, and financial condition. Such forward-looking statements are subject to various risks and uncertainties that could cause actual results</w:t>
      </w:r>
    </w:p>
    <w:p>
      <w:pPr>
        <w:spacing w:after="0" w:line="1" w:lineRule="exact"/>
        <w:rPr>
          <w:sz w:val="20"/>
          <w:szCs w:val="20"/>
          <w:color w:val="auto"/>
        </w:rPr>
      </w:pPr>
    </w:p>
    <w:p>
      <w:pPr>
        <w:ind w:left="60" w:right="1520"/>
        <w:spacing w:after="0" w:line="213" w:lineRule="auto"/>
        <w:rPr>
          <w:sz w:val="20"/>
          <w:szCs w:val="20"/>
          <w:color w:val="auto"/>
        </w:rPr>
      </w:pPr>
      <w:r>
        <w:rPr>
          <w:rFonts w:ascii="Arial" w:cs="Arial" w:eastAsia="Arial" w:hAnsi="Arial"/>
          <w:sz w:val="22"/>
          <w:szCs w:val="22"/>
          <w:color w:val="FFFFFF"/>
        </w:rPr>
        <w:t>to differ materially from those indicated. Such risks and uncertainties may include, but are not limited to: the failure to implement the Company's business plan for increased profitability and growth in the Company's retail stores sales and direct-to-consumer segments, the failure of management to develop the Company’s new direct to consumer businesses, the failure of changes in management to achieve improvement in the Company's competitive position, adverse changes in costs vital to catalog operations,</w:t>
      </w:r>
    </w:p>
    <w:p>
      <w:pPr>
        <w:spacing w:after="0" w:line="5" w:lineRule="exact"/>
        <w:rPr>
          <w:sz w:val="20"/>
          <w:szCs w:val="20"/>
          <w:color w:val="auto"/>
        </w:rPr>
      </w:pPr>
    </w:p>
    <w:p>
      <w:pPr>
        <w:ind w:left="60" w:right="1480"/>
        <w:spacing w:after="0" w:line="213" w:lineRule="auto"/>
        <w:rPr>
          <w:sz w:val="20"/>
          <w:szCs w:val="20"/>
          <w:color w:val="auto"/>
        </w:rPr>
      </w:pPr>
      <w:r>
        <w:rPr>
          <w:rFonts w:ascii="Arial" w:cs="Arial" w:eastAsia="Arial" w:hAnsi="Arial"/>
          <w:sz w:val="22"/>
          <w:szCs w:val="22"/>
          <w:color w:val="FFFFFF"/>
        </w:rPr>
        <w:t>such as postage, paper and acquisition of prospects, declining response rates to catalog offerings, failure to maintain efficient and uninterrupted order-taking and fulfillment in our direct-to-consumer business, changes in or miscalculation of fashion trends, extreme or unseasonable weather conditions, economic downturns, escalation of energy costs, a weakness in overall consumer demand, increases in wage rates, the ability to hire and train associates, trade and security restrictions and political or financial</w:t>
      </w:r>
    </w:p>
    <w:p>
      <w:pPr>
        <w:spacing w:after="0" w:line="5" w:lineRule="exact"/>
        <w:rPr>
          <w:sz w:val="20"/>
          <w:szCs w:val="20"/>
          <w:color w:val="auto"/>
        </w:rPr>
      </w:pPr>
    </w:p>
    <w:p>
      <w:pPr>
        <w:ind w:left="60" w:right="800"/>
        <w:spacing w:after="0" w:line="194" w:lineRule="auto"/>
        <w:rPr>
          <w:sz w:val="20"/>
          <w:szCs w:val="20"/>
          <w:color w:val="auto"/>
        </w:rPr>
      </w:pPr>
      <w:r>
        <w:rPr>
          <w:rFonts w:ascii="Arial" w:cs="Arial" w:eastAsia="Arial" w:hAnsi="Arial"/>
          <w:sz w:val="24"/>
          <w:szCs w:val="24"/>
          <w:color w:val="FFFFFF"/>
        </w:rPr>
        <w:t>instability in countries where goods are manufactured, increases in raw material costs from inflation and other factors, the interruption of merchandise flow from the</w:t>
      </w:r>
    </w:p>
    <w:p>
      <w:pPr>
        <w:spacing w:after="0" w:line="1" w:lineRule="exact"/>
        <w:rPr>
          <w:sz w:val="20"/>
          <w:szCs w:val="20"/>
          <w:color w:val="auto"/>
        </w:rPr>
      </w:pPr>
    </w:p>
    <w:p>
      <w:pPr>
        <w:ind w:left="60" w:right="1760"/>
        <w:spacing w:after="0" w:line="214" w:lineRule="auto"/>
        <w:rPr>
          <w:sz w:val="20"/>
          <w:szCs w:val="20"/>
          <w:color w:val="auto"/>
        </w:rPr>
      </w:pPr>
      <w:r>
        <w:rPr>
          <w:rFonts w:ascii="Arial" w:cs="Arial" w:eastAsia="Arial" w:hAnsi="Arial"/>
          <w:sz w:val="22"/>
          <w:szCs w:val="22"/>
          <w:color w:val="FFFFFF"/>
        </w:rPr>
        <w:t>Company's centralized distribution facilities, competitive pressures, and the adverse effects of natural disasters, war, acts of terrorism or threats of either, or other armed conflict, on the United States and international economies. These, and other risks and uncertainties, are detailed in the Company's filings with the Securities and Exchange</w:t>
      </w:r>
    </w:p>
    <w:p>
      <w:pPr>
        <w:ind w:left="60"/>
        <w:spacing w:after="0" w:line="196" w:lineRule="auto"/>
        <w:rPr>
          <w:sz w:val="20"/>
          <w:szCs w:val="20"/>
          <w:color w:val="auto"/>
        </w:rPr>
      </w:pPr>
      <w:r>
        <w:rPr>
          <w:rFonts w:ascii="Arial" w:cs="Arial" w:eastAsia="Arial" w:hAnsi="Arial"/>
          <w:sz w:val="24"/>
          <w:szCs w:val="24"/>
          <w:color w:val="FFFFFF"/>
        </w:rPr>
        <w:t>Commission, including the Company's Annual Report on Form 10-K for the fiscal year</w:t>
      </w:r>
    </w:p>
    <w:p>
      <w:pPr>
        <w:spacing w:after="0" w:line="1" w:lineRule="exact"/>
        <w:rPr>
          <w:sz w:val="20"/>
          <w:szCs w:val="20"/>
          <w:color w:val="auto"/>
        </w:rPr>
      </w:pPr>
    </w:p>
    <w:p>
      <w:pPr>
        <w:ind w:left="60" w:right="960"/>
        <w:spacing w:after="0" w:line="194" w:lineRule="auto"/>
        <w:rPr>
          <w:sz w:val="20"/>
          <w:szCs w:val="20"/>
          <w:color w:val="auto"/>
        </w:rPr>
      </w:pPr>
      <w:r>
        <w:rPr>
          <w:rFonts w:ascii="Arial" w:cs="Arial" w:eastAsia="Arial" w:hAnsi="Arial"/>
          <w:sz w:val="24"/>
          <w:szCs w:val="24"/>
          <w:color w:val="FFFFFF"/>
        </w:rPr>
        <w:t>ended February 2, 2008 filed on March 26, 2008 and other Company filings with the Securities and Exchange Commission. Casual Male assumes no duty to update or revise</w:t>
      </w:r>
    </w:p>
    <w:p>
      <w:pPr>
        <w:spacing w:after="0" w:line="1" w:lineRule="exact"/>
        <w:rPr>
          <w:sz w:val="20"/>
          <w:szCs w:val="20"/>
          <w:color w:val="auto"/>
        </w:rPr>
      </w:pPr>
    </w:p>
    <w:p>
      <w:pPr>
        <w:ind w:left="60" w:right="1820"/>
        <w:spacing w:after="0" w:line="220" w:lineRule="auto"/>
        <w:rPr>
          <w:sz w:val="20"/>
          <w:szCs w:val="20"/>
          <w:color w:val="auto"/>
        </w:rPr>
      </w:pPr>
      <w:r>
        <w:rPr>
          <w:rFonts w:ascii="Arial" w:cs="Arial" w:eastAsia="Arial" w:hAnsi="Arial"/>
          <w:sz w:val="24"/>
          <w:szCs w:val="24"/>
          <w:color w:val="FFFFFF"/>
        </w:rPr>
        <w:t>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sectPr>
      <w:pgSz w:w="11900" w:h="16838" w:orient="portrait"/>
      <w:cols w:equalWidth="0" w:num="1">
        <w:col w:w="10740"/>
      </w:cols>
      <w:pgMar w:left="700" w:top="7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2019-12-11T14:36:50Z</dcterms:created>
  <dcterms:modified xsi:type="dcterms:W3CDTF">2019-12-11T14:36:50Z</dcterms:modified>
</cp:coreProperties>
</file>