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20)*</w:t>
      </w:r>
    </w:p>
    <w:p>
      <w:pPr>
        <w:spacing w:after="0" w:line="16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 Jewelcor Companies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100 N. Wilkes-Barre Blvd.</w:t>
      </w:r>
    </w:p>
    <w:p>
      <w:pPr>
        <w:jc w:val="center"/>
        <w:ind w:right="1779"/>
        <w:spacing w:after="0"/>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DECEMBER 27, 1999</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66" w:lineRule="exact"/>
        <w:rPr>
          <w:sz w:val="24"/>
          <w:szCs w:val="24"/>
          <w:color w:val="auto"/>
        </w:rPr>
      </w:pPr>
    </w:p>
    <w:p>
      <w:pPr>
        <w:ind w:right="1779" w:firstLine="8"/>
        <w:spacing w:after="0" w:line="274"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4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4"/>
          <w:szCs w:val="24"/>
          <w:color w:val="auto"/>
        </w:rPr>
      </w:pPr>
    </w:p>
    <w:p>
      <w:pPr>
        <w:ind w:left="860" w:right="3479" w:hanging="852"/>
        <w:spacing w:after="0" w:line="34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70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NUMBER</w:t>
            </w:r>
          </w:p>
        </w:tc>
        <w:tc>
          <w:tcPr>
            <w:tcW w:w="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w:t>
            </w:r>
          </w:p>
        </w:tc>
        <w:tc>
          <w:tcPr>
            <w:tcW w:w="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94" w:orient="portrait"/>
          <w:cols w:equalWidth="0" w:num="1">
            <w:col w:w="10219"/>
          </w:cols>
          <w:pgMar w:left="240" w:top="420"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08"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0"/>
          <w:szCs w:val="20"/>
          <w:color w:val="auto"/>
        </w:rPr>
      </w:pPr>
    </w:p>
    <w:p>
      <w:pPr>
        <w:ind w:left="860" w:right="3479" w:hanging="852"/>
        <w:spacing w:after="0" w:line="347"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gridSpan w:val="3"/>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SHARED</w:t>
            </w:r>
          </w:p>
        </w:tc>
        <w:tc>
          <w:tcPr>
            <w:tcW w:w="184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893"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96"/>
        </w:trPr>
        <w:tc>
          <w:tcPr>
            <w:tcW w:w="48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347"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1,668,650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1,668,650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10.42%</w:t>
      </w:r>
    </w:p>
    <w:p>
      <w:pPr>
        <w:spacing w:after="0" w:line="201" w:lineRule="exact"/>
        <w:rPr>
          <w:rFonts w:ascii="Courier New" w:cs="Courier New" w:eastAsia="Courier New" w:hAnsi="Courier New"/>
          <w:sz w:val="18"/>
          <w:szCs w:val="18"/>
          <w:color w:val="auto"/>
        </w:rPr>
      </w:pPr>
    </w:p>
    <w:p>
      <w:pPr>
        <w:ind w:left="860" w:right="6739" w:hanging="852"/>
        <w:spacing w:after="0" w:line="585"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9"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691"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0"/>
          <w:szCs w:val="20"/>
          <w:color w:val="auto"/>
        </w:rPr>
      </w:pPr>
    </w:p>
    <w:p>
      <w:pPr>
        <w:ind w:left="860" w:right="3479" w:hanging="852"/>
        <w:spacing w:after="0" w:line="347"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893"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347"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right="673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09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supplementally amended as follows: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On December 27, 1999, Jewelcor Management, Inc. ("JMI") purchased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60,000 shares of Common Stock at a total cost (including fees) of</w:t>
      </w:r>
    </w:p>
    <w:p>
      <w:pPr>
        <w:spacing w:after="0" w:line="238" w:lineRule="auto"/>
        <w:rPr>
          <w:sz w:val="20"/>
          <w:szCs w:val="20"/>
          <w:color w:val="auto"/>
        </w:rPr>
      </w:pPr>
      <w:r>
        <w:rPr>
          <w:rFonts w:ascii="Courier New" w:cs="Courier New" w:eastAsia="Courier New" w:hAnsi="Courier New"/>
          <w:sz w:val="18"/>
          <w:szCs w:val="18"/>
          <w:color w:val="auto"/>
        </w:rPr>
        <w:t>$89,415.00 from funds borrowed by JMI against its margin account with Bear</w:t>
      </w:r>
    </w:p>
    <w:p>
      <w:pPr>
        <w:spacing w:after="0"/>
        <w:rPr>
          <w:sz w:val="20"/>
          <w:szCs w:val="20"/>
          <w:color w:val="auto"/>
        </w:rPr>
      </w:pPr>
      <w:r>
        <w:rPr>
          <w:rFonts w:ascii="Courier New" w:cs="Courier New" w:eastAsia="Courier New" w:hAnsi="Courier New"/>
          <w:sz w:val="18"/>
          <w:szCs w:val="18"/>
          <w:color w:val="auto"/>
        </w:rPr>
        <w:t>Stearns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5 is supplementally amended as follows:</w:t>
      </w:r>
    </w:p>
    <w:p>
      <w:pPr>
        <w:spacing w:after="0" w:line="201" w:lineRule="exact"/>
        <w:rPr>
          <w:sz w:val="20"/>
          <w:szCs w:val="20"/>
          <w:color w:val="auto"/>
        </w:rPr>
      </w:pPr>
    </w:p>
    <w:p>
      <w:pPr>
        <w:ind w:right="2199" w:firstLine="843"/>
        <w:spacing w:after="0" w:line="265" w:lineRule="auto"/>
        <w:rPr>
          <w:sz w:val="20"/>
          <w:szCs w:val="20"/>
          <w:color w:val="auto"/>
        </w:rPr>
      </w:pPr>
      <w:r>
        <w:rPr>
          <w:rFonts w:ascii="Courier New" w:cs="Courier New" w:eastAsia="Courier New" w:hAnsi="Courier New"/>
          <w:sz w:val="18"/>
          <w:szCs w:val="18"/>
          <w:color w:val="auto"/>
        </w:rPr>
        <w:t>As of December 27, 1999, JMI beneficially owns an aggregate of 1,668,650 shares of Common Stock. Based upon Designs' Form 10-Q filed December 14, 1999 which reports the number of outstanding shares of the Company to be 16,013,000, JMI beneficially owns approximately 10.42% of said outstanding shares.</w:t>
      </w:r>
    </w:p>
    <w:p>
      <w:pPr>
        <w:spacing w:after="0" w:line="292" w:lineRule="exact"/>
        <w:rPr>
          <w:sz w:val="20"/>
          <w:szCs w:val="20"/>
          <w:color w:val="auto"/>
        </w:rPr>
      </w:pPr>
    </w:p>
    <w:p>
      <w:pPr>
        <w:ind w:left="860" w:right="1999" w:hanging="842"/>
        <w:spacing w:after="0" w:line="34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right="2519" w:firstLine="843"/>
        <w:spacing w:after="0" w:line="292" w:lineRule="auto"/>
        <w:rPr>
          <w:sz w:val="20"/>
          <w:szCs w:val="20"/>
          <w:color w:val="auto"/>
        </w:rPr>
      </w:pPr>
      <w:r>
        <w:rPr>
          <w:rFonts w:ascii="Courier New" w:cs="Courier New" w:eastAsia="Courier New" w:hAnsi="Courier New"/>
          <w:sz w:val="18"/>
          <w:szCs w:val="18"/>
          <w:color w:val="auto"/>
        </w:rPr>
        <w:t>A listing of the shares of Common Stock that were acquired by the Reporting Persons in the sixty days prior to December 27, 1999 is filed herewith as Exhibit A.</w:t>
      </w:r>
    </w:p>
    <w:p>
      <w:pPr>
        <w:sectPr>
          <w:pgSz w:w="11900" w:h="16838" w:orient="portrait"/>
          <w:cols w:equalWidth="0" w:num="1">
            <w:col w:w="10219"/>
          </w:cols>
          <w:pgMar w:left="240" w:top="691"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December 28,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spacing w:after="0" w:line="31"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Seymour Holtzman</w:t>
      </w:r>
    </w:p>
    <w:p>
      <w:pPr>
        <w:spacing w:after="0" w:line="169"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spacing w:after="0" w:line="3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Evelyn Holtzman</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69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96"/>
        </w:trPr>
        <w:tc>
          <w:tcPr>
            <w:tcW w:w="1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Exhibit A</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900" w:type="dxa"/>
            <w:vAlign w:val="bottom"/>
            <w:gridSpan w:val="4"/>
          </w:tcPr>
          <w:p>
            <w:pPr>
              <w:jc w:val="right"/>
              <w:ind w:right="212"/>
              <w:spacing w:after="0"/>
              <w:rPr>
                <w:sz w:val="20"/>
                <w:szCs w:val="20"/>
                <w:color w:val="auto"/>
              </w:rPr>
            </w:pPr>
            <w:r>
              <w:rPr>
                <w:rFonts w:ascii="Courier New" w:cs="Courier New" w:eastAsia="Courier New" w:hAnsi="Courier New"/>
                <w:sz w:val="18"/>
                <w:szCs w:val="18"/>
                <w:color w:val="auto"/>
              </w:rPr>
              <w:t>LIST OF TRANSACTIONS WITHIN LAST 60 DAYS</w:t>
            </w: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60" w:type="dxa"/>
            <w:vAlign w:val="bottom"/>
          </w:tcPr>
          <w:p>
            <w:pPr>
              <w:spacing w:after="0"/>
              <w:rPr>
                <w:sz w:val="24"/>
                <w:szCs w:val="24"/>
                <w:color w:val="auto"/>
              </w:rPr>
            </w:pPr>
          </w:p>
        </w:tc>
        <w:tc>
          <w:tcPr>
            <w:tcW w:w="24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PURCHASED/SOLD</w:t>
            </w:r>
          </w:p>
        </w:tc>
        <w:tc>
          <w:tcPr>
            <w:tcW w:w="2260" w:type="dxa"/>
            <w:vAlign w:val="bottom"/>
            <w:gridSpan w:val="3"/>
            <w:vMerge w:val="restart"/>
          </w:tcPr>
          <w:p>
            <w:pPr>
              <w:jc w:val="right"/>
              <w:ind w:right="232"/>
              <w:spacing w:after="0"/>
              <w:rPr>
                <w:sz w:val="20"/>
                <w:szCs w:val="20"/>
                <w:color w:val="auto"/>
              </w:rPr>
            </w:pPr>
            <w:r>
              <w:rPr>
                <w:rFonts w:ascii="Courier New" w:cs="Courier New" w:eastAsia="Courier New" w:hAnsi="Courier New"/>
                <w:sz w:val="18"/>
                <w:szCs w:val="18"/>
                <w:color w:val="auto"/>
              </w:rPr>
              <w:t>NUMBER OF SHARES</w:t>
            </w:r>
          </w:p>
        </w:tc>
        <w:tc>
          <w:tcPr>
            <w:tcW w:w="1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TOTAL COST/</w:t>
            </w:r>
          </w:p>
        </w:tc>
        <w:tc>
          <w:tcPr>
            <w:tcW w:w="0" w:type="dxa"/>
            <w:vAlign w:val="bottom"/>
          </w:tcPr>
          <w:p>
            <w:pPr>
              <w:spacing w:after="0"/>
              <w:rPr>
                <w:sz w:val="1"/>
                <w:szCs w:val="1"/>
                <w:color w:val="auto"/>
              </w:rPr>
            </w:pPr>
          </w:p>
        </w:tc>
      </w:tr>
      <w:tr>
        <w:trPr>
          <w:trHeight w:val="109"/>
        </w:trPr>
        <w:tc>
          <w:tcPr>
            <w:tcW w:w="1860" w:type="dxa"/>
            <w:vAlign w:val="bottom"/>
            <w:vMerge w:val="restart"/>
          </w:tcPr>
          <w:p>
            <w:pPr>
              <w:spacing w:after="0"/>
              <w:rPr>
                <w:sz w:val="20"/>
                <w:szCs w:val="20"/>
                <w:color w:val="auto"/>
              </w:rPr>
            </w:pPr>
            <w:r>
              <w:rPr>
                <w:rFonts w:ascii="Courier New" w:cs="Courier New" w:eastAsia="Courier New" w:hAnsi="Courier New"/>
                <w:sz w:val="18"/>
                <w:szCs w:val="18"/>
                <w:color w:val="auto"/>
              </w:rPr>
              <w:t>DATE PURCHASED</w:t>
            </w:r>
          </w:p>
        </w:tc>
        <w:tc>
          <w:tcPr>
            <w:tcW w:w="2420" w:type="dxa"/>
            <w:vAlign w:val="bottom"/>
            <w:vMerge w:val="continue"/>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2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THROUGH</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PURCHASED/</w:t>
            </w:r>
          </w:p>
        </w:tc>
        <w:tc>
          <w:tcPr>
            <w:tcW w:w="254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INCLUDING FEES</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42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24"/>
                <w:szCs w:val="24"/>
                <w:color w:val="auto"/>
              </w:rPr>
            </w:pPr>
          </w:p>
        </w:tc>
        <w:tc>
          <w:tcPr>
            <w:tcW w:w="18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1860" w:type="dxa"/>
            <w:vAlign w:val="bottom"/>
            <w:vMerge w:val="restart"/>
          </w:tcPr>
          <w:p>
            <w:pPr>
              <w:spacing w:after="0"/>
              <w:rPr>
                <w:sz w:val="20"/>
                <w:szCs w:val="20"/>
                <w:color w:val="auto"/>
              </w:rPr>
            </w:pPr>
            <w:r>
              <w:rPr>
                <w:rFonts w:ascii="Courier New" w:cs="Courier New" w:eastAsia="Courier New" w:hAnsi="Courier New"/>
                <w:sz w:val="18"/>
                <w:szCs w:val="18"/>
                <w:color w:val="auto"/>
              </w:rPr>
              <w:t>11/05/99</w:t>
            </w:r>
          </w:p>
        </w:tc>
        <w:tc>
          <w:tcPr>
            <w:tcW w:w="2420" w:type="dxa"/>
            <w:vAlign w:val="bottom"/>
          </w:tcPr>
          <w:p>
            <w:pPr>
              <w:ind w:left="140"/>
              <w:spacing w:after="0"/>
              <w:rPr>
                <w:sz w:val="20"/>
                <w:szCs w:val="20"/>
                <w:color w:val="auto"/>
              </w:rPr>
            </w:pPr>
            <w:r>
              <w:rPr>
                <w:rFonts w:ascii="Courier New" w:cs="Courier New" w:eastAsia="Courier New" w:hAnsi="Courier New"/>
                <w:sz w:val="18"/>
                <w:szCs w:val="18"/>
                <w:color w:val="auto"/>
              </w:rPr>
              <w:t>JEWELECOR MGT. INC.</w:t>
            </w:r>
          </w:p>
        </w:tc>
        <w:tc>
          <w:tcPr>
            <w:tcW w:w="46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38,450</w:t>
            </w:r>
          </w:p>
        </w:tc>
        <w:tc>
          <w:tcPr>
            <w:tcW w:w="640" w:type="dxa"/>
            <w:vAlign w:val="bottom"/>
          </w:tcPr>
          <w:p>
            <w:pPr>
              <w:spacing w:after="0"/>
              <w:rPr>
                <w:sz w:val="24"/>
                <w:szCs w:val="24"/>
                <w:color w:val="auto"/>
              </w:rPr>
            </w:pPr>
          </w:p>
        </w:tc>
        <w:tc>
          <w:tcPr>
            <w:tcW w:w="190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$51,067.38</w:t>
            </w: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2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12/27/99</w:t>
            </w:r>
          </w:p>
        </w:tc>
        <w:tc>
          <w:tcPr>
            <w:tcW w:w="2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60,000</w:t>
            </w:r>
          </w:p>
        </w:tc>
        <w:tc>
          <w:tcPr>
            <w:tcW w:w="640" w:type="dxa"/>
            <w:vAlign w:val="bottom"/>
          </w:tcPr>
          <w:p>
            <w:pPr>
              <w:spacing w:after="0"/>
              <w:rPr>
                <w:sz w:val="17"/>
                <w:szCs w:val="17"/>
                <w:color w:val="auto"/>
              </w:rPr>
            </w:pP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$89,415.00</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2880" w:type="dxa"/>
            <w:vAlign w:val="bottom"/>
            <w:gridSpan w:val="2"/>
            <w:vMerge w:val="restart"/>
          </w:tcPr>
          <w:p>
            <w:pPr>
              <w:ind w:left="1520"/>
              <w:spacing w:after="0"/>
              <w:rPr>
                <w:sz w:val="20"/>
                <w:szCs w:val="20"/>
                <w:color w:val="auto"/>
              </w:rPr>
            </w:pPr>
            <w:r>
              <w:rPr>
                <w:rFonts w:ascii="Courier New" w:cs="Courier New" w:eastAsia="Courier New" w:hAnsi="Courier New"/>
                <w:sz w:val="18"/>
                <w:szCs w:val="18"/>
                <w:color w:val="auto"/>
                <w:w w:val="95"/>
              </w:rPr>
              <w:t>TOTAL SHARES: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4"/>
                <w:szCs w:val="24"/>
                <w:color w:val="auto"/>
              </w:rPr>
            </w:pPr>
          </w:p>
        </w:tc>
        <w:tc>
          <w:tcPr>
            <w:tcW w:w="2880" w:type="dxa"/>
            <w:vAlign w:val="bottom"/>
            <w:gridSpan w:val="2"/>
            <w:vMerge w:val="continue"/>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98,450</w:t>
            </w:r>
          </w:p>
        </w:tc>
        <w:tc>
          <w:tcPr>
            <w:tcW w:w="640" w:type="dxa"/>
            <w:vAlign w:val="bottom"/>
          </w:tcPr>
          <w:p>
            <w:pPr>
              <w:spacing w:after="0"/>
              <w:rPr>
                <w:sz w:val="24"/>
                <w:szCs w:val="24"/>
                <w:color w:val="auto"/>
              </w:rPr>
            </w:pP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$140,482.38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2020-02-22T16:00:23Z</dcterms:created>
  <dcterms:modified xsi:type="dcterms:W3CDTF">2020-02-22T16:00:23Z</dcterms:modified>
</cp:coreProperties>
</file>