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12/10/2018</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40"/>
              <w:spacing w:after="0" w:line="135"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0000FF"/>
              </w:rPr>
              <w:t>12/10/2018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7"/>
              </w:rPr>
              <w:t>10,856</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2.494</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5,040,536</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0000FF"/>
              </w:rPr>
              <w:t>12/11/2018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60" w:type="dxa"/>
            <w:vAlign w:val="bottom"/>
          </w:tcPr>
          <w:p>
            <w:pPr>
              <w:jc w:val="center"/>
              <w:ind w:right="9"/>
              <w:spacing w:after="0"/>
              <w:rPr>
                <w:sz w:val="20"/>
                <w:szCs w:val="20"/>
                <w:color w:val="auto"/>
              </w:rPr>
            </w:pPr>
            <w:r>
              <w:rPr>
                <w:rFonts w:ascii="Arial" w:cs="Arial" w:eastAsia="Arial" w:hAnsi="Arial"/>
                <w:sz w:val="18"/>
                <w:szCs w:val="18"/>
                <w:color w:val="0000FF"/>
                <w:w w:val="86"/>
              </w:rPr>
              <w:t>100</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2.51</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5,040,636</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0000FF"/>
              </w:rPr>
              <w:t>12/12/2018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7"/>
              </w:rPr>
              <w:t>40,975</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2.51</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5,081,611</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December 11, 2018, Tonga Partners, LP, Cuttyhunk II Fund. Tristan Partners, LP, and Tristan Offshore Fund, Ltd (collectively the "Cannell Investment Vehicles") owned in the aggregate 5,081,611 shares of the common stock of Destination XL Group, Inc.</w:t>
      </w:r>
    </w:p>
    <w:p>
      <w:pPr>
        <w:spacing w:after="0" w:line="30" w:lineRule="exact"/>
        <w:rPr>
          <w:rFonts w:ascii="Arial" w:cs="Arial" w:eastAsia="Arial" w:hAnsi="Arial"/>
          <w:sz w:val="14"/>
          <w:szCs w:val="14"/>
          <w:color w:val="008000"/>
        </w:rPr>
      </w:pPr>
    </w:p>
    <w:p>
      <w:pPr>
        <w:ind w:left="40" w:right="1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December 11, 2018, Mr. Cannell beneficially owns 5,081,611shares.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12/12/2018</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2019-12-23T20:03:37Z</dcterms:created>
  <dcterms:modified xsi:type="dcterms:W3CDTF">2019-12-23T20:03:37Z</dcterms:modified>
</cp:coreProperties>
</file>