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17, 2011</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17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On November 17, 2011, Casual Male Retail Group, Inc. (the “Company”) issued a press release announcing the Company’s operating results for the third quarter and first nine months of fiscal 2011. The Company also provided revised guidance for fiscal 2011. A copy of this press release is attached hereto as Exhibit 99.1.</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No.</w:t>
            </w:r>
          </w:p>
        </w:tc>
        <w:tc>
          <w:tcPr>
            <w:tcW w:w="5440" w:type="dxa"/>
            <w:vAlign w:val="bottom"/>
          </w:tcPr>
          <w:p>
            <w:pPr>
              <w:spacing w:after="0"/>
              <w:rPr>
                <w:sz w:val="13"/>
                <w:szCs w:val="13"/>
                <w:color w:val="auto"/>
              </w:rPr>
            </w:pPr>
          </w:p>
        </w:tc>
        <w:tc>
          <w:tcPr>
            <w:tcW w:w="6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Description</w:t>
            </w:r>
          </w:p>
        </w:tc>
        <w:tc>
          <w:tcPr>
            <w:tcW w:w="1420" w:type="dxa"/>
            <w:vAlign w:val="bottom"/>
          </w:tcPr>
          <w:p>
            <w:pPr>
              <w:spacing w:after="0"/>
              <w:rPr>
                <w:sz w:val="13"/>
                <w:szCs w:val="13"/>
                <w:color w:val="auto"/>
              </w:rPr>
            </w:pPr>
          </w:p>
        </w:tc>
      </w:tr>
      <w:tr>
        <w:trPr>
          <w:trHeight w:val="316"/>
        </w:trPr>
        <w:tc>
          <w:tcPr>
            <w:tcW w:w="420" w:type="dxa"/>
            <w:vAlign w:val="bottom"/>
          </w:tcPr>
          <w:p>
            <w:pPr>
              <w:jc w:val="right"/>
              <w:ind w:right="26"/>
              <w:spacing w:after="0"/>
              <w:rPr>
                <w:sz w:val="20"/>
                <w:szCs w:val="20"/>
                <w:color w:val="auto"/>
              </w:rPr>
            </w:pPr>
            <w:r>
              <w:rPr>
                <w:rFonts w:ascii="Arial" w:cs="Arial" w:eastAsia="Arial" w:hAnsi="Arial"/>
                <w:sz w:val="18"/>
                <w:szCs w:val="18"/>
                <w:color w:val="auto"/>
                <w:w w:val="85"/>
              </w:rPr>
              <w:t>99.1</w:t>
            </w:r>
          </w:p>
        </w:tc>
        <w:tc>
          <w:tcPr>
            <w:tcW w:w="7540" w:type="dxa"/>
            <w:vAlign w:val="bottom"/>
            <w:gridSpan w:val="3"/>
          </w:tcPr>
          <w:p>
            <w:pPr>
              <w:ind w:left="560"/>
              <w:spacing w:after="0"/>
              <w:rPr>
                <w:sz w:val="20"/>
                <w:szCs w:val="20"/>
                <w:color w:val="auto"/>
              </w:rPr>
            </w:pPr>
            <w:r>
              <w:rPr>
                <w:rFonts w:ascii="Arial" w:cs="Arial" w:eastAsia="Arial" w:hAnsi="Arial"/>
                <w:sz w:val="18"/>
                <w:szCs w:val="18"/>
                <w:color w:val="auto"/>
                <w:w w:val="87"/>
              </w:rPr>
              <w:t>Press release announcing operating results for the third quarter and first nine months of fiscal 2011.</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2011</w:t>
      </w:r>
    </w:p>
    <w:p>
      <w:pPr>
        <w:sectPr>
          <w:pgSz w:w="11900" w:h="16838" w:orient="portrait"/>
          <w:cols w:equalWidth="0" w:num="1">
            <w:col w:w="11020"/>
          </w:cols>
          <w:pgMar w:left="240" w:top="280"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47015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THIRD QUARTER 2011 RESULTS</w:t>
      </w:r>
    </w:p>
    <w:p>
      <w:pPr>
        <w:spacing w:after="0" w:line="159"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 xml:space="preserve">CANTON, MA (November 17, 2011)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w:t>
      </w:r>
      <w:r>
        <w:rPr>
          <w:rFonts w:ascii="Arial" w:cs="Arial" w:eastAsia="Arial" w:hAnsi="Arial"/>
          <w:sz w:val="18"/>
          <w:szCs w:val="18"/>
          <w:b w:val="1"/>
          <w:bCs w:val="1"/>
          <w:color w:val="auto"/>
        </w:rPr>
        <w:t xml:space="preserve"> </w:t>
      </w:r>
      <w:r>
        <w:rPr>
          <w:rFonts w:ascii="Arial" w:cs="Arial" w:eastAsia="Arial" w:hAnsi="Arial"/>
          <w:sz w:val="18"/>
          <w:szCs w:val="18"/>
          <w:color w:val="auto"/>
        </w:rPr>
        <w:t>accessories, today reported operating results for the third quarter and nine months ended October 29,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Highlights (3QFY11 vs. 3QFY10)</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0.7% against prior year’s comparable sales increase of 3.0%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loss of $1.4 million as compared to operating loss of $0.8 million.</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SG&amp;A expenses include approximately $1.4 million, or $(0.03) per diluted share, for anticipated litigation settlements and incurred legal expenses to date.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of $(1.6) million, or $(0.03) per diluted share, compared to net income of $0.3 million, or $0.01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decreased 0.6% to $89.4 million.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decreased 70 basis points (20 basis points in merchandise margin and 50 basis points in occupancy expense) to 45.0% as compared to 45.7% for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 Highlights (2011 vs. 2010)</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increased 2.6% against prior year’s comparable sales increase of 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increased 7.3% to $10.8 million as compared to operating income of $10.1 million for the prior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$9.2 million, or $0.19 per diluted share, as compared to $10.0 million, or $0.21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sales increased 1.4% to $286.2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increased 80 basis points to 46.8% as compared to 46.0% for the prior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Through the end of the third quarter of fiscal 2011, the Company has opened 7 new DXL® stores with an additional 5 stores planned in the fourth quarter of fiscal 2011, resulting in 16</w:t>
      </w:r>
    </w:p>
    <w:p>
      <w:pPr>
        <w:sectPr>
          <w:pgSz w:w="11900" w:h="16838" w:orient="portrait"/>
          <w:cols w:equalWidth="0" w:num="1">
            <w:col w:w="11420"/>
          </w:cols>
          <w:pgMar w:left="240" w:top="125" w:right="239" w:bottom="1440" w:gutter="0" w:footer="0" w:header="0"/>
        </w:sectPr>
      </w:pPr>
    </w:p>
    <w:bookmarkStart w:id="4" w:name="page5"/>
    <w:bookmarkEnd w:id="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DXL stores opened by the end of fiscal 2011 (a decrease from previous guidance of 20 stores). In addition, the Company anticipates opening 35-40 (an increase from previous guidance of 25 -30 stores) Destination XL® stores in fiscal 2012. Because of the real estate and customer demographics, the size of each store will vary between 6,000 to 12,000 square feet, to accommodate each market.</w:t>
      </w:r>
    </w:p>
    <w:p>
      <w:pPr>
        <w:spacing w:after="0" w:line="140"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 xml:space="preserve">During the third quarter, the Company introduced its DXL catalog and launched its DXL website. The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xml:space="preserve"> website combines all of the Company’s existing websites into one enhanced website, with state-of-the-art features and best practices. The Company’s customers can now shop across all brands and product extensions and the new website brings all of its customers under one brand.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2011 Outlook</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sales shortfall that the Company experienced during the third quarter of fiscal 2011, the Company has revised its earnings forecast for fiscal 2011. For fiscal 2011, the Company expects earnings to be $0.35 to $0.38 per diluted share. This is a decrease from the Company’s previous guidance of $0.40 to $0.45 per diluted share. The Company’s revised earnings guidance is as follows:</w:t>
      </w:r>
    </w:p>
    <w:p>
      <w:pPr>
        <w:spacing w:after="0" w:line="59" w:lineRule="exact"/>
        <w:rPr>
          <w:sz w:val="20"/>
          <w:szCs w:val="20"/>
          <w:color w:val="auto"/>
        </w:rPr>
      </w:pPr>
    </w:p>
    <w:p>
      <w:pPr>
        <w:ind w:left="9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sales of $397.5 million to $402.5 million (a decrease from previous guidance of $405 - $410 million). Total sales for fiscal 2011 are expected to be lower than our previous guidance due to the decrease in store traffic experienced during the third quarter of fiscal 2011</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rate of 46.9% to 47.3% (no change from previous guidance)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to increase by approximately 3.0% (no change from previous guidance)</w:t>
      </w:r>
    </w:p>
    <w:p>
      <w:pPr>
        <w:spacing w:after="0" w:line="90" w:lineRule="exact"/>
        <w:rPr>
          <w:rFonts w:ascii="Arial" w:cs="Arial" w:eastAsia="Arial" w:hAnsi="Arial"/>
          <w:sz w:val="18"/>
          <w:szCs w:val="18"/>
          <w:color w:val="auto"/>
        </w:rPr>
      </w:pPr>
    </w:p>
    <w:p>
      <w:pPr>
        <w:ind w:left="900" w:right="24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(as defined below under Non-GAAP measures) of approximately $9.5-$12.0 million, which is based on cash flow from operations (GAAP measure) of approximately $27.5-$30.0 million less capital expenditures of $18.0 million (a decrease from previous guidance of free cash flow of $17.5-$20.0 million, cash flow from operations of approximately $37.5-$40.0 million and capital expenditures of $20.0 million). Capital expenditures for fiscal 2010 were $9.0 million</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 of the year cash balances of between $13.0-14.0 million (a decrease from previous guidance of $22.0-$25.0 million) as compared to $4.1 million at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Nine Month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For the third quarter of fiscal 2011, total sales decreased by 0.6% to $89.4 million when compared to total sales of $89.9 million for the third quarter of fiscal 2010. Comparable sales for the third quarter increased 0.7% when compared to the same period of the prior year. On a comparable basis, sales from our direct business decreased by 2.5% and sales from our retail business increased 1.5%. As planned, during the first quarter of fiscal 2011, we started to increase prices within certain merchandise categories, which has contributed to our comparable sales increases.</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Sales for the third quarter of fiscal 2011 were below expectations and were primarily driven by a decrease in store traffic of approximately 6% when compared to the third quarter of fiscal 2010.</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this sales shortfall, we have revised our earnings expectations for fiscal 2011, see “Fiscal 2011 Outlook” above.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nine months of fiscal 2011, total sales increased by 1.4% to $286.2 million as compared to $282.2 million for the first nine months of the prior year. Comparable sales for the first nine months increased 2.6% when compared to the first nine months of fiscal 2010. The increase consisted of a 1.9% increase in our direct business and a 2.8% increase from our retail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the third quarter of fiscal 2011, our gross margin rate, inclusive of occupancy costs, was 45.0% as compared to a gross margin rate of 45.7% for the third quarter of fiscal 2010. The decrease of 70 basis points was the result of decreased merchandise margins of 20 basis points plus an increase of 50 basis points related to the higher occupancy costs against a lower sales base. Although our merchandise margin decreased slightly this quarter, we continue to benefit from strong initial margins and reduced markdowns. On a dollar basis, occupancy costs for the third quarter of fiscal 2011 increased 2.8% when compared to the third quarter of fiscal 2010. This increase is primarily related to the addition of our 7 new DXL stores.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first nine months of fiscal 2011, our gross margin rate, inclusive of occupancy costs, was 46.8% as compared to a gross margin rate of 46.0% for the first nine months of fiscal 2010. The increase of 80 basis points was the result of increased merchandise margins of 60 basis points plus 20 basis points related to the leveraging of occupancy costs. On a dollar basis, occupancy costs for the first nine months of fiscal 2011 were flat when compared to the first nine months of fiscal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SG&amp;A expenses for the third quarter of fiscal 2011 were 43.2% of sales as compared to 43.1% of sales for the third quarter of fiscal 2010. For the first nine months of fiscal 2011, SG&amp;A expenses were 39.9% of sales as compared to 38.9% for the first nine months of fiscal 2010.</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 dollar basis, SG&amp;A expenses decreased $0.2 million, or 0.5%, to $38.6 million for the third quarter of fiscal 2011 as compared to the third quarter of fiscal 2010. This decrease is primarily due to lower bonus accruals which have been adjusted as a result of our revised fiscal 2011 earnings expectations. This decrease was offset by a charge of approximately $1.4 million related to accruals for anticipated litigation settlements and incurred legal expenses to date, primarily associated with two California meal and rest breaks class actions suits.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 dollar basis, for the first nine months of fiscal 2011, SG&amp;A expenses increased $4.2 million, or 3.8%, as compared to the first nine months of fiscal 2010. In addition to the legal accruals mentioned above, the remainder of the increase is primarily due to payroll related expenses, such as modest salary increases, severance payments, reinstatement of the 401K employer match, as well as increased staffing in our global sourcing and merchandise areas.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ectPr>
          <w:pgSz w:w="11900" w:h="16838" w:orient="portrait"/>
          <w:cols w:equalWidth="0" w:num="1">
            <w:col w:w="11380"/>
          </w:cols>
          <w:pgMar w:left="240" w:top="280" w:right="27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October 29, 2011, we have a valuation allowance of $47.1 million against our net deferred tax assets. The ability to reduce this valuation allowance is dependent upon our ability to achieve sustained taxable income to realize our deferred tax assets. Because our fiscal 2011 earnings will be a significant factor in determining the amount of the valuation allowance that can be reversed, our deferred tax assets remain fully reserved at October 29, 2011. However, based on our results of operations for the past two fiscal years as well as our forecasted earnings for fiscal 2011 and beyond, we anticipate reversing approximately $40.0 million, or $0.83 per diluted share, of the valuation allowance in the fourth quarter of fiscal 2011.</w:t>
      </w:r>
    </w:p>
    <w:p>
      <w:pPr>
        <w:spacing w:after="0" w:line="116" w:lineRule="exact"/>
        <w:rPr>
          <w:sz w:val="20"/>
          <w:szCs w:val="20"/>
          <w:color w:val="auto"/>
        </w:rPr>
      </w:pPr>
    </w:p>
    <w:p>
      <w:pPr>
        <w:jc w:val="both"/>
        <w:ind w:right="360"/>
        <w:spacing w:after="0" w:line="298" w:lineRule="auto"/>
        <w:rPr>
          <w:sz w:val="20"/>
          <w:szCs w:val="20"/>
          <w:color w:val="auto"/>
        </w:rPr>
      </w:pPr>
      <w:r>
        <w:rPr>
          <w:rFonts w:ascii="Arial" w:cs="Arial" w:eastAsia="Arial" w:hAnsi="Arial"/>
          <w:sz w:val="16"/>
          <w:szCs w:val="16"/>
          <w:color w:val="auto"/>
        </w:rPr>
        <w:t>Our effective tax rate for the third quarter and first nine months of fiscal 2011 has been reduced from the statutory rate due to the utilization of fully reserved NOL carryforwards. We expect our effective rate to return to a rate of approximately 40% for periods subsequent to the reversal of the valuation allowance. During the third quarter of fiscal 2010, we recognized a tax benefit of $0.8 million, or $0.02 per diluted share, as a result of the reduction in our liability for uncertain tax positions, due to the expiration of certain statutes of limitation.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 from operations for the first nine months of fiscal 2011 improved by $6.8 million to $11.7 million as compared to $4.9 million for the first nine months of fiscal 2010. Free cash flow from operations (as defined below under Non-GAAP Measures) improved by $3.1 million to $0.7 million for the first nine months of fiscal 2011 as compared to $(2.4) million for the first nine months of fiscal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October 29, 2011, the Company had cash and cash equivalents of $5.6 million and no outstanding debt as compared to cash and cash equivalents of $6.0 million and outstanding debt of $14.5 million at end of the third quarter of fiscal 2010. In addition, the Company had full availability under its credit facility of $68.8 million at October 29,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October 29, 2011, inventory was $114.9 million as compared to $109.6 million at the end of the third quarter of fiscal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the above discussion also refers to non-GAAP free cash flow of $0.7 million and $(2.4) million for the nine months ended October 29, 2011 and October 30, 2010, respectively, and estimated non-GAAP free cash flow of $9.5 to $12.0 million for fiscal 2011.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w:t>
      </w:r>
    </w:p>
    <w:p>
      <w:pPr>
        <w:sectPr>
          <w:pgSz w:w="11900" w:h="16838" w:orient="portrait"/>
          <w:cols w:equalWidth="0" w:num="1">
            <w:col w:w="11380"/>
          </w:cols>
          <w:pgMar w:left="240" w:top="280" w:right="279" w:bottom="1440" w:gutter="0" w:footer="0" w:header="0"/>
        </w:sectPr>
      </w:pPr>
    </w:p>
    <w:bookmarkStart w:id="7" w:name="page8"/>
    <w:bookmarkEnd w:id="7"/>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ind w:left="300"/>
              <w:spacing w:after="0"/>
              <w:rPr>
                <w:sz w:val="20"/>
                <w:szCs w:val="20"/>
                <w:color w:val="auto"/>
              </w:rPr>
            </w:pPr>
            <w:r>
              <w:rPr>
                <w:rFonts w:ascii="Arial" w:cs="Arial" w:eastAsia="Arial" w:hAnsi="Arial"/>
                <w:sz w:val="14"/>
                <w:szCs w:val="14"/>
                <w:i w:val="1"/>
                <w:iCs w:val="1"/>
                <w:color w:val="auto"/>
                <w:w w:val="95"/>
              </w:rPr>
              <w:t>For the nine months ended</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i w:val="1"/>
                <w:iCs w:val="1"/>
                <w:color w:val="auto"/>
                <w:w w:val="95"/>
              </w:rPr>
              <w:t>Projected Cash Flow</w:t>
            </w:r>
          </w:p>
        </w:tc>
      </w:tr>
      <w:tr>
        <w:trPr>
          <w:trHeight w:val="159"/>
        </w:trPr>
        <w:tc>
          <w:tcPr>
            <w:tcW w:w="480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38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October 29, 2011</w:t>
            </w:r>
          </w:p>
        </w:tc>
        <w:tc>
          <w:tcPr>
            <w:tcW w:w="380" w:type="dxa"/>
            <w:vAlign w:val="bottom"/>
          </w:tcPr>
          <w:p>
            <w:pPr>
              <w:spacing w:after="0"/>
              <w:rPr>
                <w:sz w:val="13"/>
                <w:szCs w:val="13"/>
                <w:color w:val="auto"/>
              </w:rPr>
            </w:pPr>
          </w:p>
        </w:tc>
        <w:tc>
          <w:tcPr>
            <w:tcW w:w="138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October 30, 2010</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i w:val="1"/>
                <w:iCs w:val="1"/>
                <w:color w:val="auto"/>
                <w:w w:val="97"/>
              </w:rPr>
              <w:t>Fiscal 2011</w:t>
            </w:r>
          </w:p>
        </w:tc>
      </w:tr>
      <w:tr>
        <w:trPr>
          <w:trHeight w:val="88"/>
        </w:trPr>
        <w:tc>
          <w:tcPr>
            <w:tcW w:w="48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from operating activities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11.7</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4.9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27.5-$30.0</w:t>
            </w:r>
          </w:p>
        </w:tc>
      </w:tr>
      <w:tr>
        <w:trPr>
          <w:trHeight w:val="216"/>
        </w:trPr>
        <w:tc>
          <w:tcPr>
            <w:tcW w:w="4800" w:type="dxa"/>
            <w:vAlign w:val="bottom"/>
          </w:tcPr>
          <w:p>
            <w:pPr>
              <w:spacing w:after="0"/>
              <w:rPr>
                <w:sz w:val="20"/>
                <w:szCs w:val="20"/>
                <w:color w:val="auto"/>
              </w:rPr>
            </w:pPr>
            <w:r>
              <w:rPr>
                <w:rFonts w:ascii="Arial" w:cs="Arial" w:eastAsia="Arial" w:hAnsi="Arial"/>
                <w:sz w:val="18"/>
                <w:szCs w:val="18"/>
                <w:i w:val="1"/>
                <w:iCs w:val="1"/>
                <w:color w:val="auto"/>
              </w:rPr>
              <w:t>Less: Capital expenditures</w:t>
            </w:r>
          </w:p>
        </w:tc>
        <w:tc>
          <w:tcPr>
            <w:tcW w:w="3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(11.0)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(7.3)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(18.0)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Discretionary store asset acquisitions</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r>
      <w:tr>
        <w:trPr>
          <w:trHeight w:val="329"/>
        </w:trPr>
        <w:tc>
          <w:tcPr>
            <w:tcW w:w="4800" w:type="dxa"/>
            <w:vAlign w:val="bottom"/>
          </w:tcPr>
          <w:p>
            <w:pPr>
              <w:spacing w:after="0"/>
              <w:rPr>
                <w:sz w:val="20"/>
                <w:szCs w:val="20"/>
                <w:color w:val="auto"/>
              </w:rPr>
            </w:pPr>
            <w:r>
              <w:rPr>
                <w:rFonts w:ascii="Arial" w:cs="Arial" w:eastAsia="Arial" w:hAnsi="Arial"/>
                <w:sz w:val="18"/>
                <w:szCs w:val="18"/>
                <w:i w:val="1"/>
                <w:iCs w:val="1"/>
                <w:color w:val="auto"/>
              </w:rPr>
              <w:t>Free Cash Flow</w:t>
            </w:r>
          </w:p>
        </w:tc>
        <w:tc>
          <w:tcPr>
            <w:tcW w:w="340" w:type="dxa"/>
            <w:vAlign w:val="bottom"/>
          </w:tcPr>
          <w:p>
            <w:pPr>
              <w:spacing w:after="0"/>
              <w:rPr>
                <w:sz w:val="20"/>
                <w:szCs w:val="20"/>
                <w:color w:val="auto"/>
              </w:rPr>
            </w:pPr>
            <w:r>
              <w:rPr>
                <w:rFonts w:ascii="Arial" w:cs="Arial" w:eastAsia="Arial" w:hAnsi="Arial"/>
                <w:sz w:val="18"/>
                <w:szCs w:val="18"/>
                <w:i w:val="1"/>
                <w:iCs w:val="1"/>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0.7</w:t>
            </w:r>
          </w:p>
        </w:tc>
        <w:tc>
          <w:tcPr>
            <w:tcW w:w="880" w:type="dxa"/>
            <w:vAlign w:val="bottom"/>
            <w:gridSpan w:val="2"/>
          </w:tcPr>
          <w:p>
            <w:pPr>
              <w:ind w:left="380"/>
              <w:spacing w:after="0"/>
              <w:rPr>
                <w:sz w:val="20"/>
                <w:szCs w:val="20"/>
                <w:color w:val="auto"/>
              </w:rPr>
            </w:pPr>
            <w:r>
              <w:rPr>
                <w:rFonts w:ascii="Arial" w:cs="Arial" w:eastAsia="Arial" w:hAnsi="Arial"/>
                <w:sz w:val="18"/>
                <w:szCs w:val="18"/>
                <w:i w:val="1"/>
                <w:iCs w:val="1"/>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(2.4)</w:t>
            </w:r>
          </w:p>
        </w:tc>
        <w:tc>
          <w:tcPr>
            <w:tcW w:w="560" w:type="dxa"/>
            <w:vAlign w:val="bottom"/>
            <w:gridSpan w:val="2"/>
          </w:tcPr>
          <w:p>
            <w:pPr>
              <w:ind w:left="380"/>
              <w:spacing w:after="0"/>
              <w:rPr>
                <w:sz w:val="20"/>
                <w:szCs w:val="20"/>
                <w:color w:val="auto"/>
              </w:rPr>
            </w:pPr>
            <w:r>
              <w:rPr>
                <w:rFonts w:ascii="Arial" w:cs="Arial" w:eastAsia="Arial" w:hAnsi="Arial"/>
                <w:sz w:val="18"/>
                <w:szCs w:val="18"/>
                <w:i w:val="1"/>
                <w:i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9.5-$12.0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80"/>
        <w:spacing w:after="0" w:line="323" w:lineRule="auto"/>
        <w:rPr>
          <w:sz w:val="20"/>
          <w:szCs w:val="20"/>
          <w:color w:val="auto"/>
        </w:rPr>
      </w:pPr>
      <w:r>
        <w:rPr>
          <w:rFonts w:ascii="Arial" w:cs="Arial" w:eastAsia="Arial" w:hAnsi="Arial"/>
          <w:sz w:val="15"/>
          <w:szCs w:val="15"/>
          <w:color w:val="auto"/>
        </w:rPr>
        <w:t xml:space="preserve">Investors are invited to listen to a broadcast of the Company’s conference call to discuss its earnings results for the third quarter and first nine months of fiscal 2011. The conference call will broadcast live today, Thursday, November 17, 2011 at 9:00 a.m. Eastern Standard Time and can be accessed by clicking on the investor relations link at </w:t>
      </w:r>
      <w:r>
        <w:rPr>
          <w:rFonts w:ascii="Arial" w:cs="Arial" w:eastAsia="Arial" w:hAnsi="Arial"/>
          <w:sz w:val="15"/>
          <w:szCs w:val="15"/>
          <w:u w:val="single" w:color="auto"/>
          <w:color w:val="auto"/>
        </w:rPr>
        <w:t>www.casualmalexl.com</w:t>
      </w:r>
      <w:r>
        <w:rPr>
          <w:rFonts w:ascii="Arial" w:cs="Arial" w:eastAsia="Arial" w:hAnsi="Arial"/>
          <w:sz w:val="15"/>
          <w:szCs w:val="15"/>
          <w:color w:val="auto"/>
        </w:rPr>
        <w:t>.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9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430 Casual Male XL retail and outlet stores, 12 Destination XL stores, 14 Rochester Clothing stores, and direct-to-consumer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2011,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18, 2011, that set forth certain risks and uncertainties that may have an impact on future results and direction of the Company.</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65"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per share data)</w:t>
      </w:r>
    </w:p>
    <w:p>
      <w:pPr>
        <w:spacing w:after="0" w:line="190" w:lineRule="exact"/>
        <w:rPr>
          <w:sz w:val="20"/>
          <w:szCs w:val="20"/>
          <w:color w:val="auto"/>
        </w:rPr>
      </w:pPr>
    </w:p>
    <w:tbl>
      <w:tblPr>
        <w:tblLayout w:type="fixed"/>
        <w:tblInd w:w="5620" w:type="dxa"/>
        <w:tblCellMar>
          <w:top w:w="0" w:type="dxa"/>
          <w:left w:w="0" w:type="dxa"/>
          <w:bottom w:w="0" w:type="dxa"/>
          <w:right w:w="0" w:type="dxa"/>
        </w:tblCellMar>
      </w:tblPr>
      <w:tr>
        <w:trPr>
          <w:trHeight w:val="161"/>
        </w:trPr>
        <w:tc>
          <w:tcPr>
            <w:tcW w:w="3160" w:type="dxa"/>
            <w:vAlign w:val="bottom"/>
            <w:gridSpan w:val="4"/>
          </w:tcPr>
          <w:p>
            <w:pPr>
              <w:ind w:left="540"/>
              <w:spacing w:after="0"/>
              <w:rPr>
                <w:sz w:val="20"/>
                <w:szCs w:val="20"/>
                <w:color w:val="auto"/>
              </w:rPr>
            </w:pPr>
            <w:r>
              <w:rPr>
                <w:rFonts w:ascii="Arial" w:cs="Arial" w:eastAsia="Arial" w:hAnsi="Arial"/>
                <w:sz w:val="14"/>
                <w:szCs w:val="14"/>
                <w:color w:val="auto"/>
              </w:rPr>
              <w:t>For the three months ended</w:t>
            </w:r>
          </w:p>
        </w:tc>
        <w:tc>
          <w:tcPr>
            <w:tcW w:w="2540" w:type="dxa"/>
            <w:vAlign w:val="bottom"/>
            <w:gridSpan w:val="3"/>
          </w:tcPr>
          <w:p>
            <w:pPr>
              <w:ind w:left="540"/>
              <w:spacing w:after="0"/>
              <w:rPr>
                <w:sz w:val="20"/>
                <w:szCs w:val="20"/>
                <w:color w:val="auto"/>
              </w:rPr>
            </w:pPr>
            <w:r>
              <w:rPr>
                <w:rFonts w:ascii="Arial" w:cs="Arial" w:eastAsia="Arial" w:hAnsi="Arial"/>
                <w:sz w:val="14"/>
                <w:szCs w:val="14"/>
                <w:color w:val="auto"/>
              </w:rPr>
              <w:t>For the nine months ended</w:t>
            </w:r>
          </w:p>
        </w:tc>
      </w:tr>
      <w:tr>
        <w:trPr>
          <w:trHeight w:val="159"/>
        </w:trPr>
        <w:tc>
          <w:tcPr>
            <w:tcW w:w="9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5"/>
              </w:rPr>
              <w:t>October 29, 2011</w:t>
            </w:r>
          </w:p>
        </w:tc>
        <w:tc>
          <w:tcPr>
            <w:tcW w:w="620" w:type="dxa"/>
            <w:vAlign w:val="bottom"/>
          </w:tcPr>
          <w:p>
            <w:pPr>
              <w:spacing w:after="0"/>
              <w:rPr>
                <w:sz w:val="13"/>
                <w:szCs w:val="13"/>
                <w:color w:val="auto"/>
              </w:rPr>
            </w:pPr>
          </w:p>
        </w:tc>
        <w:tc>
          <w:tcPr>
            <w:tcW w:w="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6"/>
              </w:rPr>
              <w:t>October 30, 2010</w:t>
            </w:r>
          </w:p>
        </w:tc>
        <w:tc>
          <w:tcPr>
            <w:tcW w:w="620" w:type="dxa"/>
            <w:vAlign w:val="bottom"/>
          </w:tcPr>
          <w:p>
            <w:pPr>
              <w:spacing w:after="0"/>
              <w:rPr>
                <w:sz w:val="13"/>
                <w:szCs w:val="13"/>
                <w:color w:val="auto"/>
              </w:rPr>
            </w:pPr>
          </w:p>
        </w:tc>
        <w:tc>
          <w:tcPr>
            <w:tcW w:w="9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5"/>
              </w:rPr>
              <w:t>October 29, 2011</w:t>
            </w:r>
          </w:p>
        </w:tc>
        <w:tc>
          <w:tcPr>
            <w:tcW w:w="620" w:type="dxa"/>
            <w:vAlign w:val="bottom"/>
          </w:tcPr>
          <w:p>
            <w:pPr>
              <w:spacing w:after="0"/>
              <w:rPr>
                <w:sz w:val="13"/>
                <w:szCs w:val="13"/>
                <w:color w:val="auto"/>
              </w:rPr>
            </w:pPr>
          </w:p>
        </w:tc>
        <w:tc>
          <w:tcPr>
            <w:tcW w:w="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6"/>
              </w:rPr>
              <w:t>October 30, 2010</w:t>
            </w:r>
          </w:p>
        </w:tc>
      </w:tr>
    </w:tbl>
    <w:p>
      <w:pPr>
        <w:spacing w:after="0" w:line="86" w:lineRule="exact"/>
        <w:rPr>
          <w:sz w:val="20"/>
          <w:szCs w:val="20"/>
          <w:color w:val="auto"/>
        </w:rPr>
      </w:pPr>
    </w:p>
    <w:p>
      <w:pPr>
        <w:sectPr>
          <w:pgSz w:w="11900" w:h="16838" w:orient="portrait"/>
          <w:cols w:equalWidth="0" w:num="1">
            <w:col w:w="11380"/>
          </w:cols>
          <w:pgMar w:left="240" w:top="280" w:right="279" w:bottom="1440" w:gutter="0" w:footer="0" w:header="0"/>
        </w:sectPr>
      </w:pPr>
    </w:p>
    <w:p>
      <w:pPr>
        <w:spacing w:after="0"/>
        <w:tabs>
          <w:tab w:leader="none" w:pos="5600" w:val="left"/>
        </w:tabs>
        <w:rPr>
          <w:sz w:val="20"/>
          <w:szCs w:val="20"/>
          <w:color w:val="auto"/>
        </w:rPr>
      </w:pPr>
      <w:r>
        <w:rPr>
          <w:rFonts w:ascii="Arial" w:cs="Arial" w:eastAsia="Arial" w:hAnsi="Arial"/>
          <w:sz w:val="18"/>
          <w:szCs w:val="18"/>
          <w:color w:val="auto"/>
        </w:rPr>
        <w:t>Sales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Cost of goods sold, including occupancy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 net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144"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Net income (loss)</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Net income (loss) per share - basic</w:t>
      </w:r>
      <w:r>
        <w:rPr>
          <w:sz w:val="20"/>
          <w:szCs w:val="20"/>
          <w:color w:val="auto"/>
        </w:rPr>
        <w:tab/>
      </w:r>
      <w:r>
        <w:rPr>
          <w:rFonts w:ascii="Arial" w:cs="Arial" w:eastAsia="Arial" w:hAnsi="Arial"/>
          <w:sz w:val="16"/>
          <w:szCs w:val="16"/>
          <w:color w:val="auto"/>
        </w:rPr>
        <w:t>($</w:t>
      </w:r>
    </w:p>
    <w:p>
      <w:pPr>
        <w:spacing w:after="0" w:line="1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Net income (loss) per share - diluted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number of common shares outstanding:</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89,422</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89,936</w:t>
            </w:r>
          </w:p>
        </w:tc>
        <w:tc>
          <w:tcPr>
            <w:tcW w:w="34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286,164</w:t>
            </w:r>
          </w:p>
        </w:tc>
        <w:tc>
          <w:tcPr>
            <w:tcW w:w="6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282,171</w:t>
            </w:r>
          </w:p>
        </w:tc>
      </w:tr>
      <w:tr>
        <w:trPr>
          <w:trHeight w:val="222"/>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49,207</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152,192</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152,360</w:t>
            </w:r>
          </w:p>
        </w:tc>
        <w:tc>
          <w:tcPr>
            <w:tcW w:w="60" w:type="dxa"/>
            <w:vAlign w:val="bottom"/>
          </w:tcPr>
          <w:p>
            <w:pPr>
              <w:spacing w:after="0"/>
              <w:rPr>
                <w:sz w:val="19"/>
                <w:szCs w:val="19"/>
                <w:color w:val="auto"/>
              </w:rPr>
            </w:pPr>
          </w:p>
        </w:tc>
      </w:tr>
      <w:tr>
        <w:trPr>
          <w:trHeight w:val="223"/>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40,215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133,972</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129,811</w:t>
            </w:r>
          </w:p>
        </w:tc>
      </w:tr>
      <w:tr>
        <w:trPr>
          <w:trHeight w:val="534"/>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38,625</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38,802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114,091</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109,864</w:t>
            </w:r>
          </w:p>
        </w:tc>
      </w:tr>
      <w:tr>
        <w:trPr>
          <w:trHeight w:val="222"/>
        </w:trPr>
        <w:tc>
          <w:tcPr>
            <w:tcW w:w="1120" w:type="dxa"/>
            <w:vAlign w:val="bottom"/>
          </w:tcPr>
          <w:p>
            <w:pPr>
              <w:jc w:val="right"/>
              <w:ind w:right="532"/>
              <w:spacing w:after="0"/>
              <w:rPr>
                <w:sz w:val="20"/>
                <w:szCs w:val="20"/>
                <w:color w:val="auto"/>
              </w:rPr>
            </w:pPr>
            <w:r>
              <w:rPr>
                <w:rFonts w:ascii="Arial" w:cs="Arial" w:eastAsia="Arial" w:hAnsi="Arial"/>
                <w:sz w:val="18"/>
                <w:szCs w:val="18"/>
                <w:color w:val="auto"/>
              </w:rPr>
              <w:t>2,972</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60" w:type="dxa"/>
            <w:vAlign w:val="bottom"/>
          </w:tcPr>
          <w:p>
            <w:pPr>
              <w:spacing w:after="0"/>
              <w:rPr>
                <w:sz w:val="19"/>
                <w:szCs w:val="19"/>
                <w:color w:val="auto"/>
              </w:rPr>
            </w:pPr>
          </w:p>
        </w:tc>
      </w:tr>
      <w:tr>
        <w:trPr>
          <w:trHeight w:val="224"/>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41,597</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123,131</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119,711</w:t>
            </w:r>
          </w:p>
        </w:tc>
        <w:tc>
          <w:tcPr>
            <w:tcW w:w="60" w:type="dxa"/>
            <w:vAlign w:val="bottom"/>
          </w:tcPr>
          <w:p>
            <w:pPr>
              <w:spacing w:after="0"/>
              <w:rPr>
                <w:sz w:val="19"/>
                <w:szCs w:val="19"/>
                <w:color w:val="auto"/>
              </w:rPr>
            </w:pPr>
          </w:p>
        </w:tc>
      </w:tr>
      <w:tr>
        <w:trPr>
          <w:trHeight w:val="330"/>
        </w:trPr>
        <w:tc>
          <w:tcPr>
            <w:tcW w:w="1120" w:type="dxa"/>
            <w:vAlign w:val="bottom"/>
          </w:tcPr>
          <w:p>
            <w:pPr>
              <w:jc w:val="right"/>
              <w:ind w:right="472"/>
              <w:spacing w:after="0"/>
              <w:rPr>
                <w:sz w:val="20"/>
                <w:szCs w:val="20"/>
                <w:color w:val="auto"/>
              </w:rPr>
            </w:pPr>
            <w:r>
              <w:rPr>
                <w:rFonts w:ascii="Arial" w:cs="Arial" w:eastAsia="Arial" w:hAnsi="Arial"/>
                <w:sz w:val="18"/>
                <w:szCs w:val="18"/>
                <w:color w:val="auto"/>
                <w:w w:val="94"/>
              </w:rPr>
              <w:t>(1,382)</w:t>
            </w:r>
          </w:p>
        </w:tc>
        <w:tc>
          <w:tcPr>
            <w:tcW w:w="2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10,841</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10,100</w:t>
            </w:r>
          </w:p>
        </w:tc>
      </w:tr>
      <w:tr>
        <w:trPr>
          <w:trHeight w:val="318"/>
        </w:trPr>
        <w:tc>
          <w:tcPr>
            <w:tcW w:w="1120" w:type="dxa"/>
            <w:vAlign w:val="bottom"/>
          </w:tcPr>
          <w:p>
            <w:pPr>
              <w:jc w:val="right"/>
              <w:ind w:right="472"/>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r>
      <w:tr>
        <w:trPr>
          <w:trHeight w:val="223"/>
        </w:trPr>
        <w:tc>
          <w:tcPr>
            <w:tcW w:w="1120" w:type="dxa"/>
            <w:vAlign w:val="bottom"/>
          </w:tcPr>
          <w:p>
            <w:pPr>
              <w:jc w:val="right"/>
              <w:ind w:right="47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1120" w:type="dxa"/>
            <w:vAlign w:val="bottom"/>
          </w:tcPr>
          <w:p>
            <w:pPr>
              <w:jc w:val="right"/>
              <w:ind w:right="472"/>
              <w:spacing w:after="0"/>
              <w:rPr>
                <w:sz w:val="20"/>
                <w:szCs w:val="20"/>
                <w:color w:val="auto"/>
              </w:rPr>
            </w:pPr>
            <w:r>
              <w:rPr>
                <w:rFonts w:ascii="Arial" w:cs="Arial" w:eastAsia="Arial" w:hAnsi="Arial"/>
                <w:sz w:val="18"/>
                <w:szCs w:val="18"/>
                <w:color w:val="auto"/>
                <w:w w:val="94"/>
              </w:rPr>
              <w:t>(1,770)</w:t>
            </w:r>
          </w:p>
        </w:tc>
        <w:tc>
          <w:tcPr>
            <w:tcW w:w="2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10,146</w:t>
            </w:r>
          </w:p>
        </w:tc>
      </w:tr>
      <w:tr>
        <w:trPr>
          <w:trHeight w:val="325"/>
        </w:trPr>
        <w:tc>
          <w:tcPr>
            <w:tcW w:w="1120" w:type="dxa"/>
            <w:vAlign w:val="bottom"/>
          </w:tcPr>
          <w:p>
            <w:pPr>
              <w:jc w:val="right"/>
              <w:ind w:right="472"/>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331"/>
        </w:trPr>
        <w:tc>
          <w:tcPr>
            <w:tcW w:w="1120" w:type="dxa"/>
            <w:vAlign w:val="bottom"/>
          </w:tcPr>
          <w:p>
            <w:pPr>
              <w:jc w:val="right"/>
              <w:ind w:right="472"/>
              <w:spacing w:after="0"/>
              <w:rPr>
                <w:sz w:val="20"/>
                <w:szCs w:val="20"/>
                <w:color w:val="auto"/>
              </w:rPr>
            </w:pPr>
            <w:r>
              <w:rPr>
                <w:rFonts w:ascii="Arial" w:cs="Arial" w:eastAsia="Arial" w:hAnsi="Arial"/>
                <w:sz w:val="18"/>
                <w:szCs w:val="18"/>
                <w:color w:val="auto"/>
                <w:w w:val="94"/>
              </w:rPr>
              <w:t>(1,595)</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9,171</w:t>
            </w:r>
          </w:p>
        </w:tc>
        <w:tc>
          <w:tcPr>
            <w:tcW w:w="6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1"/>
        </w:trPr>
        <w:tc>
          <w:tcPr>
            <w:tcW w:w="1120" w:type="dxa"/>
            <w:vAlign w:val="bottom"/>
          </w:tcPr>
          <w:p>
            <w:pPr>
              <w:jc w:val="right"/>
              <w:ind w:right="472"/>
              <w:spacing w:after="0"/>
              <w:rPr>
                <w:sz w:val="20"/>
                <w:szCs w:val="20"/>
                <w:color w:val="auto"/>
              </w:rPr>
            </w:pPr>
            <w:r>
              <w:rPr>
                <w:rFonts w:ascii="Arial" w:cs="Arial" w:eastAsia="Arial" w:hAnsi="Arial"/>
                <w:sz w:val="18"/>
                <w:szCs w:val="18"/>
                <w:color w:val="auto"/>
              </w:rPr>
              <w:t>0.03)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4"/>
                <w:szCs w:val="24"/>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6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r>
      <w:tr>
        <w:trPr>
          <w:trHeight w:val="222"/>
        </w:trPr>
        <w:tc>
          <w:tcPr>
            <w:tcW w:w="1120" w:type="dxa"/>
            <w:vAlign w:val="bottom"/>
          </w:tcPr>
          <w:p>
            <w:pPr>
              <w:jc w:val="right"/>
              <w:ind w:right="472"/>
              <w:spacing w:after="0"/>
              <w:rPr>
                <w:sz w:val="20"/>
                <w:szCs w:val="20"/>
                <w:color w:val="auto"/>
              </w:rPr>
            </w:pPr>
            <w:r>
              <w:rPr>
                <w:rFonts w:ascii="Arial" w:cs="Arial" w:eastAsia="Arial" w:hAnsi="Arial"/>
                <w:sz w:val="18"/>
                <w:szCs w:val="18"/>
                <w:color w:val="auto"/>
              </w:rPr>
              <w:t>0.03)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9"/>
                <w:szCs w:val="19"/>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6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r>
      <w:tr>
        <w:trPr>
          <w:trHeight w:val="534"/>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47,533</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47,041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47,385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46,895</w:t>
            </w:r>
          </w:p>
        </w:tc>
      </w:tr>
      <w:tr>
        <w:trPr>
          <w:trHeight w:val="222"/>
        </w:trPr>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47,533</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47,548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48,120</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-2862580</wp:posOffset>
            </wp:positionV>
            <wp:extent cx="600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-2227580</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-2073275</wp:posOffset>
            </wp:positionV>
            <wp:extent cx="600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-1507490</wp:posOffset>
            </wp:positionV>
            <wp:extent cx="600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-1078865</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-855980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-838200</wp:posOffset>
            </wp:positionV>
            <wp:extent cx="600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2">
            <w:col w:w="5780" w:space="300"/>
            <w:col w:w="5300"/>
          </w:cols>
          <w:pgMar w:left="240" w:top="280" w:right="2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29, 2011 and January 29,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October 29,</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29,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5,625</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212,960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67,144</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122,820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212,960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2019-12-10T07:47:16Z</dcterms:created>
  <dcterms:modified xsi:type="dcterms:W3CDTF">2019-12-10T07:47:16Z</dcterms:modified>
</cp:coreProperties>
</file>