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30, 2024, Destination XL Group, Inc. (the “Company”) issued a press release announcing the Company’s operating results for the first quarter of fiscal 2024. A copy of this press release is furnished herewith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audio webcast to discuss the Company’s operating results for the first quarter of fiscal 2024 will be held today, Thursday, May 30, 2024 at 9:00 a.m. 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parties can access the webcast on the Company's website at www.dxl.com under the Investor Relations section.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520" w:type="dxa"/>
            <w:vAlign w:val="bottom"/>
          </w:tcPr>
          <w:p>
            <w:pPr>
              <w:spacing w:after="0"/>
              <w:rPr>
                <w:sz w:val="18"/>
                <w:szCs w:val="18"/>
                <w:color w:val="auto"/>
              </w:rPr>
            </w:pP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dated May 30, 2024 announcing first quarter of fiscal 2024 results.</w:t>
            </w:r>
          </w:p>
        </w:tc>
      </w:tr>
      <w:tr>
        <w:trPr>
          <w:trHeight w:val="20"/>
        </w:trPr>
        <w:tc>
          <w:tcPr>
            <w:tcW w:w="8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229"/>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First Quarter Financial Results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Sales of $115.5 million, Net Income of $0.06 per diluted share, Confirms Lower End of Full-Year Guidance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Continues to Invest in Strategic Growth Initiatives</w:t>
      </w:r>
    </w:p>
    <w:p>
      <w:pPr>
        <w:spacing w:after="0" w:line="220"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CANTON, Mass., May 30, 2024 – Destination XL Group, Inc. (NASDAQ: DXLG), the leading integrated-commerce specialty retailer of Big + Tall men’s clothing and shoes, today reported operating results for the first quarter of fiscal 2024, and updated sales and earnings guidance for the fiscal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Financial Highlights</w:t>
      </w:r>
    </w:p>
    <w:p>
      <w:pPr>
        <w:spacing w:after="0" w:line="139" w:lineRule="exact"/>
        <w:rPr>
          <w:sz w:val="20"/>
          <w:szCs w:val="20"/>
          <w:color w:val="auto"/>
        </w:rPr>
      </w:pPr>
    </w:p>
    <w:p>
      <w:pPr>
        <w:ind w:left="760" w:right="1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first quarter were $115.5 million, down 7.9% from $125.4 million in the first quarter of fiscal 2023. Comparable sales for the first quarter of fiscal 2024 decreased 11.3% as compared to the first quarter of fiscal 2023.</w:t>
      </w:r>
    </w:p>
    <w:p>
      <w:pPr>
        <w:spacing w:after="0" w:line="132" w:lineRule="exact"/>
        <w:rPr>
          <w:rFonts w:ascii="Times New Roman" w:cs="Times New Roman" w:eastAsia="Times New Roman" w:hAnsi="Times New Roman"/>
          <w:sz w:val="20"/>
          <w:szCs w:val="20"/>
          <w:color w:val="auto"/>
        </w:rPr>
      </w:pPr>
    </w:p>
    <w:p>
      <w:pPr>
        <w:ind w:left="760" w:right="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first quarter was $0.06 per diluted share, as compared to net income of $0.11 per diluted share in the first quarter of fiscal 2023.</w:t>
      </w:r>
    </w:p>
    <w:p>
      <w:pPr>
        <w:spacing w:after="0" w:line="118" w:lineRule="exact"/>
        <w:rPr>
          <w:rFonts w:ascii="Times New Roman" w:cs="Times New Roman" w:eastAsia="Times New Roman" w:hAnsi="Times New Roman"/>
          <w:sz w:val="20"/>
          <w:szCs w:val="20"/>
          <w:color w:val="auto"/>
        </w:rPr>
      </w:pPr>
    </w:p>
    <w:p>
      <w:pPr>
        <w:ind w:left="760" w:right="10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for the first quarter was $8.2 million, or 7.1% of sales, as compared to $12.6 million, or 10.1% of sales in the first quarter of fiscal 2023.</w:t>
      </w:r>
    </w:p>
    <w:p>
      <w:pPr>
        <w:spacing w:after="0" w:line="118" w:lineRule="exact"/>
        <w:rPr>
          <w:rFonts w:ascii="Times New Roman" w:cs="Times New Roman" w:eastAsia="Times New Roman" w:hAnsi="Times New Roman"/>
          <w:sz w:val="20"/>
          <w:szCs w:val="20"/>
          <w:color w:val="auto"/>
        </w:rPr>
      </w:pPr>
    </w:p>
    <w:p>
      <w:pPr>
        <w:ind w:left="760" w:right="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and investments were $53.2 million at May 4, 2024, as compared to $46.0 million at April 29, 2023, with no outstanding debt for either period.</w:t>
      </w:r>
    </w:p>
    <w:p>
      <w:pPr>
        <w:spacing w:after="0" w:line="13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first quarter of fiscal 2024, the Company completed its $25.0 million stock repurchase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3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“We expected fiscal 2024 to be challenging, but our first quarter sales results were disappointing. Our guidance for fiscal 2024 assumed an improvement in first quarter sales; however, the macroeconomic pressures we observed in the second half of fiscal 2023 persisted, continuing to negatively impact store traffic and online conversion. Despite the difficult environment, our regimented operating process, structure and discipline helped us to deliver gross margins, inventory levels and operating expenses that were better than expected and we remain energized and focused on our strategic long-range plan growth initiatives,” said Harvey Kanter, President and Chief Executive Officer.</w:t>
      </w:r>
    </w:p>
    <w:p>
      <w:pPr>
        <w:spacing w:after="0" w:line="5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“As we outlined in our last earnings call, we are investing in four significant strategic initiatives to accelerate the growth trajectory of DXL while maintaining an acceptable level of profitability. We do not believe that our first quarter results reflect the growth potential of the DXL brand and expect that our growth initiatives will provide meaningful catalysts to drive sales and take share of the addressable Big &amp; Tall market.</w:t>
      </w:r>
    </w:p>
    <w:p>
      <w:pPr>
        <w:spacing w:after="0" w:line="8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Marketing &amp; Brand Building</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 launched our new brand advertising campaign on May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address very low awareness levels for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DXL offering. This campaign is driven by the extensive Big &amp; Tall consumer insights work completed in 2023. The campaign is the first true brand marketing campaign work we have done since 2017, and began with a three-matched-market test in Boston, Detroit, and St. Louis.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60"/>
        <w:spacing w:after="0" w:line="232"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Store Development: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initiative to open new stores was driven by insights into the frustrations our customers have with limited access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stores. Consumers told us that they do not shop with us because no store is near them. On May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we opened our second store this year with six more expected later this year.</w:t>
      </w:r>
    </w:p>
    <w:p>
      <w:pPr>
        <w:spacing w:after="0" w:line="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New Website Platform</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are transitioning to a new and improved eCommerce platform with the first element to launch in the next few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weeks. The platform addresses friction online and will drive a richer and simpler consumer experience, as well as drive measurably greater speed and agility.</w:t>
      </w:r>
    </w:p>
    <w:p>
      <w:pPr>
        <w:spacing w:after="0" w:line="74"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Alliances &amp; Collaborations</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On April 29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we announced our alliance with Nordstrom to launch DXL's Big &amp; Tall assortment on their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digital marketplace platform which will allow us to bring the DXL experience beyond our four walls and directly to the Nordstrom customer.</w:t>
      </w:r>
    </w:p>
    <w:p>
      <w:pPr>
        <w:spacing w:after="0" w:line="80" w:lineRule="exact"/>
        <w:rPr>
          <w:sz w:val="20"/>
          <w:szCs w:val="20"/>
          <w:color w:val="auto"/>
        </w:rPr>
      </w:pPr>
    </w:p>
    <w:p>
      <w:pPr>
        <w:jc w:val="both"/>
        <w:ind w:right="460"/>
        <w:spacing w:after="0" w:line="254" w:lineRule="auto"/>
        <w:rPr>
          <w:sz w:val="20"/>
          <w:szCs w:val="20"/>
          <w:color w:val="auto"/>
        </w:rPr>
      </w:pPr>
      <w:r>
        <w:rPr>
          <w:rFonts w:ascii="Times New Roman" w:cs="Times New Roman" w:eastAsia="Times New Roman" w:hAnsi="Times New Roman"/>
          <w:sz w:val="20"/>
          <w:szCs w:val="20"/>
          <w:color w:val="auto"/>
        </w:rPr>
        <w:t>“We knew fiscal 2024 would be a year of significant investment with an expectation of longer-range returns. While the immediate sales challenges are painful, we are very enthusiastic and we believe that these initiatives will drive meaningful sales growth and double-digit EBITDA margins," Kanter concluded.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9"/>
          <w:szCs w:val="19"/>
          <w:color w:val="auto"/>
        </w:rPr>
        <w:t>Total sales for the first quarter of fiscal 2024 were $115.5 million, as compared to $125.4 million in the first quarter of fiscal 2023. Comparable sales for the first quarter decreased 11.3% with comparable sales from our stores down 11.4% and our direct business down</w:t>
      </w:r>
    </w:p>
    <w:p>
      <w:pPr>
        <w:ind w:right="120"/>
        <w:spacing w:after="0" w:line="246" w:lineRule="auto"/>
        <w:rPr>
          <w:sz w:val="20"/>
          <w:szCs w:val="20"/>
          <w:color w:val="auto"/>
        </w:rPr>
      </w:pPr>
      <w:r>
        <w:rPr>
          <w:rFonts w:ascii="Times New Roman" w:cs="Times New Roman" w:eastAsia="Times New Roman" w:hAnsi="Times New Roman"/>
          <w:sz w:val="20"/>
          <w:szCs w:val="20"/>
          <w:color w:val="auto"/>
        </w:rPr>
        <w:t>11.0%. The decrease in comparable store sales was slightly offset by an increase in non-comparable sales of $1.8 million and a $3.0 million shift in calendar weeks due to the 53rd week in fiscal 2023.</w:t>
      </w:r>
    </w:p>
    <w:p>
      <w:pPr>
        <w:spacing w:after="0" w:line="7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decrease in comparable sales during the first quarter was primarily driven by a decrease in traffic in our stores and decreased conversion in our direct business. While traffic was down, our three new stores that opened last Fall in Queens, New York, Cincinnati, Ohio, and Pasadena, California all drove strong dollars per transaction and new-to-file rates that are approximately three times the chain average. The eleven Casual Male stores that were converted to DXL in fiscal 2023 performed stronger than the chain, with comparable sales to date approximately flat.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39"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For the first quarter of fiscal 2024, our gross margin rate, inclusive of occupancy costs, was 48.2% as compared to a gross margin rate of 48.6% for the first quarter of fiscal 2023.</w:t>
      </w:r>
    </w:p>
    <w:p>
      <w:pPr>
        <w:spacing w:after="0" w:line="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gross margin rate decreased by 40-basis points, with an increase of 175-basis points in occupancy costs primarily due to the deleveraging of sales and increased rents as a result of lease extensions, which was partially offset by an increase in merchandise margin of 135-basis points. The improvement in merchandise margin of 135-basis points was due to a shift in merchandise mix, favorable shipping costs and a reduction in loyalty expense and marketplace commissions. For 2024, we expect gross margin rates to be approximately 30- to 50-basis points lower than fiscal 2023 and reflect some occupancy deleveraging due to lower sales expectations.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first quarter of fiscal 2024 were 41.1% as compared to 38.5% for the first quarter of fiscal 2023.</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On a dollar basis, SG&amp;A expenses decreased by $0.8 million as compared to the first quarter of fiscal 2023. The decrease was primarily due to a decrease in store payroll and performance-based incentive accruals, partially offset by an increase in advertising costs and operating costs to support our long-range growth initiatives.</w:t>
      </w:r>
    </w:p>
    <w:p>
      <w:pPr>
        <w:spacing w:after="0" w:line="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5" w:name="page6"/>
    <w:bookmarkEnd w:id="5"/>
    <w:p>
      <w:pPr>
        <w:ind w:right="260"/>
        <w:spacing w:after="0" w:line="269" w:lineRule="auto"/>
        <w:rPr>
          <w:sz w:val="20"/>
          <w:szCs w:val="20"/>
          <w:color w:val="auto"/>
        </w:rPr>
      </w:pPr>
      <w:r>
        <w:rPr>
          <w:rFonts w:ascii="Times New Roman" w:cs="Times New Roman" w:eastAsia="Times New Roman" w:hAnsi="Times New Roman"/>
          <w:sz w:val="20"/>
          <w:szCs w:val="20"/>
          <w:color w:val="auto"/>
        </w:rPr>
        <w:t>Marketing costs were 6.3% of sales for the first quarter of fiscal 2024 as compared to 5.5% of sales for the first quarter of fiscal 2023. For fiscal 2024, marketing costs are expected to be approximately 7.0%-7.5% of sales.</w:t>
      </w:r>
    </w:p>
    <w:p>
      <w:pPr>
        <w:spacing w:after="0" w:line="5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 represented 23.0% of sales in the first quarter of fiscal 2024 as compared to 21.1% of sales in the first quarter of fiscal 2023. Corporate Support Costs, which include the distribution center and corporate overhead costs, represented 18.1% of sales in the first quarter of fiscal 2024 as compared to 17.4% of sales in the first quarter of fiscal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(Expense), Net</w:t>
      </w:r>
    </w:p>
    <w:p>
      <w:pPr>
        <w:spacing w:after="0" w:line="112" w:lineRule="exact"/>
        <w:rPr>
          <w:sz w:val="20"/>
          <w:szCs w:val="20"/>
          <w:color w:val="auto"/>
        </w:rPr>
      </w:pPr>
    </w:p>
    <w:p>
      <w:pPr>
        <w:jc w:val="both"/>
        <w:ind w:right="240"/>
        <w:spacing w:after="0" w:line="274" w:lineRule="auto"/>
        <w:rPr>
          <w:sz w:val="20"/>
          <w:szCs w:val="20"/>
          <w:color w:val="auto"/>
        </w:rPr>
      </w:pPr>
      <w:r>
        <w:rPr>
          <w:rFonts w:ascii="Times New Roman" w:cs="Times New Roman" w:eastAsia="Times New Roman" w:hAnsi="Times New Roman"/>
          <w:sz w:val="19"/>
          <w:szCs w:val="19"/>
          <w:color w:val="auto"/>
        </w:rPr>
        <w:t>Net interest income for the first quarter of fiscal 2024 was $0.6 million, as compared to $0.3 million for the first quarter of fiscal 2023. For both periods, interest income was earned from investments in U.S. government-backed investments and money market accounts. Interest costs for both periods were minimal because we had no outstanding debt and no borrowings under our credit facility during either period.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Our tax provision for income taxes for interim periods is determined using an estimate of our annual effective tax rate, adjusted for discrete items, if any. Each quarter, we update our estimate of the annual effective tax rate and make a year-to-date adjustment to the provision.</w:t>
      </w:r>
    </w:p>
    <w:p>
      <w:pPr>
        <w:spacing w:after="0" w:line="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For the first quarter of fiscal 2024, the effective tax rate was 30.4% as compared to an effective tax rate of 26.6% for the first quarter of fiscal 2023. The increase in the effective tax rate was primarily due to permanent book to tax differences combined with a lower pretax income as compared to the first quarter of fiscal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15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For the first quarter of fiscal 2024, net income was $3.8 million, or $0.06 per diluted share, as compared to net income for the first quarter of fiscal 2023 of $7.0 million, or $0.11 per diluted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Adjusted EBITDA, a non-GAAP measure, for the first quarter of fiscal 2024 was $8.2 million, as compared to $12.6 million for the first quarter of fiscal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5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Cash flow from operations for the first three months of fiscal 2024 was $(1.1) million as compared to $(4.2) million for the first three months of fiscal 2023. Free cash flow, a non-GAAP measure, was $(7.0) million for the first three months of fiscal 2024 as compared to $(5.9) million for the first three months of fiscal 2023. The decrease in free cash flow was primarily due to an increase in capital expenditures primarily related to the store openings as well as due to a decrease in operating income.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20" w:type="dxa"/>
            <w:vAlign w:val="bottom"/>
            <w:gridSpan w:val="5"/>
          </w:tcPr>
          <w:p>
            <w:pPr>
              <w:jc w:val="right"/>
              <w:ind w:right="182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May 4, 2024</w:t>
            </w: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April 29, 2023</w:t>
            </w:r>
          </w:p>
        </w:tc>
        <w:tc>
          <w:tcPr>
            <w:tcW w:w="380" w:type="dxa"/>
            <w:vAlign w:val="bottom"/>
          </w:tcPr>
          <w:p>
            <w:pPr>
              <w:spacing w:after="0"/>
              <w:rPr>
                <w:sz w:val="16"/>
                <w:szCs w:val="16"/>
                <w:color w:val="auto"/>
              </w:rPr>
            </w:pPr>
          </w:p>
        </w:tc>
      </w:tr>
      <w:tr>
        <w:trPr>
          <w:trHeight w:val="16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(1.1 )</w:t>
            </w:r>
          </w:p>
        </w:tc>
        <w:tc>
          <w:tcPr>
            <w:tcW w:w="4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(4.2 )</w:t>
            </w: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400" w:type="dxa"/>
            <w:vAlign w:val="bottom"/>
          </w:tcPr>
          <w:p>
            <w:pPr>
              <w:spacing w:after="0"/>
              <w:rPr>
                <w:sz w:val="15"/>
                <w:szCs w:val="15"/>
                <w:color w:val="auto"/>
              </w:rPr>
            </w:pP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(5.9 )</w:t>
            </w:r>
          </w:p>
        </w:tc>
        <w:tc>
          <w:tcPr>
            <w:tcW w:w="420" w:type="dxa"/>
            <w:vAlign w:val="bottom"/>
          </w:tcPr>
          <w:p>
            <w:pPr>
              <w:spacing w:after="0"/>
              <w:rPr>
                <w:sz w:val="15"/>
                <w:szCs w:val="15"/>
                <w:color w:val="auto"/>
              </w:rPr>
            </w:pP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(1.7 )</w:t>
            </w:r>
          </w:p>
        </w:tc>
      </w:tr>
      <w:tr>
        <w:trPr>
          <w:trHeight w:val="20"/>
        </w:trPr>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602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400" w:type="dxa"/>
            <w:vAlign w:val="bottom"/>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(7.0 )</w:t>
            </w:r>
          </w:p>
        </w:tc>
        <w:tc>
          <w:tcPr>
            <w:tcW w:w="420" w:type="dxa"/>
            <w:vAlign w:val="bottom"/>
            <w:shd w:val="clear" w:color="auto" w:fill="CFF0FC"/>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gridSpan w:val="2"/>
            <w:shd w:val="clear" w:color="auto" w:fill="CFF0FC"/>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(5.9 )</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Adjusted EBITDA, adjusted EBITDA margin and free cash flow are non-GAAP financial measures. Please see “Non-GAAP Measures” below and reconciliations of these non-GAAP measures to the comparable GAAP measures that follow in the tables below.</w:t>
      </w:r>
    </w:p>
    <w:p>
      <w:pPr>
        <w:spacing w:after="0" w:line="6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As of May 4, 2024, we had cash and investments of $53.2 million as compared to $46.0 million as of April 29, 2023, with no outstanding debt in either period. We did not have any borrowings under our credit facility during either period and, as of May 4, 2024, the availability under our credit facility was $79.2 million, as compared to $93.8 million as of April 29, 2023. Availability under our credit facility is primarily driven by our available inventory.</w:t>
      </w:r>
    </w:p>
    <w:p>
      <w:pPr>
        <w:spacing w:after="0" w:line="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As of May 4, 2024, our inventory decreased approximately $9.0 million to $91.2 million, as compared to $100.3 million as of April 29, 2023. We continue to take proactive measures to manage our inventory and adjust our receipt plan given the ongoing macroeconomic factors affecting consumer spending. At May 4, 2024, our clearance inventory was 9.7% of our total inventory, as compared to 7.8% at April 29, 2023 and still below our historical benchmark of approximately 10.0%. Our inventory turnover rate has improved by almost 30% from fiscal 2019.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Repurchase Program</w:t>
      </w:r>
    </w:p>
    <w:p>
      <w:pPr>
        <w:spacing w:after="0" w:line="11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March 2023, our Board of Directors approved a stock repurchase program. Under the stock repurchase program, we were initially authorized to repurchase up to $15.0 million of our common stock through open market and privately negotiated transactions. On November 15, 2023, our Board increased the authorization from $15.0 million to $25.0 million.</w:t>
      </w:r>
    </w:p>
    <w:p>
      <w:pPr>
        <w:spacing w:after="0" w:line="107"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During the first quarter of fiscal 2024, we repurchased 52,802 shares at a total cost, including fees, of $211,182, completing our stock repurchase program.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since the end of fiscal 2021 through the end of the first quarter of fiscal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19"/>
                <w:szCs w:val="19"/>
                <w:color w:val="auto"/>
              </w:rPr>
            </w:pPr>
          </w:p>
        </w:tc>
        <w:tc>
          <w:tcPr>
            <w:tcW w:w="218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color w:val="auto"/>
              </w:rPr>
              <w:t>At May 4, 2024</w:t>
            </w:r>
          </w:p>
        </w:tc>
        <w:tc>
          <w:tcPr>
            <w:tcW w:w="120" w:type="dxa"/>
            <w:vAlign w:val="bottom"/>
          </w:tcPr>
          <w:p>
            <w:pPr>
              <w:spacing w:after="0"/>
              <w:rPr>
                <w:sz w:val="19"/>
                <w:szCs w:val="19"/>
                <w:color w:val="auto"/>
              </w:rPr>
            </w:pPr>
          </w:p>
        </w:tc>
        <w:tc>
          <w:tcPr>
            <w:tcW w:w="218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color w:val="auto"/>
              </w:rPr>
              <w:t>Year End 2023</w:t>
            </w:r>
          </w:p>
        </w:tc>
        <w:tc>
          <w:tcPr>
            <w:tcW w:w="100" w:type="dxa"/>
            <w:vAlign w:val="bottom"/>
          </w:tcPr>
          <w:p>
            <w:pPr>
              <w:spacing w:after="0"/>
              <w:rPr>
                <w:sz w:val="19"/>
                <w:szCs w:val="19"/>
                <w:color w:val="auto"/>
              </w:rPr>
            </w:pPr>
          </w:p>
        </w:tc>
        <w:tc>
          <w:tcPr>
            <w:tcW w:w="212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Year End 2022</w:t>
            </w:r>
          </w:p>
        </w:tc>
        <w:tc>
          <w:tcPr>
            <w:tcW w:w="100" w:type="dxa"/>
            <w:vAlign w:val="bottom"/>
          </w:tcPr>
          <w:p>
            <w:pPr>
              <w:spacing w:after="0"/>
              <w:rPr>
                <w:sz w:val="19"/>
                <w:szCs w:val="19"/>
                <w:color w:val="auto"/>
              </w:rPr>
            </w:pPr>
          </w:p>
        </w:tc>
        <w:tc>
          <w:tcPr>
            <w:tcW w:w="228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auto"/>
              </w:rPr>
              <w:t>Year End 2021</w:t>
            </w:r>
          </w:p>
        </w:tc>
      </w:tr>
      <w:tr>
        <w:trPr>
          <w:trHeight w:val="212"/>
        </w:trPr>
        <w:tc>
          <w:tcPr>
            <w:tcW w:w="216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4"/>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Sq Ft.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Sq Ft.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Sq Ft.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Sq Ft.</w:t>
            </w:r>
          </w:p>
        </w:tc>
      </w:tr>
      <w:tr>
        <w:trPr>
          <w:trHeight w:val="223"/>
        </w:trPr>
        <w:tc>
          <w:tcPr>
            <w:tcW w:w="2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center"/>
              <w:ind w:left="239"/>
              <w:spacing w:after="0"/>
              <w:rPr>
                <w:sz w:val="20"/>
                <w:szCs w:val="20"/>
                <w:color w:val="auto"/>
              </w:rPr>
            </w:pPr>
            <w:r>
              <w:rPr>
                <w:rFonts w:ascii="Times New Roman" w:cs="Times New Roman" w:eastAsia="Times New Roman" w:hAnsi="Times New Roman"/>
                <w:sz w:val="16"/>
                <w:szCs w:val="16"/>
                <w:color w:val="auto"/>
                <w:w w:val="99"/>
              </w:rPr>
              <w:t>Stores</w:t>
            </w:r>
          </w:p>
        </w:tc>
        <w:tc>
          <w:tcPr>
            <w:tcW w:w="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DXL retail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19"/>
                <w:szCs w:val="19"/>
                <w:color w:val="auto"/>
              </w:rPr>
            </w:pPr>
          </w:p>
        </w:tc>
      </w:tr>
      <w:tr>
        <w:trPr>
          <w:trHeight w:val="239"/>
        </w:trPr>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20"/>
                <w:szCs w:val="20"/>
                <w:color w:val="auto"/>
              </w:rPr>
            </w:pPr>
          </w:p>
        </w:tc>
      </w:tr>
      <w:tr>
        <w:trPr>
          <w:trHeight w:val="22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CMXL retail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9"/>
                <w:szCs w:val="19"/>
                <w:color w:val="auto"/>
              </w:rPr>
            </w:pPr>
          </w:p>
        </w:tc>
      </w:tr>
      <w:tr>
        <w:trPr>
          <w:trHeight w:val="236"/>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CMXL outlets</w:t>
            </w:r>
          </w:p>
        </w:tc>
        <w:tc>
          <w:tcPr>
            <w:tcW w:w="7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-732790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-732790</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-732790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-732790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-732790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-732790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-732790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-732790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-141605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-141605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-141605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-141605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-141605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-141605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-141605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During the first quarter of fiscal 2024, we opened a new DXL store in Coon Rapids, Minnesota. Subsequent to the end of the first quarter, we opened our second store in Thousand Oaks, California and expect to open six additional DXL stores by end of fiscal 2024. During fiscal 2024, we also plan to convert five Casual Male stores to the DXL store format and remodel five of our existing DXL stores. We expect our capital expenditures to range from $22.0 million to $25.0 million in fiscal 2024. Over the next three to five years, we believe we could potentially open approximately 50 net new DXL stores across the country, which could average 6,000 square feet or 300,000 sq. ft. in total, a 15% increase over our current square footage.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3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We distribute our national brands and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first quarter of fiscal 2024, our direct sales were $34.6 million, or 30.0% of retail segment sales, as compared to $38.1 million, or 30.4% of retail segment sales in the first quarter of fiscal 2023.</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5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Our guidance for fiscal 2024 assumed that we would start seeing an improvement in consumer discretionary spending. However, the macroeconomic pressures persisted during the first quarter of fiscal 2024, which negatively impacted traffic, especially to our stores. Based on our current sales trends, we are guiding to the low-end of our previous sales guidance, which is $500 million, with a mid-single digit decrease in comparable sales. We currently believe that with our continued management of inventory and operational expenses we can achieve a 7% adjusted EBITDA margin for fiscal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May 30, 2024, at 9:00 a.m. ET.</w:t>
      </w:r>
    </w:p>
    <w:p>
      <w:pPr>
        <w:spacing w:after="0" w:line="21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To participate in the live webcast, please pre-register at: https://register.vevent.com/register/BI15303969a7324417ab612648ffe1c40c. Upon registering, you will be emailed a dial-in number, and unique PIN.</w:t>
      </w:r>
    </w:p>
    <w:p>
      <w:pPr>
        <w:spacing w:after="0" w:line="159"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https://edge.media-server.com/mmc/p/876fir7p. An archived version of the webcast may be accessed by visiting the "Events" section of the Company's investor relations website for up to one year.</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 and free cash flow. The presentation of these non-GAAP measures is not in accordance with GAAP and should not be considered superior to or as a substitute for net income, net income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92"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(gain),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9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w:t>
      </w:r>
    </w:p>
    <w:p>
      <w:pPr>
        <w:spacing w:after="0" w:line="8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9"/>
          <w:szCs w:val="19"/>
          <w:color w:val="auto"/>
        </w:rPr>
        <w:t>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guidance for fiscal 2024, including expected sales, gross margin rate and adjusted EBITDA margin; expected sales trends for fiscal 2024; expected marketing costs and expected capital expenditures in fiscal 2024; expected store openings and store conversions in fiscal 2024; our long-range strategic plan and the expected impact of our strategic initiatives on future growth, including with respect to raising brand awareness, store development and future alliances and collaborations; our ability to manage inventory; and expected changes in our store portfolio and long-term plans for new or relocated stores. 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21, 2024, its Quarterly Reports on Form 10-Q and other filings with the Securities and Exchange Commission that set forth certain risks and uncertainties that may have an impact on future results and direction of the Company, including risks relating to: changes in consumer spending in response to economic factors; the impact of inflation with rising costs and high interest rates; the Israel-Hamas conflict and the ongoing Russian invasion of Ukraine on the global economy; potential labor shortages; and the Company’s ability to execute on its marketing, digital, store and collaboration strategies, ability to grow its market share, predict customer tastes and fashion trends, forecast sales growth trends and compete successfully in the United States men’s big and tall apparel market.</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31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85"/>
        </w:trPr>
        <w:tc>
          <w:tcPr>
            <w:tcW w:w="67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May 4, 2024</w:t>
            </w:r>
          </w:p>
        </w:tc>
        <w:tc>
          <w:tcPr>
            <w:tcW w:w="5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color w:val="auto"/>
              </w:rPr>
              <w:t>April 29, 2023</w:t>
            </w:r>
          </w:p>
        </w:tc>
        <w:tc>
          <w:tcPr>
            <w:tcW w:w="440" w:type="dxa"/>
            <w:vAlign w:val="bottom"/>
          </w:tcPr>
          <w:p>
            <w:pPr>
              <w:spacing w:after="0"/>
              <w:rPr>
                <w:sz w:val="16"/>
                <w:szCs w:val="16"/>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380" w:type="dxa"/>
            <w:vAlign w:val="bottom"/>
            <w:shd w:val="clear" w:color="auto" w:fill="CFF0FC"/>
          </w:tcPr>
          <w:p>
            <w:pPr>
              <w:jc w:val="right"/>
              <w:ind w:right="12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115,489</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125,442</w:t>
            </w:r>
          </w:p>
        </w:tc>
        <w:tc>
          <w:tcPr>
            <w:tcW w:w="440" w:type="dxa"/>
            <w:vAlign w:val="bottom"/>
            <w:shd w:val="clear" w:color="auto" w:fill="CFF0FC"/>
          </w:tcPr>
          <w:p>
            <w:pPr>
              <w:spacing w:after="0"/>
              <w:rPr>
                <w:sz w:val="19"/>
                <w:szCs w:val="19"/>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64,526</w:t>
            </w:r>
          </w:p>
        </w:tc>
        <w:tc>
          <w:tcPr>
            <w:tcW w:w="440" w:type="dxa"/>
            <w:vAlign w:val="bottom"/>
          </w:tcPr>
          <w:p>
            <w:pPr>
              <w:spacing w:after="0"/>
              <w:rPr>
                <w:sz w:val="19"/>
                <w:szCs w:val="19"/>
                <w:color w:val="auto"/>
              </w:rPr>
            </w:pPr>
          </w:p>
        </w:tc>
      </w:tr>
      <w:tr>
        <w:trPr>
          <w:trHeight w:val="22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55,682</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60,916</w:t>
            </w:r>
          </w:p>
        </w:tc>
        <w:tc>
          <w:tcPr>
            <w:tcW w:w="44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48,281</w:t>
            </w:r>
          </w:p>
        </w:tc>
        <w:tc>
          <w:tcPr>
            <w:tcW w:w="440" w:type="dxa"/>
            <w:vAlign w:val="bottom"/>
          </w:tcPr>
          <w:p>
            <w:pPr>
              <w:spacing w:after="0"/>
              <w:rPr>
                <w:sz w:val="19"/>
                <w:szCs w:val="19"/>
                <w:color w:val="auto"/>
              </w:rPr>
            </w:pPr>
          </w:p>
        </w:tc>
      </w:tr>
      <w:tr>
        <w:trPr>
          <w:trHeight w:val="236"/>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440" w:type="dxa"/>
            <w:vAlign w:val="bottom"/>
            <w:tcBorders>
              <w:bottom w:val="single" w:sz="8" w:color="CFF0FC"/>
            </w:tcBorders>
            <w:shd w:val="clear" w:color="auto" w:fill="CFF0FC"/>
          </w:tcPr>
          <w:p>
            <w:pPr>
              <w:spacing w:after="0"/>
              <w:rPr>
                <w:sz w:val="20"/>
                <w:szCs w:val="20"/>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50,801</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51,758</w:t>
            </w:r>
          </w:p>
        </w:tc>
        <w:tc>
          <w:tcPr>
            <w:tcW w:w="440" w:type="dxa"/>
            <w:vAlign w:val="bottom"/>
          </w:tcPr>
          <w:p>
            <w:pPr>
              <w:spacing w:after="0"/>
              <w:rPr>
                <w:sz w:val="19"/>
                <w:szCs w:val="19"/>
                <w:color w:val="auto"/>
              </w:rPr>
            </w:pPr>
          </w:p>
        </w:tc>
      </w:tr>
      <w:tr>
        <w:trPr>
          <w:trHeight w:val="226"/>
        </w:trPr>
        <w:tc>
          <w:tcPr>
            <w:tcW w:w="67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440" w:type="dxa"/>
            <w:vAlign w:val="bottom"/>
          </w:tcPr>
          <w:p>
            <w:pPr>
              <w:spacing w:after="0"/>
              <w:rPr>
                <w:sz w:val="19"/>
                <w:szCs w:val="19"/>
                <w:color w:val="auto"/>
              </w:rPr>
            </w:pPr>
          </w:p>
        </w:tc>
      </w:tr>
      <w:tr>
        <w:trPr>
          <w:trHeight w:val="239"/>
        </w:trPr>
        <w:tc>
          <w:tcPr>
            <w:tcW w:w="67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440" w:type="dxa"/>
            <w:vAlign w:val="bottom"/>
          </w:tcPr>
          <w:p>
            <w:pPr>
              <w:spacing w:after="0"/>
              <w:rPr>
                <w:sz w:val="19"/>
                <w:szCs w:val="19"/>
                <w:color w:val="auto"/>
              </w:rPr>
            </w:pPr>
          </w:p>
        </w:tc>
      </w:tr>
      <w:tr>
        <w:trPr>
          <w:trHeight w:val="226"/>
        </w:trPr>
        <w:tc>
          <w:tcPr>
            <w:tcW w:w="67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9,497</w:t>
            </w:r>
          </w:p>
        </w:tc>
        <w:tc>
          <w:tcPr>
            <w:tcW w:w="440" w:type="dxa"/>
            <w:vAlign w:val="bottom"/>
          </w:tcPr>
          <w:p>
            <w:pPr>
              <w:spacing w:after="0"/>
              <w:rPr>
                <w:sz w:val="19"/>
                <w:szCs w:val="19"/>
                <w:color w:val="auto"/>
              </w:rPr>
            </w:pPr>
          </w:p>
        </w:tc>
      </w:tr>
      <w:tr>
        <w:trPr>
          <w:trHeight w:val="236"/>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440" w:type="dxa"/>
            <w:vAlign w:val="bottom"/>
            <w:tcBorders>
              <w:bottom w:val="single" w:sz="8" w:color="CFF0FC"/>
            </w:tcBorders>
            <w:shd w:val="clear" w:color="auto" w:fill="CFF0FC"/>
          </w:tcPr>
          <w:p>
            <w:pPr>
              <w:spacing w:after="0"/>
              <w:rPr>
                <w:sz w:val="20"/>
                <w:szCs w:val="20"/>
                <w:color w:val="auto"/>
              </w:rPr>
            </w:pPr>
          </w:p>
        </w:tc>
      </w:tr>
      <w:tr>
        <w:trPr>
          <w:trHeight w:val="226"/>
        </w:trPr>
        <w:tc>
          <w:tcPr>
            <w:tcW w:w="6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shd w:val="clear" w:color="auto" w:fill="CFF0FC"/>
          </w:tcPr>
          <w:p>
            <w:pPr>
              <w:jc w:val="right"/>
              <w:ind w:right="12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440" w:type="dxa"/>
            <w:vAlign w:val="bottom"/>
            <w:shd w:val="clear" w:color="auto" w:fill="CFF0FC"/>
          </w:tcPr>
          <w:p>
            <w:pPr>
              <w:spacing w:after="0"/>
              <w:rPr>
                <w:sz w:val="23"/>
                <w:szCs w:val="23"/>
                <w:color w:val="auto"/>
              </w:rPr>
            </w:pPr>
          </w:p>
        </w:tc>
      </w:tr>
      <w:tr>
        <w:trPr>
          <w:trHeight w:val="210"/>
        </w:trPr>
        <w:tc>
          <w:tcPr>
            <w:tcW w:w="670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13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33"/>
        </w:trPr>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tcPr>
          <w:p>
            <w:pPr>
              <w:jc w:val="right"/>
              <w:ind w:right="12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440" w:type="dxa"/>
            <w:vAlign w:val="bottom"/>
          </w:tcPr>
          <w:p>
            <w:pPr>
              <w:spacing w:after="0"/>
              <w:rPr>
                <w:sz w:val="20"/>
                <w:szCs w:val="20"/>
                <w:color w:val="auto"/>
              </w:rPr>
            </w:pPr>
          </w:p>
        </w:tc>
      </w:tr>
      <w:tr>
        <w:trPr>
          <w:trHeight w:val="253"/>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shd w:val="clear" w:color="auto" w:fill="CFF0FC"/>
          </w:tcPr>
          <w:p>
            <w:pPr>
              <w:jc w:val="right"/>
              <w:ind w:right="12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440" w:type="dxa"/>
            <w:vAlign w:val="bottom"/>
            <w:shd w:val="clear" w:color="auto" w:fill="CFF0FC"/>
          </w:tcPr>
          <w:p>
            <w:pPr>
              <w:spacing w:after="0"/>
              <w:rPr>
                <w:sz w:val="21"/>
                <w:szCs w:val="21"/>
                <w:color w:val="auto"/>
              </w:rPr>
            </w:pPr>
          </w:p>
        </w:tc>
      </w:tr>
      <w:tr>
        <w:trPr>
          <w:trHeight w:val="243"/>
        </w:trPr>
        <w:tc>
          <w:tcPr>
            <w:tcW w:w="6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3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62,690</w:t>
            </w:r>
          </w:p>
        </w:tc>
        <w:tc>
          <w:tcPr>
            <w:tcW w:w="44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60,963</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66,316</w:t>
            </w:r>
          </w:p>
        </w:tc>
        <w:tc>
          <w:tcPr>
            <w:tcW w:w="4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-2725420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-2725420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-1534160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-1534160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-1233805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-1216660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-1233805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-1216660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May 4, 2024, February 3, 2024 and April 29, 2023</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February 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April 29,</w:t>
            </w:r>
          </w:p>
        </w:tc>
      </w:tr>
      <w:tr>
        <w:trPr>
          <w:trHeight w:val="185"/>
        </w:trPr>
        <w:tc>
          <w:tcPr>
            <w:tcW w:w="5440" w:type="dxa"/>
            <w:vAlign w:val="bottom"/>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100" w:type="dxa"/>
            <w:vAlign w:val="bottom"/>
            <w:shd w:val="clear" w:color="auto" w:fill="CFF0FC"/>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100,258</w:t>
            </w:r>
          </w:p>
        </w:tc>
        <w:tc>
          <w:tcPr>
            <w:tcW w:w="100" w:type="dxa"/>
            <w:vAlign w:val="bottom"/>
            <w:shd w:val="clear" w:color="auto" w:fill="CFF0FC"/>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100" w:type="dxa"/>
            <w:vAlign w:val="bottom"/>
            <w:shd w:val="clear" w:color="auto" w:fill="CFF0FC"/>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155,591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125,981</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29,072</w:t>
            </w:r>
          </w:p>
        </w:tc>
        <w:tc>
          <w:tcPr>
            <w:tcW w:w="100" w:type="dxa"/>
            <w:vAlign w:val="bottom"/>
          </w:tcPr>
          <w:p>
            <w:pPr>
              <w:spacing w:after="0"/>
              <w:rPr>
                <w:sz w:val="20"/>
                <w:szCs w:val="20"/>
                <w:color w:val="auto"/>
              </w:rPr>
            </w:pPr>
          </w:p>
        </w:tc>
      </w:tr>
      <w:tr>
        <w:trPr>
          <w:trHeight w:val="247"/>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376,627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347,668</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100" w:type="dxa"/>
            <w:vAlign w:val="bottom"/>
            <w:shd w:val="clear" w:color="auto" w:fill="CFF0FC"/>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169,227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143,916</w:t>
            </w:r>
          </w:p>
        </w:tc>
        <w:tc>
          <w:tcPr>
            <w:tcW w:w="100" w:type="dxa"/>
            <w:vAlign w:val="bottom"/>
          </w:tcPr>
          <w:p>
            <w:pPr>
              <w:spacing w:after="0"/>
              <w:rPr>
                <w:sz w:val="20"/>
                <w:szCs w:val="20"/>
                <w:color w:val="auto"/>
              </w:rPr>
            </w:pPr>
          </w:p>
        </w:tc>
      </w:tr>
      <w:tr>
        <w:trPr>
          <w:trHeight w:val="247"/>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153,550</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376,627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347,668</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-1456690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-1456690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 w:name="page12"/>
    <w:bookmarkEnd w:id="11"/>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 AND ADJUSTED EBITDA MARGIN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6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May 4, 2024</w:t>
            </w:r>
          </w:p>
        </w:tc>
        <w:tc>
          <w:tcPr>
            <w:tcW w:w="4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April 29, 2023</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20" w:type="dxa"/>
            <w:vAlign w:val="bottom"/>
            <w:shd w:val="clear" w:color="auto" w:fill="CFF0FC"/>
          </w:tcPr>
          <w:p>
            <w:pPr>
              <w:spacing w:after="0"/>
              <w:rPr>
                <w:sz w:val="15"/>
                <w:szCs w:val="15"/>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142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42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(0.6 )</w:t>
            </w:r>
          </w:p>
        </w:tc>
        <w:tc>
          <w:tcPr>
            <w:tcW w:w="14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r>
      <w:tr>
        <w:trPr>
          <w:trHeight w:val="176"/>
        </w:trPr>
        <w:tc>
          <w:tcPr>
            <w:tcW w:w="70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420" w:type="dxa"/>
            <w:vAlign w:val="bottom"/>
            <w:tcBorders>
              <w:bottom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Pr>
          <w:p>
            <w:pPr>
              <w:spacing w:after="0"/>
              <w:rPr>
                <w:sz w:val="14"/>
                <w:szCs w:val="14"/>
                <w:color w:val="auto"/>
              </w:rPr>
            </w:pPr>
          </w:p>
        </w:tc>
        <w:tc>
          <w:tcPr>
            <w:tcW w:w="1440" w:type="dxa"/>
            <w:vAlign w:val="bottom"/>
            <w:tcBorders>
              <w:bottom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42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60" w:type="dxa"/>
            <w:vAlign w:val="bottom"/>
          </w:tcPr>
          <w:p>
            <w:pPr>
              <w:spacing w:after="0"/>
              <w:rPr>
                <w:sz w:val="15"/>
                <w:szCs w:val="15"/>
                <w:color w:val="auto"/>
              </w:rPr>
            </w:pPr>
          </w:p>
        </w:tc>
        <w:tc>
          <w:tcPr>
            <w:tcW w:w="144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4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7.1 %</w:t>
            </w:r>
          </w:p>
        </w:tc>
        <w:tc>
          <w:tcPr>
            <w:tcW w:w="14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-479425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20" w:type="dxa"/>
            <w:vAlign w:val="bottom"/>
            <w:gridSpan w:val="5"/>
          </w:tcPr>
          <w:p>
            <w:pPr>
              <w:jc w:val="right"/>
              <w:ind w:right="182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May 4, 2024</w:t>
            </w: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April 29, 2023</w:t>
            </w:r>
          </w:p>
        </w:tc>
        <w:tc>
          <w:tcPr>
            <w:tcW w:w="380" w:type="dxa"/>
            <w:vAlign w:val="bottom"/>
          </w:tcPr>
          <w:p>
            <w:pPr>
              <w:spacing w:after="0"/>
              <w:rPr>
                <w:sz w:val="16"/>
                <w:szCs w:val="16"/>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(1.1 )</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(4.2 )</w:t>
            </w:r>
          </w:p>
        </w:tc>
      </w:tr>
      <w:tr>
        <w:trPr>
          <w:trHeight w:val="216"/>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40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(5.9 )</w:t>
            </w:r>
          </w:p>
        </w:tc>
        <w:tc>
          <w:tcPr>
            <w:tcW w:w="4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(1.7 )</w:t>
            </w:r>
          </w:p>
        </w:tc>
      </w:tr>
      <w:tr>
        <w:trPr>
          <w:trHeight w:val="20"/>
        </w:trPr>
        <w:tc>
          <w:tcPr>
            <w:tcW w:w="60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r>
      <w:tr>
        <w:trPr>
          <w:trHeight w:val="183"/>
        </w:trPr>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Free Cash Flow (non-GAAP basis)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(7.0 )</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(5.9 )</w:t>
            </w:r>
          </w:p>
        </w:tc>
      </w:tr>
      <w:tr>
        <w:trPr>
          <w:trHeight w:val="20"/>
        </w:trPr>
        <w:tc>
          <w:tcPr>
            <w:tcW w:w="6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-153670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-153670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3" w:right="31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FISCAL 2024 FORECAST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GAAP TO NON-GAAP ADJUSTED EBITDA AND ADJUSTED EBITDA MARGIN RECONCILIATION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Projected</w:t>
            </w:r>
          </w:p>
        </w:tc>
        <w:tc>
          <w:tcPr>
            <w:tcW w:w="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Fiscal 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30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 except per share data and percentages)</w:t>
            </w:r>
          </w:p>
        </w:tc>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i w:val="1"/>
                <w:iCs w:val="1"/>
                <w:color w:val="auto"/>
              </w:rPr>
              <w:t>per diluted share</w:t>
            </w:r>
          </w:p>
        </w:tc>
      </w:tr>
      <w:tr>
        <w:trPr>
          <w:trHeight w:val="189"/>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at low-point of range</w:t>
            </w:r>
          </w:p>
        </w:tc>
        <w:tc>
          <w:tcPr>
            <w:tcW w:w="40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(GAAP basis)</w:t>
            </w:r>
          </w:p>
        </w:tc>
        <w:tc>
          <w:tcPr>
            <w:tcW w:w="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tcPr>
          <w:p>
            <w:pPr>
              <w:spacing w:after="0"/>
              <w:rPr>
                <w:sz w:val="15"/>
                <w:szCs w:val="15"/>
                <w:color w:val="auto"/>
              </w:rPr>
            </w:pPr>
          </w:p>
        </w:tc>
      </w:tr>
      <w:tr>
        <w:trPr>
          <w:trHeight w:val="175"/>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4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40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700" w:type="dxa"/>
            <w:vAlign w:val="bottom"/>
            <w:tcBorders>
              <w:bottom w:val="single" w:sz="8" w:color="CFF0FC"/>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17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09"/>
        </w:trPr>
        <w:tc>
          <w:tcPr>
            <w:tcW w:w="67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70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color w:val="auto"/>
              </w:rPr>
              <w:t>Adjusted EBITDA margin as a percentage of sales (non-GAAP basis)</w:t>
            </w:r>
          </w:p>
        </w:tc>
        <w:tc>
          <w:tcPr>
            <w:tcW w:w="400" w:type="dxa"/>
            <w:vAlign w:val="bottom"/>
          </w:tcPr>
          <w:p>
            <w:pPr>
              <w:spacing w:after="0"/>
              <w:rPr>
                <w:sz w:val="13"/>
                <w:szCs w:val="13"/>
                <w:color w:val="auto"/>
              </w:rPr>
            </w:pPr>
          </w:p>
        </w:tc>
        <w:tc>
          <w:tcPr>
            <w:tcW w:w="1920" w:type="dxa"/>
            <w:vAlign w:val="bottom"/>
            <w:gridSpan w:val="3"/>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7.0 %</w:t>
            </w:r>
          </w:p>
        </w:tc>
        <w:tc>
          <w:tcPr>
            <w:tcW w:w="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20" w:type="dxa"/>
            <w:vAlign w:val="bottom"/>
            <w:shd w:val="clear" w:color="auto" w:fill="CFF0FC"/>
          </w:tcPr>
          <w:p>
            <w:pPr>
              <w:spacing w:after="0"/>
              <w:rPr>
                <w:sz w:val="15"/>
                <w:szCs w:val="15"/>
                <w:color w:val="auto"/>
              </w:rPr>
            </w:pPr>
          </w:p>
        </w:tc>
        <w:tc>
          <w:tcPr>
            <w:tcW w:w="3000" w:type="dxa"/>
            <w:vAlign w:val="bottom"/>
            <w:shd w:val="clear" w:color="auto" w:fill="CFF0FC"/>
          </w:tcPr>
          <w:p>
            <w:pPr>
              <w:spacing w:after="0"/>
              <w:rPr>
                <w:sz w:val="15"/>
                <w:szCs w:val="15"/>
                <w:color w:val="auto"/>
              </w:rPr>
            </w:pPr>
          </w:p>
        </w:tc>
        <w:tc>
          <w:tcPr>
            <w:tcW w:w="3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4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-367665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-487680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2024-05-30T06:56:26Z</dcterms:created>
  <dcterms:modified xsi:type="dcterms:W3CDTF">2024-05-30T06:56:26Z</dcterms:modified>
</cp:coreProperties>
</file>