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ANNUAL REPORT PURSUANT TO SECTION 13 OR 15(d)</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ectPr>
          <w:pgSz w:w="11900" w:h="16838" w:orient="portrait"/>
          <w:cols w:equalWidth="0" w:num="1">
            <w:col w:w="11400"/>
          </w:cols>
          <w:pgMar w:left="240" w:top="230" w:right="259" w:bottom="1440" w:gutter="0" w:footer="0" w:header="0"/>
        </w:sectPr>
      </w:pPr>
    </w:p>
    <w:p>
      <w:pPr>
        <w:spacing w:after="0" w:line="125" w:lineRule="exact"/>
        <w:rPr>
          <w:sz w:val="24"/>
          <w:szCs w:val="24"/>
          <w:color w:val="auto"/>
        </w:rPr>
      </w:pPr>
    </w:p>
    <w:p>
      <w:pPr>
        <w:jc w:val="center"/>
        <w:ind w:right="960"/>
        <w:spacing w:after="0"/>
        <w:rPr>
          <w:sz w:val="20"/>
          <w:szCs w:val="20"/>
          <w:color w:val="auto"/>
        </w:rPr>
      </w:pPr>
      <w:r>
        <w:rPr>
          <w:rFonts w:ascii="Arial" w:cs="Arial" w:eastAsia="Arial" w:hAnsi="Arial"/>
          <w:sz w:val="15"/>
          <w:szCs w:val="15"/>
          <w:b w:val="1"/>
          <w:bCs w:val="1"/>
          <w:color w:val="auto"/>
        </w:rPr>
        <w:t>For the fiscal year ended February 2, 2008</w:t>
      </w:r>
    </w:p>
    <w:p>
      <w:pPr>
        <w:spacing w:after="0" w:line="56"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(Fiscal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118745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Commission File Number 0-15898</w:t>
      </w:r>
    </w:p>
    <w:p>
      <w:pPr>
        <w:spacing w:after="0" w:line="462" w:lineRule="exact"/>
        <w:rPr>
          <w:sz w:val="24"/>
          <w:szCs w:val="24"/>
          <w:color w:val="auto"/>
        </w:rPr>
      </w:pPr>
    </w:p>
    <w:p>
      <w:pPr>
        <w:sectPr>
          <w:pgSz w:w="11900" w:h="16838" w:orient="portrait"/>
          <w:cols w:equalWidth="0" w:num="2">
            <w:col w:w="6700" w:space="720"/>
            <w:col w:w="3980"/>
          </w:cols>
          <w:pgMar w:left="240" w:top="230" w:right="259" w:bottom="1440" w:gutter="0" w:footer="0" w:header="0"/>
          <w:type w:val="continuous"/>
        </w:sectPr>
      </w:pP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3" w:lineRule="exact"/>
        <w:rPr>
          <w:sz w:val="24"/>
          <w:szCs w:val="24"/>
          <w:color w:val="auto"/>
        </w:rPr>
      </w:pPr>
    </w:p>
    <w:tbl>
      <w:tblPr>
        <w:tblLayout w:type="fixed"/>
        <w:tblInd w:w="1600" w:type="dxa"/>
        <w:tblCellMar>
          <w:top w:w="0" w:type="dxa"/>
          <w:left w:w="0" w:type="dxa"/>
          <w:bottom w:w="0" w:type="dxa"/>
          <w:right w:w="0" w:type="dxa"/>
        </w:tblCellMar>
      </w:tblPr>
      <w:tr>
        <w:trPr>
          <w:trHeight w:val="218"/>
        </w:trPr>
        <w:tc>
          <w:tcPr>
            <w:tcW w:w="3040" w:type="dxa"/>
            <w:vAlign w:val="bottom"/>
          </w:tcPr>
          <w:p>
            <w:pPr>
              <w:jc w:val="center"/>
              <w:ind w:right="424"/>
              <w:spacing w:after="0"/>
              <w:rPr>
                <w:sz w:val="20"/>
                <w:szCs w:val="20"/>
                <w:color w:val="auto"/>
              </w:rPr>
            </w:pPr>
            <w:r>
              <w:rPr>
                <w:rFonts w:ascii="Arial" w:cs="Arial" w:eastAsia="Arial" w:hAnsi="Arial"/>
                <w:sz w:val="18"/>
                <w:szCs w:val="18"/>
                <w:b w:val="1"/>
                <w:bCs w:val="1"/>
                <w:color w:val="auto"/>
                <w:w w:val="88"/>
              </w:rPr>
              <w:t>Delaware</w:t>
            </w:r>
          </w:p>
        </w:tc>
        <w:tc>
          <w:tcPr>
            <w:tcW w:w="5020" w:type="dxa"/>
            <w:vAlign w:val="bottom"/>
          </w:tcPr>
          <w:p>
            <w:pPr>
              <w:jc w:val="right"/>
              <w:ind w:right="480"/>
              <w:spacing w:after="0"/>
              <w:rPr>
                <w:sz w:val="20"/>
                <w:szCs w:val="20"/>
                <w:color w:val="auto"/>
              </w:rPr>
            </w:pPr>
            <w:r>
              <w:rPr>
                <w:rFonts w:ascii="Arial" w:cs="Arial" w:eastAsia="Arial" w:hAnsi="Arial"/>
                <w:sz w:val="18"/>
                <w:szCs w:val="18"/>
                <w:b w:val="1"/>
                <w:bCs w:val="1"/>
                <w:color w:val="auto"/>
              </w:rPr>
              <w:t>04-2623104</w:t>
            </w:r>
          </w:p>
        </w:tc>
      </w:tr>
      <w:tr>
        <w:trPr>
          <w:trHeight w:val="149"/>
        </w:trPr>
        <w:tc>
          <w:tcPr>
            <w:tcW w:w="3040" w:type="dxa"/>
            <w:vAlign w:val="bottom"/>
          </w:tcPr>
          <w:p>
            <w:pPr>
              <w:jc w:val="center"/>
              <w:ind w:right="44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020" w:type="dxa"/>
            <w:vAlign w:val="bottom"/>
          </w:tcPr>
          <w:p>
            <w:pPr>
              <w:jc w:val="center"/>
              <w:ind w:left="2980"/>
              <w:spacing w:after="0" w:line="149" w:lineRule="exact"/>
              <w:rPr>
                <w:sz w:val="20"/>
                <w:szCs w:val="20"/>
                <w:color w:val="auto"/>
              </w:rPr>
            </w:pPr>
            <w:r>
              <w:rPr>
                <w:rFonts w:ascii="Arial" w:cs="Arial" w:eastAsia="Arial" w:hAnsi="Arial"/>
                <w:sz w:val="14"/>
                <w:szCs w:val="14"/>
                <w:b w:val="1"/>
                <w:bCs w:val="1"/>
                <w:color w:val="auto"/>
                <w:w w:val="89"/>
              </w:rPr>
              <w:t>(IRS Employer Identification No.)</w:t>
            </w:r>
          </w:p>
        </w:tc>
      </w:tr>
      <w:tr>
        <w:trPr>
          <w:trHeight w:val="174"/>
        </w:trPr>
        <w:tc>
          <w:tcPr>
            <w:tcW w:w="3040" w:type="dxa"/>
            <w:vAlign w:val="bottom"/>
          </w:tcPr>
          <w:p>
            <w:pPr>
              <w:jc w:val="center"/>
              <w:ind w:right="444"/>
              <w:spacing w:after="0"/>
              <w:rPr>
                <w:sz w:val="20"/>
                <w:szCs w:val="20"/>
                <w:color w:val="auto"/>
              </w:rPr>
            </w:pPr>
            <w:r>
              <w:rPr>
                <w:rFonts w:ascii="Arial" w:cs="Arial" w:eastAsia="Arial" w:hAnsi="Arial"/>
                <w:sz w:val="14"/>
                <w:szCs w:val="14"/>
                <w:b w:val="1"/>
                <w:bCs w:val="1"/>
                <w:color w:val="auto"/>
                <w:w w:val="88"/>
              </w:rPr>
              <w:t>incorporation or organization)</w:t>
            </w:r>
          </w:p>
        </w:tc>
        <w:tc>
          <w:tcPr>
            <w:tcW w:w="5020" w:type="dxa"/>
            <w:vAlign w:val="bottom"/>
          </w:tcPr>
          <w:p>
            <w:pPr>
              <w:spacing w:after="0"/>
              <w:rPr>
                <w:sz w:val="15"/>
                <w:szCs w:val="15"/>
                <w:color w:val="auto"/>
              </w:rPr>
            </w:pPr>
          </w:p>
        </w:tc>
      </w:tr>
      <w:tr>
        <w:trPr>
          <w:trHeight w:val="420"/>
        </w:trPr>
        <w:tc>
          <w:tcPr>
            <w:tcW w:w="3040" w:type="dxa"/>
            <w:vAlign w:val="bottom"/>
          </w:tcPr>
          <w:p>
            <w:pPr>
              <w:jc w:val="center"/>
              <w:ind w:right="444"/>
              <w:spacing w:after="0"/>
              <w:rPr>
                <w:sz w:val="20"/>
                <w:szCs w:val="20"/>
                <w:color w:val="auto"/>
              </w:rPr>
            </w:pPr>
            <w:r>
              <w:rPr>
                <w:rFonts w:ascii="Arial" w:cs="Arial" w:eastAsia="Arial" w:hAnsi="Arial"/>
                <w:sz w:val="18"/>
                <w:szCs w:val="18"/>
                <w:b w:val="1"/>
                <w:bCs w:val="1"/>
                <w:color w:val="auto"/>
                <w:w w:val="90"/>
              </w:rPr>
              <w:t>555 Turnpike Street, Canton, MA</w:t>
            </w:r>
          </w:p>
        </w:tc>
        <w:tc>
          <w:tcPr>
            <w:tcW w:w="5020" w:type="dxa"/>
            <w:vAlign w:val="bottom"/>
          </w:tcPr>
          <w:p>
            <w:pPr>
              <w:jc w:val="right"/>
              <w:ind w:right="680"/>
              <w:spacing w:after="0"/>
              <w:rPr>
                <w:sz w:val="20"/>
                <w:szCs w:val="20"/>
                <w:color w:val="auto"/>
              </w:rPr>
            </w:pPr>
            <w:r>
              <w:rPr>
                <w:rFonts w:ascii="Arial" w:cs="Arial" w:eastAsia="Arial" w:hAnsi="Arial"/>
                <w:sz w:val="18"/>
                <w:szCs w:val="18"/>
                <w:b w:val="1"/>
                <w:bCs w:val="1"/>
                <w:color w:val="auto"/>
              </w:rPr>
              <w:t>02021</w:t>
            </w:r>
          </w:p>
        </w:tc>
      </w:tr>
      <w:tr>
        <w:trPr>
          <w:trHeight w:val="147"/>
        </w:trPr>
        <w:tc>
          <w:tcPr>
            <w:tcW w:w="3040" w:type="dxa"/>
            <w:vAlign w:val="bottom"/>
          </w:tcPr>
          <w:p>
            <w:pPr>
              <w:jc w:val="center"/>
              <w:ind w:right="444"/>
              <w:spacing w:after="0" w:line="147" w:lineRule="exact"/>
              <w:rPr>
                <w:sz w:val="20"/>
                <w:szCs w:val="20"/>
                <w:color w:val="auto"/>
              </w:rPr>
            </w:pPr>
            <w:r>
              <w:rPr>
                <w:rFonts w:ascii="Arial" w:cs="Arial" w:eastAsia="Arial" w:hAnsi="Arial"/>
                <w:sz w:val="14"/>
                <w:szCs w:val="14"/>
                <w:b w:val="1"/>
                <w:bCs w:val="1"/>
                <w:color w:val="auto"/>
                <w:w w:val="85"/>
              </w:rPr>
              <w:t>(Address of principal executive offices)</w:t>
            </w:r>
          </w:p>
        </w:tc>
        <w:tc>
          <w:tcPr>
            <w:tcW w:w="5020" w:type="dxa"/>
            <w:vAlign w:val="bottom"/>
          </w:tcPr>
          <w:p>
            <w:pPr>
              <w:jc w:val="center"/>
              <w:ind w:left="3000"/>
              <w:spacing w:after="0" w:line="147" w:lineRule="exact"/>
              <w:rPr>
                <w:sz w:val="20"/>
                <w:szCs w:val="20"/>
                <w:color w:val="auto"/>
              </w:rPr>
            </w:pPr>
            <w:r>
              <w:rPr>
                <w:rFonts w:ascii="Arial" w:cs="Arial" w:eastAsia="Arial" w:hAnsi="Arial"/>
                <w:sz w:val="14"/>
                <w:szCs w:val="14"/>
                <w:b w:val="1"/>
                <w:bCs w:val="1"/>
                <w:color w:val="auto"/>
                <w:w w:val="89"/>
              </w:rPr>
              <w:t>(Zip Code)</w:t>
            </w:r>
          </w:p>
        </w:tc>
      </w:tr>
      <w:tr>
        <w:trPr>
          <w:trHeight w:val="228"/>
        </w:trPr>
        <w:tc>
          <w:tcPr>
            <w:tcW w:w="3040" w:type="dxa"/>
            <w:vAlign w:val="bottom"/>
          </w:tcPr>
          <w:p>
            <w:pPr>
              <w:spacing w:after="0"/>
              <w:rPr>
                <w:sz w:val="19"/>
                <w:szCs w:val="19"/>
                <w:color w:val="auto"/>
              </w:rPr>
            </w:pPr>
          </w:p>
        </w:tc>
        <w:tc>
          <w:tcPr>
            <w:tcW w:w="5020" w:type="dxa"/>
            <w:vAlign w:val="bottom"/>
          </w:tcPr>
          <w:p>
            <w:pPr>
              <w:jc w:val="right"/>
              <w:ind w:right="3320"/>
              <w:spacing w:after="0"/>
              <w:rPr>
                <w:sz w:val="20"/>
                <w:szCs w:val="20"/>
                <w:color w:val="auto"/>
              </w:rPr>
            </w:pPr>
            <w:r>
              <w:rPr>
                <w:rFonts w:ascii="Arial" w:cs="Arial" w:eastAsia="Arial" w:hAnsi="Arial"/>
                <w:sz w:val="18"/>
                <w:szCs w:val="18"/>
                <w:b w:val="1"/>
                <w:bCs w:val="1"/>
                <w:color w:val="auto"/>
              </w:rPr>
              <w:t>(781) 828-9300</w:t>
            </w:r>
          </w:p>
        </w:tc>
      </w:tr>
    </w:tbl>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7" w:lineRule="exact"/>
        <w:rPr>
          <w:sz w:val="24"/>
          <w:szCs w:val="24"/>
          <w:color w:val="auto"/>
        </w:rPr>
      </w:pPr>
    </w:p>
    <w:tbl>
      <w:tblPr>
        <w:tblLayout w:type="fixed"/>
        <w:tblInd w:w="46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2180" w:type="dxa"/>
            <w:vAlign w:val="bottom"/>
            <w:gridSpan w:val="2"/>
          </w:tcPr>
          <w:p>
            <w:pPr>
              <w:jc w:val="center"/>
              <w:ind w:right="1032"/>
              <w:spacing w:after="0"/>
              <w:rPr>
                <w:sz w:val="20"/>
                <w:szCs w:val="20"/>
                <w:color w:val="auto"/>
              </w:rPr>
            </w:pPr>
            <w:r>
              <w:rPr>
                <w:rFonts w:ascii="Arial" w:cs="Arial" w:eastAsia="Arial" w:hAnsi="Arial"/>
                <w:sz w:val="14"/>
                <w:szCs w:val="14"/>
                <w:b w:val="1"/>
                <w:bCs w:val="1"/>
                <w:color w:val="auto"/>
                <w:w w:val="84"/>
              </w:rPr>
              <w:t>Title of each class</w:t>
            </w:r>
          </w:p>
        </w:tc>
        <w:tc>
          <w:tcPr>
            <w:tcW w:w="2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4"/>
              </w:rPr>
              <w:t>Name of each exchange on which registered</w:t>
            </w:r>
          </w:p>
        </w:tc>
        <w:tc>
          <w:tcPr>
            <w:tcW w:w="0" w:type="dxa"/>
            <w:vAlign w:val="bottom"/>
          </w:tcPr>
          <w:p>
            <w:pPr>
              <w:spacing w:after="0"/>
              <w:rPr>
                <w:sz w:val="1"/>
                <w:szCs w:val="1"/>
                <w:color w:val="auto"/>
              </w:rPr>
            </w:pPr>
          </w:p>
        </w:tc>
      </w:tr>
      <w:tr>
        <w:trPr>
          <w:trHeight w:val="222"/>
        </w:trPr>
        <w:tc>
          <w:tcPr>
            <w:tcW w:w="1880" w:type="dxa"/>
            <w:vAlign w:val="bottom"/>
          </w:tcPr>
          <w:p>
            <w:pPr>
              <w:ind w:left="1200"/>
              <w:spacing w:after="0"/>
              <w:rPr>
                <w:sz w:val="20"/>
                <w:szCs w:val="20"/>
                <w:color w:val="auto"/>
              </w:rPr>
            </w:pPr>
            <w:r>
              <w:rPr>
                <w:rFonts w:ascii="Arial" w:cs="Arial" w:eastAsia="Arial" w:hAnsi="Arial"/>
                <w:sz w:val="18"/>
                <w:szCs w:val="18"/>
                <w:b w:val="1"/>
                <w:bCs w:val="1"/>
                <w:color w:val="auto"/>
                <w:w w:val="84"/>
              </w:rPr>
              <w:t>Common</w:t>
            </w: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Stock, $0.01</w:t>
            </w:r>
          </w:p>
        </w:tc>
        <w:tc>
          <w:tcPr>
            <w:tcW w:w="1100" w:type="dxa"/>
            <w:vAlign w:val="bottom"/>
          </w:tcPr>
          <w:p>
            <w:pPr>
              <w:spacing w:after="0"/>
              <w:rPr>
                <w:sz w:val="20"/>
                <w:szCs w:val="20"/>
                <w:color w:val="auto"/>
              </w:rPr>
            </w:pPr>
            <w:r>
              <w:rPr>
                <w:rFonts w:ascii="Arial" w:cs="Arial" w:eastAsia="Arial" w:hAnsi="Arial"/>
                <w:sz w:val="18"/>
                <w:szCs w:val="18"/>
                <w:b w:val="1"/>
                <w:bCs w:val="1"/>
                <w:color w:val="auto"/>
              </w:rPr>
              <w:t>par value</w:t>
            </w:r>
          </w:p>
        </w:tc>
        <w:tc>
          <w:tcPr>
            <w:tcW w:w="2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The NASDAQ Stock Market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8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440" w:type="dxa"/>
            <w:vAlign w:val="bottom"/>
            <w:gridSpan w:val="4"/>
          </w:tcPr>
          <w:p>
            <w:pPr>
              <w:jc w:val="center"/>
              <w:ind w:right="762"/>
              <w:spacing w:after="0"/>
              <w:rPr>
                <w:sz w:val="20"/>
                <w:szCs w:val="20"/>
                <w:color w:val="auto"/>
              </w:rPr>
            </w:pPr>
            <w:r>
              <w:rPr>
                <w:rFonts w:ascii="Arial" w:cs="Arial" w:eastAsia="Arial" w:hAnsi="Arial"/>
                <w:sz w:val="18"/>
                <w:szCs w:val="18"/>
                <w:color w:val="auto"/>
                <w:w w:val="88"/>
              </w:rPr>
              <w:t>Securities registered pursuant to Section 12(g) of the Act:</w:t>
            </w:r>
          </w:p>
        </w:tc>
        <w:tc>
          <w:tcPr>
            <w:tcW w:w="6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1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340" w:type="dxa"/>
            <w:vAlign w:val="bottom"/>
            <w:gridSpan w:val="3"/>
          </w:tcPr>
          <w:p>
            <w:pPr>
              <w:jc w:val="center"/>
              <w:ind w:right="1882"/>
              <w:spacing w:after="0"/>
              <w:rPr>
                <w:sz w:val="20"/>
                <w:szCs w:val="20"/>
                <w:color w:val="auto"/>
              </w:rPr>
            </w:pPr>
            <w:r>
              <w:rPr>
                <w:rFonts w:ascii="Arial" w:cs="Arial" w:eastAsia="Arial" w:hAnsi="Arial"/>
                <w:sz w:val="18"/>
                <w:szCs w:val="18"/>
                <w:b w:val="1"/>
                <w:bCs w:val="1"/>
                <w:color w:val="auto"/>
                <w:w w:val="84"/>
              </w:rPr>
              <w:t>None</w:t>
            </w: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340" w:type="dxa"/>
            <w:vAlign w:val="bottom"/>
            <w:gridSpan w:val="3"/>
          </w:tcPr>
          <w:p>
            <w:pPr>
              <w:jc w:val="center"/>
              <w:ind w:right="1862"/>
              <w:spacing w:after="0"/>
              <w:rPr>
                <w:sz w:val="20"/>
                <w:szCs w:val="20"/>
                <w:color w:val="auto"/>
              </w:rPr>
            </w:pPr>
            <w:r>
              <w:rPr>
                <w:rFonts w:ascii="Arial" w:cs="Arial" w:eastAsia="Arial" w:hAnsi="Arial"/>
                <w:sz w:val="18"/>
                <w:szCs w:val="18"/>
                <w:i w:val="1"/>
                <w:iCs w:val="1"/>
                <w:color w:val="auto"/>
                <w:w w:val="89"/>
              </w:rPr>
              <w:t>(Title of Class)</w:t>
            </w: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4060" w:type="dxa"/>
            <w:vAlign w:val="bottom"/>
            <w:gridSpan w:val="3"/>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c>
          <w:tcPr>
            <w:tcW w:w="1960" w:type="dxa"/>
            <w:vAlign w:val="bottom"/>
            <w:gridSpan w:val="2"/>
          </w:tcPr>
          <w:p>
            <w:pPr>
              <w:spacing w:after="0"/>
              <w:rPr>
                <w:sz w:val="15"/>
                <w:szCs w:val="15"/>
                <w:color w:val="auto"/>
              </w:rPr>
            </w:pPr>
          </w:p>
        </w:tc>
        <w:tc>
          <w:tcPr>
            <w:tcW w:w="68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40" w:type="dxa"/>
            <w:vAlign w:val="bottom"/>
            <w:gridSpan w:val="2"/>
            <w:vMerge w:val="restart"/>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9"/>
        </w:trPr>
        <w:tc>
          <w:tcPr>
            <w:tcW w:w="8400" w:type="dxa"/>
            <w:vAlign w:val="bottom"/>
            <w:gridSpan w:val="6"/>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80" w:type="dxa"/>
            <w:vAlign w:val="bottom"/>
            <w:vMerge w:val="continue"/>
          </w:tcPr>
          <w:p>
            <w:pPr>
              <w:spacing w:after="0"/>
              <w:rPr>
                <w:sz w:val="24"/>
                <w:szCs w:val="24"/>
                <w:color w:val="auto"/>
              </w:rPr>
            </w:pPr>
          </w:p>
        </w:tc>
        <w:tc>
          <w:tcPr>
            <w:tcW w:w="6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400" w:type="dxa"/>
            <w:vAlign w:val="bottom"/>
            <w:gridSpan w:val="6"/>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80" w:type="dxa"/>
            <w:vAlign w:val="bottom"/>
          </w:tcPr>
          <w:p>
            <w:pPr>
              <w:ind w:left="18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640" w:type="dxa"/>
            <w:vAlign w:val="bottom"/>
            <w:gridSpan w:val="2"/>
          </w:tcPr>
          <w:p>
            <w:pPr>
              <w:ind w:left="18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spacing w:after="0" w:line="55" w:lineRule="exact"/>
        <w:rPr>
          <w:sz w:val="24"/>
          <w:szCs w:val="24"/>
          <w:color w:val="auto"/>
        </w:rPr>
      </w:pPr>
    </w:p>
    <w:p>
      <w:pPr>
        <w:ind w:right="2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6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57" w:lineRule="exact"/>
        <w:rPr>
          <w:sz w:val="24"/>
          <w:szCs w:val="24"/>
          <w:color w:val="auto"/>
        </w:rPr>
      </w:pPr>
    </w:p>
    <w:p>
      <w:pPr>
        <w:ind w:right="20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230" w:right="259" w:bottom="1440" w:gutter="0" w:footer="0" w:header="0"/>
          <w:type w:val="continuous"/>
        </w:sectPr>
      </w:pPr>
    </w:p>
    <w:p>
      <w:pPr>
        <w:spacing w:after="0" w:line="126" w:lineRule="exact"/>
        <w:rPr>
          <w:sz w:val="24"/>
          <w:szCs w:val="24"/>
          <w:color w:val="auto"/>
        </w:rPr>
      </w:pPr>
    </w:p>
    <w:p>
      <w:pPr>
        <w:spacing w:after="0" w:line="334" w:lineRule="auto"/>
        <w:rPr>
          <w:sz w:val="20"/>
          <w:szCs w:val="20"/>
          <w:color w:val="auto"/>
        </w:rPr>
      </w:pPr>
      <w:r>
        <w:rPr>
          <w:rFonts w:ascii="Arial" w:cs="Arial" w:eastAsia="Arial" w:hAnsi="Arial"/>
          <w:sz w:val="15"/>
          <w:szCs w:val="15"/>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jc w:val="both"/>
        <w:ind w:firstLine="1"/>
        <w:spacing w:after="0" w:line="246" w:lineRule="exact"/>
        <w:rPr>
          <w:sz w:val="20"/>
          <w:szCs w:val="20"/>
          <w:color w:val="auto"/>
        </w:rPr>
      </w:pPr>
      <w:r>
        <w:rPr>
          <w:rFonts w:ascii="MS PGothic" w:cs="MS PGothic" w:eastAsia="MS PGothic" w:hAnsi="MS PGothic"/>
          <w:sz w:val="15"/>
          <w:szCs w:val="15"/>
          <w:color w:val="auto"/>
        </w:rPr>
        <w:t>☐ ☐</w:t>
      </w:r>
    </w:p>
    <w:p>
      <w:pPr>
        <w:spacing w:after="0" w:line="20" w:lineRule="exact"/>
        <w:rPr>
          <w:sz w:val="24"/>
          <w:szCs w:val="24"/>
          <w:color w:val="auto"/>
        </w:rPr>
      </w:pPr>
      <w:r>
        <w:rPr>
          <w:sz w:val="24"/>
          <w:szCs w:val="24"/>
          <w:color w:val="auto"/>
        </w:rPr>
        <w:br w:type="column"/>
      </w:r>
    </w:p>
    <w:p>
      <w:pPr>
        <w:spacing w:after="0" w:line="32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5">
            <w:col w:w="1580" w:space="80"/>
            <w:col w:w="160" w:space="60"/>
            <w:col w:w="4480" w:space="720"/>
            <w:col w:w="1920" w:space="100"/>
            <w:col w:w="2300"/>
          </w:cols>
          <w:pgMar w:left="240" w:top="230" w:right="259" w:bottom="1440" w:gutter="0" w:footer="0" w:header="0"/>
          <w:type w:val="continuous"/>
        </w:sectPr>
      </w:pPr>
    </w:p>
    <w:p>
      <w:pPr>
        <w:ind w:left="460"/>
        <w:spacing w:after="0" w:line="207" w:lineRule="exact"/>
        <w:tabs>
          <w:tab w:leader="none" w:pos="7840" w:val="left"/>
          <w:tab w:leader="none" w:pos="85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firstLine="456"/>
        <w:spacing w:after="0" w:line="256" w:lineRule="auto"/>
        <w:rPr>
          <w:sz w:val="20"/>
          <w:szCs w:val="20"/>
          <w:color w:val="auto"/>
        </w:rPr>
      </w:pPr>
      <w:r>
        <w:rPr>
          <w:rFonts w:ascii="Arial" w:cs="Arial" w:eastAsia="Arial" w:hAnsi="Arial"/>
          <w:sz w:val="18"/>
          <w:szCs w:val="18"/>
          <w:color w:val="auto"/>
        </w:rPr>
        <w:t>As of August 4, 2007, the aggregate market value of the Common Stock held by non-affiliates of the registrant was approximately $245.7 million, based on the last reported sale price on that date. Shares of Common Stock held by each executive officer and director and by each person who owns 10% or more of the outstanding Common Stock have been excluded on the basis that such persons may be deemed to be affiliates. This determination of affiliate status is not necessarily determinative for other purposes.</w:t>
      </w:r>
    </w:p>
    <w:p>
      <w:pPr>
        <w:spacing w:after="0" w:line="62"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registrant had 41,390,182 shares of Common Stock, $0.01 par value, outstanding as of March 14, 2008.</w:t>
      </w:r>
    </w:p>
    <w:p>
      <w:pPr>
        <w:spacing w:after="0" w:line="138"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96" w:lineRule="exact"/>
        <w:rPr>
          <w:sz w:val="24"/>
          <w:szCs w:val="24"/>
          <w:color w:val="auto"/>
        </w:rPr>
      </w:pPr>
    </w:p>
    <w:p>
      <w:pPr>
        <w:ind w:left="460"/>
        <w:spacing w:after="0"/>
        <w:rPr>
          <w:sz w:val="20"/>
          <w:szCs w:val="20"/>
          <w:color w:val="auto"/>
        </w:rPr>
      </w:pPr>
      <w:r>
        <w:rPr>
          <w:rFonts w:ascii="Arial" w:cs="Arial" w:eastAsia="Arial" w:hAnsi="Arial"/>
          <w:sz w:val="18"/>
          <w:szCs w:val="18"/>
          <w:color w:val="auto"/>
        </w:rPr>
        <w:t>Portions of the Proxy Statement for the 2008 Annual Meeting of Stockholders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80" w:type="dxa"/>
            <w:vAlign w:val="bottom"/>
            <w:gridSpan w:val="20"/>
          </w:tcPr>
          <w:p>
            <w:pPr>
              <w:jc w:val="center"/>
              <w:ind w:right="3760"/>
              <w:spacing w:after="0"/>
              <w:rPr>
                <w:sz w:val="20"/>
                <w:szCs w:val="20"/>
                <w:color w:val="auto"/>
              </w:rPr>
            </w:pPr>
            <w:r>
              <w:rPr>
                <w:rFonts w:ascii="Arial" w:cs="Arial" w:eastAsia="Arial" w:hAnsi="Arial"/>
                <w:sz w:val="18"/>
                <w:szCs w:val="18"/>
                <w:b w:val="1"/>
                <w:bCs w:val="1"/>
                <w:color w:val="auto"/>
                <w:w w:val="98"/>
              </w:rPr>
              <w:t>CASUAL MALE RETAIL GROUP,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80" w:type="dxa"/>
            <w:vAlign w:val="bottom"/>
            <w:gridSpan w:val="20"/>
          </w:tcPr>
          <w:p>
            <w:pPr>
              <w:jc w:val="center"/>
              <w:ind w:right="3780"/>
              <w:spacing w:after="0"/>
              <w:rPr>
                <w:sz w:val="20"/>
                <w:szCs w:val="20"/>
                <w:color w:val="auto"/>
              </w:rPr>
            </w:pPr>
            <w:r>
              <w:rPr>
                <w:rFonts w:ascii="Arial" w:cs="Arial" w:eastAsia="Arial" w:hAnsi="Arial"/>
                <w:sz w:val="18"/>
                <w:szCs w:val="18"/>
                <w:b w:val="1"/>
                <w:bCs w:val="1"/>
                <w:color w:val="auto"/>
                <w:w w:val="90"/>
              </w:rPr>
              <w:t>Index to Annual Report on Form 10-K</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20" w:type="dxa"/>
            <w:vAlign w:val="bottom"/>
            <w:gridSpan w:val="18"/>
          </w:tcPr>
          <w:p>
            <w:pPr>
              <w:jc w:val="center"/>
              <w:ind w:right="4240"/>
              <w:spacing w:after="0"/>
              <w:rPr>
                <w:sz w:val="20"/>
                <w:szCs w:val="20"/>
                <w:color w:val="auto"/>
              </w:rPr>
            </w:pPr>
            <w:r>
              <w:rPr>
                <w:rFonts w:ascii="Arial" w:cs="Arial" w:eastAsia="Arial" w:hAnsi="Arial"/>
                <w:sz w:val="18"/>
                <w:szCs w:val="18"/>
                <w:b w:val="1"/>
                <w:bCs w:val="1"/>
                <w:color w:val="auto"/>
                <w:w w:val="90"/>
              </w:rPr>
              <w:t>Year Ended February 2, 2008</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gridSpan w:val="2"/>
            <w:vMerge w:val="restart"/>
          </w:tcPr>
          <w:p>
            <w:pPr>
              <w:jc w:val="cente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w:t>
              </w:r>
            </w:hyperlink>
          </w:p>
        </w:tc>
        <w:tc>
          <w:tcPr>
            <w:tcW w:w="5140" w:type="dxa"/>
            <w:vAlign w:val="bottom"/>
            <w:gridSpan w:val="10"/>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1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Borders>
              <w:bottom w:val="single" w:sz="8" w:color="0000EE"/>
            </w:tcBorders>
            <w:gridSpan w:val="2"/>
            <w:vMerge w:val="continue"/>
          </w:tcPr>
          <w:p>
            <w:pPr>
              <w:spacing w:after="0"/>
              <w:rPr>
                <w:sz w:val="14"/>
                <w:szCs w:val="14"/>
                <w:color w:val="auto"/>
              </w:rPr>
            </w:pPr>
          </w:p>
        </w:tc>
        <w:tc>
          <w:tcPr>
            <w:tcW w:w="5140" w:type="dxa"/>
            <w:vAlign w:val="bottom"/>
            <w:gridSpan w:val="10"/>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9900" w:type="dxa"/>
            <w:vAlign w:val="bottom"/>
            <w:gridSpan w:val="32"/>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4"/>
          </w:tcPr>
          <w:p>
            <w:pPr>
              <w:spacing w:after="0"/>
              <w:rPr>
                <w:rFonts w:ascii="Arial" w:cs="Arial" w:eastAsia="Arial" w:hAnsi="Arial"/>
                <w:sz w:val="18"/>
                <w:szCs w:val="18"/>
                <w:color w:val="0000EE"/>
                <w:w w:val="85"/>
              </w:rPr>
            </w:pPr>
            <w:hyperlink w:anchor="page15">
              <w:r>
                <w:rPr>
                  <w:rFonts w:ascii="Arial" w:cs="Arial" w:eastAsia="Arial" w:hAnsi="Arial"/>
                  <w:sz w:val="18"/>
                  <w:szCs w:val="18"/>
                  <w:color w:val="0000EE"/>
                  <w:w w:val="85"/>
                </w:rPr>
                <w:t>Risk Factors</w:t>
              </w:r>
            </w:hyperlink>
          </w:p>
        </w:tc>
        <w:tc>
          <w:tcPr>
            <w:tcW w:w="9020" w:type="dxa"/>
            <w:vAlign w:val="bottom"/>
            <w:gridSpan w:val="2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20">
              <w:r>
                <w:rPr>
                  <w:rFonts w:ascii="Arial" w:cs="Arial" w:eastAsia="Arial" w:hAnsi="Arial"/>
                  <w:sz w:val="18"/>
                  <w:szCs w:val="18"/>
                  <w:color w:val="0000EE"/>
                  <w:w w:val="87"/>
                </w:rPr>
                <w:t>Unresolved Staff Comments</w:t>
              </w:r>
            </w:hyperlink>
          </w:p>
        </w:tc>
        <w:tc>
          <w:tcPr>
            <w:tcW w:w="7900" w:type="dxa"/>
            <w:vAlign w:val="bottom"/>
            <w:gridSpan w:val="2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2.</w:t>
            </w:r>
          </w:p>
        </w:tc>
        <w:tc>
          <w:tcPr>
            <w:tcW w:w="9900" w:type="dxa"/>
            <w:vAlign w:val="bottom"/>
            <w:gridSpan w:val="32"/>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Properties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3.</w:t>
            </w:r>
          </w:p>
        </w:tc>
        <w:tc>
          <w:tcPr>
            <w:tcW w:w="1300" w:type="dxa"/>
            <w:vAlign w:val="bottom"/>
            <w:tcBorders>
              <w:bottom w:val="single" w:sz="8" w:color="0000EE"/>
            </w:tcBorders>
            <w:gridSpan w:val="6"/>
          </w:tcPr>
          <w:p>
            <w:pPr>
              <w:spacing w:after="0"/>
              <w:rPr>
                <w:rFonts w:ascii="Arial" w:cs="Arial" w:eastAsia="Arial" w:hAnsi="Arial"/>
                <w:sz w:val="18"/>
                <w:szCs w:val="18"/>
                <w:color w:val="0000EE"/>
                <w:w w:val="85"/>
              </w:rPr>
            </w:pPr>
            <w:hyperlink w:anchor="page28">
              <w:r>
                <w:rPr>
                  <w:rFonts w:ascii="Arial" w:cs="Arial" w:eastAsia="Arial" w:hAnsi="Arial"/>
                  <w:sz w:val="18"/>
                  <w:szCs w:val="18"/>
                  <w:color w:val="0000EE"/>
                  <w:w w:val="85"/>
                </w:rPr>
                <w:t>Legal Proceedings</w:t>
              </w:r>
            </w:hyperlink>
          </w:p>
        </w:tc>
        <w:tc>
          <w:tcPr>
            <w:tcW w:w="8600" w:type="dxa"/>
            <w:vAlign w:val="bottom"/>
            <w:gridSpan w:val="2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4.</w:t>
            </w:r>
          </w:p>
        </w:tc>
        <w:tc>
          <w:tcPr>
            <w:tcW w:w="9900" w:type="dxa"/>
            <w:vAlign w:val="bottom"/>
            <w:gridSpan w:val="32"/>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Submission of Matters to a Vote of Security Holders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12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bottom w:val="single" w:sz="8" w:color="0000EE"/>
            </w:tcBorders>
            <w:gridSpan w:val="4"/>
          </w:tcPr>
          <w:p>
            <w:pPr>
              <w:jc w:val="center"/>
              <w:spacing w:after="0"/>
              <w:rPr>
                <w:rFonts w:ascii="Arial" w:cs="Arial" w:eastAsia="Arial" w:hAnsi="Arial"/>
                <w:sz w:val="18"/>
                <w:szCs w:val="18"/>
                <w:b w:val="1"/>
                <w:bCs w:val="1"/>
                <w:color w:val="0000EE"/>
                <w:w w:val="99"/>
              </w:rPr>
            </w:pPr>
            <w:hyperlink w:anchor="page29">
              <w:r>
                <w:rPr>
                  <w:rFonts w:ascii="Arial" w:cs="Arial" w:eastAsia="Arial" w:hAnsi="Arial"/>
                  <w:sz w:val="18"/>
                  <w:szCs w:val="18"/>
                  <w:b w:val="1"/>
                  <w:bCs w:val="1"/>
                  <w:color w:val="0000EE"/>
                  <w:w w:val="99"/>
                </w:rPr>
                <w:t>PART II</w:t>
              </w:r>
            </w:hyperlink>
          </w:p>
        </w:tc>
        <w:tc>
          <w:tcPr>
            <w:tcW w:w="5100" w:type="dxa"/>
            <w:vAlign w:val="bottom"/>
            <w:gridSpan w:val="9"/>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5.</w:t>
            </w:r>
          </w:p>
        </w:tc>
        <w:tc>
          <w:tcPr>
            <w:tcW w:w="7880" w:type="dxa"/>
            <w:vAlign w:val="bottom"/>
            <w:tcBorders>
              <w:bottom w:val="single" w:sz="8" w:color="0000EE"/>
            </w:tcBorders>
            <w:gridSpan w:val="31"/>
          </w:tcPr>
          <w:p>
            <w:pPr>
              <w:spacing w:after="0"/>
              <w:rPr>
                <w:rFonts w:ascii="Arial" w:cs="Arial" w:eastAsia="Arial" w:hAnsi="Arial"/>
                <w:sz w:val="18"/>
                <w:szCs w:val="18"/>
                <w:color w:val="0000EE"/>
                <w:w w:val="88"/>
              </w:rPr>
            </w:pPr>
            <w:hyperlink w:anchor="page29">
              <w:r>
                <w:rPr>
                  <w:rFonts w:ascii="Arial" w:cs="Arial" w:eastAsia="Arial" w:hAnsi="Arial"/>
                  <w:sz w:val="18"/>
                  <w:szCs w:val="18"/>
                  <w:color w:val="0000EE"/>
                  <w:w w:val="88"/>
                </w:rPr>
                <w:t>Market for Registrant’s Common Equity, Related Stockholder Matters and Issuer Purchases of Equity Securities</w:t>
              </w:r>
            </w:hyperlink>
          </w:p>
        </w:tc>
        <w:tc>
          <w:tcPr>
            <w:tcW w:w="20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6.</w:t>
            </w:r>
          </w:p>
        </w:tc>
        <w:tc>
          <w:tcPr>
            <w:tcW w:w="9900" w:type="dxa"/>
            <w:vAlign w:val="bottom"/>
            <w:gridSpan w:val="32"/>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Selected Financial Data</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7.</w:t>
            </w:r>
          </w:p>
        </w:tc>
        <w:tc>
          <w:tcPr>
            <w:tcW w:w="9900" w:type="dxa"/>
            <w:vAlign w:val="bottom"/>
            <w:gridSpan w:val="3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Management’s Discussion and Analysis of Financial Condition and Results of Operation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7A.</w:t>
            </w:r>
          </w:p>
        </w:tc>
        <w:tc>
          <w:tcPr>
            <w:tcW w:w="6220" w:type="dxa"/>
            <w:vAlign w:val="bottom"/>
            <w:tcBorders>
              <w:top w:val="single" w:sz="8" w:color="0000EE"/>
            </w:tcBorders>
            <w:gridSpan w:val="28"/>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Quantitative and Qualitative Disclosures About Market Risk</w:t>
              </w:r>
            </w:hyperlink>
          </w:p>
        </w:tc>
        <w:tc>
          <w:tcPr>
            <w:tcW w:w="368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8.</w:t>
            </w:r>
          </w:p>
        </w:tc>
        <w:tc>
          <w:tcPr>
            <w:tcW w:w="4240" w:type="dxa"/>
            <w:vAlign w:val="bottom"/>
            <w:tcBorders>
              <w:top w:val="single" w:sz="8" w:color="0000EE"/>
            </w:tcBorders>
            <w:gridSpan w:val="21"/>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Financial Statements and Supplementary Data</w:t>
              </w:r>
            </w:hyperlink>
          </w:p>
        </w:tc>
        <w:tc>
          <w:tcPr>
            <w:tcW w:w="566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9.</w:t>
            </w:r>
          </w:p>
        </w:tc>
        <w:tc>
          <w:tcPr>
            <w:tcW w:w="6320" w:type="dxa"/>
            <w:vAlign w:val="bottom"/>
            <w:tcBorders>
              <w:bottom w:val="single" w:sz="8" w:color="0000EE"/>
            </w:tcBorders>
            <w:gridSpan w:val="29"/>
          </w:tcPr>
          <w:p>
            <w:pPr>
              <w:spacing w:after="0"/>
              <w:rPr>
                <w:rFonts w:ascii="Arial" w:cs="Arial" w:eastAsia="Arial" w:hAnsi="Arial"/>
                <w:sz w:val="18"/>
                <w:szCs w:val="18"/>
                <w:color w:val="0000EE"/>
                <w:w w:val="88"/>
              </w:rPr>
            </w:pPr>
            <w:hyperlink w:anchor="page74">
              <w:r>
                <w:rPr>
                  <w:rFonts w:ascii="Arial" w:cs="Arial" w:eastAsia="Arial" w:hAnsi="Arial"/>
                  <w:sz w:val="18"/>
                  <w:szCs w:val="18"/>
                  <w:color w:val="0000EE"/>
                  <w:w w:val="88"/>
                </w:rPr>
                <w:t>Changes in and Disagreements with Accountants on Accounting and Financial Disclosure</w:t>
              </w:r>
            </w:hyperlink>
          </w:p>
        </w:tc>
        <w:tc>
          <w:tcPr>
            <w:tcW w:w="358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9A.</w:t>
            </w:r>
          </w:p>
        </w:tc>
        <w:tc>
          <w:tcPr>
            <w:tcW w:w="9900" w:type="dxa"/>
            <w:vAlign w:val="bottom"/>
            <w:gridSpan w:val="32"/>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8"/>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Other Information</w:t>
              </w:r>
            </w:hyperlink>
          </w:p>
        </w:tc>
        <w:tc>
          <w:tcPr>
            <w:tcW w:w="8180" w:type="dxa"/>
            <w:vAlign w:val="bottom"/>
            <w:gridSpan w:val="2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04"/>
        </w:trPr>
        <w:tc>
          <w:tcPr>
            <w:tcW w:w="12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Borders>
              <w:bottom w:val="single" w:sz="8" w:color="0000EE"/>
            </w:tcBorders>
            <w:gridSpan w:val="8"/>
          </w:tcPr>
          <w:p>
            <w:pPr>
              <w:jc w:val="center"/>
              <w:ind w:right="20"/>
              <w:spacing w:after="0"/>
              <w:rPr>
                <w:rFonts w:ascii="Arial" w:cs="Arial" w:eastAsia="Arial" w:hAnsi="Arial"/>
                <w:sz w:val="18"/>
                <w:szCs w:val="18"/>
                <w:b w:val="1"/>
                <w:bCs w:val="1"/>
                <w:color w:val="0000EE"/>
              </w:rPr>
            </w:pPr>
            <w:hyperlink w:anchor="page77">
              <w:r>
                <w:rPr>
                  <w:rFonts w:ascii="Arial" w:cs="Arial" w:eastAsia="Arial" w:hAnsi="Arial"/>
                  <w:sz w:val="18"/>
                  <w:szCs w:val="18"/>
                  <w:b w:val="1"/>
                  <w:bCs w:val="1"/>
                  <w:color w:val="0000EE"/>
                </w:rPr>
                <w:t>PART III</w:t>
              </w:r>
            </w:hyperlink>
          </w:p>
        </w:tc>
        <w:tc>
          <w:tcPr>
            <w:tcW w:w="5060" w:type="dxa"/>
            <w:vAlign w:val="bottom"/>
            <w:gridSpan w:val="7"/>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10.</w:t>
            </w:r>
          </w:p>
        </w:tc>
        <w:tc>
          <w:tcPr>
            <w:tcW w:w="400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77">
              <w:r>
                <w:rPr>
                  <w:rFonts w:ascii="Arial" w:cs="Arial" w:eastAsia="Arial" w:hAnsi="Arial"/>
                  <w:sz w:val="18"/>
                  <w:szCs w:val="18"/>
                  <w:color w:val="0000EE"/>
                  <w:w w:val="88"/>
                </w:rPr>
                <w:t>Directors, Executive Officers and Corporate Governance</w:t>
              </w:r>
            </w:hyperlink>
          </w:p>
        </w:tc>
        <w:tc>
          <w:tcPr>
            <w:tcW w:w="5900" w:type="dxa"/>
            <w:vAlign w:val="bottom"/>
            <w:gridSpan w:val="1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11.</w:t>
            </w:r>
          </w:p>
        </w:tc>
        <w:tc>
          <w:tcPr>
            <w:tcW w:w="176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77">
              <w:r>
                <w:rPr>
                  <w:rFonts w:ascii="Arial" w:cs="Arial" w:eastAsia="Arial" w:hAnsi="Arial"/>
                  <w:sz w:val="18"/>
                  <w:szCs w:val="18"/>
                  <w:color w:val="0000EE"/>
                  <w:w w:val="87"/>
                </w:rPr>
                <w:t>Executive Compensation</w:t>
              </w:r>
            </w:hyperlink>
          </w:p>
        </w:tc>
        <w:tc>
          <w:tcPr>
            <w:tcW w:w="8140" w:type="dxa"/>
            <w:vAlign w:val="bottom"/>
            <w:gridSpan w:val="2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30"/>
          </w:tcPr>
          <w:p>
            <w:pPr>
              <w:spacing w:after="0"/>
              <w:rPr>
                <w:rFonts w:ascii="Arial" w:cs="Arial" w:eastAsia="Arial" w:hAnsi="Arial"/>
                <w:sz w:val="18"/>
                <w:szCs w:val="18"/>
                <w:color w:val="0000EE"/>
                <w:w w:val="88"/>
              </w:rPr>
            </w:pPr>
            <w:hyperlink w:anchor="page77">
              <w:r>
                <w:rPr>
                  <w:rFonts w:ascii="Arial" w:cs="Arial" w:eastAsia="Arial" w:hAnsi="Arial"/>
                  <w:sz w:val="18"/>
                  <w:szCs w:val="18"/>
                  <w:color w:val="0000EE"/>
                  <w:w w:val="88"/>
                </w:rPr>
                <w:t>Security Ownership of Certain Beneficial Owners and Management and Related Stockholder Matters</w:t>
              </w:r>
            </w:hyperlink>
          </w:p>
        </w:tc>
        <w:tc>
          <w:tcPr>
            <w:tcW w:w="278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13.</w:t>
            </w:r>
          </w:p>
        </w:tc>
        <w:tc>
          <w:tcPr>
            <w:tcW w:w="5320" w:type="dxa"/>
            <w:vAlign w:val="bottom"/>
            <w:tcBorders>
              <w:bottom w:val="single" w:sz="8" w:color="0000EE"/>
            </w:tcBorders>
            <w:gridSpan w:val="26"/>
          </w:tcPr>
          <w:p>
            <w:pPr>
              <w:spacing w:after="0"/>
              <w:rPr>
                <w:rFonts w:ascii="Arial" w:cs="Arial" w:eastAsia="Arial" w:hAnsi="Arial"/>
                <w:sz w:val="18"/>
                <w:szCs w:val="18"/>
                <w:color w:val="0000EE"/>
                <w:w w:val="87"/>
              </w:rPr>
            </w:pPr>
            <w:hyperlink w:anchor="page77">
              <w:r>
                <w:rPr>
                  <w:rFonts w:ascii="Arial" w:cs="Arial" w:eastAsia="Arial" w:hAnsi="Arial"/>
                  <w:sz w:val="18"/>
                  <w:szCs w:val="18"/>
                  <w:color w:val="0000EE"/>
                  <w:w w:val="87"/>
                </w:rPr>
                <w:t>Certain Relationships and Related Transactions, and Director Independence</w:t>
              </w:r>
            </w:hyperlink>
          </w:p>
        </w:tc>
        <w:tc>
          <w:tcPr>
            <w:tcW w:w="458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14.</w:t>
            </w:r>
          </w:p>
        </w:tc>
        <w:tc>
          <w:tcPr>
            <w:tcW w:w="9900" w:type="dxa"/>
            <w:vAlign w:val="bottom"/>
            <w:gridSpan w:val="32"/>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Principal Accounting Fees and Services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04"/>
        </w:trPr>
        <w:tc>
          <w:tcPr>
            <w:tcW w:w="12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80" w:type="dxa"/>
            <w:vAlign w:val="bottom"/>
            <w:gridSpan w:val="15"/>
          </w:tcPr>
          <w:p>
            <w:pPr>
              <w:jc w:val="center"/>
              <w:ind w:right="5080"/>
              <w:spacing w:after="0"/>
              <w:rPr>
                <w:rFonts w:ascii="Arial" w:cs="Arial" w:eastAsia="Arial" w:hAnsi="Arial"/>
                <w:sz w:val="18"/>
                <w:szCs w:val="18"/>
                <w:b w:val="1"/>
                <w:bCs w:val="1"/>
                <w:color w:val="0000EE"/>
                <w:w w:val="98"/>
              </w:rPr>
            </w:pPr>
            <w:hyperlink w:anchor="page78">
              <w:r>
                <w:rPr>
                  <w:rFonts w:ascii="Arial" w:cs="Arial" w:eastAsia="Arial" w:hAnsi="Arial"/>
                  <w:sz w:val="18"/>
                  <w:szCs w:val="18"/>
                  <w:b w:val="1"/>
                  <w:bCs w:val="1"/>
                  <w:color w:val="0000EE"/>
                  <w:w w:val="98"/>
                </w:rPr>
                <w:t>PART IV</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15.</w:t>
            </w:r>
          </w:p>
        </w:tc>
        <w:tc>
          <w:tcPr>
            <w:tcW w:w="4140" w:type="dxa"/>
            <w:vAlign w:val="bottom"/>
            <w:gridSpan w:val="18"/>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Exhibits, Financial Statement Schedules</w:t>
              </w:r>
            </w:hyperlink>
          </w:p>
        </w:tc>
        <w:tc>
          <w:tcPr>
            <w:tcW w:w="680" w:type="dxa"/>
            <w:vAlign w:val="bottom"/>
            <w:tcBorders>
              <w:top w:val="single" w:sz="8" w:color="0000EE"/>
            </w:tcBorders>
            <w:gridSpan w:val="6"/>
          </w:tcPr>
          <w:p>
            <w:pPr>
              <w:spacing w:after="0"/>
              <w:rPr>
                <w:sz w:val="24"/>
                <w:szCs w:val="24"/>
                <w:color w:val="auto"/>
              </w:rPr>
            </w:pPr>
          </w:p>
        </w:tc>
        <w:tc>
          <w:tcPr>
            <w:tcW w:w="508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04"/>
        </w:trPr>
        <w:tc>
          <w:tcPr>
            <w:tcW w:w="1240" w:type="dxa"/>
            <w:vAlign w:val="bottom"/>
          </w:tcPr>
          <w:p>
            <w:pPr>
              <w:spacing w:after="0"/>
              <w:rPr>
                <w:sz w:val="24"/>
                <w:szCs w:val="24"/>
                <w:color w:val="auto"/>
              </w:rPr>
            </w:pPr>
          </w:p>
        </w:tc>
        <w:tc>
          <w:tcPr>
            <w:tcW w:w="7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3"/>
              </w:rPr>
            </w:pPr>
            <w:hyperlink w:anchor="page84">
              <w:r>
                <w:rPr>
                  <w:rFonts w:ascii="Arial" w:cs="Arial" w:eastAsia="Arial" w:hAnsi="Arial"/>
                  <w:sz w:val="18"/>
                  <w:szCs w:val="18"/>
                  <w:color w:val="0000EE"/>
                  <w:w w:val="83"/>
                </w:rPr>
                <w:t>Signatures</w:t>
              </w:r>
            </w:hyperlink>
          </w:p>
        </w:tc>
        <w:tc>
          <w:tcPr>
            <w:tcW w:w="2080" w:type="dxa"/>
            <w:vAlign w:val="bottom"/>
            <w:tcBorders>
              <w:top w:val="single" w:sz="8" w:color="0000EE"/>
            </w:tcBorders>
            <w:gridSpan w:val="9"/>
          </w:tcPr>
          <w:p>
            <w:pPr>
              <w:spacing w:after="0"/>
              <w:rPr>
                <w:sz w:val="24"/>
                <w:szCs w:val="24"/>
                <w:color w:val="auto"/>
              </w:rPr>
            </w:pPr>
          </w:p>
        </w:tc>
        <w:tc>
          <w:tcPr>
            <w:tcW w:w="7080" w:type="dxa"/>
            <w:vAlign w:val="bottom"/>
            <w:gridSpan w:val="2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383"/>
        </w:trPr>
        <w:tc>
          <w:tcPr>
            <w:tcW w:w="1240" w:type="dxa"/>
            <w:vAlign w:val="bottom"/>
          </w:tcPr>
          <w:p>
            <w:pPr>
              <w:spacing w:after="0"/>
              <w:rPr>
                <w:sz w:val="24"/>
                <w:szCs w:val="24"/>
                <w:color w:val="auto"/>
              </w:rPr>
            </w:pPr>
          </w:p>
        </w:tc>
        <w:tc>
          <w:tcPr>
            <w:tcW w:w="4760" w:type="dxa"/>
            <w:vAlign w:val="bottom"/>
            <w:gridSpan w:val="22"/>
          </w:tcPr>
          <w:p>
            <w:pPr>
              <w:jc w:val="center"/>
              <w:ind w:left="4112"/>
              <w:spacing w:after="0"/>
              <w:rPr>
                <w:sz w:val="20"/>
                <w:szCs w:val="20"/>
                <w:color w:val="auto"/>
              </w:rPr>
            </w:pPr>
            <w:r>
              <w:rPr>
                <w:rFonts w:ascii="Arial" w:cs="Arial" w:eastAsia="Arial" w:hAnsi="Arial"/>
                <w:sz w:val="18"/>
                <w:szCs w:val="18"/>
                <w:color w:val="auto"/>
                <w:w w:val="79"/>
              </w:rPr>
              <w:t>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Certain statements contained in this Annual Report on Form 10-K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Annual Report are generally located in the material set forth under the headings “Business” and “Management’s Discussion and Analysis of Financial Condition and Results of Operations,” but may be found in other locations as well. These forward-looking statements generally relate to plans and objectives for future operations and are based upon management’s reasonable estimates of future results or trends. The forward-looking statements in this Annual Report should not be regarded as a representation by us or any other person that the objectives or plans of the Company will be achieved. Numerous factors could cause our actual results to differ materially from such forward-looking statements, including, without limitation, those risks and uncertainties, set forth under Item 1A, </w:t>
      </w:r>
      <w:r>
        <w:rPr>
          <w:rFonts w:ascii="Arial" w:cs="Arial" w:eastAsia="Arial" w:hAnsi="Arial"/>
          <w:sz w:val="16"/>
          <w:szCs w:val="16"/>
          <w:i w:val="1"/>
          <w:iCs w:val="1"/>
          <w:color w:val="auto"/>
        </w:rPr>
        <w:t>Risk Factors</w:t>
      </w:r>
      <w:r>
        <w:rPr>
          <w:rFonts w:ascii="Arial" w:cs="Arial" w:eastAsia="Arial" w:hAnsi="Arial"/>
          <w:sz w:val="16"/>
          <w:szCs w:val="16"/>
          <w:color w:val="auto"/>
        </w:rPr>
        <w:t>, which begins on page 15 of this report. Readers are encouraged to carefully review these risks and uncertainties.</w:t>
      </w:r>
    </w:p>
    <w:p>
      <w:pPr>
        <w:spacing w:after="0" w:line="33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All subsequent written and oral forward-looking statements attributable to the Company or to persons acting on the Company’s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its expectations or any change in events, conditions or circumstances in which the forward-looking statement is based.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96"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Casual Male Retail Group, Inc. together with our subsidiaries (the “Company”) is the largest specialty retailer of big &amp; tall men’s apparel with retail operations and direct businesses throughout the United States, Canada and London, England. We operate under the trade names of Casual Male XL, Casual Male XL Outlets, Rochester Big &amp; Tall Clothing, B&amp;T Factory Direct, Shoes XL and Living XL. We operate 397 Casual Male XL retail stores, 65 Casual Male XL outlet stores, 26 Rochester Big &amp; Tall stores and a direct business which includes several catalogs and e-commerce sites to support our brands and product extensions. Unless the context indicates otherwise, all references to “we,” “our,” “ours,” “us” and “the Company” refer to Casual Male Retail Group, Inc. and our consolidated subsidiaries. We refer to our fiscal years ended February 2, 2008, February 3, 2007 and January 28, 2006 as “fiscal 2007,” “fiscal 2006” and “fiscal 2005,” respectively.</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HISTORY</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Company was incorporated in the State of Delaware in 1976 under the name Designs, Inc. Until fiscal 1995, we operated exclusively Levi Strauss &amp; Co. branded apparel mall and outlet stores. In fiscal 1995, we began seeing limited growth opportunities with Levi Strauss &amp; Co. and started to embark on several private label diversification strategies.</w:t>
      </w:r>
    </w:p>
    <w:p>
      <w:pPr>
        <w:spacing w:after="0" w:line="167" w:lineRule="exact"/>
        <w:rPr>
          <w:sz w:val="20"/>
          <w:szCs w:val="20"/>
          <w:color w:val="auto"/>
        </w:rPr>
      </w:pPr>
    </w:p>
    <w:p>
      <w:pPr>
        <w:ind w:right="80" w:firstLine="456"/>
        <w:spacing w:after="0" w:line="227" w:lineRule="auto"/>
        <w:rPr>
          <w:sz w:val="20"/>
          <w:szCs w:val="20"/>
          <w:color w:val="auto"/>
        </w:rPr>
      </w:pPr>
      <w:r>
        <w:rPr>
          <w:rFonts w:ascii="Arial" w:cs="Arial" w:eastAsia="Arial" w:hAnsi="Arial"/>
          <w:sz w:val="18"/>
          <w:szCs w:val="18"/>
          <w:color w:val="auto"/>
        </w:rPr>
        <w:t>While implementing these strategies, but with limited opportunity to expand our mature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business, in May 2002 we acquired the Casual Male business from Casual Male Corp. at a bankruptcy court-ordered auction. At the time of the acquisition, Casual Male was the largest retailer of men’s clothing in the big &amp; tall market in the United States. As a result of the acquisition and the significance of it to the growth and future identity of our Company, on August 8, 2002 we changed our name to “Casual Male Retail Group, Inc.”</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STRATEGY</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big &amp; tall industry is highly fragmented with a large volume of target customers who we believe are essentially underserved. Our business goals are to build market share, better utilize our infrastructure and increase our overall operating margins. We plan to grow our business by offering a shopping alternative to the full spectrum of our potential target group. Through acquisitions, new business formats and new product development, we believe we can cater to all income demographics from the value-oriented customer to the high-end luxury-oriented customer. We offer our customers merchandise in all lifestyles from casual to business, young to mature, in all sizes XL and up.</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INDUSTRY</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NPD Group, a leading marketing information provider, estimates that the men’s big &amp; tall apparel market, which includes pants with a waist size 42” and greater, as well as tops sized 1X and greater, generates approximately $5.5 billion to $6.0 billion in sales annually. This highly fragmented market represents approximately 13% of the overall men’s apparel business. Growth in this segment has been driven by rapidly changing market demographics. In fiscal 2005, 61% of U.S. adults were overweight or obese, up more than 50% in ten years. Additionally, in 2005, all 50 states classified 15% or more of their total adult population as obese, versus four states in 1991. According to the Center for Disease Control, the rate of obesity for the under-30 age group is growing faster than any other segment of the population. These statistics suggest that there is a significant gap between the market share of the big &amp; tall apparel market and the overall percentage of the population classified as overweight.</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men’s big &amp; tall apparel market is currently served by a variety of retailers, including department stores, mass merchandisers and specialty stores. These stores typically offer a limited assortment of sizes and styles. We estimate that our current market share is approximately 7.7% and believe that we have the potential to reach 12% and beyond. We believe we can achieve this goal by catering to the broader target market, attracting customers from various incomes, age and lifestyle segments and offering the widest selection of sizes and styles. A substantial opportunity for market share growth for us exists among the lower size range of our market: men in the 42”-46” waist size. These sizes are usually at the high end of the size range for most retailers and as a result the selection is usually limited. We plan to direct our marketing efforts to these customers, introducing them to the wide breadth of styles and brands we offer in their sizes, working toward eliminating the old stigma associated with the term “big &amp; tall.”</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w:t>
      </w:r>
    </w:p>
    <w:p>
      <w:pPr>
        <w:spacing w:after="0" w:line="9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We operate as a multi-channel retailer operating two primary retail brands: Casual Male and Rochester. The Casual Male customer is a consumer of primarily moderately priced branded and private label casual sportswear and dresswear. The Rochester customer is a consumer of fine quality, designer and branded menswear, priced at exceptional value and supported with excellent customer service.</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strategy is to appeal to all of our customers by providing multiple and convenient ways to shop. Our customer is often a destination shopper when it comes to purchasing apparel for himself. For customers that are somewhat uncomfortable in a traditional shopping environment, we offer them the opportunity to shop through our catalogs and e-commerce sites.</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direct businesses are a natural extension of our store operations and extend the reach of our brands by offering an easy way for our customers to shop. An NPD Group study completed in 2005 found that the big &amp; tall customer often crosses channels to find the clothing they need and want. The study found that approximately 33% of big &amp; tall customers shop online for their clothing, as compared to 21% of regular sized men. Likewise, the big &amp; tall customer’s rate of catalog shopping is nearly double that for men who do not require special sizes.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Casual Male</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 xml:space="preserve">Our Casual Male business offers an extensive selection of quality sportswear, dress clothing and footwear for the big &amp; tall customer at moderate prices. Our full-price Casual Male merchandise is sold through our 397 Casual Male XL retail stores, Casual Male XL catalogs and e-commerce site </w:t>
      </w:r>
      <w:r>
        <w:rPr>
          <w:rFonts w:ascii="Arial" w:cs="Arial" w:eastAsia="Arial" w:hAnsi="Arial"/>
          <w:sz w:val="16"/>
          <w:szCs w:val="16"/>
          <w:i w:val="1"/>
          <w:iCs w:val="1"/>
          <w:color w:val="auto"/>
        </w:rPr>
        <w:t xml:space="preserve">www.casualmaleXL.com. </w:t>
      </w:r>
      <w:r>
        <w:rPr>
          <w:rFonts w:ascii="Arial" w:cs="Arial" w:eastAsia="Arial" w:hAnsi="Arial"/>
          <w:sz w:val="16"/>
          <w:szCs w:val="16"/>
          <w:color w:val="auto"/>
        </w:rPr>
        <w:t>For our value-oriented customers, we operate 65 Casual Male XL outlet stores and a direct business, B&amp;T Factory Direct.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Merchandise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majority of the Casual Male merchandise is basic or fashion-neutral items, such as jeans, casual slacks, tee-shirts, polo shirts, dress shirts and suit separates. The Casual Male customer is primarily interested in comfort and fit, more so than price. As such, Casual Male’s clothing has features specifically designed for our customer, such as waist-relaxer pants, stretch belts, zipper ties, wide band socks, neck-relaxer shirts and clothing with comfort-stretch technology and reinforced stress points.</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carry several private label lines in our Casual Male XL retail stores and direct businesses which perform very strongly and represent more than 70% of our sales:</w:t>
      </w:r>
    </w:p>
    <w:p>
      <w:pPr>
        <w:spacing w:after="0" w:line="24" w:lineRule="exact"/>
        <w:rPr>
          <w:sz w:val="20"/>
          <w:szCs w:val="20"/>
          <w:color w:val="auto"/>
        </w:rPr>
      </w:pPr>
    </w:p>
    <w:p>
      <w:pPr>
        <w:ind w:left="780" w:right="160" w:hanging="326"/>
        <w:spacing w:after="0" w:line="289" w:lineRule="auto"/>
        <w:tabs>
          <w:tab w:leader="none" w:pos="780" w:val="left"/>
        </w:tabs>
        <w:numPr>
          <w:ilvl w:val="0"/>
          <w:numId w:val="1"/>
        </w:numPr>
        <w:rPr>
          <w:rFonts w:ascii="Arial" w:cs="Arial" w:eastAsia="Arial" w:hAnsi="Arial"/>
          <w:sz w:val="17"/>
          <w:szCs w:val="17"/>
          <w:color w:val="auto"/>
        </w:rPr>
      </w:pPr>
      <w:r>
        <w:rPr>
          <w:rFonts w:ascii="Arial" w:cs="Arial" w:eastAsia="Arial" w:hAnsi="Arial"/>
          <w:sz w:val="17"/>
          <w:szCs w:val="17"/>
          <w:i w:val="1"/>
          <w:iCs w:val="1"/>
          <w:color w:val="auto"/>
        </w:rPr>
        <w:t xml:space="preserve">Harbor Bay </w:t>
      </w:r>
      <w:r>
        <w:rPr>
          <w:rFonts w:ascii="Arial" w:cs="Arial" w:eastAsia="Arial" w:hAnsi="Arial"/>
          <w:sz w:val="17"/>
          <w:szCs w:val="17"/>
          <w:color w:val="auto"/>
        </w:rPr>
        <w:t>was our first proprietary brand and it continues to represent a significant portion of our business specifically our core basic merchandise.</w:t>
      </w:r>
      <w:r>
        <w:rPr>
          <w:rFonts w:ascii="Arial" w:cs="Arial" w:eastAsia="Arial" w:hAnsi="Arial"/>
          <w:sz w:val="17"/>
          <w:szCs w:val="17"/>
          <w:i w:val="1"/>
          <w:iCs w:val="1"/>
          <w:color w:val="auto"/>
        </w:rPr>
        <w:t xml:space="preserve"> </w:t>
      </w:r>
      <w:r>
        <w:rPr>
          <w:rFonts w:ascii="Arial" w:cs="Arial" w:eastAsia="Arial" w:hAnsi="Arial"/>
          <w:sz w:val="17"/>
          <w:szCs w:val="17"/>
          <w:color w:val="auto"/>
        </w:rPr>
        <w:t>Harbor Bay is a traditional line of clothing which competes with the Dockers</w:t>
      </w:r>
      <w:r>
        <w:rPr>
          <w:rFonts w:ascii="Arial" w:cs="Arial" w:eastAsia="Arial" w:hAnsi="Arial"/>
          <w:sz w:val="21"/>
          <w:szCs w:val="21"/>
          <w:color w:val="auto"/>
          <w:vertAlign w:val="superscript"/>
        </w:rPr>
        <w:t>®</w:t>
      </w:r>
      <w:r>
        <w:rPr>
          <w:rFonts w:ascii="Arial" w:cs="Arial" w:eastAsia="Arial" w:hAnsi="Arial"/>
          <w:sz w:val="17"/>
          <w:szCs w:val="17"/>
          <w:color w:val="auto"/>
        </w:rPr>
        <w:t>, Izod</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Cutter &amp; Buck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branded products.</w:t>
      </w:r>
    </w:p>
    <w:p>
      <w:pPr>
        <w:spacing w:after="0" w:line="1" w:lineRule="exact"/>
        <w:rPr>
          <w:rFonts w:ascii="Arial" w:cs="Arial" w:eastAsia="Arial" w:hAnsi="Arial"/>
          <w:sz w:val="17"/>
          <w:szCs w:val="17"/>
          <w:color w:val="auto"/>
        </w:rPr>
      </w:pPr>
    </w:p>
    <w:p>
      <w:pPr>
        <w:ind w:left="780" w:right="100" w:hanging="326"/>
        <w:spacing w:after="0" w:line="251" w:lineRule="auto"/>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626 Blue</w:t>
      </w:r>
      <w:r>
        <w:rPr>
          <w:rFonts w:ascii="Arial" w:cs="Arial" w:eastAsia="Arial" w:hAnsi="Arial"/>
          <w:sz w:val="18"/>
          <w:szCs w:val="18"/>
          <w:color w:val="auto"/>
        </w:rPr>
        <w:t>-</w:t>
      </w:r>
      <w:r>
        <w:rPr>
          <w:rFonts w:ascii="Arial" w:cs="Arial" w:eastAsia="Arial" w:hAnsi="Arial"/>
          <w:sz w:val="18"/>
          <w:szCs w:val="18"/>
          <w:i w:val="1"/>
          <w:iCs w:val="1"/>
          <w:color w:val="auto"/>
        </w:rPr>
        <w:t xml:space="preserve">Vintage Surplus (“626 Blue”) </w:t>
      </w:r>
      <w:r>
        <w:rPr>
          <w:rFonts w:ascii="Arial" w:cs="Arial" w:eastAsia="Arial" w:hAnsi="Arial"/>
          <w:sz w:val="18"/>
          <w:szCs w:val="18"/>
          <w:color w:val="auto"/>
        </w:rPr>
        <w:t>is targeted toward a younger customer.</w:t>
      </w:r>
      <w:r>
        <w:rPr>
          <w:rFonts w:ascii="Arial" w:cs="Arial" w:eastAsia="Arial" w:hAnsi="Arial"/>
          <w:sz w:val="18"/>
          <w:szCs w:val="18"/>
          <w:i w:val="1"/>
          <w:iCs w:val="1"/>
          <w:color w:val="auto"/>
        </w:rPr>
        <w:t xml:space="preserve"> 626 Blue </w:t>
      </w:r>
      <w:r>
        <w:rPr>
          <w:rFonts w:ascii="Arial" w:cs="Arial" w:eastAsia="Arial" w:hAnsi="Arial"/>
          <w:sz w:val="18"/>
          <w:szCs w:val="18"/>
          <w:color w:val="auto"/>
        </w:rPr>
        <w:t>introduces a younger lifestyle look that caters to a broader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market, which is influenced by Abercrombie &amp; Fitch and American Eagle. Our </w:t>
      </w:r>
      <w:r>
        <w:rPr>
          <w:rFonts w:ascii="Arial" w:cs="Arial" w:eastAsia="Arial" w:hAnsi="Arial"/>
          <w:sz w:val="18"/>
          <w:szCs w:val="18"/>
          <w:i w:val="1"/>
          <w:iCs w:val="1"/>
          <w:color w:val="auto"/>
        </w:rPr>
        <w:t>626 Blue</w:t>
      </w:r>
      <w:r>
        <w:rPr>
          <w:rFonts w:ascii="Arial" w:cs="Arial" w:eastAsia="Arial" w:hAnsi="Arial"/>
          <w:sz w:val="18"/>
          <w:szCs w:val="18"/>
          <w:color w:val="auto"/>
        </w:rPr>
        <w:t xml:space="preserve"> merchandise is comprised of premium washed denim, casual wovens and tee-shirts. This private label line has grown significantly over the past two years providing us the ability to now benefit from the back-to-school selling season.</w:t>
      </w:r>
    </w:p>
    <w:p>
      <w:pPr>
        <w:spacing w:after="0" w:line="65" w:lineRule="exact"/>
        <w:rPr>
          <w:rFonts w:ascii="Arial" w:cs="Arial" w:eastAsia="Arial" w:hAnsi="Arial"/>
          <w:sz w:val="18"/>
          <w:szCs w:val="18"/>
          <w:color w:val="auto"/>
        </w:rPr>
      </w:pPr>
    </w:p>
    <w:p>
      <w:pPr>
        <w:ind w:left="780" w:right="240" w:hanging="326"/>
        <w:spacing w:after="0" w:line="268" w:lineRule="auto"/>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 xml:space="preserve">Synrgy </w:t>
      </w:r>
      <w:r>
        <w:rPr>
          <w:rFonts w:ascii="Arial" w:cs="Arial" w:eastAsia="Arial" w:hAnsi="Arial"/>
          <w:sz w:val="18"/>
          <w:szCs w:val="18"/>
          <w:color w:val="auto"/>
        </w:rPr>
        <w:t>line targets the customer looking for a contemporary look. The merchandise is inspired by Perry Ellis Portfolio and Calvin Klein’s sportwear</w:t>
      </w:r>
      <w:r>
        <w:rPr>
          <w:rFonts w:ascii="Arial" w:cs="Arial" w:eastAsia="Arial" w:hAnsi="Arial"/>
          <w:sz w:val="18"/>
          <w:szCs w:val="18"/>
          <w:i w:val="1"/>
          <w:iCs w:val="1"/>
          <w:color w:val="auto"/>
        </w:rPr>
        <w:t xml:space="preserve"> </w:t>
      </w:r>
      <w:r>
        <w:rPr>
          <w:rFonts w:ascii="Arial" w:cs="Arial" w:eastAsia="Arial" w:hAnsi="Arial"/>
          <w:sz w:val="18"/>
          <w:szCs w:val="18"/>
          <w:color w:val="auto"/>
        </w:rPr>
        <w:t>line.</w:t>
      </w:r>
    </w:p>
    <w:p>
      <w:pPr>
        <w:spacing w:after="0" w:line="50" w:lineRule="exact"/>
        <w:rPr>
          <w:rFonts w:ascii="Arial" w:cs="Arial" w:eastAsia="Arial" w:hAnsi="Arial"/>
          <w:sz w:val="18"/>
          <w:szCs w:val="18"/>
          <w:color w:val="auto"/>
        </w:rPr>
      </w:pPr>
    </w:p>
    <w:p>
      <w:pPr>
        <w:ind w:left="780" w:right="80" w:hanging="326"/>
        <w:spacing w:after="0" w:line="259" w:lineRule="auto"/>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Comfort Zone</w:t>
      </w:r>
      <w:r>
        <w:rPr>
          <w:rFonts w:ascii="Arial" w:cs="Arial" w:eastAsia="Arial" w:hAnsi="Arial"/>
          <w:sz w:val="18"/>
          <w:szCs w:val="18"/>
          <w:color w:val="auto"/>
        </w:rPr>
        <w:t>™ apparel line is all about comfort, fit and technology. The merchandise has exclusive features such as our patented Neck-Relaxer shirt,</w:t>
      </w:r>
      <w:r>
        <w:rPr>
          <w:rFonts w:ascii="Arial" w:cs="Arial" w:eastAsia="Arial" w:hAnsi="Arial"/>
          <w:sz w:val="18"/>
          <w:szCs w:val="18"/>
          <w:i w:val="1"/>
          <w:iCs w:val="1"/>
          <w:color w:val="auto"/>
        </w:rPr>
        <w:t xml:space="preserve"> </w:t>
      </w:r>
      <w:r>
        <w:rPr>
          <w:rFonts w:ascii="Arial" w:cs="Arial" w:eastAsia="Arial" w:hAnsi="Arial"/>
          <w:sz w:val="18"/>
          <w:szCs w:val="18"/>
          <w:color w:val="auto"/>
        </w:rPr>
        <w:t>Waist-Relaxer pants, Jacket-Relaxer suit separates and Dry-Action wicking polo that provide comfort and performance combined with uncompromising style so that big &amp; tall men can find casualwear and dresswear that fit their lifestyle.</w:t>
      </w:r>
    </w:p>
    <w:p>
      <w:pPr>
        <w:spacing w:after="0" w:line="59"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 xml:space="preserve">Oak Hill </w:t>
      </w:r>
      <w:r>
        <w:rPr>
          <w:rFonts w:ascii="Arial" w:cs="Arial" w:eastAsia="Arial" w:hAnsi="Arial"/>
          <w:sz w:val="18"/>
          <w:szCs w:val="18"/>
          <w:color w:val="auto"/>
        </w:rPr>
        <w:t>was launched in fiscal 2007 and is a premier line catering to those customers looking for slightly more style and quality than our</w:t>
      </w:r>
      <w:r>
        <w:rPr>
          <w:rFonts w:ascii="Arial" w:cs="Arial" w:eastAsia="Arial" w:hAnsi="Arial"/>
          <w:sz w:val="18"/>
          <w:szCs w:val="18"/>
          <w:i w:val="1"/>
          <w:iCs w:val="1"/>
          <w:color w:val="auto"/>
        </w:rPr>
        <w:t xml:space="preserve"> Harbor Bay </w:t>
      </w:r>
      <w:r>
        <w:rPr>
          <w:rFonts w:ascii="Arial" w:cs="Arial" w:eastAsia="Arial" w:hAnsi="Arial"/>
          <w:sz w:val="18"/>
          <w:szCs w:val="18"/>
          <w:color w:val="auto"/>
        </w:rPr>
        <w:t>but still in a traditional lifestyle. Based on its successful launch, we will be increasing our offering for Spring 2008.</w:t>
      </w:r>
    </w:p>
    <w:p>
      <w:pPr>
        <w:spacing w:after="0" w:line="132" w:lineRule="exact"/>
        <w:rPr>
          <w:sz w:val="20"/>
          <w:szCs w:val="20"/>
          <w:color w:val="auto"/>
        </w:rPr>
      </w:pPr>
    </w:p>
    <w:p>
      <w:pPr>
        <w:ind w:right="100" w:firstLine="456"/>
        <w:spacing w:after="0" w:line="304" w:lineRule="auto"/>
        <w:rPr>
          <w:sz w:val="20"/>
          <w:szCs w:val="20"/>
          <w:color w:val="auto"/>
        </w:rPr>
      </w:pPr>
      <w:r>
        <w:rPr>
          <w:rFonts w:ascii="Arial" w:cs="Arial" w:eastAsia="Arial" w:hAnsi="Arial"/>
          <w:sz w:val="18"/>
          <w:szCs w:val="18"/>
          <w:color w:val="auto"/>
        </w:rPr>
        <w:t>In addition to our many private label lines, we carry several well-known brands of merchandise including: Polo Ralph Lauren, Nautica, Nautica Jeans Co., Perry Ellis Portfolio</w:t>
      </w:r>
      <w:r>
        <w:rPr>
          <w:rFonts w:ascii="Arial" w:cs="Arial" w:eastAsia="Arial" w:hAnsi="Arial"/>
          <w:sz w:val="22"/>
          <w:szCs w:val="22"/>
          <w:color w:val="auto"/>
          <w:vertAlign w:val="superscript"/>
        </w:rPr>
        <w:t>®</w:t>
      </w:r>
      <w:r>
        <w:rPr>
          <w:rFonts w:ascii="Arial" w:cs="Arial" w:eastAsia="Arial" w:hAnsi="Arial"/>
          <w:sz w:val="18"/>
          <w:szCs w:val="18"/>
          <w:color w:val="auto"/>
        </w:rPr>
        <w:t>, Cubavera</w:t>
      </w:r>
      <w:r>
        <w:rPr>
          <w:rFonts w:ascii="Arial" w:cs="Arial" w:eastAsia="Arial" w:hAnsi="Arial"/>
          <w:sz w:val="22"/>
          <w:szCs w:val="22"/>
          <w:color w:val="auto"/>
          <w:vertAlign w:val="superscript"/>
        </w:rPr>
        <w:t>®</w:t>
      </w:r>
      <w:r>
        <w:rPr>
          <w:rFonts w:ascii="Arial" w:cs="Arial" w:eastAsia="Arial" w:hAnsi="Arial"/>
          <w:sz w:val="18"/>
          <w:szCs w:val="18"/>
          <w:color w:val="auto"/>
        </w:rPr>
        <w:t>, Rocawear, Levi’s</w:t>
      </w:r>
      <w:r>
        <w:rPr>
          <w:rFonts w:ascii="Arial" w:cs="Arial" w:eastAsia="Arial" w:hAnsi="Arial"/>
          <w:sz w:val="22"/>
          <w:szCs w:val="22"/>
          <w:color w:val="auto"/>
          <w:vertAlign w:val="superscript"/>
        </w:rPr>
        <w:t>®</w:t>
      </w:r>
      <w:r>
        <w:rPr>
          <w:rFonts w:ascii="Arial" w:cs="Arial" w:eastAsia="Arial" w:hAnsi="Arial"/>
          <w:sz w:val="18"/>
          <w:szCs w:val="18"/>
          <w:color w:val="auto"/>
        </w:rPr>
        <w:t>, Dockers</w:t>
      </w:r>
      <w:r>
        <w:rPr>
          <w:rFonts w:ascii="Arial" w:cs="Arial" w:eastAsia="Arial" w:hAnsi="Arial"/>
          <w:sz w:val="22"/>
          <w:szCs w:val="22"/>
          <w:color w:val="auto"/>
          <w:vertAlign w:val="superscript"/>
        </w:rPr>
        <w:t>®</w:t>
      </w:r>
      <w:r>
        <w:rPr>
          <w:rFonts w:ascii="Arial" w:cs="Arial" w:eastAsia="Arial" w:hAnsi="Arial"/>
          <w:sz w:val="18"/>
          <w:szCs w:val="18"/>
          <w:color w:val="auto"/>
        </w:rPr>
        <w:t>, Calvin Klein, Reebok</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others.</w:t>
      </w:r>
    </w:p>
    <w:p>
      <w:pPr>
        <w:spacing w:after="0" w:line="5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private label brands, together with the traditional well-known brands, enable us to better cater to the various market segments of our overall target market. Our research has shown that we need to appeal to a variety of customers within the big &amp; tall market in our efforts to become the preferred choice among big &amp; tall men.</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stores are merchandised to showcase entire outfits by lifestyle, including traditional, functional active, young men’s, dresswear and contemporary. This format allows us to merchandise key items and seasonal goods in prominent displays, makes coordinating outfits easier for the customer and encourages multi-item purchases. This lifestyle layout also allows us to better manage store space in each market to target local demographics. Stores are clustered to meet the demographic needs of customers by climate and ethnicity. The key item strategy is also fully integrated by lifestyle, allowing us to focus on merchandise presentation and offer our customers a compelling value proposition.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Retail Operations</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auto"/>
        </w:rPr>
        <w:t>Casual Male XL retail stores.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February 2, 2008, we operated 397 Casual Male XL full-price retail stores, located primarily in strip centers, power centers or stand-alone locations.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These stores offer a broad selection of basic sportswear, other casual apparel, dress wear, accessories as well as a full complement of our private label collections.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average Casual Male XL store is approximately 3,491 square feet and has approximately $195 in sales per square foot annually.</w:t>
      </w:r>
    </w:p>
    <w:p>
      <w:pPr>
        <w:spacing w:after="0" w:line="246"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auto"/>
        </w:rPr>
        <w:t>Casual Male XL outlet stores.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At February 2, 2008, we operated 65 Casual Male XL outlet stores designed to offer a wide range of casual clothing for the big &amp; tall customer at prices that are generally 20-25% lower than those offered at our full-price retail stores. Much of the merchandise in the outlet stores is offered with the purchasing interests of the value-oriented customer in mind. The merchandise assortments and brands carried in the outlet stores is consistent with the merchandise strategies carried in our direct business, B&amp;T Factory Direct, which is discussed below. The average Casual Male XL outlet store is approximately 3,193 square feet and has approximately $187 in sales per square foot annually.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Casual Male XL Direct Businesses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Our Casual Male XL website, </w:t>
      </w:r>
      <w:r>
        <w:rPr>
          <w:rFonts w:ascii="Arial" w:cs="Arial" w:eastAsia="Arial" w:hAnsi="Arial"/>
          <w:sz w:val="18"/>
          <w:szCs w:val="18"/>
          <w:i w:val="1"/>
          <w:iCs w:val="1"/>
          <w:color w:val="auto"/>
        </w:rPr>
        <w:t>www.casualmaleXL.com</w:t>
      </w:r>
      <w:r>
        <w:rPr>
          <w:rFonts w:ascii="Arial" w:cs="Arial" w:eastAsia="Arial" w:hAnsi="Arial"/>
          <w:sz w:val="18"/>
          <w:szCs w:val="18"/>
          <w:color w:val="auto"/>
        </w:rPr>
        <w:t xml:space="preserve">, and our “Casual Male XL” catalogs offer an assortment of merchandise similar to what is available in the stores, but also offers a broader selection of brands, styles and sizes. During fiscal 2007, we issued 19 editions of our Casual Male XL catalogs and circulated a total of 11.2 million catalogs. We also own the domain name </w:t>
      </w:r>
      <w:r>
        <w:rPr>
          <w:rFonts w:ascii="Arial" w:cs="Arial" w:eastAsia="Arial" w:hAnsi="Arial"/>
          <w:sz w:val="18"/>
          <w:szCs w:val="18"/>
          <w:i w:val="1"/>
          <w:iCs w:val="1"/>
          <w:color w:val="auto"/>
        </w:rPr>
        <w:t>www.bigandtall.com.</w:t>
      </w:r>
      <w:r>
        <w:rPr>
          <w:rFonts w:ascii="Arial" w:cs="Arial" w:eastAsia="Arial" w:hAnsi="Arial"/>
          <w:sz w:val="18"/>
          <w:szCs w:val="18"/>
          <w:color w:val="auto"/>
        </w:rPr>
        <w:t xml:space="preserve"> This site integrates our Casual Male and Rochester websites in an effort to generate additional traffic.</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Through our business relationship with Sears U.S. and Sears Canada, we offer selected Casual Male merchandise on </w:t>
      </w:r>
      <w:r>
        <w:rPr>
          <w:rFonts w:ascii="Arial" w:cs="Arial" w:eastAsia="Arial" w:hAnsi="Arial"/>
          <w:sz w:val="18"/>
          <w:szCs w:val="18"/>
          <w:i w:val="1"/>
          <w:iCs w:val="1"/>
          <w:color w:val="auto"/>
        </w:rPr>
        <w:t>www.Sears.com</w:t>
      </w:r>
      <w:r>
        <w:rPr>
          <w:rFonts w:ascii="Arial" w:cs="Arial" w:eastAsia="Arial" w:hAnsi="Arial"/>
          <w:sz w:val="18"/>
          <w:szCs w:val="18"/>
          <w:color w:val="auto"/>
        </w:rPr>
        <w:t xml:space="preserve"> and </w:t>
      </w:r>
      <w:r>
        <w:rPr>
          <w:rFonts w:ascii="Arial" w:cs="Arial" w:eastAsia="Arial" w:hAnsi="Arial"/>
          <w:sz w:val="18"/>
          <w:szCs w:val="18"/>
          <w:i w:val="1"/>
          <w:iCs w:val="1"/>
          <w:color w:val="auto"/>
        </w:rPr>
        <w:t>www.Sears.ca</w:t>
      </w:r>
      <w:r>
        <w:rPr>
          <w:rFonts w:ascii="Arial" w:cs="Arial" w:eastAsia="Arial" w:hAnsi="Arial"/>
          <w:sz w:val="18"/>
          <w:szCs w:val="18"/>
          <w:color w:val="auto"/>
        </w:rPr>
        <w:t>, Sears’ Canadian website. In cooperation with Sears U.S., we produce a co-branded Casual Male XL and Sears catalog. During fiscal 2007, we mailed 14 editions of the catalog with a circulation of 1.3 million. In addition, we also have a co-branded section in the Sears Canada catalog. During fiscal 2007, we appeared in 3 editions with a circulation of 3 - 4 million catalogs depending on the edition. The merchandise assortment in these co-branded catalogs is similar to our Casual Male XL catalog.</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B&amp;T Factory Direct</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Expanding on our Casual Male brand, during fiscal 2007, we fully launched “B&amp;T Factory Direct,” a direct business catering to our value-oriented customers. Under the B&amp;T Factory Direct name, we operate a B&amp;T Factory Direct catalog business as well as an e-commerce site, </w:t>
      </w:r>
      <w:r>
        <w:rPr>
          <w:rFonts w:ascii="Arial" w:cs="Arial" w:eastAsia="Arial" w:hAnsi="Arial"/>
          <w:sz w:val="18"/>
          <w:szCs w:val="18"/>
          <w:i w:val="1"/>
          <w:iCs w:val="1"/>
          <w:color w:val="auto"/>
        </w:rPr>
        <w:t>www.btdirect.com.</w:t>
      </w:r>
      <w:r>
        <w:rPr>
          <w:rFonts w:ascii="Arial" w:cs="Arial" w:eastAsia="Arial" w:hAnsi="Arial"/>
          <w:sz w:val="18"/>
          <w:szCs w:val="18"/>
          <w:color w:val="auto"/>
        </w:rPr>
        <w:t xml:space="preserve"> This direct business enhances our existing Casual Male XL outlet stores, enabling us to provide a multi-channel shopping experience for the value-oriented customer. The merchandise offered in our “B&amp;T Factory Direct” catalogs and on our website is an expanded selection but similar to the merchandise that can be found in our Casual Male XL outlet stores.</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We offer a private label program, specifically for our Casual Male XL outlet stores and our B&amp;T Factory Direct businesses, which is similar to our lifestyle private label lines found in our full-price retail stores but made at lower costs and sold at lower price points for our value-oriented customers. We currently carry </w:t>
      </w:r>
      <w:r>
        <w:rPr>
          <w:rFonts w:ascii="Arial" w:cs="Arial" w:eastAsia="Arial" w:hAnsi="Arial"/>
          <w:sz w:val="16"/>
          <w:szCs w:val="16"/>
          <w:i w:val="1"/>
          <w:iCs w:val="1"/>
          <w:color w:val="auto"/>
        </w:rPr>
        <w:t>Canyon Ridge</w:t>
      </w:r>
      <w:r>
        <w:rPr>
          <w:rFonts w:ascii="Arial" w:cs="Arial" w:eastAsia="Arial" w:hAnsi="Arial"/>
          <w:sz w:val="16"/>
          <w:szCs w:val="16"/>
          <w:color w:val="auto"/>
        </w:rPr>
        <w:t>, which is similar in style to our</w:t>
      </w:r>
      <w:r>
        <w:rPr>
          <w:rFonts w:ascii="Arial" w:cs="Arial" w:eastAsia="Arial" w:hAnsi="Arial"/>
          <w:sz w:val="16"/>
          <w:szCs w:val="16"/>
          <w:i w:val="1"/>
          <w:iCs w:val="1"/>
          <w:color w:val="auto"/>
        </w:rPr>
        <w:t xml:space="preserve"> Harbor Bay </w:t>
      </w:r>
      <w:r>
        <w:rPr>
          <w:rFonts w:ascii="Arial" w:cs="Arial" w:eastAsia="Arial" w:hAnsi="Arial"/>
          <w:sz w:val="16"/>
          <w:szCs w:val="16"/>
          <w:color w:val="auto"/>
        </w:rPr>
        <w:t>product line, and</w:t>
      </w:r>
      <w:r>
        <w:rPr>
          <w:rFonts w:ascii="Arial" w:cs="Arial" w:eastAsia="Arial" w:hAnsi="Arial"/>
          <w:sz w:val="16"/>
          <w:szCs w:val="16"/>
          <w:i w:val="1"/>
          <w:iCs w:val="1"/>
          <w:color w:val="auto"/>
        </w:rPr>
        <w:t xml:space="preserve"> Flex Zone</w:t>
      </w:r>
      <w:r>
        <w:rPr>
          <w:rFonts w:ascii="Arial" w:cs="Arial" w:eastAsia="Arial" w:hAnsi="Arial"/>
          <w:sz w:val="16"/>
          <w:szCs w:val="16"/>
          <w:color w:val="auto"/>
        </w:rPr>
        <w:t>, which is similar to our</w:t>
      </w:r>
      <w:r>
        <w:rPr>
          <w:rFonts w:ascii="Arial" w:cs="Arial" w:eastAsia="Arial" w:hAnsi="Arial"/>
          <w:sz w:val="16"/>
          <w:szCs w:val="16"/>
          <w:i w:val="1"/>
          <w:iCs w:val="1"/>
          <w:color w:val="auto"/>
        </w:rPr>
        <w:t xml:space="preserve"> Comfort Zone™</w:t>
      </w:r>
      <w:r>
        <w:rPr>
          <w:rFonts w:ascii="Arial" w:cs="Arial" w:eastAsia="Arial" w:hAnsi="Arial"/>
          <w:sz w:val="16"/>
          <w:szCs w:val="16"/>
          <w:color w:val="auto"/>
        </w:rPr>
        <w:t>. We also carry</w:t>
      </w:r>
      <w:r>
        <w:rPr>
          <w:rFonts w:ascii="Arial" w:cs="Arial" w:eastAsia="Arial" w:hAnsi="Arial"/>
          <w:sz w:val="16"/>
          <w:szCs w:val="16"/>
          <w:i w:val="1"/>
          <w:iCs w:val="1"/>
          <w:color w:val="auto"/>
        </w:rPr>
        <w:t xml:space="preserve"> 555 Turnpike</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which is targeted toward our younger customers similar to </w:t>
      </w:r>
      <w:r>
        <w:rPr>
          <w:rFonts w:ascii="Arial" w:cs="Arial" w:eastAsia="Arial" w:hAnsi="Arial"/>
          <w:sz w:val="16"/>
          <w:szCs w:val="16"/>
          <w:i w:val="1"/>
          <w:iCs w:val="1"/>
          <w:color w:val="auto"/>
        </w:rPr>
        <w:t>626 Blue,</w:t>
      </w:r>
      <w:r>
        <w:rPr>
          <w:rFonts w:ascii="Arial" w:cs="Arial" w:eastAsia="Arial" w:hAnsi="Arial"/>
          <w:sz w:val="16"/>
          <w:szCs w:val="16"/>
          <w:color w:val="auto"/>
        </w:rPr>
        <w:t xml:space="preserve"> and </w:t>
      </w:r>
      <w:r>
        <w:rPr>
          <w:rFonts w:ascii="Arial" w:cs="Arial" w:eastAsia="Arial" w:hAnsi="Arial"/>
          <w:sz w:val="16"/>
          <w:szCs w:val="16"/>
          <w:i w:val="1"/>
          <w:iCs w:val="1"/>
          <w:color w:val="auto"/>
        </w:rPr>
        <w:t>Fuse</w:t>
      </w:r>
      <w:r>
        <w:rPr>
          <w:rFonts w:ascii="Arial" w:cs="Arial" w:eastAsia="Arial" w:hAnsi="Arial"/>
          <w:sz w:val="16"/>
          <w:szCs w:val="16"/>
          <w:color w:val="auto"/>
        </w:rPr>
        <w:t xml:space="preserve">, a contemporary line similar in style to our </w:t>
      </w:r>
      <w:r>
        <w:rPr>
          <w:rFonts w:ascii="Arial" w:cs="Arial" w:eastAsia="Arial" w:hAnsi="Arial"/>
          <w:sz w:val="16"/>
          <w:szCs w:val="16"/>
          <w:i w:val="1"/>
          <w:iCs w:val="1"/>
          <w:color w:val="auto"/>
        </w:rPr>
        <w:t>Synrgy</w:t>
      </w:r>
      <w:r>
        <w:rPr>
          <w:rFonts w:ascii="Arial" w:cs="Arial" w:eastAsia="Arial" w:hAnsi="Arial"/>
          <w:sz w:val="16"/>
          <w:szCs w:val="16"/>
          <w:color w:val="auto"/>
        </w:rPr>
        <w:t xml:space="preserve"> product line.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fiscal 2007, we mailed 7 editions of B&amp;T Factory Direct with a circulation of 1.5 million.</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Rochester Business</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Our Rochester Big &amp; Tall stores carry a broad selection of quality apparel, at higher price points, from well-known branded manufacturers such as Polo Ralph Lauren, Robert Graham, Joseph Abboud, Antik, Ermenegildo Zegna, Robert Talbott, Tommy Bahama and Callaway Golf. The Rochester customer is able to find a wide range of apparel from casual activewear to dressy suits. These stores cater to our customer, offering a personal shopper-type experience, with experienced staff that has a strong knowledge of the merchandise and services, such as on-site tailoring.</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In fiscal 2006 we introduced two private label brands made specifically for our Rochester customers. </w:t>
      </w:r>
      <w:r>
        <w:rPr>
          <w:rFonts w:ascii="Arial" w:cs="Arial" w:eastAsia="Arial" w:hAnsi="Arial"/>
          <w:sz w:val="16"/>
          <w:szCs w:val="16"/>
          <w:i w:val="1"/>
          <w:iCs w:val="1"/>
          <w:color w:val="auto"/>
        </w:rPr>
        <w:t>Rochester 1906™</w:t>
      </w:r>
      <w:r>
        <w:rPr>
          <w:rFonts w:ascii="Arial" w:cs="Arial" w:eastAsia="Arial" w:hAnsi="Arial"/>
          <w:sz w:val="16"/>
          <w:szCs w:val="16"/>
          <w:color w:val="auto"/>
        </w:rPr>
        <w:t xml:space="preserve"> is targeted as a classic traditional line offering sportswear, loungewear and dress shirts, while </w:t>
      </w:r>
      <w:r>
        <w:rPr>
          <w:rFonts w:ascii="Arial" w:cs="Arial" w:eastAsia="Arial" w:hAnsi="Arial"/>
          <w:sz w:val="16"/>
          <w:szCs w:val="16"/>
          <w:i w:val="1"/>
          <w:iCs w:val="1"/>
          <w:color w:val="auto"/>
        </w:rPr>
        <w:t>Castagne™</w:t>
      </w:r>
      <w:r>
        <w:rPr>
          <w:rFonts w:ascii="Arial" w:cs="Arial" w:eastAsia="Arial" w:hAnsi="Arial"/>
          <w:sz w:val="16"/>
          <w:szCs w:val="16"/>
          <w:color w:val="auto"/>
        </w:rPr>
        <w:t xml:space="preserve"> is positioned as a more contemporary sportswear line. Both proprietary private brands feature the highest quality fabrications, details and construction. These brands represent approximately 7% of Rochester sales for fiscal 2007. Although both lines have found a market with our customers, we do not expect private label product to be as big of a contributor as it is in our Casual Male business because our Rochester customers demand branded high-end fashion merchandise.</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response to our customers, during fiscal 2008 we will be upgrading much of our merchandise offering to include a solid offering of high-fashion, contemporary, designer merchandise including a great selection of high-end denim. In connection with this shift in merchandising, during the fourth quarter of fiscal 2007, we recorded a charge related to the write-down of our existing merchandise to accommodate these new offerings. See “Management’s Discussion and Analysis of Financial Condition and Results of Operations – Inventory.”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Rochester Big &amp; Tall stores.</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At February 2, 2008, we operated 26 Rochester Big &amp; Tall stores, located in major cities throughout the United States and one store in London England. We currently operate 25 Rochester Big &amp; Tall retail stores and one Big &amp; Tall outlet store. The Rochester Big &amp; Tall stores provide the customer with high-end merchandise from well-recognized brands. The average Rochester store is approximately 8,146 square feet and has approximately $304 in sales per square foot annually.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Rochester Big &amp; Tall direct businesses.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Because we currently have only 26 Rochester Big &amp; Tall retail locations, which may not be accessible for many of our Rochester customers, our direct businesses are a significant portion of our overall Rochester business. Our “Rochester Big &amp; Tall” catalog and www.rochesterclothing.com website offer an assortment of clothing that is similar to what can be found in our retail stores, with a broader selection in most cases. During fiscal 2007, we issued 19 editions of the Rochester Big &amp; Tall catalog with a circulation of 4.9 million.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Jared M. Business.</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During the fourth quarter of fiscal 2007, we exited our Jared M. operations. We purchased Jared M. in May 2006 in an effort to expand upon the custom clothing business and develop a direct sales capability within our Rochester business, which would cater to a very discriminating and select customer base. However, based on the financial performance of Jared M. since the acquisition, we do not believe that Jared M. has the scalability and potential profitability as a long-term strategy. As a result, we decided to exit our Jared M. operations. Subsequent to the end of fiscal 2007, on February 19, 2008, we sold our Jared M. business to a third party for a cash purchase price of $250,000.</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NEW BUSINESS VENTURES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expanding on our core brands, during fiscal 2007 we also introduced two new complementary direct businesses: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Shoes XL</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During the third quarter of fiscal 2007, we launched our new website </w:t>
      </w:r>
      <w:r>
        <w:rPr>
          <w:rFonts w:ascii="Arial" w:cs="Arial" w:eastAsia="Arial" w:hAnsi="Arial"/>
          <w:sz w:val="16"/>
          <w:szCs w:val="16"/>
          <w:i w:val="1"/>
          <w:iCs w:val="1"/>
          <w:color w:val="auto"/>
        </w:rPr>
        <w:t>www.shoesXL.com,</w:t>
      </w:r>
      <w:r>
        <w:rPr>
          <w:rFonts w:ascii="Arial" w:cs="Arial" w:eastAsia="Arial" w:hAnsi="Arial"/>
          <w:sz w:val="16"/>
          <w:szCs w:val="16"/>
          <w:color w:val="auto"/>
        </w:rPr>
        <w:t xml:space="preserve"> which carries a complete line of men’s footwear in extended sizes. This website offers our customers a full range of footwear in hard-to-find sizes. Our plan is to significantly increase our sales penetration in the shoe product category to levels which are more in line with men’s apparel spending for shoes. The assortment on Shoes XL is a reflection of our apparel, with an array that goes from moderate to luxury, from casual to formal. Shoes XL currently has a selection of more than 400 shoes, ranging in sizes from 12M to 17M and widths up to 5E. We carry a number of designer brands including Cole Haan, Allen Edmonds, Timberland, Calvin Klein, Lacoste and Bruno Magli. We have added the expanded shoe assortments within our existing Casual Male and Rochester catalogs, including on our websites, </w:t>
      </w:r>
      <w:r>
        <w:rPr>
          <w:rFonts w:ascii="Arial" w:cs="Arial" w:eastAsia="Arial" w:hAnsi="Arial"/>
          <w:sz w:val="16"/>
          <w:szCs w:val="16"/>
          <w:i w:val="1"/>
          <w:iCs w:val="1"/>
          <w:color w:val="auto"/>
        </w:rPr>
        <w:t>www.casualmaleXL.com</w:t>
      </w:r>
      <w:r>
        <w:rPr>
          <w:rFonts w:ascii="Arial" w:cs="Arial" w:eastAsia="Arial" w:hAnsi="Arial"/>
          <w:sz w:val="16"/>
          <w:szCs w:val="16"/>
          <w:color w:val="auto"/>
        </w:rPr>
        <w:t xml:space="preserve"> and www.rochesterclothing.com, as well as featuring the entire shoe product assortments on </w:t>
      </w:r>
      <w:r>
        <w:rPr>
          <w:rFonts w:ascii="Arial" w:cs="Arial" w:eastAsia="Arial" w:hAnsi="Arial"/>
          <w:sz w:val="16"/>
          <w:szCs w:val="16"/>
          <w:i w:val="1"/>
          <w:iCs w:val="1"/>
          <w:color w:val="auto"/>
        </w:rPr>
        <w:t>www.shoesXL.com.</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Living XL</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In October 2006, we acquired SuperSizeWorld, a direct-to-consumer business specializing in the selling of select unique, high-quality products which help larger people maintain a more comfortable lifestyle. After a re-design of the website and a change in the acquired domain name, in the first quarter of fiscal 2007, we launched our newly designed website </w:t>
      </w:r>
      <w:r>
        <w:rPr>
          <w:rFonts w:ascii="Arial" w:cs="Arial" w:eastAsia="Arial" w:hAnsi="Arial"/>
          <w:sz w:val="16"/>
          <w:szCs w:val="16"/>
          <w:i w:val="1"/>
          <w:iCs w:val="1"/>
          <w:color w:val="auto"/>
        </w:rPr>
        <w:t>www.livingXL.com</w:t>
      </w:r>
      <w:r>
        <w:rPr>
          <w:rFonts w:ascii="Arial" w:cs="Arial" w:eastAsia="Arial" w:hAnsi="Arial"/>
          <w:sz w:val="16"/>
          <w:szCs w:val="16"/>
          <w:color w:val="auto"/>
        </w:rPr>
        <w:t xml:space="preserve"> and in the second quarter, mailed our first “Living XL” catalog. The types of products sold on our website and in our catalogs benefit both men and women and include sports and outdoor accessories, patio furniture, travel accessories, medical products and other household items. The success of this new direct business was largely due to our ability to utilize our existing customer database. During fiscal 2007, we mailed 6 editions of our Living XL catalog with a circulation of 4.2 million.</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EXPANSION</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Domestic Expansion</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believe that there is a great deal of opportunity for new store growth in areas of the country that we have not yet penetrated. On the Casual Male XL side, we have identified at least 100 potential store locations for long-term growth, and with only 26 Rochester Big &amp; Tall retail stores currently open, there are significant opportunities there as well. In addition, we have identified several of our older Casual Male XL retail stores that are currently in strip locations with high tenant vacancies. Over the past two years, we have been able to relocate 16 Casual Male XL stores to better locations with higher foot traffic and we immediately saw significant improvements in sales year over year. This program will help us achieve our goal of increasing our overall sales per square foot. For the relocations that have been open for a full year, we have seen, on average, an improvement of over 10% in sales per square foot</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During fiscal 2007, we closed our 12 Casual Male stores located within Sears Canada stores, but we still continue to operate our direct business with Sears Canada.</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fiscal 2008, we intend to open 6 new Casual Male XL retail and 2 outlet stores and expect to close 9 existing stores as their respective leases expire. We also plan to open one new Rochester Big &amp; Tall retail store. Because the Rochester Big &amp; Tall retail stores are higher-end, we ideally are looking at urban locations, which means that new store growth may not occur as quickly as Casual Male XL stores because urban locations are generally less plentiful and more difficult to obtain. Our average build-out cost for a new 3,400 square foot Casual Male XL store is approximately $45 per square foot and our average build-out cost for a new 3,150 square foot Casual Male XL outlet store it approximates $35 per square foot. Our Rochester Big &amp; Tall stores usually average 7,600 square feet and build-out costs average approximately $105 per square foot.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International Expansion</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During the third quarter of fiscal 2008, we plan to launch online stores for both our Casual Male XL and Rochester Big &amp; Tall brands in six European countries, including the U.K., Germany, France, Italy, Spain and the Netherlands. In fiscal 2007, we entered into a business arrangement with GSI Commerce, Inc. (“GSI”) to design, develop and operate these Web stores for us, allowing us to establish operations across several countries in a manner customized to each country. GSI will also manage the fulfillment and distribution of our merchandise for these Web stores.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STORE OPERATIONS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believe that our store associates are the key to creating the highest quality visit for our customers. In this regard, during fiscal 2008, we will be refining and building upon our existing programs. Our overall goal is to help our associates become less task driven by rolling out updated sales training programs that educate our store associates on the purchasing behaviors of our customers, and how the real-time information that they have available to them can improve sales per transactions and conversion rates. By educating our store associates and providing them the data that they need to be successful, we can further build upon our brand loyalty with our customers.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field organization is overseen by our Senior Vice President of Store Sales and Operations and is comprised of the following:</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Casual Male store operations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order to provide management development and guidance to individual store managers, we employ approximately 37 District Managers. The District Managers are divided among four geographical regions, each region consisting of 8 to 12 District Managers depending on the number of stores and their locality to each other. Each District Manager is responsible for hiring and developing store managers at the stores assigned to that manager’s area and for the overall operations and profitability of those stores. District Managers report to one of our three Regional Directors or our Zone Vice President, each of whom reports directly to our Senior Vice President of Store Sales and Operations. The Regional Directors, Zone Vice President and Senior Vice President of Store Sales and Operations coordinate all sales and operations initiatives and activities.</w:t>
      </w:r>
    </w:p>
    <w:p>
      <w:pPr>
        <w:spacing w:after="0" w:line="12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Each store is staffed with a store manager and assistants and associates. Each store manager also is entitled to receive commissions and bonuses based on achieving certain set operational targets.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Rochester store operations</w:t>
      </w:r>
    </w:p>
    <w:p>
      <w:pPr>
        <w:spacing w:after="0" w:line="90"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The Rochester store operations are divided among three geographical regions which are managed by three Regional Managers reporting to the Vice President of Rochester sales. Each Regional Manager is directly responsible for hiring and developing store managers at the 6 to 11 stores assigned to that manager’s area and for the overall operations and profitability of those stores. The Vice President of Rochester reports directly to the Senior Vice President of Store Sales and Operations.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Rochester store is staffed with a store manager and up to three assistant managers.</w:t>
      </w:r>
    </w:p>
    <w:p>
      <w:pPr>
        <w:spacing w:after="0" w:line="17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Our field organization is supported by a Vice President of Operations whose staff supports the communication, training and development of our field personnel.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MARKETING AND ADVERTISING</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marketing department creates and implements a wide variety of national, regional and local advertising, direct marketing and sales promotion programs. These direct mail and e-mail programs are designed to increase sales and customer awareness of all of our business channels, which include Casual Male XL, Rochester Big &amp; Tall, B&amp;T Factory Direct, Living XL and Shoes XL. For the past few years, the major component to our marketing budget has been direct mail campaigns to our customer databases. We maintain the largest customer database of purchasers of big &amp; tall clothing. Approximately 80% of all sales were captured in our customer database in fiscal 2007. Our direct mail and e-mail programs allow continuous communication with our customers both for promotional events as well as relationship programs such as the birthday club and new customer programs. In addition, local store marketing activities occur on a regular basis and include store opening events and in-store promotion programs.</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fiscal 2006 we re-branded our Casual Male Big &amp; Tall business to “Casual Male XL” as part of our strategy to remove the stigma associated with “big &amp; tall” so as to appeal to a broader group of our target market, a younger demographic and the smaller and taller market segment of the big &amp; tall market. The name change and updated overall look was well received by our customers but it still has not attracted the lower-size range of our customer base, men with 42”-46” waists and “XL” size, where there is still significant potential for us. In order to continue to gain market share and grow our customer base, we need to continue to introduce our Casual Male XL brand to new customers. Our primary marketing objective for fiscal 2008 will be to educate our customer base as to who we are and remove the stigma that we only cater to men with 48” waists and greater. In view of that, we plan to spend approximately 10% of our marketing budget for fiscal 2008 on television advertising. We believe that this is the most cost-effective way for us to reach a broad group of men who currently are not shopping Casual Male XL. This increase in television advertising will not materially impact our existing direct mail program with our existing customer base, which continues to represent a significant portion of our marketing plan for fiscal 2008.</w:t>
      </w:r>
    </w:p>
    <w:p>
      <w:pPr>
        <w:spacing w:after="0" w:line="12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manage a customer loyalty program for our Casual Male XL customers. Under the program, customers accumulate points based on purchase activity and earn rewards by reaching certain point thresholds. Rewards earned are valid through the stated expiration date, which is approximately five months from the mailing date and can be redeemed for a discount on a future purchase of merchandise from us. Rewards not redeemed during the five-month redemption period are forfeited. We believe that these efforts can lead to new customers as well as a more loyal customer base. Approximately 1.3 million customers participated in this loyalty program during fiscal 2007. Customers who did participate spent an average of 15% more than our non-loyalty customers.</w:t>
      </w:r>
    </w:p>
    <w:p>
      <w:pPr>
        <w:spacing w:after="0" w:line="1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utilize a customer relationship management (“CRM”) system which allows us to expand our level of communication to our customers, and makes available pertinent customer information at the store level, with the goal of servicing the customer better. With the customer database maintained at the corporate office, our business has daily results on its direct marketing efforts and has the ability to respond to business immediately. Our sales associates now have an array of information available about their customers. Through the CRM real-time database, our sales associates are able to access valuable information on each customer’s buying patterns, preferences and sizes.</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Advertising and marketing costs for all channels of our businesses represent approximately 7.3% of our total revenue for fiscal 2007. This includes creating and distributing catalogs, retail direct mail pieces and in-store signage for our Casual Male XL business, Rochester business, as well as our supporting e-commerce businesses, including Living XL and Shoes XL. We anticipate we will continue these marketing strategies for fiscal 2008 with an increase in marketing dollars to support our growing internet and catalog businesses resulting in marketing costs representing just under 8.0% of total revenue.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COMPETITION</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business faces competition from a variety of sources, including department stores, mass merchandisers, other specialty stores, discount and off-price retailers, as well as other retailers that sell big &amp; tall merchandise. While we have successfully competed on the basis of merchandise selection, favorable pricing, customer service and desirable store locations, there can be no assurances that other retailers will not adopt purchasing and marketing concepts similar to ours. In addition, discount retailers with significant buying power, such as Wal-Mart, J.C. Penny and Target, represent a source of competition for us.</w:t>
      </w:r>
    </w:p>
    <w:p>
      <w:pPr>
        <w:spacing w:after="0" w:line="11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United States men’s big &amp; tall apparel market is highly competitive with many national and regional department stores, specialty apparel retailers, single market operators and discount stores offering a broad range of apparel products similar to ours. Besides retail competitors, we consider any casual apparel manufacturer operating in outlet malls throughout the United States to be a competitor in the casual apparel market. We believe that we are the only national operator of apparel stores focused on the men’s big &amp; tall market, the next largest specialty retailer being Dahle’s, which operates 18 stores, primarily in markets where we do not operate stores.</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catalog business has several competitors, including the King Size Catalog (which is owned by Redcats USA, a wholly-owned subsidiary of Pinault-Printemps-Redoute, SA of France) and J.C. Penny’s Big &amp; Tall Collection catalog.</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GLOBAL SOURCING</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Over the past two years, we have been growing a direct sourcing program for our private label merchandise. During fiscal 2007, over 70% of our Casual Male merchandise is from our private label product lines, which includes our </w:t>
      </w:r>
      <w:r>
        <w:rPr>
          <w:rFonts w:ascii="Arial" w:cs="Arial" w:eastAsia="Arial" w:hAnsi="Arial"/>
          <w:sz w:val="16"/>
          <w:szCs w:val="16"/>
          <w:i w:val="1"/>
          <w:iCs w:val="1"/>
          <w:color w:val="auto"/>
        </w:rPr>
        <w:t>626 Blue</w:t>
      </w:r>
      <w:r>
        <w:rPr>
          <w:rFonts w:ascii="Arial" w:cs="Arial" w:eastAsia="Arial" w:hAnsi="Arial"/>
          <w:sz w:val="16"/>
          <w:szCs w:val="16"/>
          <w:color w:val="auto"/>
        </w:rPr>
        <w:t xml:space="preserve">, </w:t>
      </w:r>
      <w:r>
        <w:rPr>
          <w:rFonts w:ascii="Arial" w:cs="Arial" w:eastAsia="Arial" w:hAnsi="Arial"/>
          <w:sz w:val="16"/>
          <w:szCs w:val="16"/>
          <w:i w:val="1"/>
          <w:iCs w:val="1"/>
          <w:color w:val="auto"/>
        </w:rPr>
        <w:t>Comfort Zone™</w:t>
      </w:r>
      <w:r>
        <w:rPr>
          <w:rFonts w:ascii="Arial" w:cs="Arial" w:eastAsia="Arial" w:hAnsi="Arial"/>
          <w:sz w:val="16"/>
          <w:szCs w:val="16"/>
          <w:color w:val="auto"/>
        </w:rPr>
        <w:t xml:space="preserve">, </w:t>
      </w:r>
      <w:r>
        <w:rPr>
          <w:rFonts w:ascii="Arial" w:cs="Arial" w:eastAsia="Arial" w:hAnsi="Arial"/>
          <w:sz w:val="16"/>
          <w:szCs w:val="16"/>
          <w:i w:val="1"/>
          <w:iCs w:val="1"/>
          <w:color w:val="auto"/>
        </w:rPr>
        <w:t>Synrgy, Harbor Bay</w:t>
      </w:r>
      <w:r>
        <w:rPr>
          <w:rFonts w:ascii="Arial" w:cs="Arial" w:eastAsia="Arial" w:hAnsi="Arial"/>
          <w:sz w:val="16"/>
          <w:szCs w:val="16"/>
          <w:color w:val="auto"/>
        </w:rPr>
        <w:t xml:space="preserve"> and </w:t>
      </w:r>
      <w:r>
        <w:rPr>
          <w:rFonts w:ascii="Arial" w:cs="Arial" w:eastAsia="Arial" w:hAnsi="Arial"/>
          <w:sz w:val="16"/>
          <w:szCs w:val="16"/>
          <w:i w:val="1"/>
          <w:iCs w:val="1"/>
          <w:color w:val="auto"/>
        </w:rPr>
        <w:t>Oak Hill</w:t>
      </w:r>
      <w:r>
        <w:rPr>
          <w:rFonts w:ascii="Arial" w:cs="Arial" w:eastAsia="Arial" w:hAnsi="Arial"/>
          <w:sz w:val="16"/>
          <w:szCs w:val="16"/>
          <w:color w:val="auto"/>
        </w:rPr>
        <w:t xml:space="preserve"> product lines for our retail stores, and </w:t>
      </w:r>
      <w:r>
        <w:rPr>
          <w:rFonts w:ascii="Arial" w:cs="Arial" w:eastAsia="Arial" w:hAnsi="Arial"/>
          <w:sz w:val="16"/>
          <w:szCs w:val="16"/>
          <w:i w:val="1"/>
          <w:iCs w:val="1"/>
          <w:color w:val="auto"/>
        </w:rPr>
        <w:t>555 Turnpike, Fuse, Flex-Zone</w:t>
      </w:r>
      <w:r>
        <w:rPr>
          <w:rFonts w:ascii="Arial" w:cs="Arial" w:eastAsia="Arial" w:hAnsi="Arial"/>
          <w:sz w:val="16"/>
          <w:szCs w:val="16"/>
          <w:color w:val="auto"/>
        </w:rPr>
        <w:t xml:space="preserve"> and </w:t>
      </w:r>
      <w:r>
        <w:rPr>
          <w:rFonts w:ascii="Arial" w:cs="Arial" w:eastAsia="Arial" w:hAnsi="Arial"/>
          <w:sz w:val="16"/>
          <w:szCs w:val="16"/>
          <w:i w:val="1"/>
          <w:iCs w:val="1"/>
          <w:color w:val="auto"/>
        </w:rPr>
        <w:t>Canyon Ridge,</w:t>
      </w:r>
      <w:r>
        <w:rPr>
          <w:rFonts w:ascii="Arial" w:cs="Arial" w:eastAsia="Arial" w:hAnsi="Arial"/>
          <w:sz w:val="16"/>
          <w:szCs w:val="16"/>
          <w:color w:val="auto"/>
        </w:rPr>
        <w:t xml:space="preserve"> for our B&amp;T Factory Direct and outlet stores. With the strong sales results of our private label merchandise, we anticipate that up to 75% of our total private label receipts in fiscal 2008 will be directly sourced internationally. All channels within Casual Male and, on a smaller scale, Rochester have benefited from our direct sourcing initiatives resulting in increased markups of over 2,000 basis points as compared to our brand-name product lines. Also, we intend to begin sourcing select hard line goods for our Living XL direct business during fiscal 2008.</w:t>
      </w:r>
    </w:p>
    <w:p>
      <w:pPr>
        <w:spacing w:after="0" w:line="12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continue to work with Li &amp; Fung (Trading) Limited, who acts as a non-exclusive buying agent for our Company, to assist us in purchasing merchandise in certain foreign countries. The majority of our merchandise is currently sourced from various vendors and factories within Asia as well as the Dominican Republic and Peru. We use a select group of vendors and factories that we believe are the most reputable and will maintain our high standards of quality. These vendors typically ship our merchandise to us primarily by boat, which in most cases takes approximately 30 days in transit, depending on the country. The ships unload at the Port of New York where the merchandise is sent to Worcester, Massachusetts where they clear customs and then are trucked to our distribution center.</w:t>
      </w:r>
    </w:p>
    <w:p>
      <w:pPr>
        <w:spacing w:after="0" w:line="14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require each vendor and factory to adhere to our Code of Conduct, which is designed to ensure that the operations of each of our business associates are conducted in a legal, ethical and responsible manner. Our Code of Conduct requires that each of our business associates operates in compliance with the applicable wage, benefit and working hours and other laws of each of the respective countries in which we do business and forbids the use of practices such as child labor or forced labor. We oversee and manage our compliance program internally. We contract with a third-party compliance audit firm to make periodic visits to the factories that produce our merchandise to monitor compliance, including prequalification for new suppliers. Li &amp; Fung also has its own compliance program which supplements our program.</w:t>
      </w:r>
    </w:p>
    <w:p>
      <w:pPr>
        <w:spacing w:after="0" w:line="144"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During fiscal 2008, in connection with our launch of our international web stores, our merchandise will be required to meet the various labeling and performance required for all six countries that we initially intend to target.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an effort to minimize foreign currency risk, all payments to our direct sourced vendors and buying agent are made in U.S. dollars through the use of letters of credit.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DISTRIBUTION</w:t>
      </w:r>
    </w:p>
    <w:p>
      <w:pPr>
        <w:spacing w:after="0" w:line="90" w:lineRule="exact"/>
        <w:rPr>
          <w:sz w:val="20"/>
          <w:szCs w:val="20"/>
          <w:color w:val="auto"/>
        </w:rPr>
      </w:pPr>
    </w:p>
    <w:p>
      <w:pPr>
        <w:ind w:right="780" w:firstLine="456"/>
        <w:spacing w:after="0" w:line="332" w:lineRule="auto"/>
        <w:rPr>
          <w:sz w:val="20"/>
          <w:szCs w:val="20"/>
          <w:color w:val="auto"/>
        </w:rPr>
      </w:pPr>
      <w:r>
        <w:rPr>
          <w:rFonts w:ascii="Arial" w:cs="Arial" w:eastAsia="Arial" w:hAnsi="Arial"/>
          <w:sz w:val="16"/>
          <w:szCs w:val="16"/>
          <w:color w:val="auto"/>
        </w:rPr>
        <w:t>All of our distribution operations, with the exception of Living XL, are centralized in our headquarters and distribution center located in Canton, Massachusetts. For Living XL, we utilize a third-party distribution center for the receipt, processing and shipping of merchandise.</w:t>
      </w:r>
    </w:p>
    <w:p>
      <w:pPr>
        <w:spacing w:after="0" w:line="85"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We believe that having one centralized distribution facility minimizes the delivered cost of merchandise and maximizes the in-stock position of our stores. We believe that the centralized distribution system enables our stores to maximize selling space by reducing necessary levels of back-room stock carried in each store. In addition, the distribution center provides order fulfillment services for our e-commerce and catalog businesses.</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Since 2003, we have teamed up with United Parcel Services (“UPS”) which has improved our distribution methods and also has reduced our shipping costs as a result of not having to use third party trucking companies. By utilizing UPS, we are able to track all deliveries from the warehouse to our individual stores, including the status of in-transit shipments. Our current contract with UPS is through December 2010.</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utilize the Manhattan Associates’ PKMS warehousing application for our distribution center systems, which has significantly streamlined our distribution processes, enhanced our in-transit times, and significantly reduced our distribution costs. In addition, we have slightly altered our distribution strategy as it relates to seasonal merchandise to allow for replenishment of styles at the color and size level which has optimized sales opportunities and minimized our end of season clearance markdowns. This seasonal merchandise distribution strategy requires significantly higher volume of individual piece processing, a more costly distribution method in contrast to carton handling. However, in conjunction with the installation of a more efficient PKMS warehousing application, we have also updated our processes in order to optimize the new system capabilities in areas such as receiving, cross-dock handling, put-away, and picking which will include the use of scanning equipment. Accordingly, in spite of the shift in distribution strategy to include the more costly piece replenishment, our distribution costs have decreased and are expected to continue to decrease as a result of the new systems and the adoption of updated process flows.</w:t>
      </w:r>
    </w:p>
    <w:p>
      <w:pPr>
        <w:spacing w:after="0" w:line="11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Beginning in fiscal 2006, our Rochester business began to benefit as well from these enhanced warehousing systems and new merchandising infrastructure. Prior to our acquisition, the Rochester stores received a significant portion of their merchandise as drop-shipments from various vendors and were only receiving deliveries approximately once a month, resulting in frequent out-of-stock positions and poor inventory management.</w:t>
      </w:r>
    </w:p>
    <w:p>
      <w:pPr>
        <w:spacing w:after="0" w:line="10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During fiscal 2007, we implemented new sorting systems for both our retail as well as direct businesses. Once fully operational, these sorting systems will improve our labor efficiencies and improve our daily capacity to process and ship merchandise directly benefiting our growing business, particularly our direct-to-consumer businesses.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In-bound calls and order fulfillment for our U.S. catalogs are currently handled at our distribution center. See “Distribution” below.</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MANAGEMENT INFORMATION SYSTEMS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management information systems consist of a full range of retail merchandising and financial systems which include merchandise planning and reporting, distribution center processing, inventory allocation, sales reporting, and financial processing and reporting. Our business operates primarily on an IBM AS/400 platform, with the e-commerce/catalog business on the HP environment. We believe that our current infrastructure provides us the ability and capacity to process transactions more efficiently and provides our management team with several tools with which to manage our business.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Our suite of merchandising systems consists of the JDA Portfolio Solutions, specifically the MMS Merchandise Management System, Retail Ideas Data Warehouse, and Arthur Merchandise Planning and Advanced Allocation systems. In addition, we also utilize JDA’s E3 Advanced Replenishment system to optimize fill back from vendors and adjustments from seasonal profiles which we believe has improved sales opportunities and control over our inventory of basic merchandise. For our distribution operations, we use Manhattan Associates’ PKMS distribution system.</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systems have enabled us to improve sales, better manage inventory levels and streamline operations by:</w:t>
      </w:r>
    </w:p>
    <w:p>
      <w:pPr>
        <w:spacing w:after="0" w:line="90" w:lineRule="exact"/>
        <w:rPr>
          <w:sz w:val="20"/>
          <w:szCs w:val="20"/>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Sharing information with vendors through EDI (electronic data interchange);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Reducing merchandise in-transit times;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Creating more advanced methods to replenish inventory;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Improving information databases and data availability;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Improving methods of inventory management and planning;</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Enhancing distribution productivity and capacity;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Planning store merchandise assortments;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Reducing MIS related corporate overhead.</w:t>
      </w:r>
    </w:p>
    <w:p>
      <w:pPr>
        <w:spacing w:after="0" w:line="17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upgraded to a state-of-the-art point-of-sale (“POS”) and register system for all of our Casual Male locations in fiscal 2005 and to all of our Rochester stores in fiscal 2006. All of our stores have POS terminals supplied by IBM. The business is supported by a POS business application provided by NSB Group. The POS applications capture daily transaction information by item, color and size. We utilize barcode technology in tracking sales, inventory and pricing information. Communication between our corporate headquarters and all of our stores is facilitated on a daily basis through the use of an electronic mail system. This new system includes a multitude of features including Customer Relationship Management (“CRM”) tools that enable us to track customer buying habits and provide us with the ability to target customers with specific offers and promotions.</w:t>
      </w:r>
    </w:p>
    <w:p>
      <w:pPr>
        <w:spacing w:after="0" w:line="12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Our web sites have all been standardized on a state-of-the-art platform from Art Technology Group. We also implemented the e-SPS Product Life Cycle Management system from NGC to support the growth of our direct sourcing initiatives. To support the marketing area, we implemented the PlanSystem3 environment from Quad-Systems to manage marketing assets, schedule promotions and monitor activities.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merchandising management systems are updated daily with all store transactions and provide daily sales, inventory, pricing and merchandise information and management reports to assist us in operating our retail business. Our merchandising system applications also facilitate the placement and tracking of purchase orders and utilize EDI technology. We evaluate this information, together with weekly reports on merchandise statistics, prior to making decisions regarding reorders of fast-selling items and the allocation of merchandise.</w:t>
      </w:r>
    </w:p>
    <w:p>
      <w:pPr>
        <w:spacing w:after="0" w:line="14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utilize a Microsoft 2003 Server / Windows 2000 &amp; XP Desktop environments running on a local area network to communicate and work-share within our headquarters. We utilize Lawson Financial Systems for all of our financial operations. We also utilize the services of Ceridian, an outside payroll-processing provider, to prepare, distribute and report our weekly payroll.</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During fiscal 2007, we implemented QuantiSense, a business intelligence and data warehousing application, which provides our management team the ability to integrate data from several sources into reports that are useful and easily obtained. With its customized reporting capabilities, we have visibility down to the lowest level, style, SKU and store.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During fiscal 2007, we completed the installation of a new sortation system for our distribution center which has improved product through put. Presently, our direct businesses and retail businesses maintain separate inventory systems. During fiscal 2008, we will be working to integrate these systems so that our inventory is shared among all channels of our business. We will also be implementing system integration to GSI Commerce to facilitate the launch of Casual Male and Rochester e-commerce web sites for six European countries.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SEASONALITY</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Consistent with the retail industry, our business is seasonal, traditionally generating the largest volume of sales during the Father’s Day selling season in June and the Christmas selling season in December. The Casual Male outlet business traditionally generates the largest volume of its sales during the back-to-school selling season in August and the Christmas selling season in December. The majority of our operating income is generated in the fourth quarter as a result of the impact of the Christmas selling season.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TRADEMARKS/TRADEMARK LICENSE AGREEMENTS</w:t>
      </w:r>
    </w:p>
    <w:p>
      <w:pPr>
        <w:spacing w:after="0" w:line="117" w:lineRule="exact"/>
        <w:rPr>
          <w:sz w:val="20"/>
          <w:szCs w:val="20"/>
          <w:color w:val="auto"/>
        </w:rPr>
      </w:pPr>
    </w:p>
    <w:p>
      <w:pPr>
        <w:ind w:firstLine="456"/>
        <w:spacing w:after="0" w:line="275" w:lineRule="auto"/>
        <w:rPr>
          <w:sz w:val="20"/>
          <w:szCs w:val="20"/>
          <w:color w:val="auto"/>
        </w:rPr>
      </w:pPr>
      <w:r>
        <w:rPr>
          <w:rFonts w:ascii="Arial" w:cs="Arial" w:eastAsia="Arial" w:hAnsi="Arial"/>
          <w:sz w:val="16"/>
          <w:szCs w:val="16"/>
          <w:color w:val="auto"/>
        </w:rPr>
        <w:t>We own several servicemarks and trademarks relating to our Casual Male business, including, among others, “Casual Male</w:t>
      </w:r>
      <w:r>
        <w:rPr>
          <w:rFonts w:ascii="Arial" w:cs="Arial" w:eastAsia="Arial" w:hAnsi="Arial"/>
          <w:sz w:val="20"/>
          <w:szCs w:val="20"/>
          <w:color w:val="auto"/>
          <w:vertAlign w:val="superscript"/>
        </w:rPr>
        <w:t>®</w:t>
      </w:r>
      <w:r>
        <w:rPr>
          <w:rFonts w:ascii="Arial" w:cs="Arial" w:eastAsia="Arial" w:hAnsi="Arial"/>
          <w:sz w:val="16"/>
          <w:szCs w:val="16"/>
          <w:color w:val="auto"/>
        </w:rPr>
        <w:t>”, “Casual Male XL™”, “B&amp;T Factory Direct™”, “Rochester Big &amp; Tall™”, “Harbor Bay</w:t>
      </w:r>
      <w:r>
        <w:rPr>
          <w:rFonts w:ascii="Arial" w:cs="Arial" w:eastAsia="Arial" w:hAnsi="Arial"/>
          <w:sz w:val="20"/>
          <w:szCs w:val="20"/>
          <w:color w:val="auto"/>
          <w:vertAlign w:val="superscript"/>
        </w:rPr>
        <w:t>®</w:t>
      </w:r>
      <w:r>
        <w:rPr>
          <w:rFonts w:ascii="Arial" w:cs="Arial" w:eastAsia="Arial" w:hAnsi="Arial"/>
          <w:sz w:val="16"/>
          <w:szCs w:val="16"/>
          <w:color w:val="auto"/>
        </w:rPr>
        <w:t>”, “Oak Hill™”, “Comfort Zone by Casual Male™”, “Flex-Zone™”, “Comfort Zone™”, “Synrgy™”, “Rochester 1906™” and “Castagne™”. We also have a U.S. patent for an extendable collar system, which is marketed as “Neck-Relaxer</w:t>
      </w:r>
      <w:r>
        <w:rPr>
          <w:rFonts w:ascii="Arial" w:cs="Arial" w:eastAsia="Arial" w:hAnsi="Arial"/>
          <w:sz w:val="20"/>
          <w:szCs w:val="20"/>
          <w:color w:val="auto"/>
          <w:vertAlign w:val="superscript"/>
        </w:rPr>
        <w:t>®</w:t>
      </w:r>
      <w:r>
        <w:rPr>
          <w:rFonts w:ascii="Arial" w:cs="Arial" w:eastAsia="Arial" w:hAnsi="Arial"/>
          <w:sz w:val="16"/>
          <w:szCs w:val="16"/>
          <w:color w:val="auto"/>
        </w:rPr>
        <w:t>.”</w:t>
      </w:r>
    </w:p>
    <w:p>
      <w:pPr>
        <w:spacing w:after="0" w:line="1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EMPLOYEES</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As of February 2, 2008, we employed approximately 3,079 associates, of whom 1,842 were full-time personnel. We hire additional temporary employees during the peak Fall and Holiday seasons. None of our employees is represented by any collective bargaining agreement.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Our corporate website is </w:t>
      </w:r>
      <w:r>
        <w:rPr>
          <w:rFonts w:ascii="Arial" w:cs="Arial" w:eastAsia="Arial" w:hAnsi="Arial"/>
          <w:sz w:val="18"/>
          <w:szCs w:val="18"/>
          <w:i w:val="1"/>
          <w:iCs w:val="1"/>
          <w:color w:val="auto"/>
        </w:rPr>
        <w:t>www.casualmaleXL.com</w:t>
      </w:r>
      <w:r>
        <w:rPr>
          <w:rFonts w:ascii="Arial" w:cs="Arial" w:eastAsia="Arial" w:hAnsi="Arial"/>
          <w:sz w:val="18"/>
          <w:szCs w:val="18"/>
          <w:color w:val="auto"/>
        </w:rPr>
        <w:t xml:space="preserve">. We make available, free of charge, through our website our Annual Reports on Form 10-K, Quarterly Reports on Form 10-Q, Current Reports on Form 8-K and amendments to such reports filed or furnished pursuant to Section 13(a) of the Securities Exchange Act of 1934, as amended, as soon as reasonably practicable after we have electronically filed such material with, or furnished such materials to, the Securities and Exchange Commission. The SEC maintains an internet site that contains reports, proxy and information statements, and other information for issuers that file electronically with the SEC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96"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The following discussion identifies certain important factors that could affect our financial position, our actual results of operations and our actions and could cause our financial position, results of operations and our actions to differ materially from any forward-looking statements made by or on behalf of our Company. Other factors, which are not identified herein, could also have such an effect.</w:t>
      </w:r>
    </w:p>
    <w:p>
      <w:pPr>
        <w:spacing w:after="0" w:line="14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following risk factors are all of the important factors of which we are aware that could cause actual results, performance or achievements to differ materially from those expressed in any of our forward-looking statements. We operate in a continually changing business environment and new risk factors emerge from time to time. Other unknown or unpredictable factors also could have material adverse effects on our future results, performance or achievements. We cannot assure you that projected results or events will be achieved or will occur.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Company and Our Industry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not be successful in growing our market share.</w:t>
      </w:r>
    </w:p>
    <w:p>
      <w:pPr>
        <w:spacing w:after="0" w:line="17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 large part of our growth has resulted from our acquisition of the Casual Male business from Casual Male Corp. in May 2002 and our acquisition of Rochester Big &amp; Tall Clothing in October 2004 and the increased sales volume and profitability provided by these acquisitions. We believe that our current level of stores is sufficient to sustain our business and we are not dependent on adding new stores to increase our sales volume and profitability. However, for us to be successful in the future and maintain growth, we must be able to continue increasing our market share within the big &amp; tall industry. Our growth is dependent on us being successful in attracting new target customers into our stores, catalogs and e-commerce sites. We cannot assure you that our strategic plans will be successful in attracting customers and growing our market share.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business is highly competitive, and competitive factors may reduce our revenues and profit margins.</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United States men’s big &amp; tall apparel market is highly competitive with many national and regional department stores, mass merchandisers, specialty apparel retailers and discount stores offering a broad range of apparel products similar to the products that we sell. Besides retail competitors, we consider any manufacturer of big &amp; tall merchandise operating in outlet malls throughout the United States to be a competitor. It is also possible that another competitor, either a mass merchant or a men’s specialty store or specialty apparel catalog, could gain market share in men’s big &amp; tall apparel due to more favorable pricing, locations, brand and fashion assortment and size availability. The presence in the marketplace of various fashion trends and the limited availability of shelf space also can affect competition. We may not be able to compete successfully with our competitors in the future and could lose brand recognition and market share. A significant loss of market share would adversely affect our revenues and results of operations.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be unable to successfully predict fashion trends and customer preferences.</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Customer tastes and fashion trends are volatile and tend to change rapidly. Our success depends in large part upon our ability to effectively predict and respond to changing fashion tastes and consumer demands and to translate market trends to appropriate saleable product offerings. If we are unable to successfully predict or respond to changing styles or trends and misjudge the market for products or any new product lines, our sales will be lower and we may be faced with a substantial amount of unsold inventory or missed opportunities. In response, we may be forced to rely on additional markdowns or promotional sales to dispose of excess, slow-moving inventory, which would decrease our revenues and margins. In addition, the failure to satisfy consumer demand could have serious longer-term consequences, such as an adverse impact on our brand value and the loss of market share to our competitors.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Our marketing programs and success in maintaining and building our brand awareness are critical to achieving successful market share growth within the big &amp; tall industry.</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Our success in increasing our market share in the big &amp; tall apparel business is largely dependent on maintaining our favorable brand recognition and effectively marketing our merchandise to all of our target customers in several diverse market segments. In order to grow our brand recognition and our market share, we depend on the successful development of our brands through several means including advertising events, direct mail marketing, e-commerce and catalog marketing and customer prospecting. Our business is directly impacted by the success of these efforts and those of our vendors. Future advertising efforts by us, our vendors or our other licensors may be costly and may not result in increased market share or revenues.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success significantly depends on our key personnel and our ability to attract and retain additional personnel.</w:t>
      </w:r>
    </w:p>
    <w:p>
      <w:pPr>
        <w:spacing w:after="0" w:line="17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Our future success is dependent on the personal efforts, performance and abilities of our key management which includes our executive officers as well as several significant members of our senior management. For example, the loss of the services of David Levin, our President and Chief Executive Officer, or Dennis Hernreich, our Chief Operating Officer and Chief Financial Officer, each of whom is an integral part of our daily operations and are primary decision makers in all our important operating matters, could significantly impact our business until adequate replacements can be identified and put in place. The loss of any of our senior management may result in a loss of organizational focus, poor operating execution, an inability to identify and execute potential strategic initiatives, an impairment in our ability to identify new store locations, and an inability to consummate possible acquisitions.</w:t>
      </w:r>
    </w:p>
    <w:p>
      <w:pPr>
        <w:spacing w:after="0" w:line="12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These adverse results could, among other things, reduce potential revenues, prevent us from diversifying our product lines and geographic concentrations, and expose us to downturns in our markets. The competition is intense for the type of highly skilled individuals with relevant industry experience that we require and we may not be able to attract and retain new employees of the caliber needed to achieve our objectives.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loss of, or disruption in, our centralized distribution center could negatively impact our business and operations.</w:t>
      </w:r>
    </w:p>
    <w:p>
      <w:pPr>
        <w:spacing w:after="0" w:line="171"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All merchandise for our stores is received into our centralized distribution center in Canton, Massachusetts, where the inventory is then processed, sorted and shipped to our stores. We depend in large part on the orderly operation of this receiving and distribution process, which depends, in turn, on adherence to shipping schedules and effective management of the distribution center. Although we believe that our receiving and distribution process is efficient and well positioned to support our strategic plans, we cannot assure you that events beyond our control, such as disruptions in operations due to fire or other catastrophic events, employee matters or shipping problems, would not result in delays in the delivery of merchandise to our stores.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With all of our management information systems centralized in our corporate headquarters, any disruption or destruction of our system infrastructure would materially affect our business. This type of disaster is mitigated by our offsite stores and disaster recovery plans, but we would still incur business interruption which could impact our business for several weeks.</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Although we maintain business interruption and property insurance, we cannot assure you that our insurance will be sufficient, or that insurance proceeds will be timely paid to us, in the event our distribution center is shut down for any reason or if we incur higher costs and longer lead times in connection with a distribution at our distribution center.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Our business may be negatively impacted and we may be liable if third parties misappropriate proprietary information of our customers and breach our security systems.</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Any security breach could expose us to risks of loss, litigation and liability and could adversely affect our operations. If third parties are able to penetrate our network security or otherwise misappropriate the personal information or credit card information of our customers or if third parties gain unauthorized and improper access to such information, we could be subject to liability. This liability could include claims for unauthorized purchases with credit card information, impersonation or other similar fraud claims. They could also include claims for other misuses of personal information, including unauthorized marketing purposes. These claims could result in litigation. Liability for misappropriation of this information could be significant. Further, if a third party were to use this proprietary customer information in order to compete with us, it could have a material adverse impact on our business and could result in litigation.</w:t>
      </w:r>
    </w:p>
    <w:p>
      <w:pPr>
        <w:spacing w:after="0" w:line="12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During fiscal 2007 we completed our work to become Payment Card Industry (“PCI”) compliant, which we believe was a necessary and required step toward ensuring that our security systems are protected.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are dependent on third parties for the manufacture of the merchandise we sell.</w:t>
      </w:r>
    </w:p>
    <w:p>
      <w:pPr>
        <w:spacing w:after="0" w:line="17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do not own or operate any manufacturing facilities and are therefore entirely dependent on third parties for the manufacture of the merchandise we sell. Without adequate supplies of merchandise to sell to our customers in the merchandise styles and fashions demanded by our particular customer base, sales would decrease materially and our business would suffer. Furthermore, over approximately 70% of our merchandise is branded merchandise made specifically for Casual Male and our customers. In the event that manufacturers are unable or unwilling to ship products to us in a timely manner or continue to manufacture products for us, we would have to rely on other current manufacturing sources or identify and qualify new manufacturers. We might not be able to identify or qualify such manufacturers for existing or new products in a timely manner and such manufacturers might not allocate sufficient capacity to us in order to meet our requirements. Our inability to secure adequate and timely supplies of private label merchandise would negatively impact proper inventory levels, sales and gross margin rates, and ultimately our results of operations.</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addition, even if our current manufacturers continue to manufacture our products, they may not maintain adequate controls with respect to product specifications and quality and may not continue to produce products that are consistent with our standards. If we are forced to rely on products of inferior quality, then our brand recognition and customer satisfaction would likely suffer. These manufacturers may also increase the cost to us of the products we purchase from them.</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If our suppliers increase our costs, our margins may be adversely affected.</w:t>
      </w:r>
    </w:p>
    <w:p>
      <w:pPr>
        <w:spacing w:after="0" w:line="17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Should we experience significant unanticipated demand, we will be required to significantly expand our access to manufacturing, both from current and new manufacturing sources. If such additional manufacturing capacity is not available on terms as favorable as those obtained from current sources, then our revenues or margins, or both, will suffer.</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addition, a significant portion of our merchandise is directly imported from other countries, and U.S. domestic suppliers who source their goods from other countries supply most of our remaining merchandise. In the event that commercial transportation is curtailed or substantially delayed, we may not be able to maintain adequate inventory levels of important merchandise on a consistent basis, which would negatively impact our sales and potentially erode the confidence of our customer base, leading to further loss of sales and an adverse impact on our results of operations.</w:t>
      </w:r>
    </w:p>
    <w:p>
      <w:pPr>
        <w:spacing w:after="0" w:line="113"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In extreme circumstances, it may be necessary to close less productive stores so as to consolidate important merchandise categories into our most productive stores, which would severely impact our results of operations and cash flow.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business is seasonal and is affected by general economic conditions.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Like most other retail businesses, our business is seasonal. Historically, over 30% of our net sales have been made and approximately 70% or more of our operating income has been generated during November, December and January. Like other retail businesses, our operations may be negatively affected by local, regional or national economic conditions, such as levels of disposable consumer income, consumer debt, interest rates and consumer confidence. Any economic downturn might cause consumers to reduce their spending, which could negatively affect our sales. A sustained economic downturn would likely have an adverse affect on our results of operations.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business may be adversely affected by economic and foreign issues abroad.</w:t>
      </w:r>
    </w:p>
    <w:p>
      <w:pPr>
        <w:spacing w:after="0" w:line="171"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Over the past year, we have been working toward developing a global sourcing program to support our growing proprietary branded merchandise. Economic and civil unrest in areas of the world where we source such merchandise, as well as shipping and dockage issues could adversely impact the availability and cost of such merchandise. Political instability, the financial instability of our suppliers, merchandise quality issues, trade restrictions, tariffs, currency exchange rates, transport capacity and costs, inflation and other factors relating to foreign trade are beyond our control. In the event of disruptions or delays in deliveries due to economic or political conditions in foreign countries, such disruptions or delays could adversely affect our results of operations unless and until alternative supply arrangements could be made. These and other issues affecting our suppliers could adversely affect our business and financial performance.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loss of any of our key trademarks or licenses could adversely affect demand for our products.</w:t>
      </w:r>
    </w:p>
    <w:p>
      <w:pPr>
        <w:spacing w:after="0" w:line="171"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We own and use a number of trademarks and operate under several trademark license agreements. We believe that these trademarks have significant value and are instrumental in our ability to create and sustain demand for and to market our products. We cannot assure you that these trademarks and licensing agreements will remain in effect and enforceable or that any license agreements, upon expiration, can be renewed on acceptable terms or at all. In addition, any future disputes concerning these trademarks and licenses may cause us to incur significant litigation costs or force us to suspend use of the disputed trademarks.</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face greater challenges in managing several brands in multiple channels of distribution.</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Several retailers have had problems executing a corporate strategy aimed at operating multiple brands in multiple channels. We have expertise in the outlet channel of distribution, but our acquisition of Casual Male caused us to conduct operations in the specialty store and internet channels of distribution. We are now also responsible for all aspects of brand management with respect to the Casual Male brand and the Rochester brand, including advertising and promotion, and the servicing and merchandising of private label merchandise. Under our current operating model, this function is mostly the responsibility of the branded manufacturer. If the managing of multiple brands within multiple channels is poorly executed, we will not achieve our expected level of profitability, and could ultimately be compelled to eliminate the multiple brand strategy so that the organization may focus on a single brand strategy.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Acts of terrorism or a catastrophic event could negatively impact our operating results and financial condition.</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Unforeseen events, including war, terrorism and other international conflicts, public health issues, and natural disasters such as earthquakes, hurricanes or other adverse weather and climate conditions, whether occurring in the U.S. or abroad, could disrupt our operations, or the operations of our vendors and other suppliers, or result in political or economic instability.</w:t>
      </w:r>
    </w:p>
    <w:p>
      <w:pPr>
        <w:spacing w:after="0" w:line="14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continued threat of terrorism and heightened security measures in response to an act of terrorism may disrupt commerce and undermine consumer confidence which could negatively impact our sales by causing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consumer spending to decline. Furthermore, an act of terrorism or war, or the threat thereof, could negatively impact our business by interfering with our ability to obtain merchandise from vendors or substitute suppliers at similar costs in a timely manner.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Corporate Structure and Stock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stock price has been and may continue to be extremely volatile due to many factors.</w:t>
      </w:r>
    </w:p>
    <w:p>
      <w:pPr>
        <w:spacing w:after="0" w:line="17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market price of our common stock has fluctuated in the past and may increase or decrease rapidly in the future depending on news announcements and changes in general market conditions. Between January 31, 2003 and March 14, 2008, the closing price of our common stock ranged from a low of $1.95 per share to a high of $15.10 per share. The following factors, among others, may cause significant fluctuations in our stock price:</w:t>
      </w:r>
    </w:p>
    <w:p>
      <w:pPr>
        <w:spacing w:after="0" w:line="26" w:lineRule="exact"/>
        <w:rPr>
          <w:sz w:val="20"/>
          <w:szCs w:val="20"/>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news announcements regarding quarterly or annual results of operations;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monthly comparable sales;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competitive developments;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litigation affecting us;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views as to the prospects of the retail industry generally.</w:t>
      </w:r>
    </w:p>
    <w:p>
      <w:pPr>
        <w:spacing w:after="0" w:line="171"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b w:val="1"/>
          <w:bCs w:val="1"/>
          <w:i w:val="1"/>
          <w:iCs w:val="1"/>
          <w:color w:val="auto"/>
        </w:rPr>
        <w:t>We cannot assure our stockholders that our stock repurchase program will result in a positive return of capital to our stockholders and stock repurchases could increase the volatility of the price of our common stock.</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January 9, 2008, our board of directors authorized an extension to our existing stock repurchase program to repurchase up to $75 million of our common stock through open market and privately negotiated transactions pursuant to Rule 10b-18 of the Securities Exchange Act of 1934, as amended. The stock repurchase program will expire on December 31, 2008 and may be terminated earlier at any time without prior notice. We may also from time to time adopt one or more 10b5-1 Plans to effect stock repurchases under this program. As of February 2, 2008, we have approximately $24.1 million remaining under this stock repurchase program.</w:t>
      </w:r>
    </w:p>
    <w:p>
      <w:pPr>
        <w:spacing w:after="0" w:line="14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Any repurchases pursuant to our stock repurchase program could affect our stock price and add volatility. There can be no assurance that the repurchases will be made at the best possible price. The existence of a stock repurchase program could also cause our stock price to be higher than it would be in the absence of such a program and could potentially reduce the market liquidity for our stock.</w:t>
      </w:r>
    </w:p>
    <w:p>
      <w:pPr>
        <w:spacing w:after="0" w:line="14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There can be no assurance that stock repurchases will create value for stockholders because the market price of the stock may decline significantly below the levels at which we repurchased shares of stock. Our stock purchase program is intended to deliver stockholder value over the long-term, but short-term stock price fluctuations can reduce the program’s effectiveness.</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b w:val="1"/>
          <w:bCs w:val="1"/>
          <w:i w:val="1"/>
          <w:iCs w:val="1"/>
          <w:color w:val="auto"/>
        </w:rPr>
        <w:t>Rights of our stockholders may be negatively affected if we issue any of the shares of preferred stock which our Board of Directors has authorized for issuance.</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have available for issuance 1,000,000 shares of preferred stock, par value $0.01 per share. Our Board of Directors is authorized to issue any or all of this preferred stock, in one or more series, without any further action on the part of stockholders. The rights of our stockholders may be negatively affected if we issue a series of preferred stock in the future that has preference over our common stock with respect to the payment of dividends or distribution upon our liquidation, dissolution or winding up.</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State laws and our certificate of incorporation may inhibit potential acquisition bids that could be beneficial to our stockholders.</w:t>
      </w:r>
    </w:p>
    <w:p>
      <w:pPr>
        <w:spacing w:after="0" w:line="19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subject to certain provisions of Delaware law, which could also delay or make more difficult a merger, tender offer or proxy contest involving us. In particular, Section 203 of the Delaware General Corporation Law prohibits a Delaware corporation from engaging in certain business combinations with any interested stockholder for a period of three years unless specific conditions are met. In addition, certain provisions of Delaware law could have the effect of delaying, deferring or preventing a change in control of us, including, without limitation, discouraging a proxy contest or making more difficult the acquisition of a substantial block of our common stock. The provisions could also limit the price that investors might be willing to pay in the future for shares of our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r>
        <w:rPr>
          <w:rFonts w:ascii="Arial" w:cs="Arial" w:eastAsia="Arial" w:hAnsi="Arial"/>
          <w:sz w:val="18"/>
          <w:szCs w:val="18"/>
          <w:i w:val="1"/>
          <w:iCs w:val="1"/>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corporate offices and retail distribution center are located at 555 Turnpike Street in Canton, Massachusetts. The property consists of a 755,992 gross square foot building located on approximately 27.3 acres in Canton, MA. We owned the property until January 30, 2006, at which time we entered into a sale-leaseback transaction with Spirit Finance Corporation, a third-party real estate investment trust (“Spirit”), whereby we entered into a twenty-year lease agreement with a wholly-owned subsidiary of Spirit for an annual rent of $4.6 million. In fiscal 2006, we realized a gain of approximately $29.3 million on the sale of this property, which has been deferred and is being amortized over the initial 20 years of the related lease agreement. Accordingly, our annual rent of $4.6 million is offset by $1.5 million related to the amortization of this deferred gain.</w:t>
      </w:r>
    </w:p>
    <w:p>
      <w:pPr>
        <w:spacing w:after="0" w:line="12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As of February 2, 2008, we operated 397 Casual Male XL retail stores, 65 Casual Male XL outlet stores and 26 Rochester Big &amp; Tall stores. All of these stores are leased by us directly from owners of several different types of centers, including life-style centers, shopping centers, free standing buildings, outlet centers and downtown locations. The store leases are generally five years in length and contain renewal options extending their terms to between 5 and 10 years. Following this discussion is a listing by state of all store locations open at February 2, 2008.</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utilize a third-party warehouse facility for the receiving, processing and shipping of merchandise for our Living XL business.</w:t>
      </w:r>
    </w:p>
    <w:p>
      <w:pPr>
        <w:spacing w:after="0" w:line="171"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Sites for store expansion are selected on the basis of several factors intended to maximize the exposure of each store to our target customers. These factors include the demographic profile of the area in which the site is located, the types of stores and other retailers in the area, the location of the store within the center and the attractiveness of the store layout. We also utilize financial models to project the profitability of each location using assumptions such as the center’s sales per square foot averages, estimated occupancy costs and return on investment requirements. We believe that our selection of locations enables our stores to attract customers from the general shopping traffic and to generate our own customers from surrounding areas.</w:t>
      </w:r>
    </w:p>
    <w:p>
      <w:pPr>
        <w:spacing w:after="0" w:line="116"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See also “Management’s Discussion and Analysis of Financial Condition and Results of Operation—Liquidity and Capital Resources—Capital Expenditures.”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80"/>
        <w:spacing w:after="0"/>
        <w:rPr>
          <w:sz w:val="20"/>
          <w:szCs w:val="20"/>
          <w:color w:val="auto"/>
        </w:rPr>
      </w:pPr>
      <w:r>
        <w:rPr>
          <w:rFonts w:ascii="Arial" w:cs="Arial" w:eastAsia="Arial" w:hAnsi="Arial"/>
          <w:sz w:val="15"/>
          <w:szCs w:val="15"/>
          <w:b w:val="1"/>
          <w:bCs w:val="1"/>
          <w:color w:val="auto"/>
        </w:rPr>
        <w:t>Store locations by State at February 2, 2008</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Casual Male XL Retail and Casual Male XL Outlet Stores (Outlets denoted by an asterisk)</w:t>
      </w:r>
    </w:p>
    <w:p>
      <w:pPr>
        <w:spacing w:after="0" w:line="178" w:lineRule="exact"/>
        <w:rPr>
          <w:sz w:val="20"/>
          <w:szCs w:val="20"/>
          <w:color w:val="auto"/>
        </w:rPr>
      </w:pPr>
    </w:p>
    <w:p>
      <w:pPr>
        <w:ind w:left="5460"/>
        <w:spacing w:after="0"/>
        <w:rPr>
          <w:sz w:val="20"/>
          <w:szCs w:val="20"/>
          <w:color w:val="auto"/>
        </w:rPr>
      </w:pPr>
      <w:r>
        <w:rPr>
          <w:rFonts w:ascii="Arial" w:cs="Arial" w:eastAsia="Arial" w:hAnsi="Arial"/>
          <w:sz w:val="14"/>
          <w:szCs w:val="14"/>
          <w:b w:val="1"/>
          <w:bCs w:val="1"/>
          <w:i w:val="1"/>
          <w:iCs w:val="1"/>
          <w:color w:val="auto"/>
        </w:rPr>
        <w:t>Alabama</w:t>
      </w:r>
    </w:p>
    <w:p>
      <w:pPr>
        <w:spacing w:after="0" w:line="221" w:lineRule="auto"/>
        <w:rPr>
          <w:sz w:val="20"/>
          <w:szCs w:val="20"/>
          <w:color w:val="auto"/>
        </w:rPr>
      </w:pPr>
      <w:r>
        <w:rPr>
          <w:rFonts w:ascii="Arial" w:cs="Arial" w:eastAsia="Arial" w:hAnsi="Arial"/>
          <w:sz w:val="14"/>
          <w:szCs w:val="14"/>
          <w:color w:val="auto"/>
        </w:rPr>
        <w:t>Foley*</w:t>
      </w:r>
    </w:p>
    <w:p>
      <w:pPr>
        <w:spacing w:after="0" w:line="221" w:lineRule="auto"/>
        <w:rPr>
          <w:sz w:val="20"/>
          <w:szCs w:val="20"/>
          <w:color w:val="auto"/>
        </w:rPr>
      </w:pPr>
      <w:r>
        <w:rPr>
          <w:rFonts w:ascii="Arial" w:cs="Arial" w:eastAsia="Arial" w:hAnsi="Arial"/>
          <w:sz w:val="14"/>
          <w:szCs w:val="14"/>
          <w:color w:val="auto"/>
        </w:rPr>
        <w:t>Hoover</w:t>
      </w:r>
    </w:p>
    <w:p>
      <w:pPr>
        <w:spacing w:after="0" w:line="222" w:lineRule="auto"/>
        <w:rPr>
          <w:sz w:val="20"/>
          <w:szCs w:val="20"/>
          <w:color w:val="auto"/>
        </w:rPr>
      </w:pPr>
      <w:r>
        <w:rPr>
          <w:rFonts w:ascii="Arial" w:cs="Arial" w:eastAsia="Arial" w:hAnsi="Arial"/>
          <w:sz w:val="14"/>
          <w:szCs w:val="14"/>
          <w:color w:val="auto"/>
        </w:rPr>
        <w:t>Huntsville</w:t>
      </w:r>
    </w:p>
    <w:p>
      <w:pPr>
        <w:spacing w:after="0"/>
        <w:rPr>
          <w:sz w:val="20"/>
          <w:szCs w:val="20"/>
          <w:color w:val="auto"/>
        </w:rPr>
      </w:pPr>
      <w:r>
        <w:rPr>
          <w:rFonts w:ascii="Arial" w:cs="Arial" w:eastAsia="Arial" w:hAnsi="Arial"/>
          <w:sz w:val="14"/>
          <w:szCs w:val="14"/>
          <w:color w:val="auto"/>
        </w:rPr>
        <w:t>Montgomery</w:t>
      </w:r>
    </w:p>
    <w:p>
      <w:pPr>
        <w:spacing w:after="0" w:line="56" w:lineRule="exact"/>
        <w:rPr>
          <w:sz w:val="20"/>
          <w:szCs w:val="20"/>
          <w:color w:val="auto"/>
        </w:rPr>
      </w:pPr>
    </w:p>
    <w:p>
      <w:pPr>
        <w:ind w:left="5500"/>
        <w:spacing w:after="0"/>
        <w:rPr>
          <w:sz w:val="20"/>
          <w:szCs w:val="20"/>
          <w:color w:val="auto"/>
        </w:rPr>
      </w:pPr>
      <w:r>
        <w:rPr>
          <w:rFonts w:ascii="Arial" w:cs="Arial" w:eastAsia="Arial" w:hAnsi="Arial"/>
          <w:sz w:val="14"/>
          <w:szCs w:val="14"/>
          <w:b w:val="1"/>
          <w:bCs w:val="1"/>
          <w:i w:val="1"/>
          <w:iCs w:val="1"/>
          <w:color w:val="auto"/>
        </w:rPr>
        <w:t>Arizona</w:t>
      </w:r>
    </w:p>
    <w:p>
      <w:pPr>
        <w:spacing w:after="0" w:line="221" w:lineRule="auto"/>
        <w:rPr>
          <w:sz w:val="20"/>
          <w:szCs w:val="20"/>
          <w:color w:val="auto"/>
        </w:rPr>
      </w:pPr>
      <w:r>
        <w:rPr>
          <w:rFonts w:ascii="Arial" w:cs="Arial" w:eastAsia="Arial" w:hAnsi="Arial"/>
          <w:sz w:val="14"/>
          <w:szCs w:val="14"/>
          <w:color w:val="auto"/>
        </w:rPr>
        <w:t>Chandler</w:t>
      </w:r>
    </w:p>
    <w:p>
      <w:pPr>
        <w:spacing w:after="0" w:line="221" w:lineRule="auto"/>
        <w:rPr>
          <w:sz w:val="20"/>
          <w:szCs w:val="20"/>
          <w:color w:val="auto"/>
        </w:rPr>
      </w:pPr>
      <w:r>
        <w:rPr>
          <w:rFonts w:ascii="Arial" w:cs="Arial" w:eastAsia="Arial" w:hAnsi="Arial"/>
          <w:sz w:val="14"/>
          <w:szCs w:val="14"/>
          <w:color w:val="auto"/>
        </w:rPr>
        <w:t>Mesa</w:t>
      </w:r>
    </w:p>
    <w:p>
      <w:pPr>
        <w:spacing w:after="0" w:line="222" w:lineRule="auto"/>
        <w:rPr>
          <w:sz w:val="20"/>
          <w:szCs w:val="20"/>
          <w:color w:val="auto"/>
        </w:rPr>
      </w:pPr>
      <w:r>
        <w:rPr>
          <w:rFonts w:ascii="Arial" w:cs="Arial" w:eastAsia="Arial" w:hAnsi="Arial"/>
          <w:sz w:val="14"/>
          <w:szCs w:val="14"/>
          <w:color w:val="auto"/>
        </w:rPr>
        <w:t>Phoenix (3)</w:t>
      </w:r>
    </w:p>
    <w:p>
      <w:pPr>
        <w:spacing w:after="0" w:line="221" w:lineRule="auto"/>
        <w:rPr>
          <w:sz w:val="20"/>
          <w:szCs w:val="20"/>
          <w:color w:val="auto"/>
        </w:rPr>
      </w:pPr>
      <w:r>
        <w:rPr>
          <w:rFonts w:ascii="Arial" w:cs="Arial" w:eastAsia="Arial" w:hAnsi="Arial"/>
          <w:sz w:val="14"/>
          <w:szCs w:val="14"/>
          <w:color w:val="auto"/>
        </w:rPr>
        <w:t>Tempe*</w:t>
      </w:r>
    </w:p>
    <w:p>
      <w:pPr>
        <w:spacing w:after="0"/>
        <w:rPr>
          <w:sz w:val="20"/>
          <w:szCs w:val="20"/>
          <w:color w:val="auto"/>
        </w:rPr>
      </w:pPr>
      <w:r>
        <w:rPr>
          <w:rFonts w:ascii="Arial" w:cs="Arial" w:eastAsia="Arial" w:hAnsi="Arial"/>
          <w:sz w:val="14"/>
          <w:szCs w:val="14"/>
          <w:color w:val="auto"/>
        </w:rPr>
        <w:t>Tucson (2)</w:t>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4"/>
          <w:szCs w:val="14"/>
          <w:b w:val="1"/>
          <w:bCs w:val="1"/>
          <w:i w:val="1"/>
          <w:iCs w:val="1"/>
          <w:color w:val="auto"/>
        </w:rPr>
        <w:t>Arkansas</w:t>
      </w:r>
    </w:p>
    <w:p>
      <w:pPr>
        <w:spacing w:after="0" w:line="221" w:lineRule="auto"/>
        <w:rPr>
          <w:sz w:val="20"/>
          <w:szCs w:val="20"/>
          <w:color w:val="auto"/>
        </w:rPr>
      </w:pPr>
      <w:r>
        <w:rPr>
          <w:rFonts w:ascii="Arial" w:cs="Arial" w:eastAsia="Arial" w:hAnsi="Arial"/>
          <w:sz w:val="14"/>
          <w:szCs w:val="14"/>
          <w:color w:val="auto"/>
        </w:rPr>
        <w:t>Jonesboro</w:t>
      </w:r>
    </w:p>
    <w:p>
      <w:pPr>
        <w:spacing w:after="0"/>
        <w:rPr>
          <w:sz w:val="20"/>
          <w:szCs w:val="20"/>
          <w:color w:val="auto"/>
        </w:rPr>
      </w:pPr>
      <w:r>
        <w:rPr>
          <w:rFonts w:ascii="Arial" w:cs="Arial" w:eastAsia="Arial" w:hAnsi="Arial"/>
          <w:sz w:val="14"/>
          <w:szCs w:val="14"/>
          <w:color w:val="auto"/>
        </w:rPr>
        <w:t>Little Rock</w:t>
      </w:r>
    </w:p>
    <w:p>
      <w:pPr>
        <w:spacing w:after="0" w:line="56" w:lineRule="exact"/>
        <w:rPr>
          <w:sz w:val="20"/>
          <w:szCs w:val="20"/>
          <w:color w:val="auto"/>
        </w:rPr>
      </w:pPr>
    </w:p>
    <w:p>
      <w:pPr>
        <w:ind w:left="5420"/>
        <w:spacing w:after="0"/>
        <w:rPr>
          <w:sz w:val="20"/>
          <w:szCs w:val="20"/>
          <w:color w:val="auto"/>
        </w:rPr>
      </w:pPr>
      <w:r>
        <w:rPr>
          <w:rFonts w:ascii="Arial" w:cs="Arial" w:eastAsia="Arial" w:hAnsi="Arial"/>
          <w:sz w:val="14"/>
          <w:szCs w:val="14"/>
          <w:b w:val="1"/>
          <w:bCs w:val="1"/>
          <w:i w:val="1"/>
          <w:iCs w:val="1"/>
          <w:color w:val="auto"/>
        </w:rPr>
        <w:t>California</w:t>
      </w:r>
    </w:p>
    <w:p>
      <w:pPr>
        <w:spacing w:after="0" w:line="221" w:lineRule="auto"/>
        <w:rPr>
          <w:sz w:val="20"/>
          <w:szCs w:val="20"/>
          <w:color w:val="auto"/>
        </w:rPr>
      </w:pPr>
      <w:r>
        <w:rPr>
          <w:rFonts w:ascii="Arial" w:cs="Arial" w:eastAsia="Arial" w:hAnsi="Arial"/>
          <w:sz w:val="14"/>
          <w:szCs w:val="14"/>
          <w:color w:val="auto"/>
        </w:rPr>
        <w:t>Bakersfield</w:t>
      </w:r>
    </w:p>
    <w:p>
      <w:pPr>
        <w:spacing w:after="0" w:line="221" w:lineRule="auto"/>
        <w:rPr>
          <w:sz w:val="20"/>
          <w:szCs w:val="20"/>
          <w:color w:val="auto"/>
        </w:rPr>
      </w:pPr>
      <w:r>
        <w:rPr>
          <w:rFonts w:ascii="Arial" w:cs="Arial" w:eastAsia="Arial" w:hAnsi="Arial"/>
          <w:sz w:val="14"/>
          <w:szCs w:val="14"/>
          <w:color w:val="auto"/>
        </w:rPr>
        <w:t>Camarillo*</w:t>
      </w:r>
    </w:p>
    <w:p>
      <w:pPr>
        <w:spacing w:after="0" w:line="222" w:lineRule="auto"/>
        <w:rPr>
          <w:sz w:val="20"/>
          <w:szCs w:val="20"/>
          <w:color w:val="auto"/>
        </w:rPr>
      </w:pPr>
      <w:r>
        <w:rPr>
          <w:rFonts w:ascii="Arial" w:cs="Arial" w:eastAsia="Arial" w:hAnsi="Arial"/>
          <w:sz w:val="14"/>
          <w:szCs w:val="14"/>
          <w:color w:val="auto"/>
        </w:rPr>
        <w:t>Commerce *</w:t>
      </w:r>
    </w:p>
    <w:p>
      <w:pPr>
        <w:spacing w:after="0" w:line="221" w:lineRule="auto"/>
        <w:rPr>
          <w:sz w:val="20"/>
          <w:szCs w:val="20"/>
          <w:color w:val="auto"/>
        </w:rPr>
      </w:pPr>
      <w:r>
        <w:rPr>
          <w:rFonts w:ascii="Arial" w:cs="Arial" w:eastAsia="Arial" w:hAnsi="Arial"/>
          <w:sz w:val="14"/>
          <w:szCs w:val="14"/>
          <w:color w:val="auto"/>
        </w:rPr>
        <w:t>Culver City</w:t>
      </w:r>
    </w:p>
    <w:p>
      <w:pPr>
        <w:spacing w:after="0" w:line="222" w:lineRule="auto"/>
        <w:rPr>
          <w:sz w:val="20"/>
          <w:szCs w:val="20"/>
          <w:color w:val="auto"/>
        </w:rPr>
      </w:pPr>
      <w:r>
        <w:rPr>
          <w:rFonts w:ascii="Arial" w:cs="Arial" w:eastAsia="Arial" w:hAnsi="Arial"/>
          <w:sz w:val="14"/>
          <w:szCs w:val="14"/>
          <w:color w:val="auto"/>
        </w:rPr>
        <w:t>Daly City</w:t>
      </w:r>
    </w:p>
    <w:p>
      <w:pPr>
        <w:spacing w:after="0" w:line="221" w:lineRule="auto"/>
        <w:rPr>
          <w:sz w:val="20"/>
          <w:szCs w:val="20"/>
          <w:color w:val="auto"/>
        </w:rPr>
      </w:pPr>
      <w:r>
        <w:rPr>
          <w:rFonts w:ascii="Arial" w:cs="Arial" w:eastAsia="Arial" w:hAnsi="Arial"/>
          <w:sz w:val="14"/>
          <w:szCs w:val="14"/>
          <w:color w:val="auto"/>
        </w:rPr>
        <w:t>Downey</w:t>
      </w:r>
    </w:p>
    <w:p>
      <w:pPr>
        <w:spacing w:after="0" w:line="222" w:lineRule="auto"/>
        <w:rPr>
          <w:sz w:val="20"/>
          <w:szCs w:val="20"/>
          <w:color w:val="auto"/>
        </w:rPr>
      </w:pPr>
      <w:r>
        <w:rPr>
          <w:rFonts w:ascii="Arial" w:cs="Arial" w:eastAsia="Arial" w:hAnsi="Arial"/>
          <w:sz w:val="14"/>
          <w:szCs w:val="14"/>
          <w:color w:val="auto"/>
        </w:rPr>
        <w:t>Dublin</w:t>
      </w:r>
    </w:p>
    <w:p>
      <w:pPr>
        <w:spacing w:after="0" w:line="221" w:lineRule="auto"/>
        <w:rPr>
          <w:sz w:val="20"/>
          <w:szCs w:val="20"/>
          <w:color w:val="auto"/>
        </w:rPr>
      </w:pPr>
      <w:r>
        <w:rPr>
          <w:rFonts w:ascii="Arial" w:cs="Arial" w:eastAsia="Arial" w:hAnsi="Arial"/>
          <w:sz w:val="14"/>
          <w:szCs w:val="14"/>
          <w:color w:val="auto"/>
        </w:rPr>
        <w:t>El Cajon</w:t>
      </w:r>
    </w:p>
    <w:p>
      <w:pPr>
        <w:spacing w:after="0" w:line="222" w:lineRule="auto"/>
        <w:rPr>
          <w:sz w:val="20"/>
          <w:szCs w:val="20"/>
          <w:color w:val="auto"/>
        </w:rPr>
      </w:pPr>
      <w:r>
        <w:rPr>
          <w:rFonts w:ascii="Arial" w:cs="Arial" w:eastAsia="Arial" w:hAnsi="Arial"/>
          <w:sz w:val="14"/>
          <w:szCs w:val="14"/>
          <w:color w:val="auto"/>
        </w:rPr>
        <w:t>Emeryville</w:t>
      </w:r>
    </w:p>
    <w:p>
      <w:pPr>
        <w:spacing w:after="0" w:line="221" w:lineRule="auto"/>
        <w:rPr>
          <w:sz w:val="20"/>
          <w:szCs w:val="20"/>
          <w:color w:val="auto"/>
        </w:rPr>
      </w:pPr>
      <w:r>
        <w:rPr>
          <w:rFonts w:ascii="Arial" w:cs="Arial" w:eastAsia="Arial" w:hAnsi="Arial"/>
          <w:sz w:val="14"/>
          <w:szCs w:val="14"/>
          <w:color w:val="auto"/>
        </w:rPr>
        <w:t>Escondido</w:t>
      </w:r>
    </w:p>
    <w:p>
      <w:pPr>
        <w:spacing w:after="0" w:line="222" w:lineRule="auto"/>
        <w:rPr>
          <w:sz w:val="20"/>
          <w:szCs w:val="20"/>
          <w:color w:val="auto"/>
        </w:rPr>
      </w:pPr>
      <w:r>
        <w:rPr>
          <w:rFonts w:ascii="Arial" w:cs="Arial" w:eastAsia="Arial" w:hAnsi="Arial"/>
          <w:sz w:val="14"/>
          <w:szCs w:val="14"/>
          <w:color w:val="auto"/>
        </w:rPr>
        <w:t>Folsom*</w:t>
      </w:r>
    </w:p>
    <w:p>
      <w:pPr>
        <w:spacing w:after="0" w:line="221" w:lineRule="auto"/>
        <w:rPr>
          <w:sz w:val="20"/>
          <w:szCs w:val="20"/>
          <w:color w:val="auto"/>
        </w:rPr>
      </w:pPr>
      <w:r>
        <w:rPr>
          <w:rFonts w:ascii="Arial" w:cs="Arial" w:eastAsia="Arial" w:hAnsi="Arial"/>
          <w:sz w:val="14"/>
          <w:szCs w:val="14"/>
          <w:color w:val="auto"/>
        </w:rPr>
        <w:t>Fremont</w:t>
      </w:r>
    </w:p>
    <w:p>
      <w:pPr>
        <w:spacing w:after="0" w:line="221" w:lineRule="auto"/>
        <w:rPr>
          <w:sz w:val="20"/>
          <w:szCs w:val="20"/>
          <w:color w:val="auto"/>
        </w:rPr>
      </w:pPr>
      <w:r>
        <w:rPr>
          <w:rFonts w:ascii="Arial" w:cs="Arial" w:eastAsia="Arial" w:hAnsi="Arial"/>
          <w:sz w:val="14"/>
          <w:szCs w:val="14"/>
          <w:color w:val="auto"/>
        </w:rPr>
        <w:t>Fresno</w:t>
      </w:r>
    </w:p>
    <w:p>
      <w:pPr>
        <w:spacing w:after="0" w:line="222" w:lineRule="auto"/>
        <w:rPr>
          <w:sz w:val="20"/>
          <w:szCs w:val="20"/>
          <w:color w:val="auto"/>
        </w:rPr>
      </w:pPr>
      <w:r>
        <w:rPr>
          <w:rFonts w:ascii="Arial" w:cs="Arial" w:eastAsia="Arial" w:hAnsi="Arial"/>
          <w:sz w:val="14"/>
          <w:szCs w:val="14"/>
          <w:color w:val="auto"/>
        </w:rPr>
        <w:t>Fullerton</w:t>
      </w:r>
    </w:p>
    <w:p>
      <w:pPr>
        <w:spacing w:after="0" w:line="221" w:lineRule="auto"/>
        <w:rPr>
          <w:sz w:val="20"/>
          <w:szCs w:val="20"/>
          <w:color w:val="auto"/>
        </w:rPr>
      </w:pPr>
      <w:r>
        <w:rPr>
          <w:rFonts w:ascii="Arial" w:cs="Arial" w:eastAsia="Arial" w:hAnsi="Arial"/>
          <w:sz w:val="14"/>
          <w:szCs w:val="14"/>
          <w:color w:val="auto"/>
        </w:rPr>
        <w:t>Gilroy*</w:t>
      </w:r>
    </w:p>
    <w:p>
      <w:pPr>
        <w:spacing w:after="0" w:line="222" w:lineRule="auto"/>
        <w:rPr>
          <w:sz w:val="20"/>
          <w:szCs w:val="20"/>
          <w:color w:val="auto"/>
        </w:rPr>
      </w:pPr>
      <w:r>
        <w:rPr>
          <w:rFonts w:ascii="Arial" w:cs="Arial" w:eastAsia="Arial" w:hAnsi="Arial"/>
          <w:sz w:val="14"/>
          <w:szCs w:val="14"/>
          <w:color w:val="auto"/>
        </w:rPr>
        <w:t>Glendale</w:t>
      </w:r>
    </w:p>
    <w:p>
      <w:pPr>
        <w:spacing w:after="0" w:line="221" w:lineRule="auto"/>
        <w:rPr>
          <w:sz w:val="20"/>
          <w:szCs w:val="20"/>
          <w:color w:val="auto"/>
        </w:rPr>
      </w:pPr>
      <w:r>
        <w:rPr>
          <w:rFonts w:ascii="Arial" w:cs="Arial" w:eastAsia="Arial" w:hAnsi="Arial"/>
          <w:sz w:val="14"/>
          <w:szCs w:val="14"/>
          <w:color w:val="auto"/>
        </w:rPr>
        <w:t>Lake Elsinore*</w:t>
      </w:r>
    </w:p>
    <w:p>
      <w:pPr>
        <w:spacing w:after="0" w:line="222" w:lineRule="auto"/>
        <w:rPr>
          <w:sz w:val="20"/>
          <w:szCs w:val="20"/>
          <w:color w:val="auto"/>
        </w:rPr>
      </w:pPr>
      <w:r>
        <w:rPr>
          <w:rFonts w:ascii="Arial" w:cs="Arial" w:eastAsia="Arial" w:hAnsi="Arial"/>
          <w:sz w:val="14"/>
          <w:szCs w:val="14"/>
          <w:color w:val="auto"/>
        </w:rPr>
        <w:t>Lake Forest</w:t>
      </w:r>
    </w:p>
    <w:p>
      <w:pPr>
        <w:spacing w:after="0" w:line="221" w:lineRule="auto"/>
        <w:rPr>
          <w:sz w:val="20"/>
          <w:szCs w:val="20"/>
          <w:color w:val="auto"/>
        </w:rPr>
      </w:pPr>
      <w:r>
        <w:rPr>
          <w:rFonts w:ascii="Arial" w:cs="Arial" w:eastAsia="Arial" w:hAnsi="Arial"/>
          <w:sz w:val="14"/>
          <w:szCs w:val="14"/>
          <w:color w:val="auto"/>
        </w:rPr>
        <w:t>Lakewood</w:t>
      </w:r>
    </w:p>
    <w:p>
      <w:pPr>
        <w:spacing w:after="0" w:line="222" w:lineRule="auto"/>
        <w:rPr>
          <w:sz w:val="20"/>
          <w:szCs w:val="20"/>
          <w:color w:val="auto"/>
        </w:rPr>
      </w:pPr>
      <w:r>
        <w:rPr>
          <w:rFonts w:ascii="Arial" w:cs="Arial" w:eastAsia="Arial" w:hAnsi="Arial"/>
          <w:sz w:val="14"/>
          <w:szCs w:val="14"/>
          <w:color w:val="auto"/>
        </w:rPr>
        <w:t>Long Beach</w:t>
      </w:r>
    </w:p>
    <w:p>
      <w:pPr>
        <w:spacing w:after="0" w:line="221" w:lineRule="auto"/>
        <w:rPr>
          <w:sz w:val="20"/>
          <w:szCs w:val="20"/>
          <w:color w:val="auto"/>
        </w:rPr>
      </w:pPr>
      <w:r>
        <w:rPr>
          <w:rFonts w:ascii="Arial" w:cs="Arial" w:eastAsia="Arial" w:hAnsi="Arial"/>
          <w:sz w:val="14"/>
          <w:szCs w:val="14"/>
          <w:color w:val="auto"/>
        </w:rPr>
        <w:t>Los Altos</w:t>
      </w:r>
    </w:p>
    <w:p>
      <w:pPr>
        <w:spacing w:after="0" w:line="222" w:lineRule="auto"/>
        <w:rPr>
          <w:sz w:val="20"/>
          <w:szCs w:val="20"/>
          <w:color w:val="auto"/>
        </w:rPr>
      </w:pPr>
      <w:r>
        <w:rPr>
          <w:rFonts w:ascii="Arial" w:cs="Arial" w:eastAsia="Arial" w:hAnsi="Arial"/>
          <w:sz w:val="14"/>
          <w:szCs w:val="14"/>
          <w:color w:val="auto"/>
        </w:rPr>
        <w:t>Los Angeles</w:t>
      </w:r>
    </w:p>
    <w:p>
      <w:pPr>
        <w:spacing w:after="0" w:line="221" w:lineRule="auto"/>
        <w:rPr>
          <w:sz w:val="20"/>
          <w:szCs w:val="20"/>
          <w:color w:val="auto"/>
        </w:rPr>
      </w:pPr>
      <w:r>
        <w:rPr>
          <w:rFonts w:ascii="Arial" w:cs="Arial" w:eastAsia="Arial" w:hAnsi="Arial"/>
          <w:sz w:val="14"/>
          <w:szCs w:val="14"/>
          <w:color w:val="auto"/>
        </w:rPr>
        <w:t>Modesto</w:t>
      </w:r>
    </w:p>
    <w:p>
      <w:pPr>
        <w:spacing w:after="0" w:line="222" w:lineRule="auto"/>
        <w:rPr>
          <w:sz w:val="20"/>
          <w:szCs w:val="20"/>
          <w:color w:val="auto"/>
        </w:rPr>
      </w:pPr>
      <w:r>
        <w:rPr>
          <w:rFonts w:ascii="Arial" w:cs="Arial" w:eastAsia="Arial" w:hAnsi="Arial"/>
          <w:sz w:val="14"/>
          <w:szCs w:val="14"/>
          <w:color w:val="auto"/>
        </w:rPr>
        <w:t>Northridge</w:t>
      </w:r>
    </w:p>
    <w:p>
      <w:pPr>
        <w:spacing w:after="0" w:line="221" w:lineRule="auto"/>
        <w:rPr>
          <w:sz w:val="20"/>
          <w:szCs w:val="20"/>
          <w:color w:val="auto"/>
        </w:rPr>
      </w:pPr>
      <w:r>
        <w:rPr>
          <w:rFonts w:ascii="Arial" w:cs="Arial" w:eastAsia="Arial" w:hAnsi="Arial"/>
          <w:sz w:val="14"/>
          <w:szCs w:val="14"/>
          <w:color w:val="auto"/>
        </w:rPr>
        <w:t>Ontario*</w:t>
      </w:r>
    </w:p>
    <w:p>
      <w:pPr>
        <w:spacing w:after="0" w:line="221" w:lineRule="auto"/>
        <w:rPr>
          <w:sz w:val="20"/>
          <w:szCs w:val="20"/>
          <w:color w:val="auto"/>
        </w:rPr>
      </w:pPr>
      <w:r>
        <w:rPr>
          <w:rFonts w:ascii="Arial" w:cs="Arial" w:eastAsia="Arial" w:hAnsi="Arial"/>
          <w:sz w:val="14"/>
          <w:szCs w:val="14"/>
          <w:color w:val="auto"/>
        </w:rPr>
        <w:t>Orange</w:t>
      </w:r>
    </w:p>
    <w:p>
      <w:pPr>
        <w:spacing w:after="0" w:line="222" w:lineRule="auto"/>
        <w:rPr>
          <w:sz w:val="20"/>
          <w:szCs w:val="20"/>
          <w:color w:val="auto"/>
        </w:rPr>
      </w:pPr>
      <w:r>
        <w:rPr>
          <w:rFonts w:ascii="Arial" w:cs="Arial" w:eastAsia="Arial" w:hAnsi="Arial"/>
          <w:sz w:val="14"/>
          <w:szCs w:val="14"/>
          <w:color w:val="auto"/>
        </w:rPr>
        <w:t>Oxnard</w:t>
      </w:r>
    </w:p>
    <w:p>
      <w:pPr>
        <w:spacing w:after="0" w:line="221" w:lineRule="auto"/>
        <w:rPr>
          <w:sz w:val="20"/>
          <w:szCs w:val="20"/>
          <w:color w:val="auto"/>
        </w:rPr>
      </w:pPr>
      <w:r>
        <w:rPr>
          <w:rFonts w:ascii="Arial" w:cs="Arial" w:eastAsia="Arial" w:hAnsi="Arial"/>
          <w:sz w:val="14"/>
          <w:szCs w:val="14"/>
          <w:color w:val="auto"/>
        </w:rPr>
        <w:t>Palmdale</w:t>
      </w:r>
    </w:p>
    <w:p>
      <w:pPr>
        <w:spacing w:after="0" w:line="222" w:lineRule="auto"/>
        <w:rPr>
          <w:sz w:val="20"/>
          <w:szCs w:val="20"/>
          <w:color w:val="auto"/>
        </w:rPr>
      </w:pPr>
      <w:r>
        <w:rPr>
          <w:rFonts w:ascii="Arial" w:cs="Arial" w:eastAsia="Arial" w:hAnsi="Arial"/>
          <w:sz w:val="14"/>
          <w:szCs w:val="14"/>
          <w:color w:val="auto"/>
        </w:rPr>
        <w:t>Palm Desert</w:t>
      </w:r>
    </w:p>
    <w:p>
      <w:pPr>
        <w:spacing w:after="0" w:line="221" w:lineRule="auto"/>
        <w:rPr>
          <w:sz w:val="20"/>
          <w:szCs w:val="20"/>
          <w:color w:val="auto"/>
        </w:rPr>
      </w:pPr>
      <w:r>
        <w:rPr>
          <w:rFonts w:ascii="Arial" w:cs="Arial" w:eastAsia="Arial" w:hAnsi="Arial"/>
          <w:sz w:val="14"/>
          <w:szCs w:val="14"/>
          <w:color w:val="auto"/>
        </w:rPr>
        <w:t>Pasadena</w:t>
      </w:r>
    </w:p>
    <w:p>
      <w:pPr>
        <w:spacing w:after="0" w:line="222" w:lineRule="auto"/>
        <w:rPr>
          <w:sz w:val="20"/>
          <w:szCs w:val="20"/>
          <w:color w:val="auto"/>
        </w:rPr>
      </w:pPr>
      <w:r>
        <w:rPr>
          <w:rFonts w:ascii="Arial" w:cs="Arial" w:eastAsia="Arial" w:hAnsi="Arial"/>
          <w:sz w:val="14"/>
          <w:szCs w:val="14"/>
          <w:color w:val="auto"/>
        </w:rPr>
        <w:t>Pleasant Hill</w:t>
      </w:r>
    </w:p>
    <w:p>
      <w:pPr>
        <w:spacing w:after="0" w:line="221" w:lineRule="auto"/>
        <w:rPr>
          <w:sz w:val="20"/>
          <w:szCs w:val="20"/>
          <w:color w:val="auto"/>
        </w:rPr>
      </w:pPr>
      <w:r>
        <w:rPr>
          <w:rFonts w:ascii="Arial" w:cs="Arial" w:eastAsia="Arial" w:hAnsi="Arial"/>
          <w:sz w:val="14"/>
          <w:szCs w:val="14"/>
          <w:color w:val="auto"/>
        </w:rPr>
        <w:t>Riverside</w:t>
      </w:r>
    </w:p>
    <w:p>
      <w:pPr>
        <w:spacing w:after="0" w:line="222" w:lineRule="auto"/>
        <w:rPr>
          <w:sz w:val="20"/>
          <w:szCs w:val="20"/>
          <w:color w:val="auto"/>
        </w:rPr>
      </w:pPr>
      <w:r>
        <w:rPr>
          <w:rFonts w:ascii="Arial" w:cs="Arial" w:eastAsia="Arial" w:hAnsi="Arial"/>
          <w:sz w:val="14"/>
          <w:szCs w:val="14"/>
          <w:color w:val="auto"/>
        </w:rPr>
        <w:t>Roseville</w:t>
      </w:r>
    </w:p>
    <w:p>
      <w:pPr>
        <w:spacing w:after="0" w:line="221" w:lineRule="auto"/>
        <w:rPr>
          <w:sz w:val="20"/>
          <w:szCs w:val="20"/>
          <w:color w:val="auto"/>
        </w:rPr>
      </w:pPr>
      <w:r>
        <w:rPr>
          <w:rFonts w:ascii="Arial" w:cs="Arial" w:eastAsia="Arial" w:hAnsi="Arial"/>
          <w:sz w:val="14"/>
          <w:szCs w:val="14"/>
          <w:color w:val="auto"/>
        </w:rPr>
        <w:t>Sacramento (2)</w:t>
      </w:r>
    </w:p>
    <w:p>
      <w:pPr>
        <w:spacing w:after="0" w:line="222" w:lineRule="auto"/>
        <w:rPr>
          <w:sz w:val="20"/>
          <w:szCs w:val="20"/>
          <w:color w:val="auto"/>
        </w:rPr>
      </w:pPr>
      <w:r>
        <w:rPr>
          <w:rFonts w:ascii="Arial" w:cs="Arial" w:eastAsia="Arial" w:hAnsi="Arial"/>
          <w:sz w:val="14"/>
          <w:szCs w:val="14"/>
          <w:color w:val="auto"/>
        </w:rPr>
        <w:t>Salinas</w:t>
      </w:r>
    </w:p>
    <w:p>
      <w:pPr>
        <w:spacing w:after="0" w:line="221" w:lineRule="auto"/>
        <w:rPr>
          <w:sz w:val="20"/>
          <w:szCs w:val="20"/>
          <w:color w:val="auto"/>
        </w:rPr>
      </w:pPr>
      <w:r>
        <w:rPr>
          <w:rFonts w:ascii="Arial" w:cs="Arial" w:eastAsia="Arial" w:hAnsi="Arial"/>
          <w:sz w:val="14"/>
          <w:szCs w:val="14"/>
          <w:color w:val="auto"/>
        </w:rPr>
        <w:t>San Bernardino</w:t>
      </w:r>
    </w:p>
    <w:p>
      <w:pPr>
        <w:spacing w:after="0" w:line="222" w:lineRule="auto"/>
        <w:rPr>
          <w:sz w:val="20"/>
          <w:szCs w:val="20"/>
          <w:color w:val="auto"/>
        </w:rPr>
      </w:pPr>
      <w:r>
        <w:rPr>
          <w:rFonts w:ascii="Arial" w:cs="Arial" w:eastAsia="Arial" w:hAnsi="Arial"/>
          <w:sz w:val="14"/>
          <w:szCs w:val="14"/>
          <w:color w:val="auto"/>
        </w:rPr>
        <w:t>San Diego</w:t>
      </w:r>
    </w:p>
    <w:p>
      <w:pPr>
        <w:spacing w:after="0" w:line="221" w:lineRule="auto"/>
        <w:rPr>
          <w:sz w:val="20"/>
          <w:szCs w:val="20"/>
          <w:color w:val="auto"/>
        </w:rPr>
      </w:pPr>
      <w:r>
        <w:rPr>
          <w:rFonts w:ascii="Arial" w:cs="Arial" w:eastAsia="Arial" w:hAnsi="Arial"/>
          <w:sz w:val="14"/>
          <w:szCs w:val="14"/>
          <w:color w:val="auto"/>
        </w:rPr>
        <w:t>San Francisco</w:t>
      </w:r>
    </w:p>
    <w:p>
      <w:pPr>
        <w:spacing w:after="0"/>
        <w:rPr>
          <w:sz w:val="20"/>
          <w:szCs w:val="20"/>
          <w:color w:val="auto"/>
        </w:rPr>
      </w:pPr>
      <w:r>
        <w:rPr>
          <w:rFonts w:ascii="Arial" w:cs="Arial" w:eastAsia="Arial" w:hAnsi="Arial"/>
          <w:sz w:val="14"/>
          <w:szCs w:val="14"/>
          <w:color w:val="auto"/>
        </w:rPr>
        <w:t>San Jose (2)</w:t>
      </w:r>
    </w:p>
    <w:p>
      <w:pPr>
        <w:spacing w:after="0" w:line="124" w:lineRule="exact"/>
        <w:rPr>
          <w:sz w:val="20"/>
          <w:szCs w:val="20"/>
          <w:color w:val="auto"/>
        </w:rPr>
      </w:pPr>
    </w:p>
    <w:p>
      <w:pPr>
        <w:ind w:left="5260"/>
        <w:spacing w:after="0"/>
        <w:rPr>
          <w:sz w:val="20"/>
          <w:szCs w:val="20"/>
          <w:color w:val="auto"/>
        </w:rPr>
      </w:pPr>
      <w:r>
        <w:rPr>
          <w:rFonts w:ascii="Arial" w:cs="Arial" w:eastAsia="Arial" w:hAnsi="Arial"/>
          <w:sz w:val="14"/>
          <w:szCs w:val="14"/>
          <w:b w:val="1"/>
          <w:bCs w:val="1"/>
          <w:i w:val="1"/>
          <w:iCs w:val="1"/>
          <w:color w:val="auto"/>
        </w:rPr>
        <w:t>California, cont.</w:t>
      </w:r>
    </w:p>
    <w:p>
      <w:pPr>
        <w:spacing w:after="0" w:line="221" w:lineRule="auto"/>
        <w:rPr>
          <w:sz w:val="20"/>
          <w:szCs w:val="20"/>
          <w:color w:val="auto"/>
        </w:rPr>
      </w:pPr>
      <w:r>
        <w:rPr>
          <w:rFonts w:ascii="Arial" w:cs="Arial" w:eastAsia="Arial" w:hAnsi="Arial"/>
          <w:sz w:val="14"/>
          <w:szCs w:val="14"/>
          <w:color w:val="auto"/>
        </w:rPr>
        <w:t>San Leandro</w:t>
      </w:r>
    </w:p>
    <w:p>
      <w:pPr>
        <w:spacing w:after="0" w:line="221" w:lineRule="auto"/>
        <w:rPr>
          <w:sz w:val="20"/>
          <w:szCs w:val="20"/>
          <w:color w:val="auto"/>
        </w:rPr>
      </w:pPr>
      <w:r>
        <w:rPr>
          <w:rFonts w:ascii="Arial" w:cs="Arial" w:eastAsia="Arial" w:hAnsi="Arial"/>
          <w:sz w:val="14"/>
          <w:szCs w:val="14"/>
          <w:color w:val="auto"/>
        </w:rPr>
        <w:t>Santa Ana</w:t>
      </w:r>
    </w:p>
    <w:p>
      <w:pPr>
        <w:spacing w:after="0" w:line="222" w:lineRule="auto"/>
        <w:rPr>
          <w:sz w:val="20"/>
          <w:szCs w:val="20"/>
          <w:color w:val="auto"/>
        </w:rPr>
      </w:pPr>
      <w:r>
        <w:rPr>
          <w:rFonts w:ascii="Arial" w:cs="Arial" w:eastAsia="Arial" w:hAnsi="Arial"/>
          <w:sz w:val="14"/>
          <w:szCs w:val="14"/>
          <w:color w:val="auto"/>
        </w:rPr>
        <w:t>Santa Rosa</w:t>
      </w:r>
    </w:p>
    <w:p>
      <w:pPr>
        <w:spacing w:after="0" w:line="221" w:lineRule="auto"/>
        <w:rPr>
          <w:sz w:val="20"/>
          <w:szCs w:val="20"/>
          <w:color w:val="auto"/>
        </w:rPr>
      </w:pPr>
      <w:r>
        <w:rPr>
          <w:rFonts w:ascii="Arial" w:cs="Arial" w:eastAsia="Arial" w:hAnsi="Arial"/>
          <w:sz w:val="14"/>
          <w:szCs w:val="14"/>
          <w:color w:val="auto"/>
        </w:rPr>
        <w:t>Stockton</w:t>
      </w:r>
    </w:p>
    <w:p>
      <w:pPr>
        <w:spacing w:after="0" w:line="222" w:lineRule="auto"/>
        <w:rPr>
          <w:sz w:val="20"/>
          <w:szCs w:val="20"/>
          <w:color w:val="auto"/>
        </w:rPr>
      </w:pPr>
      <w:r>
        <w:rPr>
          <w:rFonts w:ascii="Arial" w:cs="Arial" w:eastAsia="Arial" w:hAnsi="Arial"/>
          <w:sz w:val="14"/>
          <w:szCs w:val="14"/>
          <w:color w:val="auto"/>
        </w:rPr>
        <w:t>Temecula</w:t>
      </w:r>
    </w:p>
    <w:p>
      <w:pPr>
        <w:spacing w:after="0" w:line="221" w:lineRule="auto"/>
        <w:rPr>
          <w:sz w:val="20"/>
          <w:szCs w:val="20"/>
          <w:color w:val="auto"/>
        </w:rPr>
      </w:pPr>
      <w:r>
        <w:rPr>
          <w:rFonts w:ascii="Arial" w:cs="Arial" w:eastAsia="Arial" w:hAnsi="Arial"/>
          <w:sz w:val="14"/>
          <w:szCs w:val="14"/>
          <w:color w:val="auto"/>
        </w:rPr>
        <w:t>Tracy*</w:t>
      </w:r>
    </w:p>
    <w:p>
      <w:pPr>
        <w:spacing w:after="0" w:line="222" w:lineRule="auto"/>
        <w:rPr>
          <w:sz w:val="20"/>
          <w:szCs w:val="20"/>
          <w:color w:val="auto"/>
        </w:rPr>
      </w:pPr>
      <w:r>
        <w:rPr>
          <w:rFonts w:ascii="Arial" w:cs="Arial" w:eastAsia="Arial" w:hAnsi="Arial"/>
          <w:sz w:val="14"/>
          <w:szCs w:val="14"/>
          <w:color w:val="auto"/>
        </w:rPr>
        <w:t>Tulare*</w:t>
      </w:r>
    </w:p>
    <w:p>
      <w:pPr>
        <w:spacing w:after="0" w:line="221" w:lineRule="auto"/>
        <w:rPr>
          <w:sz w:val="20"/>
          <w:szCs w:val="20"/>
          <w:color w:val="auto"/>
        </w:rPr>
      </w:pPr>
      <w:r>
        <w:rPr>
          <w:rFonts w:ascii="Arial" w:cs="Arial" w:eastAsia="Arial" w:hAnsi="Arial"/>
          <w:sz w:val="14"/>
          <w:szCs w:val="14"/>
          <w:color w:val="auto"/>
        </w:rPr>
        <w:t>Upland</w:t>
      </w:r>
    </w:p>
    <w:p>
      <w:pPr>
        <w:spacing w:after="0" w:line="222" w:lineRule="auto"/>
        <w:rPr>
          <w:sz w:val="20"/>
          <w:szCs w:val="20"/>
          <w:color w:val="auto"/>
        </w:rPr>
      </w:pPr>
      <w:r>
        <w:rPr>
          <w:rFonts w:ascii="Arial" w:cs="Arial" w:eastAsia="Arial" w:hAnsi="Arial"/>
          <w:sz w:val="14"/>
          <w:szCs w:val="14"/>
          <w:color w:val="auto"/>
        </w:rPr>
        <w:t>Vacaville*</w:t>
      </w:r>
    </w:p>
    <w:p>
      <w:pPr>
        <w:spacing w:after="0" w:line="221" w:lineRule="auto"/>
        <w:rPr>
          <w:sz w:val="20"/>
          <w:szCs w:val="20"/>
          <w:color w:val="auto"/>
        </w:rPr>
      </w:pPr>
      <w:r>
        <w:rPr>
          <w:rFonts w:ascii="Arial" w:cs="Arial" w:eastAsia="Arial" w:hAnsi="Arial"/>
          <w:sz w:val="14"/>
          <w:szCs w:val="14"/>
          <w:color w:val="auto"/>
        </w:rPr>
        <w:t>Valencia</w:t>
      </w:r>
    </w:p>
    <w:p>
      <w:pPr>
        <w:spacing w:after="0" w:line="222" w:lineRule="auto"/>
        <w:rPr>
          <w:sz w:val="20"/>
          <w:szCs w:val="20"/>
          <w:color w:val="auto"/>
        </w:rPr>
      </w:pPr>
      <w:r>
        <w:rPr>
          <w:rFonts w:ascii="Arial" w:cs="Arial" w:eastAsia="Arial" w:hAnsi="Arial"/>
          <w:sz w:val="14"/>
          <w:szCs w:val="14"/>
          <w:color w:val="auto"/>
        </w:rPr>
        <w:t>Victorville</w:t>
      </w:r>
    </w:p>
    <w:p>
      <w:pPr>
        <w:spacing w:after="0" w:line="221" w:lineRule="auto"/>
        <w:rPr>
          <w:sz w:val="20"/>
          <w:szCs w:val="20"/>
          <w:color w:val="auto"/>
        </w:rPr>
      </w:pPr>
      <w:r>
        <w:rPr>
          <w:rFonts w:ascii="Arial" w:cs="Arial" w:eastAsia="Arial" w:hAnsi="Arial"/>
          <w:sz w:val="14"/>
          <w:szCs w:val="14"/>
          <w:color w:val="auto"/>
        </w:rPr>
        <w:t>West Covina</w:t>
      </w:r>
    </w:p>
    <w:p>
      <w:pPr>
        <w:spacing w:after="0"/>
        <w:rPr>
          <w:sz w:val="20"/>
          <w:szCs w:val="20"/>
          <w:color w:val="auto"/>
        </w:rPr>
      </w:pPr>
      <w:r>
        <w:rPr>
          <w:rFonts w:ascii="Arial" w:cs="Arial" w:eastAsia="Arial" w:hAnsi="Arial"/>
          <w:sz w:val="14"/>
          <w:szCs w:val="14"/>
          <w:color w:val="auto"/>
        </w:rPr>
        <w:t>Woodland Hills</w:t>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4"/>
          <w:szCs w:val="14"/>
          <w:b w:val="1"/>
          <w:bCs w:val="1"/>
          <w:i w:val="1"/>
          <w:iCs w:val="1"/>
          <w:color w:val="auto"/>
        </w:rPr>
        <w:t>Colorado</w:t>
      </w:r>
    </w:p>
    <w:p>
      <w:pPr>
        <w:spacing w:after="0" w:line="221" w:lineRule="auto"/>
        <w:rPr>
          <w:sz w:val="20"/>
          <w:szCs w:val="20"/>
          <w:color w:val="auto"/>
        </w:rPr>
      </w:pPr>
      <w:r>
        <w:rPr>
          <w:rFonts w:ascii="Arial" w:cs="Arial" w:eastAsia="Arial" w:hAnsi="Arial"/>
          <w:sz w:val="14"/>
          <w:szCs w:val="14"/>
          <w:color w:val="auto"/>
        </w:rPr>
        <w:t>Colorado Springs</w:t>
      </w:r>
    </w:p>
    <w:p>
      <w:pPr>
        <w:spacing w:after="0" w:line="221" w:lineRule="auto"/>
        <w:rPr>
          <w:sz w:val="20"/>
          <w:szCs w:val="20"/>
          <w:color w:val="auto"/>
        </w:rPr>
      </w:pPr>
      <w:r>
        <w:rPr>
          <w:rFonts w:ascii="Arial" w:cs="Arial" w:eastAsia="Arial" w:hAnsi="Arial"/>
          <w:sz w:val="14"/>
          <w:szCs w:val="14"/>
          <w:color w:val="auto"/>
        </w:rPr>
        <w:t>Glendale</w:t>
      </w:r>
    </w:p>
    <w:p>
      <w:pPr>
        <w:spacing w:after="0" w:line="222" w:lineRule="auto"/>
        <w:rPr>
          <w:sz w:val="20"/>
          <w:szCs w:val="20"/>
          <w:color w:val="auto"/>
        </w:rPr>
      </w:pPr>
      <w:r>
        <w:rPr>
          <w:rFonts w:ascii="Arial" w:cs="Arial" w:eastAsia="Arial" w:hAnsi="Arial"/>
          <w:sz w:val="14"/>
          <w:szCs w:val="14"/>
          <w:color w:val="auto"/>
        </w:rPr>
        <w:t>Littleton</w:t>
      </w:r>
    </w:p>
    <w:p>
      <w:pPr>
        <w:spacing w:after="0" w:line="221" w:lineRule="auto"/>
        <w:rPr>
          <w:sz w:val="20"/>
          <w:szCs w:val="20"/>
          <w:color w:val="auto"/>
        </w:rPr>
      </w:pPr>
      <w:r>
        <w:rPr>
          <w:rFonts w:ascii="Arial" w:cs="Arial" w:eastAsia="Arial" w:hAnsi="Arial"/>
          <w:sz w:val="14"/>
          <w:szCs w:val="14"/>
          <w:color w:val="auto"/>
        </w:rPr>
        <w:t>Lone Tree</w:t>
      </w:r>
    </w:p>
    <w:p>
      <w:pPr>
        <w:spacing w:after="0" w:line="222" w:lineRule="auto"/>
        <w:rPr>
          <w:sz w:val="20"/>
          <w:szCs w:val="20"/>
          <w:color w:val="auto"/>
        </w:rPr>
      </w:pPr>
      <w:r>
        <w:rPr>
          <w:rFonts w:ascii="Arial" w:cs="Arial" w:eastAsia="Arial" w:hAnsi="Arial"/>
          <w:sz w:val="14"/>
          <w:szCs w:val="14"/>
          <w:color w:val="auto"/>
        </w:rPr>
        <w:t>Loveland*</w:t>
      </w:r>
    </w:p>
    <w:p>
      <w:pPr>
        <w:spacing w:after="0"/>
        <w:rPr>
          <w:sz w:val="20"/>
          <w:szCs w:val="20"/>
          <w:color w:val="auto"/>
        </w:rPr>
      </w:pPr>
      <w:r>
        <w:rPr>
          <w:rFonts w:ascii="Arial" w:cs="Arial" w:eastAsia="Arial" w:hAnsi="Arial"/>
          <w:sz w:val="14"/>
          <w:szCs w:val="14"/>
          <w:color w:val="auto"/>
        </w:rPr>
        <w:t>Westminster</w:t>
      </w:r>
    </w:p>
    <w:p>
      <w:pPr>
        <w:spacing w:after="0" w:line="56" w:lineRule="exact"/>
        <w:rPr>
          <w:sz w:val="20"/>
          <w:szCs w:val="20"/>
          <w:color w:val="auto"/>
        </w:rPr>
      </w:pPr>
    </w:p>
    <w:p>
      <w:pPr>
        <w:ind w:left="5380"/>
        <w:spacing w:after="0"/>
        <w:rPr>
          <w:sz w:val="20"/>
          <w:szCs w:val="20"/>
          <w:color w:val="auto"/>
        </w:rPr>
      </w:pPr>
      <w:r>
        <w:rPr>
          <w:rFonts w:ascii="Arial" w:cs="Arial" w:eastAsia="Arial" w:hAnsi="Arial"/>
          <w:sz w:val="14"/>
          <w:szCs w:val="14"/>
          <w:b w:val="1"/>
          <w:bCs w:val="1"/>
          <w:i w:val="1"/>
          <w:iCs w:val="1"/>
          <w:color w:val="auto"/>
        </w:rPr>
        <w:t>Connecticut</w:t>
      </w:r>
    </w:p>
    <w:p>
      <w:pPr>
        <w:spacing w:after="0" w:line="221" w:lineRule="auto"/>
        <w:rPr>
          <w:sz w:val="20"/>
          <w:szCs w:val="20"/>
          <w:color w:val="auto"/>
        </w:rPr>
      </w:pPr>
      <w:r>
        <w:rPr>
          <w:rFonts w:ascii="Arial" w:cs="Arial" w:eastAsia="Arial" w:hAnsi="Arial"/>
          <w:sz w:val="14"/>
          <w:szCs w:val="14"/>
          <w:color w:val="auto"/>
        </w:rPr>
        <w:t>Danbury</w:t>
      </w:r>
    </w:p>
    <w:p>
      <w:pPr>
        <w:spacing w:after="0" w:line="221" w:lineRule="auto"/>
        <w:rPr>
          <w:sz w:val="20"/>
          <w:szCs w:val="20"/>
          <w:color w:val="auto"/>
        </w:rPr>
      </w:pPr>
      <w:r>
        <w:rPr>
          <w:rFonts w:ascii="Arial" w:cs="Arial" w:eastAsia="Arial" w:hAnsi="Arial"/>
          <w:sz w:val="14"/>
          <w:szCs w:val="14"/>
          <w:color w:val="auto"/>
        </w:rPr>
        <w:t>East Haven</w:t>
      </w:r>
    </w:p>
    <w:p>
      <w:pPr>
        <w:spacing w:after="0" w:line="222" w:lineRule="auto"/>
        <w:rPr>
          <w:sz w:val="20"/>
          <w:szCs w:val="20"/>
          <w:color w:val="auto"/>
        </w:rPr>
      </w:pPr>
      <w:r>
        <w:rPr>
          <w:rFonts w:ascii="Arial" w:cs="Arial" w:eastAsia="Arial" w:hAnsi="Arial"/>
          <w:sz w:val="14"/>
          <w:szCs w:val="14"/>
          <w:color w:val="auto"/>
        </w:rPr>
        <w:t>Groton</w:t>
      </w:r>
    </w:p>
    <w:p>
      <w:pPr>
        <w:spacing w:after="0" w:line="221" w:lineRule="auto"/>
        <w:rPr>
          <w:sz w:val="20"/>
          <w:szCs w:val="20"/>
          <w:color w:val="auto"/>
        </w:rPr>
      </w:pPr>
      <w:r>
        <w:rPr>
          <w:rFonts w:ascii="Arial" w:cs="Arial" w:eastAsia="Arial" w:hAnsi="Arial"/>
          <w:sz w:val="14"/>
          <w:szCs w:val="14"/>
          <w:color w:val="auto"/>
        </w:rPr>
        <w:t>Hamden</w:t>
      </w:r>
    </w:p>
    <w:p>
      <w:pPr>
        <w:spacing w:after="0" w:line="222" w:lineRule="auto"/>
        <w:rPr>
          <w:sz w:val="20"/>
          <w:szCs w:val="20"/>
          <w:color w:val="auto"/>
        </w:rPr>
      </w:pPr>
      <w:r>
        <w:rPr>
          <w:rFonts w:ascii="Arial" w:cs="Arial" w:eastAsia="Arial" w:hAnsi="Arial"/>
          <w:sz w:val="14"/>
          <w:szCs w:val="14"/>
          <w:color w:val="auto"/>
        </w:rPr>
        <w:t>Manchester</w:t>
      </w:r>
    </w:p>
    <w:p>
      <w:pPr>
        <w:spacing w:after="0" w:line="221" w:lineRule="auto"/>
        <w:rPr>
          <w:sz w:val="20"/>
          <w:szCs w:val="20"/>
          <w:color w:val="auto"/>
        </w:rPr>
      </w:pPr>
      <w:r>
        <w:rPr>
          <w:rFonts w:ascii="Arial" w:cs="Arial" w:eastAsia="Arial" w:hAnsi="Arial"/>
          <w:sz w:val="14"/>
          <w:szCs w:val="14"/>
          <w:color w:val="auto"/>
        </w:rPr>
        <w:t>Milford</w:t>
      </w:r>
    </w:p>
    <w:p>
      <w:pPr>
        <w:spacing w:after="0" w:line="222" w:lineRule="auto"/>
        <w:rPr>
          <w:sz w:val="20"/>
          <w:szCs w:val="20"/>
          <w:color w:val="auto"/>
        </w:rPr>
      </w:pPr>
      <w:r>
        <w:rPr>
          <w:rFonts w:ascii="Arial" w:cs="Arial" w:eastAsia="Arial" w:hAnsi="Arial"/>
          <w:sz w:val="14"/>
          <w:szCs w:val="14"/>
          <w:color w:val="auto"/>
        </w:rPr>
        <w:t>Waterbury</w:t>
      </w:r>
    </w:p>
    <w:p>
      <w:pPr>
        <w:spacing w:after="0" w:line="221" w:lineRule="auto"/>
        <w:rPr>
          <w:sz w:val="20"/>
          <w:szCs w:val="20"/>
          <w:color w:val="auto"/>
        </w:rPr>
      </w:pPr>
      <w:r>
        <w:rPr>
          <w:rFonts w:ascii="Arial" w:cs="Arial" w:eastAsia="Arial" w:hAnsi="Arial"/>
          <w:sz w:val="14"/>
          <w:szCs w:val="14"/>
          <w:color w:val="auto"/>
        </w:rPr>
        <w:t>West Hartford</w:t>
      </w:r>
    </w:p>
    <w:p>
      <w:pPr>
        <w:spacing w:after="0" w:line="222" w:lineRule="auto"/>
        <w:rPr>
          <w:sz w:val="20"/>
          <w:szCs w:val="20"/>
          <w:color w:val="auto"/>
        </w:rPr>
      </w:pPr>
      <w:r>
        <w:rPr>
          <w:rFonts w:ascii="Arial" w:cs="Arial" w:eastAsia="Arial" w:hAnsi="Arial"/>
          <w:sz w:val="14"/>
          <w:szCs w:val="14"/>
          <w:color w:val="auto"/>
        </w:rPr>
        <w:t>Westbrook*</w:t>
      </w:r>
    </w:p>
    <w:p>
      <w:pPr>
        <w:spacing w:after="0"/>
        <w:rPr>
          <w:sz w:val="20"/>
          <w:szCs w:val="20"/>
          <w:color w:val="auto"/>
        </w:rPr>
      </w:pPr>
      <w:r>
        <w:rPr>
          <w:rFonts w:ascii="Arial" w:cs="Arial" w:eastAsia="Arial" w:hAnsi="Arial"/>
          <w:sz w:val="14"/>
          <w:szCs w:val="14"/>
          <w:color w:val="auto"/>
        </w:rPr>
        <w:t>Wethersfield</w:t>
      </w:r>
    </w:p>
    <w:p>
      <w:pPr>
        <w:spacing w:after="0" w:line="56" w:lineRule="exact"/>
        <w:rPr>
          <w:sz w:val="20"/>
          <w:szCs w:val="20"/>
          <w:color w:val="auto"/>
        </w:rPr>
      </w:pPr>
    </w:p>
    <w:p>
      <w:pPr>
        <w:ind w:left="5440"/>
        <w:spacing w:after="0"/>
        <w:rPr>
          <w:sz w:val="20"/>
          <w:szCs w:val="20"/>
          <w:color w:val="auto"/>
        </w:rPr>
      </w:pPr>
      <w:r>
        <w:rPr>
          <w:rFonts w:ascii="Arial" w:cs="Arial" w:eastAsia="Arial" w:hAnsi="Arial"/>
          <w:sz w:val="14"/>
          <w:szCs w:val="14"/>
          <w:b w:val="1"/>
          <w:bCs w:val="1"/>
          <w:i w:val="1"/>
          <w:iCs w:val="1"/>
          <w:color w:val="auto"/>
        </w:rPr>
        <w:t>Delaware</w:t>
      </w:r>
    </w:p>
    <w:p>
      <w:pPr>
        <w:spacing w:after="0" w:line="221" w:lineRule="auto"/>
        <w:rPr>
          <w:sz w:val="20"/>
          <w:szCs w:val="20"/>
          <w:color w:val="auto"/>
        </w:rPr>
      </w:pPr>
      <w:r>
        <w:rPr>
          <w:rFonts w:ascii="Arial" w:cs="Arial" w:eastAsia="Arial" w:hAnsi="Arial"/>
          <w:sz w:val="14"/>
          <w:szCs w:val="14"/>
          <w:color w:val="auto"/>
        </w:rPr>
        <w:t>Dover</w:t>
      </w:r>
    </w:p>
    <w:p>
      <w:pPr>
        <w:spacing w:after="0" w:line="221" w:lineRule="auto"/>
        <w:rPr>
          <w:sz w:val="20"/>
          <w:szCs w:val="20"/>
          <w:color w:val="auto"/>
        </w:rPr>
      </w:pPr>
      <w:r>
        <w:rPr>
          <w:rFonts w:ascii="Arial" w:cs="Arial" w:eastAsia="Arial" w:hAnsi="Arial"/>
          <w:sz w:val="14"/>
          <w:szCs w:val="14"/>
          <w:color w:val="auto"/>
        </w:rPr>
        <w:t>Rehoboth Beach*</w:t>
      </w:r>
    </w:p>
    <w:p>
      <w:pPr>
        <w:spacing w:after="0"/>
        <w:rPr>
          <w:sz w:val="20"/>
          <w:szCs w:val="20"/>
          <w:color w:val="auto"/>
        </w:rPr>
      </w:pPr>
      <w:r>
        <w:rPr>
          <w:rFonts w:ascii="Arial" w:cs="Arial" w:eastAsia="Arial" w:hAnsi="Arial"/>
          <w:sz w:val="14"/>
          <w:szCs w:val="14"/>
          <w:color w:val="auto"/>
        </w:rPr>
        <w:t>Wilmington</w:t>
      </w:r>
    </w:p>
    <w:p>
      <w:pPr>
        <w:spacing w:after="0" w:line="57" w:lineRule="exact"/>
        <w:rPr>
          <w:sz w:val="20"/>
          <w:szCs w:val="20"/>
          <w:color w:val="auto"/>
        </w:rPr>
      </w:pPr>
    </w:p>
    <w:p>
      <w:pPr>
        <w:ind w:left="5500"/>
        <w:spacing w:after="0"/>
        <w:rPr>
          <w:sz w:val="20"/>
          <w:szCs w:val="20"/>
          <w:color w:val="auto"/>
        </w:rPr>
      </w:pPr>
      <w:r>
        <w:rPr>
          <w:rFonts w:ascii="Arial" w:cs="Arial" w:eastAsia="Arial" w:hAnsi="Arial"/>
          <w:sz w:val="14"/>
          <w:szCs w:val="14"/>
          <w:b w:val="1"/>
          <w:bCs w:val="1"/>
          <w:i w:val="1"/>
          <w:iCs w:val="1"/>
          <w:color w:val="auto"/>
        </w:rPr>
        <w:t>Florida</w:t>
      </w:r>
    </w:p>
    <w:p>
      <w:pPr>
        <w:spacing w:after="0" w:line="221" w:lineRule="auto"/>
        <w:rPr>
          <w:sz w:val="20"/>
          <w:szCs w:val="20"/>
          <w:color w:val="auto"/>
        </w:rPr>
      </w:pPr>
      <w:r>
        <w:rPr>
          <w:rFonts w:ascii="Arial" w:cs="Arial" w:eastAsia="Arial" w:hAnsi="Arial"/>
          <w:sz w:val="14"/>
          <w:szCs w:val="14"/>
          <w:color w:val="auto"/>
        </w:rPr>
        <w:t>Altamonte Springs</w:t>
      </w:r>
    </w:p>
    <w:p>
      <w:pPr>
        <w:spacing w:after="0" w:line="221" w:lineRule="auto"/>
        <w:rPr>
          <w:sz w:val="20"/>
          <w:szCs w:val="20"/>
          <w:color w:val="auto"/>
        </w:rPr>
      </w:pPr>
      <w:r>
        <w:rPr>
          <w:rFonts w:ascii="Arial" w:cs="Arial" w:eastAsia="Arial" w:hAnsi="Arial"/>
          <w:sz w:val="14"/>
          <w:szCs w:val="14"/>
          <w:color w:val="auto"/>
        </w:rPr>
        <w:t>Boca Raton</w:t>
      </w:r>
    </w:p>
    <w:p>
      <w:pPr>
        <w:spacing w:after="0" w:line="222" w:lineRule="auto"/>
        <w:rPr>
          <w:sz w:val="20"/>
          <w:szCs w:val="20"/>
          <w:color w:val="auto"/>
        </w:rPr>
      </w:pPr>
      <w:r>
        <w:rPr>
          <w:rFonts w:ascii="Arial" w:cs="Arial" w:eastAsia="Arial" w:hAnsi="Arial"/>
          <w:sz w:val="14"/>
          <w:szCs w:val="14"/>
          <w:color w:val="auto"/>
        </w:rPr>
        <w:t>Boynton Beach</w:t>
      </w:r>
    </w:p>
    <w:p>
      <w:pPr>
        <w:spacing w:after="0"/>
        <w:rPr>
          <w:sz w:val="20"/>
          <w:szCs w:val="20"/>
          <w:color w:val="auto"/>
        </w:rPr>
      </w:pPr>
      <w:r>
        <w:rPr>
          <w:rFonts w:ascii="Arial" w:cs="Arial" w:eastAsia="Arial" w:hAnsi="Arial"/>
          <w:sz w:val="14"/>
          <w:szCs w:val="14"/>
          <w:color w:val="auto"/>
        </w:rPr>
        <w:t>Brandon</w:t>
      </w:r>
    </w:p>
    <w:p>
      <w:pPr>
        <w:sectPr>
          <w:pgSz w:w="11900" w:h="16838" w:orient="portrait"/>
          <w:cols w:equalWidth="0" w:num="1">
            <w:col w:w="10219"/>
          </w:cols>
          <w:pgMar w:left="240" w:top="459" w:right="1440" w:bottom="0" w:gutter="0" w:footer="0" w:header="0"/>
        </w:sectPr>
      </w:pPr>
    </w:p>
    <w:bookmarkStart w:id="22" w:name="page23"/>
    <w:bookmarkEnd w:id="22"/>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Daytona Beach</w:t>
      </w:r>
    </w:p>
    <w:p>
      <w:pPr>
        <w:spacing w:after="0" w:line="221" w:lineRule="auto"/>
        <w:rPr>
          <w:sz w:val="20"/>
          <w:szCs w:val="20"/>
          <w:color w:val="auto"/>
        </w:rPr>
      </w:pPr>
      <w:r>
        <w:rPr>
          <w:rFonts w:ascii="Arial" w:cs="Arial" w:eastAsia="Arial" w:hAnsi="Arial"/>
          <w:sz w:val="14"/>
          <w:szCs w:val="14"/>
          <w:color w:val="auto"/>
        </w:rPr>
        <w:t>Fort Lauderdale</w:t>
      </w:r>
    </w:p>
    <w:p>
      <w:pPr>
        <w:spacing w:after="0" w:line="221" w:lineRule="auto"/>
        <w:rPr>
          <w:sz w:val="20"/>
          <w:szCs w:val="20"/>
          <w:color w:val="auto"/>
        </w:rPr>
      </w:pPr>
      <w:r>
        <w:rPr>
          <w:rFonts w:ascii="Arial" w:cs="Arial" w:eastAsia="Arial" w:hAnsi="Arial"/>
          <w:sz w:val="14"/>
          <w:szCs w:val="14"/>
          <w:color w:val="auto"/>
        </w:rPr>
        <w:t>Ft. Myers</w:t>
      </w:r>
    </w:p>
    <w:p>
      <w:pPr>
        <w:spacing w:after="0" w:line="222" w:lineRule="auto"/>
        <w:rPr>
          <w:sz w:val="20"/>
          <w:szCs w:val="20"/>
          <w:color w:val="auto"/>
        </w:rPr>
      </w:pPr>
      <w:r>
        <w:rPr>
          <w:rFonts w:ascii="Arial" w:cs="Arial" w:eastAsia="Arial" w:hAnsi="Arial"/>
          <w:sz w:val="14"/>
          <w:szCs w:val="14"/>
          <w:color w:val="auto"/>
        </w:rPr>
        <w:t>Gainesville</w:t>
      </w:r>
    </w:p>
    <w:p>
      <w:pPr>
        <w:spacing w:after="0" w:line="221" w:lineRule="auto"/>
        <w:rPr>
          <w:sz w:val="20"/>
          <w:szCs w:val="20"/>
          <w:color w:val="auto"/>
        </w:rPr>
      </w:pPr>
      <w:r>
        <w:rPr>
          <w:rFonts w:ascii="Arial" w:cs="Arial" w:eastAsia="Arial" w:hAnsi="Arial"/>
          <w:sz w:val="14"/>
          <w:szCs w:val="14"/>
          <w:color w:val="auto"/>
        </w:rPr>
        <w:t>Hialeah</w:t>
      </w:r>
    </w:p>
    <w:p>
      <w:pPr>
        <w:spacing w:after="0" w:line="222" w:lineRule="auto"/>
        <w:rPr>
          <w:sz w:val="20"/>
          <w:szCs w:val="20"/>
          <w:color w:val="auto"/>
        </w:rPr>
      </w:pPr>
      <w:r>
        <w:rPr>
          <w:rFonts w:ascii="Arial" w:cs="Arial" w:eastAsia="Arial" w:hAnsi="Arial"/>
          <w:sz w:val="14"/>
          <w:szCs w:val="14"/>
          <w:color w:val="auto"/>
        </w:rPr>
        <w:t>Jacksonville</w:t>
      </w:r>
    </w:p>
    <w:p>
      <w:pPr>
        <w:spacing w:after="0" w:line="221" w:lineRule="auto"/>
        <w:rPr>
          <w:sz w:val="20"/>
          <w:szCs w:val="20"/>
          <w:color w:val="auto"/>
        </w:rPr>
      </w:pPr>
      <w:r>
        <w:rPr>
          <w:rFonts w:ascii="Arial" w:cs="Arial" w:eastAsia="Arial" w:hAnsi="Arial"/>
          <w:sz w:val="14"/>
          <w:szCs w:val="14"/>
          <w:color w:val="auto"/>
        </w:rPr>
        <w:t>Lakeland</w:t>
      </w:r>
    </w:p>
    <w:p>
      <w:pPr>
        <w:spacing w:after="0" w:line="222" w:lineRule="auto"/>
        <w:rPr>
          <w:sz w:val="20"/>
          <w:szCs w:val="20"/>
          <w:color w:val="auto"/>
        </w:rPr>
      </w:pPr>
      <w:r>
        <w:rPr>
          <w:rFonts w:ascii="Arial" w:cs="Arial" w:eastAsia="Arial" w:hAnsi="Arial"/>
          <w:sz w:val="14"/>
          <w:szCs w:val="14"/>
          <w:color w:val="auto"/>
        </w:rPr>
        <w:t>Largo</w:t>
      </w:r>
    </w:p>
    <w:p>
      <w:pPr>
        <w:spacing w:after="0" w:line="221" w:lineRule="auto"/>
        <w:rPr>
          <w:sz w:val="20"/>
          <w:szCs w:val="20"/>
          <w:color w:val="auto"/>
        </w:rPr>
      </w:pPr>
      <w:r>
        <w:rPr>
          <w:rFonts w:ascii="Arial" w:cs="Arial" w:eastAsia="Arial" w:hAnsi="Arial"/>
          <w:sz w:val="14"/>
          <w:szCs w:val="14"/>
          <w:color w:val="auto"/>
        </w:rPr>
        <w:t>Lauderdale Lakes</w:t>
      </w:r>
    </w:p>
    <w:p>
      <w:pPr>
        <w:spacing w:after="0" w:line="222" w:lineRule="auto"/>
        <w:rPr>
          <w:sz w:val="20"/>
          <w:szCs w:val="20"/>
          <w:color w:val="auto"/>
        </w:rPr>
      </w:pPr>
      <w:r>
        <w:rPr>
          <w:rFonts w:ascii="Arial" w:cs="Arial" w:eastAsia="Arial" w:hAnsi="Arial"/>
          <w:sz w:val="14"/>
          <w:szCs w:val="14"/>
          <w:color w:val="auto"/>
        </w:rPr>
        <w:t>Miami</w:t>
      </w:r>
    </w:p>
    <w:p>
      <w:pPr>
        <w:spacing w:after="0" w:line="221" w:lineRule="auto"/>
        <w:rPr>
          <w:sz w:val="20"/>
          <w:szCs w:val="20"/>
          <w:color w:val="auto"/>
        </w:rPr>
      </w:pPr>
      <w:r>
        <w:rPr>
          <w:rFonts w:ascii="Arial" w:cs="Arial" w:eastAsia="Arial" w:hAnsi="Arial"/>
          <w:sz w:val="14"/>
          <w:szCs w:val="14"/>
          <w:color w:val="auto"/>
        </w:rPr>
        <w:t>No. Miami Beach</w:t>
      </w:r>
    </w:p>
    <w:p>
      <w:pPr>
        <w:spacing w:after="0"/>
        <w:rPr>
          <w:sz w:val="20"/>
          <w:szCs w:val="20"/>
          <w:color w:val="auto"/>
        </w:rPr>
      </w:pPr>
      <w:r>
        <w:rPr>
          <w:rFonts w:ascii="Arial" w:cs="Arial" w:eastAsia="Arial" w:hAnsi="Arial"/>
          <w:sz w:val="14"/>
          <w:szCs w:val="14"/>
          <w:color w:val="auto"/>
        </w:rPr>
        <w:t>Ocala</w:t>
      </w:r>
    </w:p>
    <w:p>
      <w:pPr>
        <w:spacing w:after="0" w:line="125" w:lineRule="exact"/>
        <w:rPr>
          <w:sz w:val="20"/>
          <w:szCs w:val="20"/>
          <w:color w:val="auto"/>
        </w:rPr>
      </w:pPr>
    </w:p>
    <w:p>
      <w:pPr>
        <w:ind w:left="5340"/>
        <w:spacing w:after="0"/>
        <w:rPr>
          <w:sz w:val="20"/>
          <w:szCs w:val="20"/>
          <w:color w:val="auto"/>
        </w:rPr>
      </w:pPr>
      <w:r>
        <w:rPr>
          <w:rFonts w:ascii="Arial" w:cs="Arial" w:eastAsia="Arial" w:hAnsi="Arial"/>
          <w:sz w:val="12"/>
          <w:szCs w:val="12"/>
          <w:b w:val="1"/>
          <w:bCs w:val="1"/>
          <w:i w:val="1"/>
          <w:iCs w:val="1"/>
          <w:color w:val="auto"/>
        </w:rPr>
        <w:t>Florida, cont.</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Orange Park</w:t>
      </w:r>
    </w:p>
    <w:p>
      <w:pPr>
        <w:spacing w:after="0" w:line="221" w:lineRule="auto"/>
        <w:rPr>
          <w:sz w:val="20"/>
          <w:szCs w:val="20"/>
          <w:color w:val="auto"/>
        </w:rPr>
      </w:pPr>
      <w:r>
        <w:rPr>
          <w:rFonts w:ascii="Arial" w:cs="Arial" w:eastAsia="Arial" w:hAnsi="Arial"/>
          <w:sz w:val="14"/>
          <w:szCs w:val="14"/>
          <w:color w:val="auto"/>
        </w:rPr>
        <w:t>Orlando (3)</w:t>
      </w:r>
    </w:p>
    <w:p>
      <w:pPr>
        <w:spacing w:after="0" w:line="221" w:lineRule="auto"/>
        <w:rPr>
          <w:sz w:val="20"/>
          <w:szCs w:val="20"/>
          <w:color w:val="auto"/>
        </w:rPr>
      </w:pPr>
      <w:r>
        <w:rPr>
          <w:rFonts w:ascii="Arial" w:cs="Arial" w:eastAsia="Arial" w:hAnsi="Arial"/>
          <w:sz w:val="14"/>
          <w:szCs w:val="14"/>
          <w:color w:val="auto"/>
        </w:rPr>
        <w:t>Pembroke Pines</w:t>
      </w:r>
    </w:p>
    <w:p>
      <w:pPr>
        <w:spacing w:after="0" w:line="222" w:lineRule="auto"/>
        <w:rPr>
          <w:sz w:val="20"/>
          <w:szCs w:val="20"/>
          <w:color w:val="auto"/>
        </w:rPr>
      </w:pPr>
      <w:r>
        <w:rPr>
          <w:rFonts w:ascii="Arial" w:cs="Arial" w:eastAsia="Arial" w:hAnsi="Arial"/>
          <w:sz w:val="14"/>
          <w:szCs w:val="14"/>
          <w:color w:val="auto"/>
        </w:rPr>
        <w:t>Pensacola</w:t>
      </w:r>
    </w:p>
    <w:p>
      <w:pPr>
        <w:spacing w:after="0" w:line="221" w:lineRule="auto"/>
        <w:rPr>
          <w:sz w:val="20"/>
          <w:szCs w:val="20"/>
          <w:color w:val="auto"/>
        </w:rPr>
      </w:pPr>
      <w:r>
        <w:rPr>
          <w:rFonts w:ascii="Arial" w:cs="Arial" w:eastAsia="Arial" w:hAnsi="Arial"/>
          <w:sz w:val="14"/>
          <w:szCs w:val="14"/>
          <w:color w:val="auto"/>
        </w:rPr>
        <w:t>Sarasota</w:t>
      </w:r>
    </w:p>
    <w:p>
      <w:pPr>
        <w:spacing w:after="0" w:line="222" w:lineRule="auto"/>
        <w:rPr>
          <w:sz w:val="20"/>
          <w:szCs w:val="20"/>
          <w:color w:val="auto"/>
        </w:rPr>
      </w:pPr>
      <w:r>
        <w:rPr>
          <w:rFonts w:ascii="Arial" w:cs="Arial" w:eastAsia="Arial" w:hAnsi="Arial"/>
          <w:sz w:val="14"/>
          <w:szCs w:val="14"/>
          <w:color w:val="auto"/>
        </w:rPr>
        <w:t>St. Augustine*</w:t>
      </w:r>
    </w:p>
    <w:p>
      <w:pPr>
        <w:spacing w:after="0" w:line="221" w:lineRule="auto"/>
        <w:rPr>
          <w:sz w:val="20"/>
          <w:szCs w:val="20"/>
          <w:color w:val="auto"/>
        </w:rPr>
      </w:pPr>
      <w:r>
        <w:rPr>
          <w:rFonts w:ascii="Arial" w:cs="Arial" w:eastAsia="Arial" w:hAnsi="Arial"/>
          <w:sz w:val="14"/>
          <w:szCs w:val="14"/>
          <w:color w:val="auto"/>
        </w:rPr>
        <w:t>Stuart</w:t>
      </w:r>
    </w:p>
    <w:p>
      <w:pPr>
        <w:spacing w:after="0" w:line="222" w:lineRule="auto"/>
        <w:rPr>
          <w:sz w:val="20"/>
          <w:szCs w:val="20"/>
          <w:color w:val="auto"/>
        </w:rPr>
      </w:pPr>
      <w:r>
        <w:rPr>
          <w:rFonts w:ascii="Arial" w:cs="Arial" w:eastAsia="Arial" w:hAnsi="Arial"/>
          <w:sz w:val="14"/>
          <w:szCs w:val="14"/>
          <w:color w:val="auto"/>
        </w:rPr>
        <w:t>Tampa (1)</w:t>
      </w:r>
    </w:p>
    <w:p>
      <w:pPr>
        <w:spacing w:after="0" w:line="221" w:lineRule="auto"/>
        <w:rPr>
          <w:sz w:val="20"/>
          <w:szCs w:val="20"/>
          <w:color w:val="auto"/>
        </w:rPr>
      </w:pPr>
      <w:r>
        <w:rPr>
          <w:rFonts w:ascii="Arial" w:cs="Arial" w:eastAsia="Arial" w:hAnsi="Arial"/>
          <w:sz w:val="14"/>
          <w:szCs w:val="14"/>
          <w:color w:val="auto"/>
        </w:rPr>
        <w:t>Vero Beach*</w:t>
      </w:r>
    </w:p>
    <w:p>
      <w:pPr>
        <w:spacing w:after="0"/>
        <w:rPr>
          <w:sz w:val="20"/>
          <w:szCs w:val="20"/>
          <w:color w:val="auto"/>
        </w:rPr>
      </w:pPr>
      <w:r>
        <w:rPr>
          <w:rFonts w:ascii="Arial" w:cs="Arial" w:eastAsia="Arial" w:hAnsi="Arial"/>
          <w:sz w:val="14"/>
          <w:szCs w:val="14"/>
          <w:color w:val="auto"/>
        </w:rPr>
        <w:t>West Palm Beach</w:t>
      </w:r>
    </w:p>
    <w:p>
      <w:pPr>
        <w:spacing w:after="0" w:line="57" w:lineRule="exact"/>
        <w:rPr>
          <w:sz w:val="20"/>
          <w:szCs w:val="20"/>
          <w:color w:val="auto"/>
        </w:rPr>
      </w:pPr>
    </w:p>
    <w:p>
      <w:pPr>
        <w:ind w:left="5480"/>
        <w:spacing w:after="0"/>
        <w:rPr>
          <w:sz w:val="20"/>
          <w:szCs w:val="20"/>
          <w:color w:val="auto"/>
        </w:rPr>
      </w:pPr>
      <w:r>
        <w:rPr>
          <w:rFonts w:ascii="Arial" w:cs="Arial" w:eastAsia="Arial" w:hAnsi="Arial"/>
          <w:sz w:val="14"/>
          <w:szCs w:val="14"/>
          <w:b w:val="1"/>
          <w:bCs w:val="1"/>
          <w:i w:val="1"/>
          <w:iCs w:val="1"/>
          <w:color w:val="auto"/>
        </w:rPr>
        <w:t>Georgia</w:t>
      </w:r>
    </w:p>
    <w:p>
      <w:pPr>
        <w:spacing w:after="0" w:line="221" w:lineRule="auto"/>
        <w:rPr>
          <w:sz w:val="20"/>
          <w:szCs w:val="20"/>
          <w:color w:val="auto"/>
        </w:rPr>
      </w:pPr>
      <w:r>
        <w:rPr>
          <w:rFonts w:ascii="Arial" w:cs="Arial" w:eastAsia="Arial" w:hAnsi="Arial"/>
          <w:sz w:val="14"/>
          <w:szCs w:val="14"/>
          <w:color w:val="auto"/>
        </w:rPr>
        <w:t>Alpharetta</w:t>
      </w:r>
    </w:p>
    <w:p>
      <w:pPr>
        <w:spacing w:after="0" w:line="221" w:lineRule="auto"/>
        <w:rPr>
          <w:sz w:val="20"/>
          <w:szCs w:val="20"/>
          <w:color w:val="auto"/>
        </w:rPr>
      </w:pPr>
      <w:r>
        <w:rPr>
          <w:rFonts w:ascii="Arial" w:cs="Arial" w:eastAsia="Arial" w:hAnsi="Arial"/>
          <w:sz w:val="14"/>
          <w:szCs w:val="14"/>
          <w:color w:val="auto"/>
        </w:rPr>
        <w:t>Atlanta</w:t>
      </w:r>
    </w:p>
    <w:p>
      <w:pPr>
        <w:spacing w:after="0" w:line="222" w:lineRule="auto"/>
        <w:rPr>
          <w:sz w:val="20"/>
          <w:szCs w:val="20"/>
          <w:color w:val="auto"/>
        </w:rPr>
      </w:pPr>
      <w:r>
        <w:rPr>
          <w:rFonts w:ascii="Arial" w:cs="Arial" w:eastAsia="Arial" w:hAnsi="Arial"/>
          <w:sz w:val="14"/>
          <w:szCs w:val="14"/>
          <w:color w:val="auto"/>
        </w:rPr>
        <w:t>Augusta</w:t>
      </w:r>
    </w:p>
    <w:p>
      <w:pPr>
        <w:spacing w:after="0" w:line="221" w:lineRule="auto"/>
        <w:rPr>
          <w:sz w:val="20"/>
          <w:szCs w:val="20"/>
          <w:color w:val="auto"/>
        </w:rPr>
      </w:pPr>
      <w:r>
        <w:rPr>
          <w:rFonts w:ascii="Arial" w:cs="Arial" w:eastAsia="Arial" w:hAnsi="Arial"/>
          <w:sz w:val="14"/>
          <w:szCs w:val="14"/>
          <w:color w:val="auto"/>
        </w:rPr>
        <w:t>Calhoun*</w:t>
      </w:r>
    </w:p>
    <w:p>
      <w:pPr>
        <w:spacing w:after="0" w:line="222" w:lineRule="auto"/>
        <w:rPr>
          <w:sz w:val="20"/>
          <w:szCs w:val="20"/>
          <w:color w:val="auto"/>
        </w:rPr>
      </w:pPr>
      <w:r>
        <w:rPr>
          <w:rFonts w:ascii="Arial" w:cs="Arial" w:eastAsia="Arial" w:hAnsi="Arial"/>
          <w:sz w:val="14"/>
          <w:szCs w:val="14"/>
          <w:color w:val="auto"/>
        </w:rPr>
        <w:t>Commerce*</w:t>
      </w:r>
    </w:p>
    <w:p>
      <w:pPr>
        <w:spacing w:after="0" w:line="221" w:lineRule="auto"/>
        <w:rPr>
          <w:sz w:val="20"/>
          <w:szCs w:val="20"/>
          <w:color w:val="auto"/>
        </w:rPr>
      </w:pPr>
      <w:r>
        <w:rPr>
          <w:rFonts w:ascii="Arial" w:cs="Arial" w:eastAsia="Arial" w:hAnsi="Arial"/>
          <w:sz w:val="14"/>
          <w:szCs w:val="14"/>
          <w:color w:val="auto"/>
        </w:rPr>
        <w:t>Duluth</w:t>
      </w:r>
    </w:p>
    <w:p>
      <w:pPr>
        <w:spacing w:after="0" w:line="222" w:lineRule="auto"/>
        <w:rPr>
          <w:sz w:val="20"/>
          <w:szCs w:val="20"/>
          <w:color w:val="auto"/>
        </w:rPr>
      </w:pPr>
      <w:r>
        <w:rPr>
          <w:rFonts w:ascii="Arial" w:cs="Arial" w:eastAsia="Arial" w:hAnsi="Arial"/>
          <w:sz w:val="14"/>
          <w:szCs w:val="14"/>
          <w:color w:val="auto"/>
        </w:rPr>
        <w:t>Kennesaw</w:t>
      </w:r>
    </w:p>
    <w:p>
      <w:pPr>
        <w:spacing w:after="0" w:line="221" w:lineRule="auto"/>
        <w:rPr>
          <w:sz w:val="20"/>
          <w:szCs w:val="20"/>
          <w:color w:val="auto"/>
        </w:rPr>
      </w:pPr>
      <w:r>
        <w:rPr>
          <w:rFonts w:ascii="Arial" w:cs="Arial" w:eastAsia="Arial" w:hAnsi="Arial"/>
          <w:sz w:val="14"/>
          <w:szCs w:val="14"/>
          <w:color w:val="auto"/>
        </w:rPr>
        <w:t>Morrow</w:t>
      </w:r>
    </w:p>
    <w:p>
      <w:pPr>
        <w:spacing w:after="0" w:line="222" w:lineRule="auto"/>
        <w:rPr>
          <w:sz w:val="20"/>
          <w:szCs w:val="20"/>
          <w:color w:val="auto"/>
        </w:rPr>
      </w:pPr>
      <w:r>
        <w:rPr>
          <w:rFonts w:ascii="Arial" w:cs="Arial" w:eastAsia="Arial" w:hAnsi="Arial"/>
          <w:sz w:val="14"/>
          <w:szCs w:val="14"/>
          <w:color w:val="auto"/>
        </w:rPr>
        <w:t>Savannah</w:t>
      </w:r>
    </w:p>
    <w:p>
      <w:pPr>
        <w:spacing w:after="0"/>
        <w:rPr>
          <w:sz w:val="20"/>
          <w:szCs w:val="20"/>
          <w:color w:val="auto"/>
        </w:rPr>
      </w:pPr>
      <w:r>
        <w:rPr>
          <w:rFonts w:ascii="Arial" w:cs="Arial" w:eastAsia="Arial" w:hAnsi="Arial"/>
          <w:sz w:val="14"/>
          <w:szCs w:val="14"/>
          <w:color w:val="auto"/>
        </w:rPr>
        <w:t>Stone Mountain</w:t>
      </w:r>
    </w:p>
    <w:p>
      <w:pPr>
        <w:spacing w:after="0" w:line="56" w:lineRule="exact"/>
        <w:rPr>
          <w:sz w:val="20"/>
          <w:szCs w:val="20"/>
          <w:color w:val="auto"/>
        </w:rPr>
      </w:pPr>
    </w:p>
    <w:p>
      <w:pPr>
        <w:ind w:left="5520"/>
        <w:spacing w:after="0"/>
        <w:rPr>
          <w:sz w:val="20"/>
          <w:szCs w:val="20"/>
          <w:color w:val="auto"/>
        </w:rPr>
      </w:pPr>
      <w:r>
        <w:rPr>
          <w:rFonts w:ascii="Arial" w:cs="Arial" w:eastAsia="Arial" w:hAnsi="Arial"/>
          <w:sz w:val="14"/>
          <w:szCs w:val="14"/>
          <w:b w:val="1"/>
          <w:bCs w:val="1"/>
          <w:i w:val="1"/>
          <w:iCs w:val="1"/>
          <w:color w:val="auto"/>
        </w:rPr>
        <w:t>Illinois</w:t>
      </w:r>
    </w:p>
    <w:p>
      <w:pPr>
        <w:spacing w:after="0" w:line="221" w:lineRule="auto"/>
        <w:rPr>
          <w:sz w:val="20"/>
          <w:szCs w:val="20"/>
          <w:color w:val="auto"/>
        </w:rPr>
      </w:pPr>
      <w:r>
        <w:rPr>
          <w:rFonts w:ascii="Arial" w:cs="Arial" w:eastAsia="Arial" w:hAnsi="Arial"/>
          <w:sz w:val="14"/>
          <w:szCs w:val="14"/>
          <w:color w:val="auto"/>
        </w:rPr>
        <w:t>Bloomingdale</w:t>
      </w:r>
    </w:p>
    <w:p>
      <w:pPr>
        <w:spacing w:after="0" w:line="221" w:lineRule="auto"/>
        <w:rPr>
          <w:sz w:val="20"/>
          <w:szCs w:val="20"/>
          <w:color w:val="auto"/>
        </w:rPr>
      </w:pPr>
      <w:r>
        <w:rPr>
          <w:rFonts w:ascii="Arial" w:cs="Arial" w:eastAsia="Arial" w:hAnsi="Arial"/>
          <w:sz w:val="14"/>
          <w:szCs w:val="14"/>
          <w:color w:val="auto"/>
        </w:rPr>
        <w:t>Bloomington</w:t>
      </w:r>
    </w:p>
    <w:p>
      <w:pPr>
        <w:spacing w:after="0" w:line="222" w:lineRule="auto"/>
        <w:rPr>
          <w:sz w:val="20"/>
          <w:szCs w:val="20"/>
          <w:color w:val="auto"/>
        </w:rPr>
      </w:pPr>
      <w:r>
        <w:rPr>
          <w:rFonts w:ascii="Arial" w:cs="Arial" w:eastAsia="Arial" w:hAnsi="Arial"/>
          <w:sz w:val="14"/>
          <w:szCs w:val="14"/>
          <w:color w:val="auto"/>
        </w:rPr>
        <w:t>Champaign</w:t>
      </w:r>
    </w:p>
    <w:p>
      <w:pPr>
        <w:spacing w:after="0" w:line="221" w:lineRule="auto"/>
        <w:rPr>
          <w:sz w:val="20"/>
          <w:szCs w:val="20"/>
          <w:color w:val="auto"/>
        </w:rPr>
      </w:pPr>
      <w:r>
        <w:rPr>
          <w:rFonts w:ascii="Arial" w:cs="Arial" w:eastAsia="Arial" w:hAnsi="Arial"/>
          <w:sz w:val="14"/>
          <w:szCs w:val="14"/>
          <w:color w:val="auto"/>
        </w:rPr>
        <w:t>Chicago (2)</w:t>
      </w:r>
    </w:p>
    <w:p>
      <w:pPr>
        <w:spacing w:after="0" w:line="222" w:lineRule="auto"/>
        <w:rPr>
          <w:sz w:val="20"/>
          <w:szCs w:val="20"/>
          <w:color w:val="auto"/>
        </w:rPr>
      </w:pPr>
      <w:r>
        <w:rPr>
          <w:rFonts w:ascii="Arial" w:cs="Arial" w:eastAsia="Arial" w:hAnsi="Arial"/>
          <w:sz w:val="14"/>
          <w:szCs w:val="14"/>
          <w:color w:val="auto"/>
        </w:rPr>
        <w:t>Evergreen Park</w:t>
      </w:r>
    </w:p>
    <w:p>
      <w:pPr>
        <w:spacing w:after="0" w:line="221" w:lineRule="auto"/>
        <w:rPr>
          <w:sz w:val="20"/>
          <w:szCs w:val="20"/>
          <w:color w:val="auto"/>
        </w:rPr>
      </w:pPr>
      <w:r>
        <w:rPr>
          <w:rFonts w:ascii="Arial" w:cs="Arial" w:eastAsia="Arial" w:hAnsi="Arial"/>
          <w:sz w:val="14"/>
          <w:szCs w:val="14"/>
          <w:color w:val="auto"/>
        </w:rPr>
        <w:t>Fairview Heights</w:t>
      </w:r>
    </w:p>
    <w:p>
      <w:pPr>
        <w:spacing w:after="0" w:line="222" w:lineRule="auto"/>
        <w:rPr>
          <w:sz w:val="20"/>
          <w:szCs w:val="20"/>
          <w:color w:val="auto"/>
        </w:rPr>
      </w:pPr>
      <w:r>
        <w:rPr>
          <w:rFonts w:ascii="Arial" w:cs="Arial" w:eastAsia="Arial" w:hAnsi="Arial"/>
          <w:sz w:val="14"/>
          <w:szCs w:val="14"/>
          <w:color w:val="auto"/>
        </w:rPr>
        <w:t>Hometown</w:t>
      </w:r>
    </w:p>
    <w:p>
      <w:pPr>
        <w:spacing w:after="0" w:line="221" w:lineRule="auto"/>
        <w:rPr>
          <w:sz w:val="20"/>
          <w:szCs w:val="20"/>
          <w:color w:val="auto"/>
        </w:rPr>
      </w:pPr>
      <w:r>
        <w:rPr>
          <w:rFonts w:ascii="Arial" w:cs="Arial" w:eastAsia="Arial" w:hAnsi="Arial"/>
          <w:sz w:val="14"/>
          <w:szCs w:val="14"/>
          <w:color w:val="auto"/>
        </w:rPr>
        <w:t>Joliet</w:t>
      </w:r>
    </w:p>
    <w:p>
      <w:pPr>
        <w:spacing w:after="0" w:line="222" w:lineRule="auto"/>
        <w:rPr>
          <w:sz w:val="20"/>
          <w:szCs w:val="20"/>
          <w:color w:val="auto"/>
        </w:rPr>
      </w:pPr>
      <w:r>
        <w:rPr>
          <w:rFonts w:ascii="Arial" w:cs="Arial" w:eastAsia="Arial" w:hAnsi="Arial"/>
          <w:sz w:val="14"/>
          <w:szCs w:val="14"/>
          <w:color w:val="auto"/>
        </w:rPr>
        <w:t>Lansing</w:t>
      </w:r>
    </w:p>
    <w:p>
      <w:pPr>
        <w:spacing w:after="0" w:line="221" w:lineRule="auto"/>
        <w:rPr>
          <w:sz w:val="20"/>
          <w:szCs w:val="20"/>
          <w:color w:val="auto"/>
        </w:rPr>
      </w:pPr>
      <w:r>
        <w:rPr>
          <w:rFonts w:ascii="Arial" w:cs="Arial" w:eastAsia="Arial" w:hAnsi="Arial"/>
          <w:sz w:val="14"/>
          <w:szCs w:val="14"/>
          <w:color w:val="auto"/>
        </w:rPr>
        <w:t>Matteson</w:t>
      </w:r>
    </w:p>
    <w:p>
      <w:pPr>
        <w:spacing w:after="0" w:line="222" w:lineRule="auto"/>
        <w:rPr>
          <w:sz w:val="20"/>
          <w:szCs w:val="20"/>
          <w:color w:val="auto"/>
        </w:rPr>
      </w:pPr>
      <w:r>
        <w:rPr>
          <w:rFonts w:ascii="Arial" w:cs="Arial" w:eastAsia="Arial" w:hAnsi="Arial"/>
          <w:sz w:val="14"/>
          <w:szCs w:val="14"/>
          <w:color w:val="auto"/>
        </w:rPr>
        <w:t>Naperville</w:t>
      </w:r>
    </w:p>
    <w:p>
      <w:pPr>
        <w:spacing w:after="0" w:line="221" w:lineRule="auto"/>
        <w:rPr>
          <w:sz w:val="20"/>
          <w:szCs w:val="20"/>
          <w:color w:val="auto"/>
        </w:rPr>
      </w:pPr>
      <w:r>
        <w:rPr>
          <w:rFonts w:ascii="Arial" w:cs="Arial" w:eastAsia="Arial" w:hAnsi="Arial"/>
          <w:sz w:val="14"/>
          <w:szCs w:val="14"/>
          <w:color w:val="auto"/>
        </w:rPr>
        <w:t>Niles</w:t>
      </w:r>
    </w:p>
    <w:p>
      <w:pPr>
        <w:spacing w:after="0" w:line="221" w:lineRule="auto"/>
        <w:rPr>
          <w:sz w:val="20"/>
          <w:szCs w:val="20"/>
          <w:color w:val="auto"/>
        </w:rPr>
      </w:pPr>
      <w:r>
        <w:rPr>
          <w:rFonts w:ascii="Arial" w:cs="Arial" w:eastAsia="Arial" w:hAnsi="Arial"/>
          <w:sz w:val="14"/>
          <w:szCs w:val="14"/>
          <w:color w:val="auto"/>
        </w:rPr>
        <w:t>North Riverside</w:t>
      </w:r>
    </w:p>
    <w:p>
      <w:pPr>
        <w:spacing w:after="0" w:line="222" w:lineRule="auto"/>
        <w:rPr>
          <w:sz w:val="20"/>
          <w:szCs w:val="20"/>
          <w:color w:val="auto"/>
        </w:rPr>
      </w:pPr>
      <w:r>
        <w:rPr>
          <w:rFonts w:ascii="Arial" w:cs="Arial" w:eastAsia="Arial" w:hAnsi="Arial"/>
          <w:sz w:val="14"/>
          <w:szCs w:val="14"/>
          <w:color w:val="auto"/>
        </w:rPr>
        <w:t>Oakbrook Terrace</w:t>
      </w:r>
    </w:p>
    <w:p>
      <w:pPr>
        <w:spacing w:after="0" w:line="221" w:lineRule="auto"/>
        <w:rPr>
          <w:sz w:val="20"/>
          <w:szCs w:val="20"/>
          <w:color w:val="auto"/>
        </w:rPr>
      </w:pPr>
      <w:r>
        <w:rPr>
          <w:rFonts w:ascii="Arial" w:cs="Arial" w:eastAsia="Arial" w:hAnsi="Arial"/>
          <w:sz w:val="14"/>
          <w:szCs w:val="14"/>
          <w:color w:val="auto"/>
        </w:rPr>
        <w:t>Orland Park</w:t>
      </w:r>
    </w:p>
    <w:p>
      <w:pPr>
        <w:spacing w:after="0" w:line="222" w:lineRule="auto"/>
        <w:rPr>
          <w:sz w:val="20"/>
          <w:szCs w:val="20"/>
          <w:color w:val="auto"/>
        </w:rPr>
      </w:pPr>
      <w:r>
        <w:rPr>
          <w:rFonts w:ascii="Arial" w:cs="Arial" w:eastAsia="Arial" w:hAnsi="Arial"/>
          <w:sz w:val="14"/>
          <w:szCs w:val="14"/>
          <w:color w:val="auto"/>
        </w:rPr>
        <w:t>Peoria</w:t>
      </w:r>
    </w:p>
    <w:p>
      <w:pPr>
        <w:spacing w:after="0" w:line="221" w:lineRule="auto"/>
        <w:rPr>
          <w:sz w:val="20"/>
          <w:szCs w:val="20"/>
          <w:color w:val="auto"/>
        </w:rPr>
      </w:pPr>
      <w:r>
        <w:rPr>
          <w:rFonts w:ascii="Arial" w:cs="Arial" w:eastAsia="Arial" w:hAnsi="Arial"/>
          <w:sz w:val="14"/>
          <w:szCs w:val="14"/>
          <w:color w:val="auto"/>
        </w:rPr>
        <w:t>Rockford</w:t>
      </w:r>
    </w:p>
    <w:p>
      <w:pPr>
        <w:spacing w:after="0" w:line="222" w:lineRule="auto"/>
        <w:rPr>
          <w:sz w:val="20"/>
          <w:szCs w:val="20"/>
          <w:color w:val="auto"/>
        </w:rPr>
      </w:pPr>
      <w:r>
        <w:rPr>
          <w:rFonts w:ascii="Arial" w:cs="Arial" w:eastAsia="Arial" w:hAnsi="Arial"/>
          <w:sz w:val="14"/>
          <w:szCs w:val="14"/>
          <w:color w:val="auto"/>
        </w:rPr>
        <w:t>Schaumburg</w:t>
      </w:r>
    </w:p>
    <w:p>
      <w:pPr>
        <w:spacing w:after="0" w:line="221" w:lineRule="auto"/>
        <w:rPr>
          <w:sz w:val="20"/>
          <w:szCs w:val="20"/>
          <w:color w:val="auto"/>
        </w:rPr>
      </w:pPr>
      <w:r>
        <w:rPr>
          <w:rFonts w:ascii="Arial" w:cs="Arial" w:eastAsia="Arial" w:hAnsi="Arial"/>
          <w:sz w:val="14"/>
          <w:szCs w:val="14"/>
          <w:color w:val="auto"/>
        </w:rPr>
        <w:t>Skokie</w:t>
      </w:r>
    </w:p>
    <w:p>
      <w:pPr>
        <w:spacing w:after="0" w:line="222" w:lineRule="auto"/>
        <w:rPr>
          <w:sz w:val="20"/>
          <w:szCs w:val="20"/>
          <w:color w:val="auto"/>
        </w:rPr>
      </w:pPr>
      <w:r>
        <w:rPr>
          <w:rFonts w:ascii="Arial" w:cs="Arial" w:eastAsia="Arial" w:hAnsi="Arial"/>
          <w:sz w:val="14"/>
          <w:szCs w:val="14"/>
          <w:color w:val="auto"/>
        </w:rPr>
        <w:t>Springfield</w:t>
      </w:r>
    </w:p>
    <w:p>
      <w:pPr>
        <w:spacing w:after="0" w:line="221" w:lineRule="auto"/>
        <w:rPr>
          <w:sz w:val="20"/>
          <w:szCs w:val="20"/>
          <w:color w:val="auto"/>
        </w:rPr>
      </w:pPr>
      <w:r>
        <w:rPr>
          <w:rFonts w:ascii="Arial" w:cs="Arial" w:eastAsia="Arial" w:hAnsi="Arial"/>
          <w:sz w:val="14"/>
          <w:szCs w:val="14"/>
          <w:color w:val="auto"/>
        </w:rPr>
        <w:t>St. Charles</w:t>
      </w:r>
    </w:p>
    <w:p>
      <w:pPr>
        <w:spacing w:after="0"/>
        <w:rPr>
          <w:sz w:val="20"/>
          <w:szCs w:val="20"/>
          <w:color w:val="auto"/>
        </w:rPr>
      </w:pPr>
      <w:r>
        <w:rPr>
          <w:rFonts w:ascii="Arial" w:cs="Arial" w:eastAsia="Arial" w:hAnsi="Arial"/>
          <w:sz w:val="14"/>
          <w:szCs w:val="14"/>
          <w:color w:val="auto"/>
        </w:rPr>
        <w:t>Vernon Hills</w:t>
      </w:r>
    </w:p>
    <w:p>
      <w:pPr>
        <w:spacing w:after="0" w:line="57" w:lineRule="exact"/>
        <w:rPr>
          <w:sz w:val="20"/>
          <w:szCs w:val="20"/>
          <w:color w:val="auto"/>
        </w:rPr>
      </w:pPr>
    </w:p>
    <w:p>
      <w:pPr>
        <w:ind w:left="5500"/>
        <w:spacing w:after="0"/>
        <w:rPr>
          <w:sz w:val="20"/>
          <w:szCs w:val="20"/>
          <w:color w:val="auto"/>
        </w:rPr>
      </w:pPr>
      <w:r>
        <w:rPr>
          <w:rFonts w:ascii="Arial" w:cs="Arial" w:eastAsia="Arial" w:hAnsi="Arial"/>
          <w:sz w:val="14"/>
          <w:szCs w:val="14"/>
          <w:b w:val="1"/>
          <w:bCs w:val="1"/>
          <w:i w:val="1"/>
          <w:iCs w:val="1"/>
          <w:color w:val="auto"/>
        </w:rPr>
        <w:t>Indiana</w:t>
      </w:r>
    </w:p>
    <w:p>
      <w:pPr>
        <w:spacing w:after="0" w:line="221" w:lineRule="auto"/>
        <w:rPr>
          <w:sz w:val="20"/>
          <w:szCs w:val="20"/>
          <w:color w:val="auto"/>
        </w:rPr>
      </w:pPr>
      <w:r>
        <w:rPr>
          <w:rFonts w:ascii="Arial" w:cs="Arial" w:eastAsia="Arial" w:hAnsi="Arial"/>
          <w:sz w:val="14"/>
          <w:szCs w:val="14"/>
          <w:color w:val="auto"/>
        </w:rPr>
        <w:t>Edinburgh*</w:t>
      </w:r>
    </w:p>
    <w:p>
      <w:pPr>
        <w:spacing w:after="0" w:line="221" w:lineRule="auto"/>
        <w:rPr>
          <w:sz w:val="20"/>
          <w:szCs w:val="20"/>
          <w:color w:val="auto"/>
        </w:rPr>
      </w:pPr>
      <w:r>
        <w:rPr>
          <w:rFonts w:ascii="Arial" w:cs="Arial" w:eastAsia="Arial" w:hAnsi="Arial"/>
          <w:sz w:val="14"/>
          <w:szCs w:val="14"/>
          <w:color w:val="auto"/>
        </w:rPr>
        <w:t>Evansville</w:t>
      </w:r>
    </w:p>
    <w:p>
      <w:pPr>
        <w:spacing w:after="0" w:line="222" w:lineRule="auto"/>
        <w:rPr>
          <w:sz w:val="20"/>
          <w:szCs w:val="20"/>
          <w:color w:val="auto"/>
        </w:rPr>
      </w:pPr>
      <w:r>
        <w:rPr>
          <w:rFonts w:ascii="Arial" w:cs="Arial" w:eastAsia="Arial" w:hAnsi="Arial"/>
          <w:sz w:val="14"/>
          <w:szCs w:val="14"/>
          <w:color w:val="auto"/>
        </w:rPr>
        <w:t>Fort Wayne</w:t>
      </w:r>
    </w:p>
    <w:p>
      <w:pPr>
        <w:spacing w:after="0" w:line="221" w:lineRule="auto"/>
        <w:rPr>
          <w:sz w:val="20"/>
          <w:szCs w:val="20"/>
          <w:color w:val="auto"/>
        </w:rPr>
      </w:pPr>
      <w:r>
        <w:rPr>
          <w:rFonts w:ascii="Arial" w:cs="Arial" w:eastAsia="Arial" w:hAnsi="Arial"/>
          <w:sz w:val="14"/>
          <w:szCs w:val="14"/>
          <w:color w:val="auto"/>
        </w:rPr>
        <w:t>Greenwood</w:t>
      </w:r>
    </w:p>
    <w:p>
      <w:pPr>
        <w:spacing w:after="0" w:line="222" w:lineRule="auto"/>
        <w:rPr>
          <w:sz w:val="20"/>
          <w:szCs w:val="20"/>
          <w:color w:val="auto"/>
        </w:rPr>
      </w:pPr>
      <w:r>
        <w:rPr>
          <w:rFonts w:ascii="Arial" w:cs="Arial" w:eastAsia="Arial" w:hAnsi="Arial"/>
          <w:sz w:val="14"/>
          <w:szCs w:val="14"/>
          <w:color w:val="auto"/>
        </w:rPr>
        <w:t>Indianapolis (3)</w:t>
      </w:r>
    </w:p>
    <w:p>
      <w:pPr>
        <w:spacing w:after="0" w:line="221" w:lineRule="auto"/>
        <w:rPr>
          <w:sz w:val="20"/>
          <w:szCs w:val="20"/>
          <w:color w:val="auto"/>
        </w:rPr>
      </w:pPr>
      <w:r>
        <w:rPr>
          <w:rFonts w:ascii="Arial" w:cs="Arial" w:eastAsia="Arial" w:hAnsi="Arial"/>
          <w:sz w:val="14"/>
          <w:szCs w:val="14"/>
          <w:color w:val="auto"/>
        </w:rPr>
        <w:t>Lafayette</w:t>
      </w:r>
    </w:p>
    <w:p>
      <w:pPr>
        <w:spacing w:after="0" w:line="222" w:lineRule="auto"/>
        <w:rPr>
          <w:sz w:val="20"/>
          <w:szCs w:val="20"/>
          <w:color w:val="auto"/>
        </w:rPr>
      </w:pPr>
      <w:r>
        <w:rPr>
          <w:rFonts w:ascii="Arial" w:cs="Arial" w:eastAsia="Arial" w:hAnsi="Arial"/>
          <w:sz w:val="14"/>
          <w:szCs w:val="14"/>
          <w:color w:val="auto"/>
        </w:rPr>
        <w:t>Merrillville</w:t>
      </w:r>
    </w:p>
    <w:p>
      <w:pPr>
        <w:spacing w:after="0"/>
        <w:rPr>
          <w:sz w:val="20"/>
          <w:szCs w:val="20"/>
          <w:color w:val="auto"/>
        </w:rPr>
      </w:pPr>
      <w:r>
        <w:rPr>
          <w:rFonts w:ascii="Arial" w:cs="Arial" w:eastAsia="Arial" w:hAnsi="Arial"/>
          <w:sz w:val="14"/>
          <w:szCs w:val="14"/>
          <w:color w:val="auto"/>
        </w:rPr>
        <w:t>Michigan City*</w:t>
      </w:r>
    </w:p>
    <w:p>
      <w:pPr>
        <w:spacing w:after="0" w:line="124" w:lineRule="exact"/>
        <w:rPr>
          <w:sz w:val="20"/>
          <w:szCs w:val="20"/>
          <w:color w:val="auto"/>
        </w:rPr>
      </w:pPr>
    </w:p>
    <w:p>
      <w:pPr>
        <w:jc w:val="right"/>
        <w:ind w:right="4119"/>
        <w:spacing w:after="0"/>
        <w:rPr>
          <w:sz w:val="20"/>
          <w:szCs w:val="20"/>
          <w:color w:val="auto"/>
        </w:rPr>
      </w:pPr>
      <w:r>
        <w:rPr>
          <w:rFonts w:ascii="Arial" w:cs="Arial" w:eastAsia="Arial" w:hAnsi="Arial"/>
          <w:sz w:val="14"/>
          <w:szCs w:val="14"/>
          <w:b w:val="1"/>
          <w:bCs w:val="1"/>
          <w:i w:val="1"/>
          <w:iCs w:val="1"/>
          <w:color w:val="auto"/>
        </w:rPr>
        <w:t>Indiana, cont.</w:t>
      </w:r>
    </w:p>
    <w:p>
      <w:pPr>
        <w:spacing w:after="0" w:line="221" w:lineRule="auto"/>
        <w:rPr>
          <w:sz w:val="20"/>
          <w:szCs w:val="20"/>
          <w:color w:val="auto"/>
        </w:rPr>
      </w:pPr>
      <w:r>
        <w:rPr>
          <w:rFonts w:ascii="Arial" w:cs="Arial" w:eastAsia="Arial" w:hAnsi="Arial"/>
          <w:sz w:val="14"/>
          <w:szCs w:val="14"/>
          <w:color w:val="auto"/>
        </w:rPr>
        <w:t>Mishawaka</w:t>
      </w:r>
    </w:p>
    <w:p>
      <w:pPr>
        <w:spacing w:after="0"/>
        <w:rPr>
          <w:sz w:val="20"/>
          <w:szCs w:val="20"/>
          <w:color w:val="auto"/>
        </w:rPr>
      </w:pPr>
      <w:r>
        <w:rPr>
          <w:rFonts w:ascii="Arial" w:cs="Arial" w:eastAsia="Arial" w:hAnsi="Arial"/>
          <w:sz w:val="14"/>
          <w:szCs w:val="14"/>
          <w:color w:val="auto"/>
        </w:rPr>
        <w:t>Muncie</w:t>
      </w:r>
    </w:p>
    <w:p>
      <w:pPr>
        <w:spacing w:after="0" w:line="56" w:lineRule="exact"/>
        <w:rPr>
          <w:sz w:val="20"/>
          <w:szCs w:val="20"/>
          <w:color w:val="auto"/>
        </w:rPr>
      </w:pPr>
    </w:p>
    <w:p>
      <w:pPr>
        <w:ind w:left="5580"/>
        <w:spacing w:after="0"/>
        <w:rPr>
          <w:sz w:val="20"/>
          <w:szCs w:val="20"/>
          <w:color w:val="auto"/>
        </w:rPr>
      </w:pPr>
      <w:r>
        <w:rPr>
          <w:rFonts w:ascii="Arial" w:cs="Arial" w:eastAsia="Arial" w:hAnsi="Arial"/>
          <w:sz w:val="14"/>
          <w:szCs w:val="14"/>
          <w:b w:val="1"/>
          <w:bCs w:val="1"/>
          <w:i w:val="1"/>
          <w:iCs w:val="1"/>
          <w:color w:val="auto"/>
        </w:rPr>
        <w:t>Iowa</w:t>
      </w:r>
    </w:p>
    <w:p>
      <w:pPr>
        <w:spacing w:after="0" w:line="221" w:lineRule="auto"/>
        <w:rPr>
          <w:sz w:val="20"/>
          <w:szCs w:val="20"/>
          <w:color w:val="auto"/>
        </w:rPr>
      </w:pPr>
      <w:r>
        <w:rPr>
          <w:rFonts w:ascii="Arial" w:cs="Arial" w:eastAsia="Arial" w:hAnsi="Arial"/>
          <w:sz w:val="14"/>
          <w:szCs w:val="14"/>
          <w:color w:val="auto"/>
        </w:rPr>
        <w:t>Clive</w:t>
      </w:r>
    </w:p>
    <w:p>
      <w:pPr>
        <w:spacing w:after="0" w:line="221" w:lineRule="auto"/>
        <w:rPr>
          <w:sz w:val="20"/>
          <w:szCs w:val="20"/>
          <w:color w:val="auto"/>
        </w:rPr>
      </w:pPr>
      <w:r>
        <w:rPr>
          <w:rFonts w:ascii="Arial" w:cs="Arial" w:eastAsia="Arial" w:hAnsi="Arial"/>
          <w:sz w:val="14"/>
          <w:szCs w:val="14"/>
          <w:color w:val="auto"/>
        </w:rPr>
        <w:t>Davenport</w:t>
      </w:r>
    </w:p>
    <w:p>
      <w:pPr>
        <w:spacing w:after="0" w:line="222" w:lineRule="auto"/>
        <w:rPr>
          <w:sz w:val="20"/>
          <w:szCs w:val="20"/>
          <w:color w:val="auto"/>
        </w:rPr>
      </w:pPr>
      <w:r>
        <w:rPr>
          <w:rFonts w:ascii="Arial" w:cs="Arial" w:eastAsia="Arial" w:hAnsi="Arial"/>
          <w:sz w:val="14"/>
          <w:szCs w:val="14"/>
          <w:color w:val="auto"/>
        </w:rPr>
        <w:t>Marion</w:t>
      </w:r>
    </w:p>
    <w:p>
      <w:pPr>
        <w:spacing w:after="0"/>
        <w:rPr>
          <w:sz w:val="20"/>
          <w:szCs w:val="20"/>
          <w:color w:val="auto"/>
        </w:rPr>
      </w:pPr>
      <w:r>
        <w:rPr>
          <w:rFonts w:ascii="Arial" w:cs="Arial" w:eastAsia="Arial" w:hAnsi="Arial"/>
          <w:sz w:val="14"/>
          <w:szCs w:val="14"/>
          <w:color w:val="auto"/>
        </w:rPr>
        <w:t>Williamsburg*</w:t>
      </w:r>
    </w:p>
    <w:p>
      <w:pPr>
        <w:spacing w:after="0" w:line="56" w:lineRule="exact"/>
        <w:rPr>
          <w:sz w:val="20"/>
          <w:szCs w:val="20"/>
          <w:color w:val="auto"/>
        </w:rPr>
      </w:pPr>
    </w:p>
    <w:p>
      <w:pPr>
        <w:ind w:left="5520"/>
        <w:spacing w:after="0"/>
        <w:rPr>
          <w:sz w:val="20"/>
          <w:szCs w:val="20"/>
          <w:color w:val="auto"/>
        </w:rPr>
      </w:pPr>
      <w:r>
        <w:rPr>
          <w:rFonts w:ascii="Arial" w:cs="Arial" w:eastAsia="Arial" w:hAnsi="Arial"/>
          <w:sz w:val="14"/>
          <w:szCs w:val="14"/>
          <w:b w:val="1"/>
          <w:bCs w:val="1"/>
          <w:i w:val="1"/>
          <w:iCs w:val="1"/>
          <w:color w:val="auto"/>
        </w:rPr>
        <w:t>Kansas</w:t>
      </w:r>
    </w:p>
    <w:p>
      <w:pPr>
        <w:spacing w:after="0" w:line="221" w:lineRule="auto"/>
        <w:rPr>
          <w:sz w:val="20"/>
          <w:szCs w:val="20"/>
          <w:color w:val="auto"/>
        </w:rPr>
      </w:pPr>
      <w:r>
        <w:rPr>
          <w:rFonts w:ascii="Arial" w:cs="Arial" w:eastAsia="Arial" w:hAnsi="Arial"/>
          <w:sz w:val="14"/>
          <w:szCs w:val="14"/>
          <w:color w:val="auto"/>
        </w:rPr>
        <w:t>Overland Park</w:t>
      </w:r>
    </w:p>
    <w:p>
      <w:pPr>
        <w:spacing w:after="0" w:line="221" w:lineRule="auto"/>
        <w:rPr>
          <w:sz w:val="20"/>
          <w:szCs w:val="20"/>
          <w:color w:val="auto"/>
        </w:rPr>
      </w:pPr>
      <w:r>
        <w:rPr>
          <w:rFonts w:ascii="Arial" w:cs="Arial" w:eastAsia="Arial" w:hAnsi="Arial"/>
          <w:sz w:val="14"/>
          <w:szCs w:val="14"/>
          <w:color w:val="auto"/>
        </w:rPr>
        <w:t>Topeka</w:t>
      </w:r>
    </w:p>
    <w:p>
      <w:pPr>
        <w:spacing w:after="0"/>
        <w:rPr>
          <w:sz w:val="20"/>
          <w:szCs w:val="20"/>
          <w:color w:val="auto"/>
        </w:rPr>
      </w:pPr>
      <w:r>
        <w:rPr>
          <w:rFonts w:ascii="Arial" w:cs="Arial" w:eastAsia="Arial" w:hAnsi="Arial"/>
          <w:sz w:val="14"/>
          <w:szCs w:val="14"/>
          <w:color w:val="auto"/>
        </w:rPr>
        <w:t>Wichita</w:t>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4"/>
          <w:szCs w:val="14"/>
          <w:b w:val="1"/>
          <w:bCs w:val="1"/>
          <w:i w:val="1"/>
          <w:iCs w:val="1"/>
          <w:color w:val="auto"/>
        </w:rPr>
        <w:t>Kentucky</w:t>
      </w:r>
    </w:p>
    <w:p>
      <w:pPr>
        <w:spacing w:after="0" w:line="221" w:lineRule="auto"/>
        <w:rPr>
          <w:sz w:val="20"/>
          <w:szCs w:val="20"/>
          <w:color w:val="auto"/>
        </w:rPr>
      </w:pPr>
      <w:r>
        <w:rPr>
          <w:rFonts w:ascii="Arial" w:cs="Arial" w:eastAsia="Arial" w:hAnsi="Arial"/>
          <w:sz w:val="14"/>
          <w:szCs w:val="14"/>
          <w:color w:val="auto"/>
        </w:rPr>
        <w:t>Bowling Green</w:t>
      </w:r>
    </w:p>
    <w:p>
      <w:pPr>
        <w:spacing w:after="0" w:line="221" w:lineRule="auto"/>
        <w:rPr>
          <w:sz w:val="20"/>
          <w:szCs w:val="20"/>
          <w:color w:val="auto"/>
        </w:rPr>
      </w:pPr>
      <w:r>
        <w:rPr>
          <w:rFonts w:ascii="Arial" w:cs="Arial" w:eastAsia="Arial" w:hAnsi="Arial"/>
          <w:sz w:val="14"/>
          <w:szCs w:val="14"/>
          <w:color w:val="auto"/>
        </w:rPr>
        <w:t>Florence</w:t>
      </w:r>
    </w:p>
    <w:p>
      <w:pPr>
        <w:spacing w:after="0" w:line="222" w:lineRule="auto"/>
        <w:rPr>
          <w:sz w:val="20"/>
          <w:szCs w:val="20"/>
          <w:color w:val="auto"/>
        </w:rPr>
      </w:pPr>
      <w:r>
        <w:rPr>
          <w:rFonts w:ascii="Arial" w:cs="Arial" w:eastAsia="Arial" w:hAnsi="Arial"/>
          <w:sz w:val="14"/>
          <w:szCs w:val="14"/>
          <w:color w:val="auto"/>
        </w:rPr>
        <w:t>Lexington</w:t>
      </w:r>
    </w:p>
    <w:p>
      <w:pPr>
        <w:spacing w:after="0"/>
        <w:rPr>
          <w:sz w:val="20"/>
          <w:szCs w:val="20"/>
          <w:color w:val="auto"/>
        </w:rPr>
      </w:pPr>
      <w:r>
        <w:rPr>
          <w:rFonts w:ascii="Arial" w:cs="Arial" w:eastAsia="Arial" w:hAnsi="Arial"/>
          <w:sz w:val="14"/>
          <w:szCs w:val="14"/>
          <w:color w:val="auto"/>
        </w:rPr>
        <w:t>Louisville (2)</w:t>
      </w:r>
    </w:p>
    <w:p>
      <w:pPr>
        <w:spacing w:after="0" w:line="56" w:lineRule="exact"/>
        <w:rPr>
          <w:sz w:val="20"/>
          <w:szCs w:val="20"/>
          <w:color w:val="auto"/>
        </w:rPr>
      </w:pPr>
    </w:p>
    <w:p>
      <w:pPr>
        <w:ind w:left="5440"/>
        <w:spacing w:after="0"/>
        <w:rPr>
          <w:sz w:val="20"/>
          <w:szCs w:val="20"/>
          <w:color w:val="auto"/>
        </w:rPr>
      </w:pPr>
      <w:r>
        <w:rPr>
          <w:rFonts w:ascii="Arial" w:cs="Arial" w:eastAsia="Arial" w:hAnsi="Arial"/>
          <w:sz w:val="14"/>
          <w:szCs w:val="14"/>
          <w:b w:val="1"/>
          <w:bCs w:val="1"/>
          <w:i w:val="1"/>
          <w:iCs w:val="1"/>
          <w:color w:val="auto"/>
        </w:rPr>
        <w:t>Louisiana</w:t>
      </w:r>
    </w:p>
    <w:p>
      <w:pPr>
        <w:spacing w:after="0" w:line="221" w:lineRule="auto"/>
        <w:rPr>
          <w:sz w:val="20"/>
          <w:szCs w:val="20"/>
          <w:color w:val="auto"/>
        </w:rPr>
      </w:pPr>
      <w:r>
        <w:rPr>
          <w:rFonts w:ascii="Arial" w:cs="Arial" w:eastAsia="Arial" w:hAnsi="Arial"/>
          <w:sz w:val="14"/>
          <w:szCs w:val="14"/>
          <w:color w:val="auto"/>
        </w:rPr>
        <w:t>Baton Rouge</w:t>
      </w:r>
    </w:p>
    <w:p>
      <w:pPr>
        <w:spacing w:after="0" w:line="221" w:lineRule="auto"/>
        <w:rPr>
          <w:sz w:val="20"/>
          <w:szCs w:val="20"/>
          <w:color w:val="auto"/>
        </w:rPr>
      </w:pPr>
      <w:r>
        <w:rPr>
          <w:rFonts w:ascii="Arial" w:cs="Arial" w:eastAsia="Arial" w:hAnsi="Arial"/>
          <w:sz w:val="14"/>
          <w:szCs w:val="14"/>
          <w:color w:val="auto"/>
        </w:rPr>
        <w:t>Bossier City*</w:t>
      </w:r>
    </w:p>
    <w:p>
      <w:pPr>
        <w:spacing w:after="0" w:line="222" w:lineRule="auto"/>
        <w:rPr>
          <w:sz w:val="20"/>
          <w:szCs w:val="20"/>
          <w:color w:val="auto"/>
        </w:rPr>
      </w:pPr>
      <w:r>
        <w:rPr>
          <w:rFonts w:ascii="Arial" w:cs="Arial" w:eastAsia="Arial" w:hAnsi="Arial"/>
          <w:sz w:val="14"/>
          <w:szCs w:val="14"/>
          <w:color w:val="auto"/>
        </w:rPr>
        <w:t>Gonzales*</w:t>
      </w:r>
    </w:p>
    <w:p>
      <w:pPr>
        <w:spacing w:after="0" w:line="221" w:lineRule="auto"/>
        <w:rPr>
          <w:sz w:val="20"/>
          <w:szCs w:val="20"/>
          <w:color w:val="auto"/>
        </w:rPr>
      </w:pPr>
      <w:r>
        <w:rPr>
          <w:rFonts w:ascii="Arial" w:cs="Arial" w:eastAsia="Arial" w:hAnsi="Arial"/>
          <w:sz w:val="14"/>
          <w:szCs w:val="14"/>
          <w:color w:val="auto"/>
        </w:rPr>
        <w:t>Lafayette</w:t>
      </w:r>
    </w:p>
    <w:p>
      <w:pPr>
        <w:spacing w:after="0"/>
        <w:rPr>
          <w:sz w:val="20"/>
          <w:szCs w:val="20"/>
          <w:color w:val="auto"/>
        </w:rPr>
      </w:pPr>
      <w:r>
        <w:rPr>
          <w:rFonts w:ascii="Arial" w:cs="Arial" w:eastAsia="Arial" w:hAnsi="Arial"/>
          <w:sz w:val="14"/>
          <w:szCs w:val="14"/>
          <w:color w:val="auto"/>
        </w:rPr>
        <w:t>Metairie</w:t>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4"/>
          <w:szCs w:val="14"/>
          <w:b w:val="1"/>
          <w:bCs w:val="1"/>
          <w:i w:val="1"/>
          <w:iCs w:val="1"/>
          <w:color w:val="auto"/>
        </w:rPr>
        <w:t>Maine</w:t>
      </w:r>
    </w:p>
    <w:p>
      <w:pPr>
        <w:spacing w:after="0" w:line="221" w:lineRule="auto"/>
        <w:rPr>
          <w:sz w:val="20"/>
          <w:szCs w:val="20"/>
          <w:color w:val="auto"/>
        </w:rPr>
      </w:pPr>
      <w:r>
        <w:rPr>
          <w:rFonts w:ascii="Arial" w:cs="Arial" w:eastAsia="Arial" w:hAnsi="Arial"/>
          <w:sz w:val="14"/>
          <w:szCs w:val="14"/>
          <w:color w:val="auto"/>
        </w:rPr>
        <w:t>Kittery*</w:t>
      </w:r>
    </w:p>
    <w:p>
      <w:pPr>
        <w:spacing w:after="0"/>
        <w:rPr>
          <w:sz w:val="20"/>
          <w:szCs w:val="20"/>
          <w:color w:val="auto"/>
        </w:rPr>
      </w:pPr>
      <w:r>
        <w:rPr>
          <w:rFonts w:ascii="Arial" w:cs="Arial" w:eastAsia="Arial" w:hAnsi="Arial"/>
          <w:sz w:val="14"/>
          <w:szCs w:val="14"/>
          <w:color w:val="auto"/>
        </w:rPr>
        <w:t>South Portland</w:t>
      </w:r>
    </w:p>
    <w:p>
      <w:pPr>
        <w:spacing w:after="0" w:line="56" w:lineRule="exact"/>
        <w:rPr>
          <w:sz w:val="20"/>
          <w:szCs w:val="20"/>
          <w:color w:val="auto"/>
        </w:rPr>
      </w:pPr>
    </w:p>
    <w:p>
      <w:pPr>
        <w:ind w:left="5440"/>
        <w:spacing w:after="0"/>
        <w:rPr>
          <w:sz w:val="20"/>
          <w:szCs w:val="20"/>
          <w:color w:val="auto"/>
        </w:rPr>
      </w:pPr>
      <w:r>
        <w:rPr>
          <w:rFonts w:ascii="Arial" w:cs="Arial" w:eastAsia="Arial" w:hAnsi="Arial"/>
          <w:sz w:val="14"/>
          <w:szCs w:val="14"/>
          <w:b w:val="1"/>
          <w:bCs w:val="1"/>
          <w:i w:val="1"/>
          <w:iCs w:val="1"/>
          <w:color w:val="auto"/>
        </w:rPr>
        <w:t>Maryland</w:t>
      </w:r>
    </w:p>
    <w:p>
      <w:pPr>
        <w:spacing w:after="0" w:line="221" w:lineRule="auto"/>
        <w:rPr>
          <w:sz w:val="20"/>
          <w:szCs w:val="20"/>
          <w:color w:val="auto"/>
        </w:rPr>
      </w:pPr>
      <w:r>
        <w:rPr>
          <w:rFonts w:ascii="Arial" w:cs="Arial" w:eastAsia="Arial" w:hAnsi="Arial"/>
          <w:sz w:val="14"/>
          <w:szCs w:val="14"/>
          <w:color w:val="auto"/>
        </w:rPr>
        <w:t>Annapolis</w:t>
      </w:r>
    </w:p>
    <w:p>
      <w:pPr>
        <w:spacing w:after="0" w:line="221" w:lineRule="auto"/>
        <w:rPr>
          <w:sz w:val="20"/>
          <w:szCs w:val="20"/>
          <w:color w:val="auto"/>
        </w:rPr>
      </w:pPr>
      <w:r>
        <w:rPr>
          <w:rFonts w:ascii="Arial" w:cs="Arial" w:eastAsia="Arial" w:hAnsi="Arial"/>
          <w:sz w:val="14"/>
          <w:szCs w:val="14"/>
          <w:color w:val="auto"/>
        </w:rPr>
        <w:t>Baltimore</w:t>
      </w:r>
    </w:p>
    <w:p>
      <w:pPr>
        <w:spacing w:after="0" w:line="222" w:lineRule="auto"/>
        <w:rPr>
          <w:sz w:val="20"/>
          <w:szCs w:val="20"/>
          <w:color w:val="auto"/>
        </w:rPr>
      </w:pPr>
      <w:r>
        <w:rPr>
          <w:rFonts w:ascii="Arial" w:cs="Arial" w:eastAsia="Arial" w:hAnsi="Arial"/>
          <w:sz w:val="14"/>
          <w:szCs w:val="14"/>
          <w:color w:val="auto"/>
        </w:rPr>
        <w:t>Columbia</w:t>
      </w:r>
    </w:p>
    <w:p>
      <w:pPr>
        <w:spacing w:after="0" w:line="221" w:lineRule="auto"/>
        <w:rPr>
          <w:sz w:val="20"/>
          <w:szCs w:val="20"/>
          <w:color w:val="auto"/>
        </w:rPr>
      </w:pPr>
      <w:r>
        <w:rPr>
          <w:rFonts w:ascii="Arial" w:cs="Arial" w:eastAsia="Arial" w:hAnsi="Arial"/>
          <w:sz w:val="14"/>
          <w:szCs w:val="14"/>
          <w:color w:val="auto"/>
        </w:rPr>
        <w:t>District Heights</w:t>
      </w:r>
    </w:p>
    <w:p>
      <w:pPr>
        <w:spacing w:after="0" w:line="1" w:lineRule="exact"/>
        <w:rPr>
          <w:sz w:val="20"/>
          <w:szCs w:val="20"/>
          <w:color w:val="auto"/>
        </w:rPr>
      </w:pPr>
    </w:p>
    <w:p>
      <w:pPr>
        <w:ind w:right="9499" w:firstLine="8"/>
        <w:spacing w:after="0" w:line="264" w:lineRule="auto"/>
        <w:tabs>
          <w:tab w:leader="none" w:pos="150" w:val="left"/>
        </w:tabs>
        <w:numPr>
          <w:ilvl w:val="0"/>
          <w:numId w:val="4"/>
        </w:numPr>
        <w:rPr>
          <w:rFonts w:ascii="Arial" w:cs="Arial" w:eastAsia="Arial" w:hAnsi="Arial"/>
          <w:sz w:val="12"/>
          <w:szCs w:val="12"/>
          <w:color w:val="auto"/>
        </w:rPr>
      </w:pPr>
      <w:r>
        <w:rPr>
          <w:rFonts w:ascii="Arial" w:cs="Arial" w:eastAsia="Arial" w:hAnsi="Arial"/>
          <w:sz w:val="12"/>
          <w:szCs w:val="12"/>
          <w:color w:val="auto"/>
        </w:rPr>
        <w:t>Baltimore Frederick Glen Burnie Greenbelt Hagerstown* Largo Towson</w:t>
      </w:r>
    </w:p>
    <w:p>
      <w:pPr>
        <w:sectPr>
          <w:pgSz w:w="11900" w:h="16840" w:orient="portrait"/>
          <w:cols w:equalWidth="0" w:num="1">
            <w:col w:w="10219"/>
          </w:cols>
          <w:pgMar w:left="240" w:top="128" w:right="1440" w:bottom="0" w:gutter="0" w:footer="0" w:header="0"/>
        </w:sectPr>
      </w:pPr>
    </w:p>
    <w:bookmarkStart w:id="23" w:name="page24"/>
    <w:bookmarkEnd w:id="23"/>
    <w:p>
      <w:pPr>
        <w:spacing w:after="0"/>
        <w:rPr>
          <w:sz w:val="20"/>
          <w:szCs w:val="20"/>
          <w:color w:val="auto"/>
        </w:rPr>
      </w:pPr>
      <w:r>
        <w:rPr>
          <w:rFonts w:ascii="Arial" w:cs="Arial" w:eastAsia="Arial" w:hAnsi="Arial"/>
          <w:sz w:val="14"/>
          <w:szCs w:val="14"/>
          <w:color w:val="auto"/>
        </w:rPr>
        <w:t>Rockville</w:t>
      </w:r>
    </w:p>
    <w:p>
      <w:pPr>
        <w:spacing w:after="0"/>
        <w:rPr>
          <w:sz w:val="20"/>
          <w:szCs w:val="20"/>
          <w:color w:val="auto"/>
        </w:rPr>
      </w:pPr>
      <w:r>
        <w:rPr>
          <w:rFonts w:ascii="Arial" w:cs="Arial" w:eastAsia="Arial" w:hAnsi="Arial"/>
          <w:sz w:val="14"/>
          <w:szCs w:val="14"/>
          <w:color w:val="auto"/>
        </w:rPr>
        <w:t>Waldorf</w:t>
      </w:r>
    </w:p>
    <w:p>
      <w:pPr>
        <w:spacing w:after="0" w:line="57" w:lineRule="exact"/>
        <w:rPr>
          <w:sz w:val="20"/>
          <w:szCs w:val="20"/>
          <w:color w:val="auto"/>
        </w:rPr>
      </w:pPr>
    </w:p>
    <w:p>
      <w:pPr>
        <w:ind w:left="5300"/>
        <w:spacing w:after="0"/>
        <w:rPr>
          <w:sz w:val="20"/>
          <w:szCs w:val="20"/>
          <w:color w:val="auto"/>
        </w:rPr>
      </w:pPr>
      <w:r>
        <w:rPr>
          <w:rFonts w:ascii="Arial" w:cs="Arial" w:eastAsia="Arial" w:hAnsi="Arial"/>
          <w:sz w:val="12"/>
          <w:szCs w:val="12"/>
          <w:b w:val="1"/>
          <w:bCs w:val="1"/>
          <w:i w:val="1"/>
          <w:iCs w:val="1"/>
          <w:color w:val="auto"/>
        </w:rPr>
        <w:t>Massachusetts</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Boston</w:t>
      </w:r>
    </w:p>
    <w:p>
      <w:pPr>
        <w:spacing w:after="0" w:line="221" w:lineRule="auto"/>
        <w:rPr>
          <w:sz w:val="20"/>
          <w:szCs w:val="20"/>
          <w:color w:val="auto"/>
        </w:rPr>
      </w:pPr>
      <w:r>
        <w:rPr>
          <w:rFonts w:ascii="Arial" w:cs="Arial" w:eastAsia="Arial" w:hAnsi="Arial"/>
          <w:sz w:val="14"/>
          <w:szCs w:val="14"/>
          <w:color w:val="auto"/>
        </w:rPr>
        <w:t>Burlington</w:t>
      </w:r>
    </w:p>
    <w:p>
      <w:pPr>
        <w:spacing w:after="0" w:line="221" w:lineRule="auto"/>
        <w:rPr>
          <w:sz w:val="20"/>
          <w:szCs w:val="20"/>
          <w:color w:val="auto"/>
        </w:rPr>
      </w:pPr>
      <w:r>
        <w:rPr>
          <w:rFonts w:ascii="Arial" w:cs="Arial" w:eastAsia="Arial" w:hAnsi="Arial"/>
          <w:sz w:val="14"/>
          <w:szCs w:val="14"/>
          <w:color w:val="auto"/>
        </w:rPr>
        <w:t>Dedham</w:t>
      </w:r>
    </w:p>
    <w:p>
      <w:pPr>
        <w:spacing w:after="0" w:line="222" w:lineRule="auto"/>
        <w:rPr>
          <w:sz w:val="20"/>
          <w:szCs w:val="20"/>
          <w:color w:val="auto"/>
        </w:rPr>
      </w:pPr>
      <w:r>
        <w:rPr>
          <w:rFonts w:ascii="Arial" w:cs="Arial" w:eastAsia="Arial" w:hAnsi="Arial"/>
          <w:sz w:val="14"/>
          <w:szCs w:val="14"/>
          <w:color w:val="auto"/>
        </w:rPr>
        <w:t>Framingham</w:t>
      </w:r>
    </w:p>
    <w:p>
      <w:pPr>
        <w:spacing w:after="0" w:line="221" w:lineRule="auto"/>
        <w:rPr>
          <w:sz w:val="20"/>
          <w:szCs w:val="20"/>
          <w:color w:val="auto"/>
        </w:rPr>
      </w:pPr>
      <w:r>
        <w:rPr>
          <w:rFonts w:ascii="Arial" w:cs="Arial" w:eastAsia="Arial" w:hAnsi="Arial"/>
          <w:sz w:val="14"/>
          <w:szCs w:val="14"/>
          <w:color w:val="auto"/>
        </w:rPr>
        <w:t>Hanover</w:t>
      </w:r>
    </w:p>
    <w:p>
      <w:pPr>
        <w:spacing w:after="0" w:line="222" w:lineRule="auto"/>
        <w:rPr>
          <w:sz w:val="20"/>
          <w:szCs w:val="20"/>
          <w:color w:val="auto"/>
        </w:rPr>
      </w:pPr>
      <w:r>
        <w:rPr>
          <w:rFonts w:ascii="Arial" w:cs="Arial" w:eastAsia="Arial" w:hAnsi="Arial"/>
          <w:sz w:val="14"/>
          <w:szCs w:val="14"/>
          <w:color w:val="auto"/>
        </w:rPr>
        <w:t>Hyannis</w:t>
      </w:r>
    </w:p>
    <w:p>
      <w:pPr>
        <w:spacing w:after="0" w:line="221" w:lineRule="auto"/>
        <w:rPr>
          <w:sz w:val="20"/>
          <w:szCs w:val="20"/>
          <w:color w:val="auto"/>
        </w:rPr>
      </w:pPr>
      <w:r>
        <w:rPr>
          <w:rFonts w:ascii="Arial" w:cs="Arial" w:eastAsia="Arial" w:hAnsi="Arial"/>
          <w:sz w:val="14"/>
          <w:szCs w:val="14"/>
          <w:color w:val="auto"/>
        </w:rPr>
        <w:t>Medford</w:t>
      </w:r>
    </w:p>
    <w:p>
      <w:pPr>
        <w:spacing w:after="0" w:line="222" w:lineRule="auto"/>
        <w:rPr>
          <w:sz w:val="20"/>
          <w:szCs w:val="20"/>
          <w:color w:val="auto"/>
        </w:rPr>
      </w:pPr>
      <w:r>
        <w:rPr>
          <w:rFonts w:ascii="Arial" w:cs="Arial" w:eastAsia="Arial" w:hAnsi="Arial"/>
          <w:sz w:val="14"/>
          <w:szCs w:val="14"/>
          <w:color w:val="auto"/>
        </w:rPr>
        <w:t>North Attleboro</w:t>
      </w:r>
    </w:p>
    <w:p>
      <w:pPr>
        <w:spacing w:after="0"/>
        <w:rPr>
          <w:sz w:val="20"/>
          <w:szCs w:val="20"/>
          <w:color w:val="auto"/>
        </w:rPr>
      </w:pPr>
      <w:r>
        <w:rPr>
          <w:rFonts w:ascii="Arial" w:cs="Arial" w:eastAsia="Arial" w:hAnsi="Arial"/>
          <w:sz w:val="14"/>
          <w:szCs w:val="14"/>
          <w:color w:val="auto"/>
        </w:rPr>
        <w:t>North Dartmouth</w:t>
      </w:r>
    </w:p>
    <w:p>
      <w:pPr>
        <w:spacing w:after="0" w:line="124" w:lineRule="exact"/>
        <w:rPr>
          <w:sz w:val="20"/>
          <w:szCs w:val="20"/>
          <w:color w:val="auto"/>
        </w:rPr>
      </w:pPr>
    </w:p>
    <w:p>
      <w:pPr>
        <w:jc w:val="right"/>
        <w:ind w:right="3919"/>
        <w:spacing w:after="0"/>
        <w:rPr>
          <w:sz w:val="20"/>
          <w:szCs w:val="20"/>
          <w:color w:val="auto"/>
        </w:rPr>
      </w:pPr>
      <w:r>
        <w:rPr>
          <w:rFonts w:ascii="Arial" w:cs="Arial" w:eastAsia="Arial" w:hAnsi="Arial"/>
          <w:sz w:val="14"/>
          <w:szCs w:val="14"/>
          <w:b w:val="1"/>
          <w:bCs w:val="1"/>
          <w:i w:val="1"/>
          <w:iCs w:val="1"/>
          <w:color w:val="auto"/>
        </w:rPr>
        <w:t>Massachusetts, cont.</w:t>
      </w:r>
    </w:p>
    <w:p>
      <w:pPr>
        <w:spacing w:after="0" w:line="221" w:lineRule="auto"/>
        <w:rPr>
          <w:sz w:val="20"/>
          <w:szCs w:val="20"/>
          <w:color w:val="auto"/>
        </w:rPr>
      </w:pPr>
      <w:r>
        <w:rPr>
          <w:rFonts w:ascii="Arial" w:cs="Arial" w:eastAsia="Arial" w:hAnsi="Arial"/>
          <w:sz w:val="14"/>
          <w:szCs w:val="14"/>
          <w:color w:val="auto"/>
        </w:rPr>
        <w:t>Saugus</w:t>
      </w:r>
    </w:p>
    <w:p>
      <w:pPr>
        <w:spacing w:after="0" w:line="221" w:lineRule="auto"/>
        <w:rPr>
          <w:sz w:val="20"/>
          <w:szCs w:val="20"/>
          <w:color w:val="auto"/>
        </w:rPr>
      </w:pPr>
      <w:r>
        <w:rPr>
          <w:rFonts w:ascii="Arial" w:cs="Arial" w:eastAsia="Arial" w:hAnsi="Arial"/>
          <w:sz w:val="14"/>
          <w:szCs w:val="14"/>
          <w:color w:val="auto"/>
        </w:rPr>
        <w:t>Shrewsbury</w:t>
      </w:r>
    </w:p>
    <w:p>
      <w:pPr>
        <w:spacing w:after="0" w:line="222" w:lineRule="auto"/>
        <w:rPr>
          <w:sz w:val="20"/>
          <w:szCs w:val="20"/>
          <w:color w:val="auto"/>
        </w:rPr>
      </w:pPr>
      <w:r>
        <w:rPr>
          <w:rFonts w:ascii="Arial" w:cs="Arial" w:eastAsia="Arial" w:hAnsi="Arial"/>
          <w:sz w:val="14"/>
          <w:szCs w:val="14"/>
          <w:color w:val="auto"/>
        </w:rPr>
        <w:t>Tyngsboro</w:t>
      </w:r>
    </w:p>
    <w:p>
      <w:pPr>
        <w:spacing w:after="0" w:line="221" w:lineRule="auto"/>
        <w:rPr>
          <w:sz w:val="20"/>
          <w:szCs w:val="20"/>
          <w:color w:val="auto"/>
        </w:rPr>
      </w:pPr>
      <w:r>
        <w:rPr>
          <w:rFonts w:ascii="Arial" w:cs="Arial" w:eastAsia="Arial" w:hAnsi="Arial"/>
          <w:sz w:val="14"/>
          <w:szCs w:val="14"/>
          <w:color w:val="auto"/>
        </w:rPr>
        <w:t>West Springfield</w:t>
      </w:r>
    </w:p>
    <w:p>
      <w:pPr>
        <w:spacing w:after="0"/>
        <w:rPr>
          <w:sz w:val="20"/>
          <w:szCs w:val="20"/>
          <w:color w:val="auto"/>
        </w:rPr>
      </w:pPr>
      <w:r>
        <w:rPr>
          <w:rFonts w:ascii="Arial" w:cs="Arial" w:eastAsia="Arial" w:hAnsi="Arial"/>
          <w:sz w:val="14"/>
          <w:szCs w:val="14"/>
          <w:color w:val="auto"/>
        </w:rPr>
        <w:t>Wrentham*</w:t>
      </w:r>
    </w:p>
    <w:p>
      <w:pPr>
        <w:spacing w:after="0" w:line="57" w:lineRule="exact"/>
        <w:rPr>
          <w:sz w:val="20"/>
          <w:szCs w:val="20"/>
          <w:color w:val="auto"/>
        </w:rPr>
      </w:pPr>
    </w:p>
    <w:p>
      <w:pPr>
        <w:ind w:left="5440"/>
        <w:spacing w:after="0"/>
        <w:rPr>
          <w:sz w:val="20"/>
          <w:szCs w:val="20"/>
          <w:color w:val="auto"/>
        </w:rPr>
      </w:pPr>
      <w:r>
        <w:rPr>
          <w:rFonts w:ascii="Arial" w:cs="Arial" w:eastAsia="Arial" w:hAnsi="Arial"/>
          <w:sz w:val="14"/>
          <w:szCs w:val="14"/>
          <w:b w:val="1"/>
          <w:bCs w:val="1"/>
          <w:i w:val="1"/>
          <w:iCs w:val="1"/>
          <w:color w:val="auto"/>
        </w:rPr>
        <w:t>Michigan</w:t>
      </w:r>
    </w:p>
    <w:p>
      <w:pPr>
        <w:spacing w:after="0" w:line="221" w:lineRule="auto"/>
        <w:rPr>
          <w:sz w:val="20"/>
          <w:szCs w:val="20"/>
          <w:color w:val="auto"/>
        </w:rPr>
      </w:pPr>
      <w:r>
        <w:rPr>
          <w:rFonts w:ascii="Arial" w:cs="Arial" w:eastAsia="Arial" w:hAnsi="Arial"/>
          <w:sz w:val="14"/>
          <w:szCs w:val="14"/>
          <w:color w:val="auto"/>
        </w:rPr>
        <w:t>Allen Park</w:t>
      </w:r>
    </w:p>
    <w:p>
      <w:pPr>
        <w:spacing w:after="0" w:line="221" w:lineRule="auto"/>
        <w:rPr>
          <w:sz w:val="20"/>
          <w:szCs w:val="20"/>
          <w:color w:val="auto"/>
        </w:rPr>
      </w:pPr>
      <w:r>
        <w:rPr>
          <w:rFonts w:ascii="Arial" w:cs="Arial" w:eastAsia="Arial" w:hAnsi="Arial"/>
          <w:sz w:val="14"/>
          <w:szCs w:val="14"/>
          <w:color w:val="auto"/>
        </w:rPr>
        <w:t>Ann Arbor</w:t>
      </w:r>
    </w:p>
    <w:p>
      <w:pPr>
        <w:spacing w:after="0" w:line="222" w:lineRule="auto"/>
        <w:rPr>
          <w:sz w:val="20"/>
          <w:szCs w:val="20"/>
          <w:color w:val="auto"/>
        </w:rPr>
      </w:pPr>
      <w:r>
        <w:rPr>
          <w:rFonts w:ascii="Arial" w:cs="Arial" w:eastAsia="Arial" w:hAnsi="Arial"/>
          <w:sz w:val="14"/>
          <w:szCs w:val="14"/>
          <w:color w:val="auto"/>
        </w:rPr>
        <w:t>Battle Creek</w:t>
      </w:r>
    </w:p>
    <w:p>
      <w:pPr>
        <w:spacing w:after="0" w:line="221" w:lineRule="auto"/>
        <w:rPr>
          <w:sz w:val="20"/>
          <w:szCs w:val="20"/>
          <w:color w:val="auto"/>
        </w:rPr>
      </w:pPr>
      <w:r>
        <w:rPr>
          <w:rFonts w:ascii="Arial" w:cs="Arial" w:eastAsia="Arial" w:hAnsi="Arial"/>
          <w:sz w:val="14"/>
          <w:szCs w:val="14"/>
          <w:color w:val="auto"/>
        </w:rPr>
        <w:t>Birch Run*</w:t>
      </w:r>
    </w:p>
    <w:p>
      <w:pPr>
        <w:spacing w:after="0" w:line="222" w:lineRule="auto"/>
        <w:rPr>
          <w:sz w:val="20"/>
          <w:szCs w:val="20"/>
          <w:color w:val="auto"/>
        </w:rPr>
      </w:pPr>
      <w:r>
        <w:rPr>
          <w:rFonts w:ascii="Arial" w:cs="Arial" w:eastAsia="Arial" w:hAnsi="Arial"/>
          <w:sz w:val="14"/>
          <w:szCs w:val="14"/>
          <w:color w:val="auto"/>
        </w:rPr>
        <w:t>Flint</w:t>
      </w:r>
    </w:p>
    <w:p>
      <w:pPr>
        <w:spacing w:after="0" w:line="221" w:lineRule="auto"/>
        <w:rPr>
          <w:sz w:val="20"/>
          <w:szCs w:val="20"/>
          <w:color w:val="auto"/>
        </w:rPr>
      </w:pPr>
      <w:r>
        <w:rPr>
          <w:rFonts w:ascii="Arial" w:cs="Arial" w:eastAsia="Arial" w:hAnsi="Arial"/>
          <w:sz w:val="14"/>
          <w:szCs w:val="14"/>
          <w:color w:val="auto"/>
        </w:rPr>
        <w:t>Grand Rapids</w:t>
      </w:r>
    </w:p>
    <w:p>
      <w:pPr>
        <w:spacing w:after="0" w:line="222" w:lineRule="auto"/>
        <w:rPr>
          <w:sz w:val="20"/>
          <w:szCs w:val="20"/>
          <w:color w:val="auto"/>
        </w:rPr>
      </w:pPr>
      <w:r>
        <w:rPr>
          <w:rFonts w:ascii="Arial" w:cs="Arial" w:eastAsia="Arial" w:hAnsi="Arial"/>
          <w:sz w:val="14"/>
          <w:szCs w:val="14"/>
          <w:color w:val="auto"/>
        </w:rPr>
        <w:t>Howell*</w:t>
      </w:r>
    </w:p>
    <w:p>
      <w:pPr>
        <w:spacing w:after="0" w:line="221" w:lineRule="auto"/>
        <w:rPr>
          <w:sz w:val="20"/>
          <w:szCs w:val="20"/>
          <w:color w:val="auto"/>
        </w:rPr>
      </w:pPr>
      <w:r>
        <w:rPr>
          <w:rFonts w:ascii="Arial" w:cs="Arial" w:eastAsia="Arial" w:hAnsi="Arial"/>
          <w:sz w:val="14"/>
          <w:szCs w:val="14"/>
          <w:color w:val="auto"/>
        </w:rPr>
        <w:t>Lansing</w:t>
      </w:r>
    </w:p>
    <w:p>
      <w:pPr>
        <w:spacing w:after="0" w:line="222" w:lineRule="auto"/>
        <w:rPr>
          <w:sz w:val="20"/>
          <w:szCs w:val="20"/>
          <w:color w:val="auto"/>
        </w:rPr>
      </w:pPr>
      <w:r>
        <w:rPr>
          <w:rFonts w:ascii="Arial" w:cs="Arial" w:eastAsia="Arial" w:hAnsi="Arial"/>
          <w:sz w:val="14"/>
          <w:szCs w:val="14"/>
          <w:color w:val="auto"/>
        </w:rPr>
        <w:t>Livonia</w:t>
      </w:r>
    </w:p>
    <w:p>
      <w:pPr>
        <w:spacing w:after="0" w:line="221" w:lineRule="auto"/>
        <w:rPr>
          <w:sz w:val="20"/>
          <w:szCs w:val="20"/>
          <w:color w:val="auto"/>
        </w:rPr>
      </w:pPr>
      <w:r>
        <w:rPr>
          <w:rFonts w:ascii="Arial" w:cs="Arial" w:eastAsia="Arial" w:hAnsi="Arial"/>
          <w:sz w:val="14"/>
          <w:szCs w:val="14"/>
          <w:color w:val="auto"/>
        </w:rPr>
        <w:t>Madison Heights</w:t>
      </w:r>
    </w:p>
    <w:p>
      <w:pPr>
        <w:spacing w:after="0" w:line="222" w:lineRule="auto"/>
        <w:rPr>
          <w:sz w:val="20"/>
          <w:szCs w:val="20"/>
          <w:color w:val="auto"/>
        </w:rPr>
      </w:pPr>
      <w:r>
        <w:rPr>
          <w:rFonts w:ascii="Arial" w:cs="Arial" w:eastAsia="Arial" w:hAnsi="Arial"/>
          <w:sz w:val="14"/>
          <w:szCs w:val="14"/>
          <w:color w:val="auto"/>
        </w:rPr>
        <w:t>Novi (Detroit)</w:t>
      </w:r>
    </w:p>
    <w:p>
      <w:pPr>
        <w:spacing w:after="0" w:line="221" w:lineRule="auto"/>
        <w:rPr>
          <w:sz w:val="20"/>
          <w:szCs w:val="20"/>
          <w:color w:val="auto"/>
        </w:rPr>
      </w:pPr>
      <w:r>
        <w:rPr>
          <w:rFonts w:ascii="Arial" w:cs="Arial" w:eastAsia="Arial" w:hAnsi="Arial"/>
          <w:sz w:val="14"/>
          <w:szCs w:val="14"/>
          <w:color w:val="auto"/>
        </w:rPr>
        <w:t>Portage</w:t>
      </w:r>
    </w:p>
    <w:p>
      <w:pPr>
        <w:spacing w:after="0" w:line="221" w:lineRule="auto"/>
        <w:rPr>
          <w:sz w:val="20"/>
          <w:szCs w:val="20"/>
          <w:color w:val="auto"/>
        </w:rPr>
      </w:pPr>
      <w:r>
        <w:rPr>
          <w:rFonts w:ascii="Arial" w:cs="Arial" w:eastAsia="Arial" w:hAnsi="Arial"/>
          <w:sz w:val="14"/>
          <w:szCs w:val="14"/>
          <w:color w:val="auto"/>
        </w:rPr>
        <w:t>Redford Township</w:t>
      </w:r>
    </w:p>
    <w:p>
      <w:pPr>
        <w:spacing w:after="0" w:line="222" w:lineRule="auto"/>
        <w:rPr>
          <w:sz w:val="20"/>
          <w:szCs w:val="20"/>
          <w:color w:val="auto"/>
        </w:rPr>
      </w:pPr>
      <w:r>
        <w:rPr>
          <w:rFonts w:ascii="Arial" w:cs="Arial" w:eastAsia="Arial" w:hAnsi="Arial"/>
          <w:sz w:val="14"/>
          <w:szCs w:val="14"/>
          <w:color w:val="auto"/>
        </w:rPr>
        <w:t>Roseville</w:t>
      </w:r>
    </w:p>
    <w:p>
      <w:pPr>
        <w:spacing w:after="0" w:line="221" w:lineRule="auto"/>
        <w:rPr>
          <w:sz w:val="20"/>
          <w:szCs w:val="20"/>
          <w:color w:val="auto"/>
        </w:rPr>
      </w:pPr>
      <w:r>
        <w:rPr>
          <w:rFonts w:ascii="Arial" w:cs="Arial" w:eastAsia="Arial" w:hAnsi="Arial"/>
          <w:sz w:val="14"/>
          <w:szCs w:val="14"/>
          <w:color w:val="auto"/>
        </w:rPr>
        <w:t>Saginaw</w:t>
      </w:r>
    </w:p>
    <w:p>
      <w:pPr>
        <w:spacing w:after="0" w:line="222" w:lineRule="auto"/>
        <w:rPr>
          <w:sz w:val="20"/>
          <w:szCs w:val="20"/>
          <w:color w:val="auto"/>
        </w:rPr>
      </w:pPr>
      <w:r>
        <w:rPr>
          <w:rFonts w:ascii="Arial" w:cs="Arial" w:eastAsia="Arial" w:hAnsi="Arial"/>
          <w:sz w:val="14"/>
          <w:szCs w:val="14"/>
          <w:color w:val="auto"/>
        </w:rPr>
        <w:t>Southfield</w:t>
      </w:r>
    </w:p>
    <w:p>
      <w:pPr>
        <w:spacing w:after="0" w:line="221" w:lineRule="auto"/>
        <w:rPr>
          <w:sz w:val="20"/>
          <w:szCs w:val="20"/>
          <w:color w:val="auto"/>
        </w:rPr>
      </w:pPr>
      <w:r>
        <w:rPr>
          <w:rFonts w:ascii="Arial" w:cs="Arial" w:eastAsia="Arial" w:hAnsi="Arial"/>
          <w:sz w:val="14"/>
          <w:szCs w:val="14"/>
          <w:color w:val="auto"/>
        </w:rPr>
        <w:t>Southgate</w:t>
      </w:r>
    </w:p>
    <w:p>
      <w:pPr>
        <w:spacing w:after="0" w:line="222" w:lineRule="auto"/>
        <w:rPr>
          <w:sz w:val="20"/>
          <w:szCs w:val="20"/>
          <w:color w:val="auto"/>
        </w:rPr>
      </w:pPr>
      <w:r>
        <w:rPr>
          <w:rFonts w:ascii="Arial" w:cs="Arial" w:eastAsia="Arial" w:hAnsi="Arial"/>
          <w:sz w:val="14"/>
          <w:szCs w:val="14"/>
          <w:color w:val="auto"/>
        </w:rPr>
        <w:t>Sterling Heights</w:t>
      </w:r>
    </w:p>
    <w:p>
      <w:pPr>
        <w:spacing w:after="0" w:line="221" w:lineRule="auto"/>
        <w:rPr>
          <w:sz w:val="20"/>
          <w:szCs w:val="20"/>
          <w:color w:val="auto"/>
        </w:rPr>
      </w:pPr>
      <w:r>
        <w:rPr>
          <w:rFonts w:ascii="Arial" w:cs="Arial" w:eastAsia="Arial" w:hAnsi="Arial"/>
          <w:sz w:val="14"/>
          <w:szCs w:val="14"/>
          <w:color w:val="auto"/>
        </w:rPr>
        <w:t>Warren</w:t>
      </w:r>
    </w:p>
    <w:p>
      <w:pPr>
        <w:spacing w:after="0" w:line="222" w:lineRule="auto"/>
        <w:rPr>
          <w:sz w:val="20"/>
          <w:szCs w:val="20"/>
          <w:color w:val="auto"/>
        </w:rPr>
      </w:pPr>
      <w:r>
        <w:rPr>
          <w:rFonts w:ascii="Arial" w:cs="Arial" w:eastAsia="Arial" w:hAnsi="Arial"/>
          <w:sz w:val="14"/>
          <w:szCs w:val="14"/>
          <w:color w:val="auto"/>
        </w:rPr>
        <w:t>Waterford</w:t>
      </w:r>
    </w:p>
    <w:p>
      <w:pPr>
        <w:spacing w:after="0"/>
        <w:rPr>
          <w:sz w:val="20"/>
          <w:szCs w:val="20"/>
          <w:color w:val="auto"/>
        </w:rPr>
      </w:pPr>
      <w:r>
        <w:rPr>
          <w:rFonts w:ascii="Arial" w:cs="Arial" w:eastAsia="Arial" w:hAnsi="Arial"/>
          <w:sz w:val="14"/>
          <w:szCs w:val="14"/>
          <w:color w:val="auto"/>
        </w:rPr>
        <w:t>Westland</w:t>
      </w:r>
    </w:p>
    <w:p>
      <w:pPr>
        <w:spacing w:after="0" w:line="56" w:lineRule="exact"/>
        <w:rPr>
          <w:sz w:val="20"/>
          <w:szCs w:val="20"/>
          <w:color w:val="auto"/>
        </w:rPr>
      </w:pPr>
    </w:p>
    <w:p>
      <w:pPr>
        <w:ind w:left="5420"/>
        <w:spacing w:after="0"/>
        <w:rPr>
          <w:sz w:val="20"/>
          <w:szCs w:val="20"/>
          <w:color w:val="auto"/>
        </w:rPr>
      </w:pPr>
      <w:r>
        <w:rPr>
          <w:rFonts w:ascii="Arial" w:cs="Arial" w:eastAsia="Arial" w:hAnsi="Arial"/>
          <w:sz w:val="14"/>
          <w:szCs w:val="14"/>
          <w:b w:val="1"/>
          <w:bCs w:val="1"/>
          <w:i w:val="1"/>
          <w:iCs w:val="1"/>
          <w:color w:val="auto"/>
        </w:rPr>
        <w:t>Minnesota</w:t>
      </w:r>
    </w:p>
    <w:p>
      <w:pPr>
        <w:spacing w:after="0" w:line="221" w:lineRule="auto"/>
        <w:rPr>
          <w:sz w:val="20"/>
          <w:szCs w:val="20"/>
          <w:color w:val="auto"/>
        </w:rPr>
      </w:pPr>
      <w:r>
        <w:rPr>
          <w:rFonts w:ascii="Arial" w:cs="Arial" w:eastAsia="Arial" w:hAnsi="Arial"/>
          <w:sz w:val="14"/>
          <w:szCs w:val="14"/>
          <w:color w:val="auto"/>
        </w:rPr>
        <w:t>Albertville*</w:t>
      </w:r>
    </w:p>
    <w:p>
      <w:pPr>
        <w:spacing w:after="0" w:line="221" w:lineRule="auto"/>
        <w:rPr>
          <w:sz w:val="20"/>
          <w:szCs w:val="20"/>
          <w:color w:val="auto"/>
        </w:rPr>
      </w:pPr>
      <w:r>
        <w:rPr>
          <w:rFonts w:ascii="Arial" w:cs="Arial" w:eastAsia="Arial" w:hAnsi="Arial"/>
          <w:sz w:val="14"/>
          <w:szCs w:val="14"/>
          <w:color w:val="auto"/>
        </w:rPr>
        <w:t>Blaine</w:t>
      </w:r>
    </w:p>
    <w:p>
      <w:pPr>
        <w:spacing w:after="0" w:line="222" w:lineRule="auto"/>
        <w:rPr>
          <w:sz w:val="20"/>
          <w:szCs w:val="20"/>
          <w:color w:val="auto"/>
        </w:rPr>
      </w:pPr>
      <w:r>
        <w:rPr>
          <w:rFonts w:ascii="Arial" w:cs="Arial" w:eastAsia="Arial" w:hAnsi="Arial"/>
          <w:sz w:val="14"/>
          <w:szCs w:val="14"/>
          <w:color w:val="auto"/>
        </w:rPr>
        <w:t>Burnsville</w:t>
      </w:r>
    </w:p>
    <w:p>
      <w:pPr>
        <w:spacing w:after="0" w:line="221" w:lineRule="auto"/>
        <w:rPr>
          <w:sz w:val="20"/>
          <w:szCs w:val="20"/>
          <w:color w:val="auto"/>
        </w:rPr>
      </w:pPr>
      <w:r>
        <w:rPr>
          <w:rFonts w:ascii="Arial" w:cs="Arial" w:eastAsia="Arial" w:hAnsi="Arial"/>
          <w:sz w:val="14"/>
          <w:szCs w:val="14"/>
          <w:color w:val="auto"/>
        </w:rPr>
        <w:t>Duluth</w:t>
      </w:r>
    </w:p>
    <w:p>
      <w:pPr>
        <w:spacing w:after="0" w:line="222" w:lineRule="auto"/>
        <w:rPr>
          <w:sz w:val="20"/>
          <w:szCs w:val="20"/>
          <w:color w:val="auto"/>
        </w:rPr>
      </w:pPr>
      <w:r>
        <w:rPr>
          <w:rFonts w:ascii="Arial" w:cs="Arial" w:eastAsia="Arial" w:hAnsi="Arial"/>
          <w:sz w:val="14"/>
          <w:szCs w:val="14"/>
          <w:color w:val="auto"/>
        </w:rPr>
        <w:t>Maplewood</w:t>
      </w:r>
    </w:p>
    <w:p>
      <w:pPr>
        <w:spacing w:after="0" w:line="221" w:lineRule="auto"/>
        <w:rPr>
          <w:sz w:val="20"/>
          <w:szCs w:val="20"/>
          <w:color w:val="auto"/>
        </w:rPr>
      </w:pPr>
      <w:r>
        <w:rPr>
          <w:rFonts w:ascii="Arial" w:cs="Arial" w:eastAsia="Arial" w:hAnsi="Arial"/>
          <w:sz w:val="14"/>
          <w:szCs w:val="14"/>
          <w:color w:val="auto"/>
        </w:rPr>
        <w:t>Richfield</w:t>
      </w:r>
    </w:p>
    <w:p>
      <w:pPr>
        <w:spacing w:after="0" w:line="222" w:lineRule="auto"/>
        <w:rPr>
          <w:sz w:val="20"/>
          <w:szCs w:val="20"/>
          <w:color w:val="auto"/>
        </w:rPr>
      </w:pPr>
      <w:r>
        <w:rPr>
          <w:rFonts w:ascii="Arial" w:cs="Arial" w:eastAsia="Arial" w:hAnsi="Arial"/>
          <w:sz w:val="14"/>
          <w:szCs w:val="14"/>
          <w:color w:val="auto"/>
        </w:rPr>
        <w:t>Roseville</w:t>
      </w:r>
    </w:p>
    <w:p>
      <w:pPr>
        <w:spacing w:after="0"/>
        <w:rPr>
          <w:sz w:val="20"/>
          <w:szCs w:val="20"/>
          <w:color w:val="auto"/>
        </w:rPr>
      </w:pPr>
      <w:r>
        <w:rPr>
          <w:rFonts w:ascii="Arial" w:cs="Arial" w:eastAsia="Arial" w:hAnsi="Arial"/>
          <w:sz w:val="14"/>
          <w:szCs w:val="14"/>
          <w:color w:val="auto"/>
        </w:rPr>
        <w:t>Woodbury</w:t>
      </w:r>
    </w:p>
    <w:p>
      <w:pPr>
        <w:spacing w:after="0" w:line="56" w:lineRule="exact"/>
        <w:rPr>
          <w:sz w:val="20"/>
          <w:szCs w:val="20"/>
          <w:color w:val="auto"/>
        </w:rPr>
      </w:pPr>
    </w:p>
    <w:p>
      <w:pPr>
        <w:ind w:left="5400"/>
        <w:spacing w:after="0"/>
        <w:rPr>
          <w:sz w:val="20"/>
          <w:szCs w:val="20"/>
          <w:color w:val="auto"/>
        </w:rPr>
      </w:pPr>
      <w:r>
        <w:rPr>
          <w:rFonts w:ascii="Arial" w:cs="Arial" w:eastAsia="Arial" w:hAnsi="Arial"/>
          <w:sz w:val="14"/>
          <w:szCs w:val="14"/>
          <w:b w:val="1"/>
          <w:bCs w:val="1"/>
          <w:i w:val="1"/>
          <w:iCs w:val="1"/>
          <w:color w:val="auto"/>
        </w:rPr>
        <w:t>Mississippi</w:t>
      </w:r>
    </w:p>
    <w:p>
      <w:pPr>
        <w:spacing w:after="0" w:line="221" w:lineRule="auto"/>
        <w:rPr>
          <w:sz w:val="20"/>
          <w:szCs w:val="20"/>
          <w:color w:val="auto"/>
        </w:rPr>
      </w:pPr>
      <w:r>
        <w:rPr>
          <w:rFonts w:ascii="Arial" w:cs="Arial" w:eastAsia="Arial" w:hAnsi="Arial"/>
          <w:sz w:val="14"/>
          <w:szCs w:val="14"/>
          <w:color w:val="auto"/>
        </w:rPr>
        <w:t>Jackson</w:t>
      </w:r>
    </w:p>
    <w:p>
      <w:pPr>
        <w:spacing w:after="0"/>
        <w:rPr>
          <w:sz w:val="20"/>
          <w:szCs w:val="20"/>
          <w:color w:val="auto"/>
        </w:rPr>
      </w:pPr>
      <w:r>
        <w:rPr>
          <w:rFonts w:ascii="Arial" w:cs="Arial" w:eastAsia="Arial" w:hAnsi="Arial"/>
          <w:sz w:val="14"/>
          <w:szCs w:val="14"/>
          <w:color w:val="auto"/>
        </w:rPr>
        <w:t>Gulfport*</w:t>
      </w:r>
    </w:p>
    <w:p>
      <w:pPr>
        <w:spacing w:after="0" w:line="56" w:lineRule="exact"/>
        <w:rPr>
          <w:sz w:val="20"/>
          <w:szCs w:val="20"/>
          <w:color w:val="auto"/>
        </w:rPr>
      </w:pPr>
    </w:p>
    <w:p>
      <w:pPr>
        <w:ind w:left="5460"/>
        <w:spacing w:after="0"/>
        <w:rPr>
          <w:sz w:val="20"/>
          <w:szCs w:val="20"/>
          <w:color w:val="auto"/>
        </w:rPr>
      </w:pPr>
      <w:r>
        <w:rPr>
          <w:rFonts w:ascii="Arial" w:cs="Arial" w:eastAsia="Arial" w:hAnsi="Arial"/>
          <w:sz w:val="14"/>
          <w:szCs w:val="14"/>
          <w:b w:val="1"/>
          <w:bCs w:val="1"/>
          <w:i w:val="1"/>
          <w:iCs w:val="1"/>
          <w:color w:val="auto"/>
        </w:rPr>
        <w:t>Missouri</w:t>
      </w:r>
    </w:p>
    <w:p>
      <w:pPr>
        <w:spacing w:after="0" w:line="221" w:lineRule="auto"/>
        <w:rPr>
          <w:sz w:val="20"/>
          <w:szCs w:val="20"/>
          <w:color w:val="auto"/>
        </w:rPr>
      </w:pPr>
      <w:r>
        <w:rPr>
          <w:rFonts w:ascii="Arial" w:cs="Arial" w:eastAsia="Arial" w:hAnsi="Arial"/>
          <w:sz w:val="14"/>
          <w:szCs w:val="14"/>
          <w:color w:val="auto"/>
        </w:rPr>
        <w:t>Chesterfield</w:t>
      </w:r>
    </w:p>
    <w:p>
      <w:pPr>
        <w:spacing w:after="0" w:line="221" w:lineRule="auto"/>
        <w:rPr>
          <w:sz w:val="20"/>
          <w:szCs w:val="20"/>
          <w:color w:val="auto"/>
        </w:rPr>
      </w:pPr>
      <w:r>
        <w:rPr>
          <w:rFonts w:ascii="Arial" w:cs="Arial" w:eastAsia="Arial" w:hAnsi="Arial"/>
          <w:sz w:val="14"/>
          <w:szCs w:val="14"/>
          <w:color w:val="auto"/>
        </w:rPr>
        <w:t>Columbia</w:t>
      </w:r>
    </w:p>
    <w:p>
      <w:pPr>
        <w:spacing w:after="0" w:line="222" w:lineRule="auto"/>
        <w:rPr>
          <w:sz w:val="20"/>
          <w:szCs w:val="20"/>
          <w:color w:val="auto"/>
        </w:rPr>
      </w:pPr>
      <w:r>
        <w:rPr>
          <w:rFonts w:ascii="Arial" w:cs="Arial" w:eastAsia="Arial" w:hAnsi="Arial"/>
          <w:sz w:val="14"/>
          <w:szCs w:val="14"/>
          <w:color w:val="auto"/>
        </w:rPr>
        <w:t>Independence</w:t>
      </w:r>
    </w:p>
    <w:p>
      <w:pPr>
        <w:spacing w:after="0" w:line="221" w:lineRule="auto"/>
        <w:rPr>
          <w:sz w:val="20"/>
          <w:szCs w:val="20"/>
          <w:color w:val="auto"/>
        </w:rPr>
      </w:pPr>
      <w:r>
        <w:rPr>
          <w:rFonts w:ascii="Arial" w:cs="Arial" w:eastAsia="Arial" w:hAnsi="Arial"/>
          <w:sz w:val="14"/>
          <w:szCs w:val="14"/>
          <w:color w:val="auto"/>
        </w:rPr>
        <w:t>Kansas City</w:t>
      </w:r>
    </w:p>
    <w:p>
      <w:pPr>
        <w:spacing w:after="0" w:line="222" w:lineRule="auto"/>
        <w:rPr>
          <w:sz w:val="20"/>
          <w:szCs w:val="20"/>
          <w:color w:val="auto"/>
        </w:rPr>
      </w:pPr>
      <w:r>
        <w:rPr>
          <w:rFonts w:ascii="Arial" w:cs="Arial" w:eastAsia="Arial" w:hAnsi="Arial"/>
          <w:sz w:val="14"/>
          <w:szCs w:val="14"/>
          <w:color w:val="auto"/>
        </w:rPr>
        <w:t>Richmond Heights</w:t>
      </w:r>
    </w:p>
    <w:p>
      <w:pPr>
        <w:spacing w:after="0" w:line="221" w:lineRule="auto"/>
        <w:rPr>
          <w:sz w:val="20"/>
          <w:szCs w:val="20"/>
          <w:color w:val="auto"/>
        </w:rPr>
      </w:pPr>
      <w:r>
        <w:rPr>
          <w:rFonts w:ascii="Arial" w:cs="Arial" w:eastAsia="Arial" w:hAnsi="Arial"/>
          <w:sz w:val="14"/>
          <w:szCs w:val="14"/>
          <w:color w:val="auto"/>
        </w:rPr>
        <w:t>St. Louis</w:t>
      </w:r>
    </w:p>
    <w:p>
      <w:pPr>
        <w:spacing w:after="0" w:line="222" w:lineRule="auto"/>
        <w:rPr>
          <w:sz w:val="20"/>
          <w:szCs w:val="20"/>
          <w:color w:val="auto"/>
        </w:rPr>
      </w:pPr>
      <w:r>
        <w:rPr>
          <w:rFonts w:ascii="Arial" w:cs="Arial" w:eastAsia="Arial" w:hAnsi="Arial"/>
          <w:sz w:val="14"/>
          <w:szCs w:val="14"/>
          <w:color w:val="auto"/>
        </w:rPr>
        <w:t>St. Peters</w:t>
      </w:r>
    </w:p>
    <w:p>
      <w:pPr>
        <w:spacing w:after="0" w:line="221" w:lineRule="auto"/>
        <w:rPr>
          <w:sz w:val="20"/>
          <w:szCs w:val="20"/>
          <w:color w:val="auto"/>
        </w:rPr>
      </w:pPr>
      <w:r>
        <w:rPr>
          <w:rFonts w:ascii="Arial" w:cs="Arial" w:eastAsia="Arial" w:hAnsi="Arial"/>
          <w:sz w:val="14"/>
          <w:szCs w:val="14"/>
          <w:color w:val="auto"/>
        </w:rPr>
        <w:t>Springfield</w:t>
      </w:r>
    </w:p>
    <w:p>
      <w:pPr>
        <w:spacing w:after="0" w:line="222" w:lineRule="auto"/>
        <w:rPr>
          <w:sz w:val="20"/>
          <w:szCs w:val="20"/>
          <w:color w:val="auto"/>
        </w:rPr>
      </w:pPr>
      <w:r>
        <w:rPr>
          <w:rFonts w:ascii="Arial" w:cs="Arial" w:eastAsia="Arial" w:hAnsi="Arial"/>
          <w:sz w:val="14"/>
          <w:szCs w:val="14"/>
          <w:color w:val="auto"/>
        </w:rPr>
        <w:t>Branson*</w:t>
      </w:r>
    </w:p>
    <w:p>
      <w:pPr>
        <w:spacing w:after="0"/>
        <w:rPr>
          <w:sz w:val="20"/>
          <w:szCs w:val="20"/>
          <w:color w:val="auto"/>
        </w:rPr>
      </w:pPr>
      <w:r>
        <w:rPr>
          <w:rFonts w:ascii="Arial" w:cs="Arial" w:eastAsia="Arial" w:hAnsi="Arial"/>
          <w:sz w:val="14"/>
          <w:szCs w:val="14"/>
          <w:color w:val="auto"/>
        </w:rPr>
        <w:t>Osage Beach*</w:t>
      </w:r>
    </w:p>
    <w:p>
      <w:pPr>
        <w:spacing w:after="0" w:line="1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219"/>
          </w:cols>
          <w:pgMar w:left="240" w:top="128" w:right="144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Casual Male XL Retail and Casual Male XL Outlet Stores, continued</w:t>
      </w:r>
    </w:p>
    <w:p>
      <w:pPr>
        <w:spacing w:after="0" w:line="155" w:lineRule="exact"/>
        <w:rPr>
          <w:sz w:val="20"/>
          <w:szCs w:val="20"/>
          <w:color w:val="auto"/>
        </w:rPr>
      </w:pPr>
    </w:p>
    <w:p>
      <w:pPr>
        <w:ind w:left="5440"/>
        <w:spacing w:after="0"/>
        <w:rPr>
          <w:sz w:val="20"/>
          <w:szCs w:val="20"/>
          <w:color w:val="auto"/>
        </w:rPr>
      </w:pPr>
      <w:r>
        <w:rPr>
          <w:rFonts w:ascii="Arial" w:cs="Arial" w:eastAsia="Arial" w:hAnsi="Arial"/>
          <w:sz w:val="14"/>
          <w:szCs w:val="14"/>
          <w:b w:val="1"/>
          <w:bCs w:val="1"/>
          <w:i w:val="1"/>
          <w:iCs w:val="1"/>
          <w:color w:val="auto"/>
        </w:rPr>
        <w:t>Nebraska</w:t>
      </w:r>
    </w:p>
    <w:p>
      <w:pPr>
        <w:spacing w:after="0" w:line="221" w:lineRule="auto"/>
        <w:rPr>
          <w:sz w:val="20"/>
          <w:szCs w:val="20"/>
          <w:color w:val="auto"/>
        </w:rPr>
      </w:pPr>
      <w:r>
        <w:rPr>
          <w:rFonts w:ascii="Arial" w:cs="Arial" w:eastAsia="Arial" w:hAnsi="Arial"/>
          <w:sz w:val="14"/>
          <w:szCs w:val="14"/>
          <w:color w:val="auto"/>
        </w:rPr>
        <w:t>Lincoln</w:t>
      </w:r>
    </w:p>
    <w:p>
      <w:pPr>
        <w:spacing w:after="0"/>
        <w:rPr>
          <w:sz w:val="20"/>
          <w:szCs w:val="20"/>
          <w:color w:val="auto"/>
        </w:rPr>
      </w:pPr>
      <w:r>
        <w:rPr>
          <w:rFonts w:ascii="Arial" w:cs="Arial" w:eastAsia="Arial" w:hAnsi="Arial"/>
          <w:sz w:val="14"/>
          <w:szCs w:val="14"/>
          <w:color w:val="auto"/>
        </w:rPr>
        <w:t>Omaha (3)</w:t>
      </w:r>
    </w:p>
    <w:p>
      <w:pPr>
        <w:spacing w:after="0" w:line="56" w:lineRule="exact"/>
        <w:rPr>
          <w:sz w:val="20"/>
          <w:szCs w:val="20"/>
          <w:color w:val="auto"/>
        </w:rPr>
      </w:pPr>
    </w:p>
    <w:p>
      <w:pPr>
        <w:jc w:val="right"/>
        <w:ind w:right="4059"/>
        <w:spacing w:after="0"/>
        <w:rPr>
          <w:sz w:val="20"/>
          <w:szCs w:val="20"/>
          <w:color w:val="auto"/>
        </w:rPr>
      </w:pPr>
      <w:r>
        <w:rPr>
          <w:rFonts w:ascii="Arial" w:cs="Arial" w:eastAsia="Arial" w:hAnsi="Arial"/>
          <w:sz w:val="14"/>
          <w:szCs w:val="14"/>
          <w:b w:val="1"/>
          <w:bCs w:val="1"/>
          <w:i w:val="1"/>
          <w:iCs w:val="1"/>
          <w:color w:val="auto"/>
        </w:rPr>
        <w:t>New Hampshire</w:t>
      </w:r>
    </w:p>
    <w:p>
      <w:pPr>
        <w:spacing w:after="0" w:line="221" w:lineRule="auto"/>
        <w:rPr>
          <w:sz w:val="20"/>
          <w:szCs w:val="20"/>
          <w:color w:val="auto"/>
        </w:rPr>
      </w:pPr>
      <w:r>
        <w:rPr>
          <w:rFonts w:ascii="Arial" w:cs="Arial" w:eastAsia="Arial" w:hAnsi="Arial"/>
          <w:sz w:val="14"/>
          <w:szCs w:val="14"/>
          <w:color w:val="auto"/>
        </w:rPr>
        <w:t>Salem</w:t>
      </w:r>
    </w:p>
    <w:p>
      <w:pPr>
        <w:spacing w:after="0" w:line="221" w:lineRule="auto"/>
        <w:rPr>
          <w:sz w:val="20"/>
          <w:szCs w:val="20"/>
          <w:color w:val="auto"/>
        </w:rPr>
      </w:pPr>
      <w:r>
        <w:rPr>
          <w:rFonts w:ascii="Arial" w:cs="Arial" w:eastAsia="Arial" w:hAnsi="Arial"/>
          <w:sz w:val="14"/>
          <w:szCs w:val="14"/>
          <w:color w:val="auto"/>
        </w:rPr>
        <w:t>Manchester</w:t>
      </w:r>
    </w:p>
    <w:p>
      <w:pPr>
        <w:spacing w:after="0"/>
        <w:rPr>
          <w:sz w:val="20"/>
          <w:szCs w:val="20"/>
          <w:color w:val="auto"/>
        </w:rPr>
      </w:pPr>
      <w:r>
        <w:rPr>
          <w:rFonts w:ascii="Arial" w:cs="Arial" w:eastAsia="Arial" w:hAnsi="Arial"/>
          <w:sz w:val="14"/>
          <w:szCs w:val="14"/>
          <w:color w:val="auto"/>
        </w:rPr>
        <w:t>Tilton*</w:t>
      </w:r>
    </w:p>
    <w:p>
      <w:pPr>
        <w:spacing w:after="0" w:line="57" w:lineRule="exact"/>
        <w:rPr>
          <w:sz w:val="20"/>
          <w:szCs w:val="20"/>
          <w:color w:val="auto"/>
        </w:rPr>
      </w:pPr>
    </w:p>
    <w:p>
      <w:pPr>
        <w:ind w:left="5400"/>
        <w:spacing w:after="0"/>
        <w:rPr>
          <w:sz w:val="20"/>
          <w:szCs w:val="20"/>
          <w:color w:val="auto"/>
        </w:rPr>
      </w:pPr>
      <w:r>
        <w:rPr>
          <w:rFonts w:ascii="Arial" w:cs="Arial" w:eastAsia="Arial" w:hAnsi="Arial"/>
          <w:sz w:val="12"/>
          <w:szCs w:val="12"/>
          <w:b w:val="1"/>
          <w:bCs w:val="1"/>
          <w:i w:val="1"/>
          <w:iCs w:val="1"/>
          <w:color w:val="auto"/>
        </w:rPr>
        <w:t>New Jersey</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Bloomfield</w:t>
      </w:r>
    </w:p>
    <w:p>
      <w:pPr>
        <w:spacing w:after="0" w:line="221" w:lineRule="auto"/>
        <w:rPr>
          <w:sz w:val="20"/>
          <w:szCs w:val="20"/>
          <w:color w:val="auto"/>
        </w:rPr>
      </w:pPr>
      <w:r>
        <w:rPr>
          <w:rFonts w:ascii="Arial" w:cs="Arial" w:eastAsia="Arial" w:hAnsi="Arial"/>
          <w:sz w:val="14"/>
          <w:szCs w:val="14"/>
          <w:color w:val="auto"/>
        </w:rPr>
        <w:t>Cherry Hill</w:t>
      </w:r>
    </w:p>
    <w:p>
      <w:pPr>
        <w:spacing w:after="0" w:line="221" w:lineRule="auto"/>
        <w:rPr>
          <w:sz w:val="20"/>
          <w:szCs w:val="20"/>
          <w:color w:val="auto"/>
        </w:rPr>
      </w:pPr>
      <w:r>
        <w:rPr>
          <w:rFonts w:ascii="Arial" w:cs="Arial" w:eastAsia="Arial" w:hAnsi="Arial"/>
          <w:sz w:val="14"/>
          <w:szCs w:val="14"/>
          <w:color w:val="auto"/>
        </w:rPr>
        <w:t>Deptford</w:t>
      </w:r>
    </w:p>
    <w:p>
      <w:pPr>
        <w:spacing w:after="0" w:line="1" w:lineRule="exact"/>
        <w:rPr>
          <w:sz w:val="20"/>
          <w:szCs w:val="20"/>
          <w:color w:val="auto"/>
        </w:rPr>
      </w:pPr>
    </w:p>
    <w:p>
      <w:pPr>
        <w:ind w:right="9359" w:firstLine="8"/>
        <w:spacing w:after="0" w:line="259" w:lineRule="auto"/>
        <w:tabs>
          <w:tab w:leader="none" w:pos="150" w:val="left"/>
        </w:tabs>
        <w:numPr>
          <w:ilvl w:val="0"/>
          <w:numId w:val="5"/>
        </w:numPr>
        <w:rPr>
          <w:rFonts w:ascii="Arial" w:cs="Arial" w:eastAsia="Arial" w:hAnsi="Arial"/>
          <w:sz w:val="12"/>
          <w:szCs w:val="12"/>
          <w:color w:val="auto"/>
        </w:rPr>
      </w:pPr>
      <w:r>
        <w:rPr>
          <w:rFonts w:ascii="Arial" w:cs="Arial" w:eastAsia="Arial" w:hAnsi="Arial"/>
          <w:sz w:val="12"/>
          <w:szCs w:val="12"/>
          <w:color w:val="auto"/>
        </w:rPr>
        <w:t>Brunswick East Rutherford Eatontown Hazlet Jackson* Lawrenceville Linden May’s Landing Menlo Park Palmyra Paramus Secaucus Somerville Succasunna Tom’s River Totowa Union</w:t>
      </w:r>
    </w:p>
    <w:p>
      <w:pPr>
        <w:spacing w:after="0" w:line="29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West Berlin</w:t>
      </w:r>
    </w:p>
    <w:p>
      <w:pPr>
        <w:spacing w:after="0" w:line="56" w:lineRule="exact"/>
        <w:rPr>
          <w:sz w:val="20"/>
          <w:szCs w:val="20"/>
          <w:color w:val="auto"/>
        </w:rPr>
      </w:pPr>
    </w:p>
    <w:p>
      <w:pPr>
        <w:ind w:left="5500"/>
        <w:spacing w:after="0"/>
        <w:rPr>
          <w:sz w:val="20"/>
          <w:szCs w:val="20"/>
          <w:color w:val="auto"/>
        </w:rPr>
      </w:pPr>
      <w:r>
        <w:rPr>
          <w:rFonts w:ascii="Arial" w:cs="Arial" w:eastAsia="Arial" w:hAnsi="Arial"/>
          <w:sz w:val="14"/>
          <w:szCs w:val="14"/>
          <w:b w:val="1"/>
          <w:bCs w:val="1"/>
          <w:i w:val="1"/>
          <w:iCs w:val="1"/>
          <w:color w:val="auto"/>
        </w:rPr>
        <w:t>Nevada</w:t>
      </w:r>
    </w:p>
    <w:p>
      <w:pPr>
        <w:spacing w:after="0" w:line="221" w:lineRule="auto"/>
        <w:rPr>
          <w:sz w:val="20"/>
          <w:szCs w:val="20"/>
          <w:color w:val="auto"/>
        </w:rPr>
      </w:pPr>
      <w:r>
        <w:rPr>
          <w:rFonts w:ascii="Arial" w:cs="Arial" w:eastAsia="Arial" w:hAnsi="Arial"/>
          <w:sz w:val="14"/>
          <w:szCs w:val="14"/>
          <w:color w:val="auto"/>
        </w:rPr>
        <w:t>Henderson</w:t>
      </w:r>
    </w:p>
    <w:p>
      <w:pPr>
        <w:spacing w:after="0" w:line="221" w:lineRule="auto"/>
        <w:rPr>
          <w:sz w:val="20"/>
          <w:szCs w:val="20"/>
          <w:color w:val="auto"/>
        </w:rPr>
      </w:pPr>
      <w:r>
        <w:rPr>
          <w:rFonts w:ascii="Arial" w:cs="Arial" w:eastAsia="Arial" w:hAnsi="Arial"/>
          <w:sz w:val="14"/>
          <w:szCs w:val="14"/>
          <w:color w:val="auto"/>
        </w:rPr>
        <w:t>Las Vegas (2)</w:t>
      </w:r>
    </w:p>
    <w:p>
      <w:pPr>
        <w:spacing w:after="0" w:line="222" w:lineRule="auto"/>
        <w:rPr>
          <w:sz w:val="20"/>
          <w:szCs w:val="20"/>
          <w:color w:val="auto"/>
        </w:rPr>
      </w:pPr>
      <w:r>
        <w:rPr>
          <w:rFonts w:ascii="Arial" w:cs="Arial" w:eastAsia="Arial" w:hAnsi="Arial"/>
          <w:sz w:val="14"/>
          <w:szCs w:val="14"/>
          <w:color w:val="auto"/>
        </w:rPr>
        <w:t>Laughlin*</w:t>
      </w:r>
    </w:p>
    <w:p>
      <w:pPr>
        <w:spacing w:after="0"/>
        <w:rPr>
          <w:sz w:val="20"/>
          <w:szCs w:val="20"/>
          <w:color w:val="auto"/>
        </w:rPr>
      </w:pPr>
      <w:r>
        <w:rPr>
          <w:rFonts w:ascii="Arial" w:cs="Arial" w:eastAsia="Arial" w:hAnsi="Arial"/>
          <w:sz w:val="14"/>
          <w:szCs w:val="14"/>
          <w:color w:val="auto"/>
        </w:rPr>
        <w:t>Reno</w:t>
      </w:r>
    </w:p>
    <w:p>
      <w:pPr>
        <w:spacing w:after="0" w:line="57" w:lineRule="exact"/>
        <w:rPr>
          <w:sz w:val="20"/>
          <w:szCs w:val="20"/>
          <w:color w:val="auto"/>
        </w:rPr>
      </w:pPr>
    </w:p>
    <w:p>
      <w:pPr>
        <w:ind w:left="5360"/>
        <w:spacing w:after="0"/>
        <w:rPr>
          <w:sz w:val="20"/>
          <w:szCs w:val="20"/>
          <w:color w:val="auto"/>
        </w:rPr>
      </w:pPr>
      <w:r>
        <w:rPr>
          <w:rFonts w:ascii="Arial" w:cs="Arial" w:eastAsia="Arial" w:hAnsi="Arial"/>
          <w:sz w:val="12"/>
          <w:szCs w:val="12"/>
          <w:b w:val="1"/>
          <w:bCs w:val="1"/>
          <w:i w:val="1"/>
          <w:iCs w:val="1"/>
          <w:color w:val="auto"/>
        </w:rPr>
        <w:t>New Mexico</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Albuquerque (2)</w:t>
      </w:r>
    </w:p>
    <w:p>
      <w:pPr>
        <w:spacing w:after="0" w:line="57" w:lineRule="exact"/>
        <w:rPr>
          <w:sz w:val="20"/>
          <w:szCs w:val="20"/>
          <w:color w:val="auto"/>
        </w:rPr>
      </w:pPr>
    </w:p>
    <w:p>
      <w:pPr>
        <w:ind w:left="5440"/>
        <w:spacing w:after="0"/>
        <w:rPr>
          <w:sz w:val="20"/>
          <w:szCs w:val="20"/>
          <w:color w:val="auto"/>
        </w:rPr>
      </w:pPr>
      <w:r>
        <w:rPr>
          <w:rFonts w:ascii="Arial" w:cs="Arial" w:eastAsia="Arial" w:hAnsi="Arial"/>
          <w:sz w:val="14"/>
          <w:szCs w:val="14"/>
          <w:b w:val="1"/>
          <w:bCs w:val="1"/>
          <w:i w:val="1"/>
          <w:iCs w:val="1"/>
          <w:color w:val="auto"/>
        </w:rPr>
        <w:t>New York</w:t>
      </w:r>
    </w:p>
    <w:p>
      <w:pPr>
        <w:spacing w:after="0" w:line="221" w:lineRule="auto"/>
        <w:rPr>
          <w:sz w:val="20"/>
          <w:szCs w:val="20"/>
          <w:color w:val="auto"/>
        </w:rPr>
      </w:pPr>
      <w:r>
        <w:rPr>
          <w:rFonts w:ascii="Arial" w:cs="Arial" w:eastAsia="Arial" w:hAnsi="Arial"/>
          <w:sz w:val="14"/>
          <w:szCs w:val="14"/>
          <w:color w:val="auto"/>
        </w:rPr>
        <w:t>Albany</w:t>
      </w:r>
    </w:p>
    <w:p>
      <w:pPr>
        <w:spacing w:after="0" w:line="221" w:lineRule="auto"/>
        <w:rPr>
          <w:sz w:val="20"/>
          <w:szCs w:val="20"/>
          <w:color w:val="auto"/>
        </w:rPr>
      </w:pPr>
      <w:r>
        <w:rPr>
          <w:rFonts w:ascii="Arial" w:cs="Arial" w:eastAsia="Arial" w:hAnsi="Arial"/>
          <w:sz w:val="14"/>
          <w:szCs w:val="14"/>
          <w:color w:val="auto"/>
        </w:rPr>
        <w:t>Bayshore L.I.</w:t>
      </w:r>
    </w:p>
    <w:p>
      <w:pPr>
        <w:spacing w:after="0" w:line="222" w:lineRule="auto"/>
        <w:rPr>
          <w:sz w:val="20"/>
          <w:szCs w:val="20"/>
          <w:color w:val="auto"/>
        </w:rPr>
      </w:pPr>
      <w:r>
        <w:rPr>
          <w:rFonts w:ascii="Arial" w:cs="Arial" w:eastAsia="Arial" w:hAnsi="Arial"/>
          <w:sz w:val="14"/>
          <w:szCs w:val="14"/>
          <w:color w:val="auto"/>
        </w:rPr>
        <w:t>Bronx (1)</w:t>
      </w:r>
    </w:p>
    <w:p>
      <w:pPr>
        <w:spacing w:after="0" w:line="221" w:lineRule="auto"/>
        <w:rPr>
          <w:sz w:val="20"/>
          <w:szCs w:val="20"/>
          <w:color w:val="auto"/>
        </w:rPr>
      </w:pPr>
      <w:r>
        <w:rPr>
          <w:rFonts w:ascii="Arial" w:cs="Arial" w:eastAsia="Arial" w:hAnsi="Arial"/>
          <w:sz w:val="14"/>
          <w:szCs w:val="14"/>
          <w:color w:val="auto"/>
        </w:rPr>
        <w:t>Brooklyn (3)</w:t>
      </w:r>
    </w:p>
    <w:p>
      <w:pPr>
        <w:spacing w:after="0" w:line="222" w:lineRule="auto"/>
        <w:rPr>
          <w:sz w:val="20"/>
          <w:szCs w:val="20"/>
          <w:color w:val="auto"/>
        </w:rPr>
      </w:pPr>
      <w:r>
        <w:rPr>
          <w:rFonts w:ascii="Arial" w:cs="Arial" w:eastAsia="Arial" w:hAnsi="Arial"/>
          <w:sz w:val="14"/>
          <w:szCs w:val="14"/>
          <w:color w:val="auto"/>
        </w:rPr>
        <w:t>Carle Place</w:t>
      </w:r>
    </w:p>
    <w:p>
      <w:pPr>
        <w:spacing w:after="0" w:line="221" w:lineRule="auto"/>
        <w:rPr>
          <w:sz w:val="20"/>
          <w:szCs w:val="20"/>
          <w:color w:val="auto"/>
        </w:rPr>
      </w:pPr>
      <w:r>
        <w:rPr>
          <w:rFonts w:ascii="Arial" w:cs="Arial" w:eastAsia="Arial" w:hAnsi="Arial"/>
          <w:sz w:val="14"/>
          <w:szCs w:val="14"/>
          <w:color w:val="auto"/>
        </w:rPr>
        <w:t>Centereach</w:t>
      </w:r>
    </w:p>
    <w:p>
      <w:pPr>
        <w:spacing w:after="0" w:line="222" w:lineRule="auto"/>
        <w:rPr>
          <w:sz w:val="20"/>
          <w:szCs w:val="20"/>
          <w:color w:val="auto"/>
        </w:rPr>
      </w:pPr>
      <w:r>
        <w:rPr>
          <w:rFonts w:ascii="Arial" w:cs="Arial" w:eastAsia="Arial" w:hAnsi="Arial"/>
          <w:sz w:val="14"/>
          <w:szCs w:val="14"/>
          <w:color w:val="auto"/>
        </w:rPr>
        <w:t>Cheektowaga</w:t>
      </w:r>
    </w:p>
    <w:p>
      <w:pPr>
        <w:spacing w:after="0" w:line="221" w:lineRule="auto"/>
        <w:rPr>
          <w:sz w:val="20"/>
          <w:szCs w:val="20"/>
          <w:color w:val="auto"/>
        </w:rPr>
      </w:pPr>
      <w:r>
        <w:rPr>
          <w:rFonts w:ascii="Arial" w:cs="Arial" w:eastAsia="Arial" w:hAnsi="Arial"/>
          <w:sz w:val="14"/>
          <w:szCs w:val="14"/>
          <w:color w:val="auto"/>
        </w:rPr>
        <w:t>Elmhurst</w:t>
      </w:r>
    </w:p>
    <w:p>
      <w:pPr>
        <w:spacing w:after="0" w:line="222" w:lineRule="auto"/>
        <w:rPr>
          <w:sz w:val="20"/>
          <w:szCs w:val="20"/>
          <w:color w:val="auto"/>
        </w:rPr>
      </w:pPr>
      <w:r>
        <w:rPr>
          <w:rFonts w:ascii="Arial" w:cs="Arial" w:eastAsia="Arial" w:hAnsi="Arial"/>
          <w:sz w:val="14"/>
          <w:szCs w:val="14"/>
          <w:color w:val="auto"/>
        </w:rPr>
        <w:t>Greenburgh</w:t>
      </w:r>
    </w:p>
    <w:p>
      <w:pPr>
        <w:spacing w:after="0" w:line="221" w:lineRule="auto"/>
        <w:rPr>
          <w:sz w:val="20"/>
          <w:szCs w:val="20"/>
          <w:color w:val="auto"/>
        </w:rPr>
      </w:pPr>
      <w:r>
        <w:rPr>
          <w:rFonts w:ascii="Arial" w:cs="Arial" w:eastAsia="Arial" w:hAnsi="Arial"/>
          <w:sz w:val="14"/>
          <w:szCs w:val="14"/>
          <w:color w:val="auto"/>
        </w:rPr>
        <w:t>Irondequoit</w:t>
      </w:r>
    </w:p>
    <w:p>
      <w:pPr>
        <w:spacing w:after="0" w:line="222" w:lineRule="auto"/>
        <w:rPr>
          <w:sz w:val="20"/>
          <w:szCs w:val="20"/>
          <w:color w:val="auto"/>
        </w:rPr>
      </w:pPr>
      <w:r>
        <w:rPr>
          <w:rFonts w:ascii="Arial" w:cs="Arial" w:eastAsia="Arial" w:hAnsi="Arial"/>
          <w:sz w:val="14"/>
          <w:szCs w:val="14"/>
          <w:color w:val="auto"/>
        </w:rPr>
        <w:t>Johnson City</w:t>
      </w:r>
    </w:p>
    <w:p>
      <w:pPr>
        <w:spacing w:after="0" w:line="221" w:lineRule="auto"/>
        <w:rPr>
          <w:sz w:val="20"/>
          <w:szCs w:val="20"/>
          <w:color w:val="auto"/>
        </w:rPr>
      </w:pPr>
      <w:r>
        <w:rPr>
          <w:rFonts w:ascii="Arial" w:cs="Arial" w:eastAsia="Arial" w:hAnsi="Arial"/>
          <w:sz w:val="14"/>
          <w:szCs w:val="14"/>
          <w:color w:val="auto"/>
        </w:rPr>
        <w:t>Lake George*</w:t>
      </w:r>
    </w:p>
    <w:p>
      <w:pPr>
        <w:spacing w:after="0" w:line="221" w:lineRule="auto"/>
        <w:rPr>
          <w:sz w:val="20"/>
          <w:szCs w:val="20"/>
          <w:color w:val="auto"/>
        </w:rPr>
      </w:pPr>
      <w:r>
        <w:rPr>
          <w:rFonts w:ascii="Arial" w:cs="Arial" w:eastAsia="Arial" w:hAnsi="Arial"/>
          <w:sz w:val="14"/>
          <w:szCs w:val="14"/>
          <w:color w:val="auto"/>
        </w:rPr>
        <w:t>Massapequa</w:t>
      </w:r>
    </w:p>
    <w:p>
      <w:pPr>
        <w:spacing w:after="0" w:line="222" w:lineRule="auto"/>
        <w:rPr>
          <w:sz w:val="20"/>
          <w:szCs w:val="20"/>
          <w:color w:val="auto"/>
        </w:rPr>
      </w:pPr>
      <w:r>
        <w:rPr>
          <w:rFonts w:ascii="Arial" w:cs="Arial" w:eastAsia="Arial" w:hAnsi="Arial"/>
          <w:sz w:val="14"/>
          <w:szCs w:val="14"/>
          <w:color w:val="auto"/>
        </w:rPr>
        <w:t>Middleton</w:t>
      </w:r>
    </w:p>
    <w:p>
      <w:pPr>
        <w:spacing w:after="0" w:line="221" w:lineRule="auto"/>
        <w:rPr>
          <w:sz w:val="20"/>
          <w:szCs w:val="20"/>
          <w:color w:val="auto"/>
        </w:rPr>
      </w:pPr>
      <w:r>
        <w:rPr>
          <w:rFonts w:ascii="Arial" w:cs="Arial" w:eastAsia="Arial" w:hAnsi="Arial"/>
          <w:sz w:val="14"/>
          <w:szCs w:val="14"/>
          <w:color w:val="auto"/>
        </w:rPr>
        <w:t>Nanuet</w:t>
      </w:r>
    </w:p>
    <w:p>
      <w:pPr>
        <w:spacing w:after="0"/>
        <w:rPr>
          <w:sz w:val="20"/>
          <w:szCs w:val="20"/>
          <w:color w:val="auto"/>
        </w:rPr>
      </w:pPr>
      <w:r>
        <w:rPr>
          <w:rFonts w:ascii="Arial" w:cs="Arial" w:eastAsia="Arial" w:hAnsi="Arial"/>
          <w:sz w:val="14"/>
          <w:szCs w:val="14"/>
          <w:color w:val="auto"/>
        </w:rPr>
        <w:t>New York</w:t>
      </w:r>
    </w:p>
    <w:p>
      <w:pPr>
        <w:spacing w:after="0" w:line="125" w:lineRule="exact"/>
        <w:rPr>
          <w:sz w:val="20"/>
          <w:szCs w:val="20"/>
          <w:color w:val="auto"/>
        </w:rPr>
      </w:pPr>
    </w:p>
    <w:p>
      <w:pPr>
        <w:ind w:left="5280"/>
        <w:spacing w:after="0"/>
        <w:rPr>
          <w:sz w:val="20"/>
          <w:szCs w:val="20"/>
          <w:color w:val="auto"/>
        </w:rPr>
      </w:pPr>
      <w:r>
        <w:rPr>
          <w:rFonts w:ascii="Arial" w:cs="Arial" w:eastAsia="Arial" w:hAnsi="Arial"/>
          <w:sz w:val="11"/>
          <w:szCs w:val="11"/>
          <w:b w:val="1"/>
          <w:bCs w:val="1"/>
          <w:i w:val="1"/>
          <w:iCs w:val="1"/>
          <w:color w:val="auto"/>
        </w:rPr>
        <w:t>New York, cont.</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Niagara Falls*</w:t>
      </w:r>
    </w:p>
    <w:p>
      <w:pPr>
        <w:spacing w:after="0" w:line="221" w:lineRule="auto"/>
        <w:rPr>
          <w:sz w:val="20"/>
          <w:szCs w:val="20"/>
          <w:color w:val="auto"/>
        </w:rPr>
      </w:pPr>
      <w:r>
        <w:rPr>
          <w:rFonts w:ascii="Arial" w:cs="Arial" w:eastAsia="Arial" w:hAnsi="Arial"/>
          <w:sz w:val="14"/>
          <w:szCs w:val="14"/>
          <w:color w:val="auto"/>
        </w:rPr>
        <w:t>Northport</w:t>
      </w:r>
    </w:p>
    <w:p>
      <w:pPr>
        <w:spacing w:after="0" w:line="221" w:lineRule="auto"/>
        <w:rPr>
          <w:sz w:val="20"/>
          <w:szCs w:val="20"/>
          <w:color w:val="auto"/>
        </w:rPr>
      </w:pPr>
      <w:r>
        <w:rPr>
          <w:rFonts w:ascii="Arial" w:cs="Arial" w:eastAsia="Arial" w:hAnsi="Arial"/>
          <w:sz w:val="14"/>
          <w:szCs w:val="14"/>
          <w:color w:val="auto"/>
        </w:rPr>
        <w:t>Patchogue</w:t>
      </w:r>
    </w:p>
    <w:p>
      <w:pPr>
        <w:spacing w:after="0" w:line="222" w:lineRule="auto"/>
        <w:rPr>
          <w:sz w:val="20"/>
          <w:szCs w:val="20"/>
          <w:color w:val="auto"/>
        </w:rPr>
      </w:pPr>
      <w:r>
        <w:rPr>
          <w:rFonts w:ascii="Arial" w:cs="Arial" w:eastAsia="Arial" w:hAnsi="Arial"/>
          <w:sz w:val="14"/>
          <w:szCs w:val="14"/>
          <w:color w:val="auto"/>
        </w:rPr>
        <w:t>Port Chester</w:t>
      </w:r>
    </w:p>
    <w:p>
      <w:pPr>
        <w:spacing w:after="0" w:line="221" w:lineRule="auto"/>
        <w:rPr>
          <w:sz w:val="20"/>
          <w:szCs w:val="20"/>
          <w:color w:val="auto"/>
        </w:rPr>
      </w:pPr>
      <w:r>
        <w:rPr>
          <w:rFonts w:ascii="Arial" w:cs="Arial" w:eastAsia="Arial" w:hAnsi="Arial"/>
          <w:sz w:val="14"/>
          <w:szCs w:val="14"/>
          <w:color w:val="auto"/>
        </w:rPr>
        <w:t>Poughkeepsie</w:t>
      </w:r>
    </w:p>
    <w:p>
      <w:pPr>
        <w:spacing w:after="0" w:line="222" w:lineRule="auto"/>
        <w:rPr>
          <w:sz w:val="20"/>
          <w:szCs w:val="20"/>
          <w:color w:val="auto"/>
        </w:rPr>
      </w:pPr>
      <w:r>
        <w:rPr>
          <w:rFonts w:ascii="Arial" w:cs="Arial" w:eastAsia="Arial" w:hAnsi="Arial"/>
          <w:sz w:val="14"/>
          <w:szCs w:val="14"/>
          <w:color w:val="auto"/>
        </w:rPr>
        <w:t>Riverhead*</w:t>
      </w:r>
    </w:p>
    <w:p>
      <w:pPr>
        <w:spacing w:after="0" w:line="221" w:lineRule="auto"/>
        <w:rPr>
          <w:sz w:val="20"/>
          <w:szCs w:val="20"/>
          <w:color w:val="auto"/>
        </w:rPr>
      </w:pPr>
      <w:r>
        <w:rPr>
          <w:rFonts w:ascii="Arial" w:cs="Arial" w:eastAsia="Arial" w:hAnsi="Arial"/>
          <w:sz w:val="14"/>
          <w:szCs w:val="14"/>
          <w:color w:val="auto"/>
        </w:rPr>
        <w:t>Rochester</w:t>
      </w:r>
    </w:p>
    <w:p>
      <w:pPr>
        <w:spacing w:after="0" w:line="222" w:lineRule="auto"/>
        <w:rPr>
          <w:sz w:val="20"/>
          <w:szCs w:val="20"/>
          <w:color w:val="auto"/>
        </w:rPr>
      </w:pPr>
      <w:r>
        <w:rPr>
          <w:rFonts w:ascii="Arial" w:cs="Arial" w:eastAsia="Arial" w:hAnsi="Arial"/>
          <w:sz w:val="14"/>
          <w:szCs w:val="14"/>
          <w:color w:val="auto"/>
        </w:rPr>
        <w:t>Staten Island</w:t>
      </w:r>
    </w:p>
    <w:p>
      <w:pPr>
        <w:spacing w:after="0" w:line="221" w:lineRule="auto"/>
        <w:rPr>
          <w:sz w:val="20"/>
          <w:szCs w:val="20"/>
          <w:color w:val="auto"/>
        </w:rPr>
      </w:pPr>
      <w:r>
        <w:rPr>
          <w:rFonts w:ascii="Arial" w:cs="Arial" w:eastAsia="Arial" w:hAnsi="Arial"/>
          <w:sz w:val="14"/>
          <w:szCs w:val="14"/>
          <w:color w:val="auto"/>
        </w:rPr>
        <w:t>Syracuse</w:t>
      </w:r>
    </w:p>
    <w:p>
      <w:pPr>
        <w:spacing w:after="0" w:line="222" w:lineRule="auto"/>
        <w:rPr>
          <w:sz w:val="20"/>
          <w:szCs w:val="20"/>
          <w:color w:val="auto"/>
        </w:rPr>
      </w:pPr>
      <w:r>
        <w:rPr>
          <w:rFonts w:ascii="Arial" w:cs="Arial" w:eastAsia="Arial" w:hAnsi="Arial"/>
          <w:sz w:val="14"/>
          <w:szCs w:val="14"/>
          <w:color w:val="auto"/>
        </w:rPr>
        <w:t>Tonawanda</w:t>
      </w:r>
    </w:p>
    <w:p>
      <w:pPr>
        <w:spacing w:after="0" w:line="221" w:lineRule="auto"/>
        <w:rPr>
          <w:sz w:val="20"/>
          <w:szCs w:val="20"/>
          <w:color w:val="auto"/>
        </w:rPr>
      </w:pPr>
      <w:r>
        <w:rPr>
          <w:rFonts w:ascii="Arial" w:cs="Arial" w:eastAsia="Arial" w:hAnsi="Arial"/>
          <w:sz w:val="14"/>
          <w:szCs w:val="14"/>
          <w:color w:val="auto"/>
        </w:rPr>
        <w:t>Valley Stream</w:t>
      </w:r>
    </w:p>
    <w:p>
      <w:pPr>
        <w:spacing w:after="0" w:line="222" w:lineRule="auto"/>
        <w:rPr>
          <w:sz w:val="20"/>
          <w:szCs w:val="20"/>
          <w:color w:val="auto"/>
        </w:rPr>
      </w:pPr>
      <w:r>
        <w:rPr>
          <w:rFonts w:ascii="Arial" w:cs="Arial" w:eastAsia="Arial" w:hAnsi="Arial"/>
          <w:sz w:val="14"/>
          <w:szCs w:val="14"/>
          <w:color w:val="auto"/>
        </w:rPr>
        <w:t>Victor</w:t>
      </w:r>
    </w:p>
    <w:p>
      <w:pPr>
        <w:spacing w:after="0" w:line="221" w:lineRule="auto"/>
        <w:rPr>
          <w:sz w:val="20"/>
          <w:szCs w:val="20"/>
          <w:color w:val="auto"/>
        </w:rPr>
      </w:pPr>
      <w:r>
        <w:rPr>
          <w:rFonts w:ascii="Arial" w:cs="Arial" w:eastAsia="Arial" w:hAnsi="Arial"/>
          <w:sz w:val="14"/>
          <w:szCs w:val="14"/>
          <w:color w:val="auto"/>
        </w:rPr>
        <w:t>Waterloo*</w:t>
      </w:r>
    </w:p>
    <w:p>
      <w:pPr>
        <w:spacing w:after="0"/>
        <w:rPr>
          <w:sz w:val="20"/>
          <w:szCs w:val="20"/>
          <w:color w:val="auto"/>
        </w:rPr>
      </w:pPr>
      <w:r>
        <w:rPr>
          <w:rFonts w:ascii="Arial" w:cs="Arial" w:eastAsia="Arial" w:hAnsi="Arial"/>
          <w:sz w:val="14"/>
          <w:szCs w:val="14"/>
          <w:color w:val="auto"/>
        </w:rPr>
        <w:t>Yonkers</w:t>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2"/>
          <w:szCs w:val="12"/>
          <w:b w:val="1"/>
          <w:bCs w:val="1"/>
          <w:i w:val="1"/>
          <w:iCs w:val="1"/>
          <w:color w:val="auto"/>
        </w:rPr>
        <w:t>North Carolina</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Asheville</w:t>
      </w:r>
    </w:p>
    <w:p>
      <w:pPr>
        <w:spacing w:after="0" w:line="221" w:lineRule="auto"/>
        <w:rPr>
          <w:sz w:val="20"/>
          <w:szCs w:val="20"/>
          <w:color w:val="auto"/>
        </w:rPr>
      </w:pPr>
      <w:r>
        <w:rPr>
          <w:rFonts w:ascii="Arial" w:cs="Arial" w:eastAsia="Arial" w:hAnsi="Arial"/>
          <w:sz w:val="14"/>
          <w:szCs w:val="14"/>
          <w:color w:val="auto"/>
        </w:rPr>
        <w:t>Burlington*</w:t>
      </w:r>
    </w:p>
    <w:p>
      <w:pPr>
        <w:spacing w:after="0" w:line="221" w:lineRule="auto"/>
        <w:rPr>
          <w:sz w:val="20"/>
          <w:szCs w:val="20"/>
          <w:color w:val="auto"/>
        </w:rPr>
      </w:pPr>
      <w:r>
        <w:rPr>
          <w:rFonts w:ascii="Arial" w:cs="Arial" w:eastAsia="Arial" w:hAnsi="Arial"/>
          <w:sz w:val="14"/>
          <w:szCs w:val="14"/>
          <w:color w:val="auto"/>
        </w:rPr>
        <w:t>Charlotte</w:t>
      </w:r>
    </w:p>
    <w:p>
      <w:pPr>
        <w:spacing w:after="0" w:line="222" w:lineRule="auto"/>
        <w:rPr>
          <w:sz w:val="20"/>
          <w:szCs w:val="20"/>
          <w:color w:val="auto"/>
        </w:rPr>
      </w:pPr>
      <w:r>
        <w:rPr>
          <w:rFonts w:ascii="Arial" w:cs="Arial" w:eastAsia="Arial" w:hAnsi="Arial"/>
          <w:sz w:val="14"/>
          <w:szCs w:val="14"/>
          <w:color w:val="auto"/>
        </w:rPr>
        <w:t>Fayetteville</w:t>
      </w:r>
    </w:p>
    <w:p>
      <w:pPr>
        <w:spacing w:after="0" w:line="221" w:lineRule="auto"/>
        <w:rPr>
          <w:sz w:val="20"/>
          <w:szCs w:val="20"/>
          <w:color w:val="auto"/>
        </w:rPr>
      </w:pPr>
      <w:r>
        <w:rPr>
          <w:rFonts w:ascii="Arial" w:cs="Arial" w:eastAsia="Arial" w:hAnsi="Arial"/>
          <w:sz w:val="14"/>
          <w:szCs w:val="14"/>
          <w:color w:val="auto"/>
        </w:rPr>
        <w:t>Greensboro</w:t>
      </w:r>
    </w:p>
    <w:p>
      <w:pPr>
        <w:spacing w:after="0" w:line="222" w:lineRule="auto"/>
        <w:rPr>
          <w:sz w:val="20"/>
          <w:szCs w:val="20"/>
          <w:color w:val="auto"/>
        </w:rPr>
      </w:pPr>
      <w:r>
        <w:rPr>
          <w:rFonts w:ascii="Arial" w:cs="Arial" w:eastAsia="Arial" w:hAnsi="Arial"/>
          <w:sz w:val="14"/>
          <w:szCs w:val="14"/>
          <w:color w:val="auto"/>
        </w:rPr>
        <w:t>Greenville</w:t>
      </w:r>
    </w:p>
    <w:p>
      <w:pPr>
        <w:spacing w:after="0" w:line="221" w:lineRule="auto"/>
        <w:rPr>
          <w:sz w:val="20"/>
          <w:szCs w:val="20"/>
          <w:color w:val="auto"/>
        </w:rPr>
      </w:pPr>
      <w:r>
        <w:rPr>
          <w:rFonts w:ascii="Arial" w:cs="Arial" w:eastAsia="Arial" w:hAnsi="Arial"/>
          <w:sz w:val="14"/>
          <w:szCs w:val="14"/>
          <w:color w:val="auto"/>
        </w:rPr>
        <w:t>Pineville</w:t>
      </w:r>
    </w:p>
    <w:p>
      <w:pPr>
        <w:spacing w:after="0" w:line="222" w:lineRule="auto"/>
        <w:rPr>
          <w:sz w:val="20"/>
          <w:szCs w:val="20"/>
          <w:color w:val="auto"/>
        </w:rPr>
      </w:pPr>
      <w:r>
        <w:rPr>
          <w:rFonts w:ascii="Arial" w:cs="Arial" w:eastAsia="Arial" w:hAnsi="Arial"/>
          <w:sz w:val="14"/>
          <w:szCs w:val="14"/>
          <w:color w:val="auto"/>
        </w:rPr>
        <w:t>Raleigh</w:t>
      </w:r>
    </w:p>
    <w:p>
      <w:pPr>
        <w:spacing w:after="0" w:line="221" w:lineRule="auto"/>
        <w:rPr>
          <w:sz w:val="20"/>
          <w:szCs w:val="20"/>
          <w:color w:val="auto"/>
        </w:rPr>
      </w:pPr>
      <w:r>
        <w:rPr>
          <w:rFonts w:ascii="Arial" w:cs="Arial" w:eastAsia="Arial" w:hAnsi="Arial"/>
          <w:sz w:val="14"/>
          <w:szCs w:val="14"/>
          <w:color w:val="auto"/>
        </w:rPr>
        <w:t>Smithfield*</w:t>
      </w:r>
    </w:p>
    <w:p>
      <w:pPr>
        <w:spacing w:after="0" w:line="222" w:lineRule="auto"/>
        <w:rPr>
          <w:sz w:val="20"/>
          <w:szCs w:val="20"/>
          <w:color w:val="auto"/>
        </w:rPr>
      </w:pPr>
      <w:r>
        <w:rPr>
          <w:rFonts w:ascii="Arial" w:cs="Arial" w:eastAsia="Arial" w:hAnsi="Arial"/>
          <w:sz w:val="14"/>
          <w:szCs w:val="14"/>
          <w:color w:val="auto"/>
        </w:rPr>
        <w:t>Wilmington</w:t>
      </w:r>
    </w:p>
    <w:p>
      <w:pPr>
        <w:spacing w:after="0"/>
        <w:rPr>
          <w:sz w:val="20"/>
          <w:szCs w:val="20"/>
          <w:color w:val="auto"/>
        </w:rPr>
      </w:pPr>
      <w:r>
        <w:rPr>
          <w:rFonts w:ascii="Arial" w:cs="Arial" w:eastAsia="Arial" w:hAnsi="Arial"/>
          <w:sz w:val="14"/>
          <w:szCs w:val="14"/>
          <w:color w:val="auto"/>
        </w:rPr>
        <w:t>Winston-Salem</w:t>
      </w:r>
    </w:p>
    <w:p>
      <w:pPr>
        <w:spacing w:after="0" w:line="57" w:lineRule="exact"/>
        <w:rPr>
          <w:sz w:val="20"/>
          <w:szCs w:val="20"/>
          <w:color w:val="auto"/>
        </w:rPr>
      </w:pPr>
    </w:p>
    <w:p>
      <w:pPr>
        <w:ind w:left="5320"/>
        <w:spacing w:after="0"/>
        <w:rPr>
          <w:sz w:val="20"/>
          <w:szCs w:val="20"/>
          <w:color w:val="auto"/>
        </w:rPr>
      </w:pPr>
      <w:r>
        <w:rPr>
          <w:rFonts w:ascii="Arial" w:cs="Arial" w:eastAsia="Arial" w:hAnsi="Arial"/>
          <w:sz w:val="12"/>
          <w:szCs w:val="12"/>
          <w:b w:val="1"/>
          <w:bCs w:val="1"/>
          <w:i w:val="1"/>
          <w:iCs w:val="1"/>
          <w:color w:val="auto"/>
        </w:rPr>
        <w:t>North Dakota</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Fargo</w:t>
      </w:r>
    </w:p>
    <w:p>
      <w:pPr>
        <w:spacing w:after="0" w:line="57" w:lineRule="exact"/>
        <w:rPr>
          <w:sz w:val="20"/>
          <w:szCs w:val="20"/>
          <w:color w:val="auto"/>
        </w:rPr>
      </w:pPr>
    </w:p>
    <w:p>
      <w:pPr>
        <w:ind w:left="5580"/>
        <w:spacing w:after="0"/>
        <w:rPr>
          <w:sz w:val="20"/>
          <w:szCs w:val="20"/>
          <w:color w:val="auto"/>
        </w:rPr>
      </w:pPr>
      <w:r>
        <w:rPr>
          <w:rFonts w:ascii="Arial" w:cs="Arial" w:eastAsia="Arial" w:hAnsi="Arial"/>
          <w:sz w:val="14"/>
          <w:szCs w:val="14"/>
          <w:b w:val="1"/>
          <w:bCs w:val="1"/>
          <w:i w:val="1"/>
          <w:iCs w:val="1"/>
          <w:color w:val="auto"/>
        </w:rPr>
        <w:t>Ohio</w:t>
      </w:r>
    </w:p>
    <w:p>
      <w:pPr>
        <w:spacing w:after="0" w:line="221" w:lineRule="auto"/>
        <w:rPr>
          <w:sz w:val="20"/>
          <w:szCs w:val="20"/>
          <w:color w:val="auto"/>
        </w:rPr>
      </w:pPr>
      <w:r>
        <w:rPr>
          <w:rFonts w:ascii="Arial" w:cs="Arial" w:eastAsia="Arial" w:hAnsi="Arial"/>
          <w:sz w:val="14"/>
          <w:szCs w:val="14"/>
          <w:color w:val="auto"/>
        </w:rPr>
        <w:t>Akron</w:t>
      </w:r>
    </w:p>
    <w:p>
      <w:pPr>
        <w:spacing w:after="0" w:line="221" w:lineRule="auto"/>
        <w:rPr>
          <w:sz w:val="20"/>
          <w:szCs w:val="20"/>
          <w:color w:val="auto"/>
        </w:rPr>
      </w:pPr>
      <w:r>
        <w:rPr>
          <w:rFonts w:ascii="Arial" w:cs="Arial" w:eastAsia="Arial" w:hAnsi="Arial"/>
          <w:sz w:val="14"/>
          <w:szCs w:val="14"/>
          <w:color w:val="auto"/>
        </w:rPr>
        <w:t>Boardman</w:t>
      </w:r>
    </w:p>
    <w:p>
      <w:pPr>
        <w:spacing w:after="0" w:line="222" w:lineRule="auto"/>
        <w:rPr>
          <w:sz w:val="20"/>
          <w:szCs w:val="20"/>
          <w:color w:val="auto"/>
        </w:rPr>
      </w:pPr>
      <w:r>
        <w:rPr>
          <w:rFonts w:ascii="Arial" w:cs="Arial" w:eastAsia="Arial" w:hAnsi="Arial"/>
          <w:sz w:val="14"/>
          <w:szCs w:val="14"/>
          <w:color w:val="auto"/>
        </w:rPr>
        <w:t>Canton</w:t>
      </w:r>
    </w:p>
    <w:p>
      <w:pPr>
        <w:spacing w:after="0" w:line="221" w:lineRule="auto"/>
        <w:rPr>
          <w:sz w:val="20"/>
          <w:szCs w:val="20"/>
          <w:color w:val="auto"/>
        </w:rPr>
      </w:pPr>
      <w:r>
        <w:rPr>
          <w:rFonts w:ascii="Arial" w:cs="Arial" w:eastAsia="Arial" w:hAnsi="Arial"/>
          <w:sz w:val="14"/>
          <w:szCs w:val="14"/>
          <w:color w:val="auto"/>
        </w:rPr>
        <w:t>Cincinnati</w:t>
      </w:r>
    </w:p>
    <w:p>
      <w:pPr>
        <w:spacing w:after="0" w:line="222" w:lineRule="auto"/>
        <w:rPr>
          <w:sz w:val="20"/>
          <w:szCs w:val="20"/>
          <w:color w:val="auto"/>
        </w:rPr>
      </w:pPr>
      <w:r>
        <w:rPr>
          <w:rFonts w:ascii="Arial" w:cs="Arial" w:eastAsia="Arial" w:hAnsi="Arial"/>
          <w:sz w:val="14"/>
          <w:szCs w:val="14"/>
          <w:color w:val="auto"/>
        </w:rPr>
        <w:t>Columbus (5)*</w:t>
      </w:r>
    </w:p>
    <w:p>
      <w:pPr>
        <w:spacing w:after="0" w:line="221" w:lineRule="auto"/>
        <w:rPr>
          <w:sz w:val="20"/>
          <w:szCs w:val="20"/>
          <w:color w:val="auto"/>
        </w:rPr>
      </w:pPr>
      <w:r>
        <w:rPr>
          <w:rFonts w:ascii="Arial" w:cs="Arial" w:eastAsia="Arial" w:hAnsi="Arial"/>
          <w:sz w:val="14"/>
          <w:szCs w:val="14"/>
          <w:color w:val="auto"/>
        </w:rPr>
        <w:t>Fairlawn</w:t>
      </w:r>
    </w:p>
    <w:p>
      <w:pPr>
        <w:spacing w:after="0" w:line="222" w:lineRule="auto"/>
        <w:rPr>
          <w:sz w:val="20"/>
          <w:szCs w:val="20"/>
          <w:color w:val="auto"/>
        </w:rPr>
      </w:pPr>
      <w:r>
        <w:rPr>
          <w:rFonts w:ascii="Arial" w:cs="Arial" w:eastAsia="Arial" w:hAnsi="Arial"/>
          <w:sz w:val="14"/>
          <w:szCs w:val="14"/>
          <w:color w:val="auto"/>
        </w:rPr>
        <w:t>Jeffersonville*</w:t>
      </w:r>
    </w:p>
    <w:p>
      <w:pPr>
        <w:spacing w:after="0" w:line="221" w:lineRule="auto"/>
        <w:rPr>
          <w:sz w:val="20"/>
          <w:szCs w:val="20"/>
          <w:color w:val="auto"/>
        </w:rPr>
      </w:pPr>
      <w:r>
        <w:rPr>
          <w:rFonts w:ascii="Arial" w:cs="Arial" w:eastAsia="Arial" w:hAnsi="Arial"/>
          <w:sz w:val="14"/>
          <w:szCs w:val="14"/>
          <w:color w:val="auto"/>
        </w:rPr>
        <w:t>Mansfield</w:t>
      </w:r>
    </w:p>
    <w:p>
      <w:pPr>
        <w:spacing w:after="0" w:line="222" w:lineRule="auto"/>
        <w:rPr>
          <w:sz w:val="20"/>
          <w:szCs w:val="20"/>
          <w:color w:val="auto"/>
        </w:rPr>
      </w:pPr>
      <w:r>
        <w:rPr>
          <w:rFonts w:ascii="Arial" w:cs="Arial" w:eastAsia="Arial" w:hAnsi="Arial"/>
          <w:sz w:val="14"/>
          <w:szCs w:val="14"/>
          <w:color w:val="auto"/>
        </w:rPr>
        <w:t>Mentor</w:t>
      </w:r>
    </w:p>
    <w:p>
      <w:pPr>
        <w:spacing w:after="0" w:line="221" w:lineRule="auto"/>
        <w:rPr>
          <w:sz w:val="20"/>
          <w:szCs w:val="20"/>
          <w:color w:val="auto"/>
        </w:rPr>
      </w:pPr>
      <w:r>
        <w:rPr>
          <w:rFonts w:ascii="Arial" w:cs="Arial" w:eastAsia="Arial" w:hAnsi="Arial"/>
          <w:sz w:val="14"/>
          <w:szCs w:val="14"/>
          <w:color w:val="auto"/>
        </w:rPr>
        <w:t>Miamisburg</w:t>
      </w:r>
    </w:p>
    <w:p>
      <w:pPr>
        <w:spacing w:after="0" w:line="222" w:lineRule="auto"/>
        <w:rPr>
          <w:sz w:val="20"/>
          <w:szCs w:val="20"/>
          <w:color w:val="auto"/>
        </w:rPr>
      </w:pPr>
      <w:r>
        <w:rPr>
          <w:rFonts w:ascii="Arial" w:cs="Arial" w:eastAsia="Arial" w:hAnsi="Arial"/>
          <w:sz w:val="14"/>
          <w:szCs w:val="14"/>
          <w:color w:val="auto"/>
        </w:rPr>
        <w:t>Niles</w:t>
      </w:r>
    </w:p>
    <w:p>
      <w:pPr>
        <w:spacing w:after="0" w:line="221" w:lineRule="auto"/>
        <w:rPr>
          <w:sz w:val="20"/>
          <w:szCs w:val="20"/>
          <w:color w:val="auto"/>
        </w:rPr>
      </w:pPr>
      <w:r>
        <w:rPr>
          <w:rFonts w:ascii="Arial" w:cs="Arial" w:eastAsia="Arial" w:hAnsi="Arial"/>
          <w:sz w:val="14"/>
          <w:szCs w:val="14"/>
          <w:color w:val="auto"/>
        </w:rPr>
        <w:t>North Olmsted</w:t>
      </w:r>
    </w:p>
    <w:p>
      <w:pPr>
        <w:spacing w:after="0" w:line="221" w:lineRule="auto"/>
        <w:rPr>
          <w:sz w:val="20"/>
          <w:szCs w:val="20"/>
          <w:color w:val="auto"/>
        </w:rPr>
      </w:pPr>
      <w:r>
        <w:rPr>
          <w:rFonts w:ascii="Arial" w:cs="Arial" w:eastAsia="Arial" w:hAnsi="Arial"/>
          <w:sz w:val="14"/>
          <w:szCs w:val="14"/>
          <w:color w:val="auto"/>
        </w:rPr>
        <w:t>North Randall</w:t>
      </w:r>
    </w:p>
    <w:p>
      <w:pPr>
        <w:spacing w:after="0"/>
        <w:rPr>
          <w:sz w:val="20"/>
          <w:szCs w:val="20"/>
          <w:color w:val="auto"/>
        </w:rPr>
      </w:pPr>
      <w:r>
        <w:rPr>
          <w:rFonts w:ascii="Arial" w:cs="Arial" w:eastAsia="Arial" w:hAnsi="Arial"/>
          <w:sz w:val="14"/>
          <w:szCs w:val="14"/>
          <w:color w:val="auto"/>
        </w:rPr>
        <w:t>Springdale</w:t>
      </w:r>
    </w:p>
    <w:p>
      <w:pPr>
        <w:sectPr>
          <w:pgSz w:w="11900" w:h="16838" w:orient="portrait"/>
          <w:cols w:equalWidth="0" w:num="1">
            <w:col w:w="10219"/>
          </w:cols>
          <w:pgMar w:left="240" w:top="459" w:right="1440" w:bottom="0" w:gutter="0" w:footer="0" w:header="0"/>
        </w:sectPr>
      </w:pPr>
    </w:p>
    <w:bookmarkStart w:id="25" w:name="page26"/>
    <w:bookmarkEnd w:id="25"/>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Toledo</w:t>
      </w:r>
    </w:p>
    <w:p>
      <w:pPr>
        <w:spacing w:after="0" w:line="68" w:lineRule="exact"/>
        <w:rPr>
          <w:sz w:val="20"/>
          <w:szCs w:val="20"/>
          <w:color w:val="auto"/>
        </w:rPr>
      </w:pPr>
    </w:p>
    <w:p>
      <w:pPr>
        <w:ind w:left="5420"/>
        <w:spacing w:after="0"/>
        <w:rPr>
          <w:sz w:val="20"/>
          <w:szCs w:val="20"/>
          <w:color w:val="auto"/>
        </w:rPr>
      </w:pPr>
      <w:r>
        <w:rPr>
          <w:rFonts w:ascii="Arial" w:cs="Arial" w:eastAsia="Arial" w:hAnsi="Arial"/>
          <w:sz w:val="14"/>
          <w:szCs w:val="14"/>
          <w:b w:val="1"/>
          <w:bCs w:val="1"/>
          <w:i w:val="1"/>
          <w:iCs w:val="1"/>
          <w:color w:val="auto"/>
        </w:rPr>
        <w:t>Oklahoma</w:t>
      </w:r>
    </w:p>
    <w:p>
      <w:pPr>
        <w:spacing w:after="0" w:line="221" w:lineRule="auto"/>
        <w:rPr>
          <w:sz w:val="20"/>
          <w:szCs w:val="20"/>
          <w:color w:val="auto"/>
        </w:rPr>
      </w:pPr>
      <w:r>
        <w:rPr>
          <w:rFonts w:ascii="Arial" w:cs="Arial" w:eastAsia="Arial" w:hAnsi="Arial"/>
          <w:sz w:val="14"/>
          <w:szCs w:val="14"/>
          <w:color w:val="auto"/>
        </w:rPr>
        <w:t>Oklahoma City (2)</w:t>
      </w:r>
    </w:p>
    <w:p>
      <w:pPr>
        <w:spacing w:after="0"/>
        <w:rPr>
          <w:sz w:val="20"/>
          <w:szCs w:val="20"/>
          <w:color w:val="auto"/>
        </w:rPr>
      </w:pPr>
      <w:r>
        <w:rPr>
          <w:rFonts w:ascii="Arial" w:cs="Arial" w:eastAsia="Arial" w:hAnsi="Arial"/>
          <w:sz w:val="14"/>
          <w:szCs w:val="14"/>
          <w:color w:val="auto"/>
        </w:rPr>
        <w:t>Tulsa</w:t>
      </w:r>
    </w:p>
    <w:p>
      <w:pPr>
        <w:spacing w:after="0" w:line="56" w:lineRule="exact"/>
        <w:rPr>
          <w:sz w:val="20"/>
          <w:szCs w:val="20"/>
          <w:color w:val="auto"/>
        </w:rPr>
      </w:pPr>
    </w:p>
    <w:p>
      <w:pPr>
        <w:ind w:left="5500"/>
        <w:spacing w:after="0"/>
        <w:rPr>
          <w:sz w:val="20"/>
          <w:szCs w:val="20"/>
          <w:color w:val="auto"/>
        </w:rPr>
      </w:pPr>
      <w:r>
        <w:rPr>
          <w:rFonts w:ascii="Arial" w:cs="Arial" w:eastAsia="Arial" w:hAnsi="Arial"/>
          <w:sz w:val="14"/>
          <w:szCs w:val="14"/>
          <w:b w:val="1"/>
          <w:bCs w:val="1"/>
          <w:i w:val="1"/>
          <w:iCs w:val="1"/>
          <w:color w:val="auto"/>
        </w:rPr>
        <w:t>Oregon</w:t>
      </w:r>
    </w:p>
    <w:p>
      <w:pPr>
        <w:spacing w:after="0" w:line="221" w:lineRule="auto"/>
        <w:rPr>
          <w:sz w:val="20"/>
          <w:szCs w:val="20"/>
          <w:color w:val="auto"/>
        </w:rPr>
      </w:pPr>
      <w:r>
        <w:rPr>
          <w:rFonts w:ascii="Arial" w:cs="Arial" w:eastAsia="Arial" w:hAnsi="Arial"/>
          <w:sz w:val="14"/>
          <w:szCs w:val="14"/>
          <w:color w:val="auto"/>
        </w:rPr>
        <w:t>Beaverton</w:t>
      </w:r>
    </w:p>
    <w:p>
      <w:pPr>
        <w:spacing w:after="0" w:line="221" w:lineRule="auto"/>
        <w:rPr>
          <w:sz w:val="20"/>
          <w:szCs w:val="20"/>
          <w:color w:val="auto"/>
        </w:rPr>
      </w:pPr>
      <w:r>
        <w:rPr>
          <w:rFonts w:ascii="Arial" w:cs="Arial" w:eastAsia="Arial" w:hAnsi="Arial"/>
          <w:sz w:val="14"/>
          <w:szCs w:val="14"/>
          <w:color w:val="auto"/>
        </w:rPr>
        <w:t>Eugene</w:t>
      </w:r>
    </w:p>
    <w:p>
      <w:pPr>
        <w:spacing w:after="0" w:line="222" w:lineRule="auto"/>
        <w:rPr>
          <w:sz w:val="20"/>
          <w:szCs w:val="20"/>
          <w:color w:val="auto"/>
        </w:rPr>
      </w:pPr>
      <w:r>
        <w:rPr>
          <w:rFonts w:ascii="Arial" w:cs="Arial" w:eastAsia="Arial" w:hAnsi="Arial"/>
          <w:sz w:val="14"/>
          <w:szCs w:val="14"/>
          <w:color w:val="auto"/>
        </w:rPr>
        <w:t>Lincoln City*</w:t>
      </w:r>
    </w:p>
    <w:p>
      <w:pPr>
        <w:ind w:left="5340"/>
        <w:spacing w:after="0"/>
        <w:rPr>
          <w:sz w:val="20"/>
          <w:szCs w:val="20"/>
          <w:color w:val="auto"/>
        </w:rPr>
      </w:pPr>
      <w:r>
        <w:rPr>
          <w:rFonts w:ascii="Arial" w:cs="Arial" w:eastAsia="Arial" w:hAnsi="Arial"/>
          <w:sz w:val="12"/>
          <w:szCs w:val="12"/>
          <w:b w:val="1"/>
          <w:bCs w:val="1"/>
          <w:i w:val="1"/>
          <w:iCs w:val="1"/>
          <w:color w:val="auto"/>
        </w:rPr>
        <w:t>Oregon, cont.</w:t>
      </w:r>
    </w:p>
    <w:p>
      <w:pPr>
        <w:spacing w:after="0" w:line="237" w:lineRule="auto"/>
        <w:rPr>
          <w:sz w:val="20"/>
          <w:szCs w:val="20"/>
          <w:color w:val="auto"/>
        </w:rPr>
      </w:pPr>
      <w:r>
        <w:rPr>
          <w:rFonts w:ascii="Arial" w:cs="Arial" w:eastAsia="Arial" w:hAnsi="Arial"/>
          <w:sz w:val="14"/>
          <w:szCs w:val="14"/>
          <w:color w:val="auto"/>
        </w:rPr>
        <w:t>Portland</w:t>
      </w:r>
    </w:p>
    <w:p>
      <w:pPr>
        <w:spacing w:after="0"/>
        <w:rPr>
          <w:sz w:val="20"/>
          <w:szCs w:val="20"/>
          <w:color w:val="auto"/>
        </w:rPr>
      </w:pPr>
      <w:r>
        <w:rPr>
          <w:rFonts w:ascii="Arial" w:cs="Arial" w:eastAsia="Arial" w:hAnsi="Arial"/>
          <w:sz w:val="14"/>
          <w:szCs w:val="14"/>
          <w:color w:val="auto"/>
        </w:rPr>
        <w:t>Salem</w:t>
      </w:r>
    </w:p>
    <w:p>
      <w:pPr>
        <w:spacing w:after="0" w:line="57" w:lineRule="exact"/>
        <w:rPr>
          <w:sz w:val="20"/>
          <w:szCs w:val="20"/>
          <w:color w:val="auto"/>
        </w:rPr>
      </w:pPr>
    </w:p>
    <w:p>
      <w:pPr>
        <w:ind w:left="5340"/>
        <w:spacing w:after="0"/>
        <w:rPr>
          <w:sz w:val="20"/>
          <w:szCs w:val="20"/>
          <w:color w:val="auto"/>
        </w:rPr>
      </w:pPr>
      <w:r>
        <w:rPr>
          <w:rFonts w:ascii="Arial" w:cs="Arial" w:eastAsia="Arial" w:hAnsi="Arial"/>
          <w:sz w:val="12"/>
          <w:szCs w:val="12"/>
          <w:b w:val="1"/>
          <w:bCs w:val="1"/>
          <w:i w:val="1"/>
          <w:iCs w:val="1"/>
          <w:color w:val="auto"/>
        </w:rPr>
        <w:t>Pennsylvania</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Altoona</w:t>
      </w:r>
    </w:p>
    <w:p>
      <w:pPr>
        <w:spacing w:after="0" w:line="221" w:lineRule="auto"/>
        <w:rPr>
          <w:sz w:val="20"/>
          <w:szCs w:val="20"/>
          <w:color w:val="auto"/>
        </w:rPr>
      </w:pPr>
      <w:r>
        <w:rPr>
          <w:rFonts w:ascii="Arial" w:cs="Arial" w:eastAsia="Arial" w:hAnsi="Arial"/>
          <w:sz w:val="14"/>
          <w:szCs w:val="14"/>
          <w:color w:val="auto"/>
        </w:rPr>
        <w:t>Erie</w:t>
      </w:r>
    </w:p>
    <w:p>
      <w:pPr>
        <w:spacing w:after="0" w:line="221" w:lineRule="auto"/>
        <w:rPr>
          <w:sz w:val="20"/>
          <w:szCs w:val="20"/>
          <w:color w:val="auto"/>
        </w:rPr>
      </w:pPr>
      <w:r>
        <w:rPr>
          <w:rFonts w:ascii="Arial" w:cs="Arial" w:eastAsia="Arial" w:hAnsi="Arial"/>
          <w:sz w:val="14"/>
          <w:szCs w:val="14"/>
          <w:color w:val="auto"/>
        </w:rPr>
        <w:t>Gettysburg*</w:t>
      </w:r>
    </w:p>
    <w:p>
      <w:pPr>
        <w:spacing w:after="0" w:line="222" w:lineRule="auto"/>
        <w:rPr>
          <w:sz w:val="20"/>
          <w:szCs w:val="20"/>
          <w:color w:val="auto"/>
        </w:rPr>
      </w:pPr>
      <w:r>
        <w:rPr>
          <w:rFonts w:ascii="Arial" w:cs="Arial" w:eastAsia="Arial" w:hAnsi="Arial"/>
          <w:sz w:val="14"/>
          <w:szCs w:val="14"/>
          <w:color w:val="auto"/>
        </w:rPr>
        <w:t>Greensburg</w:t>
      </w:r>
    </w:p>
    <w:p>
      <w:pPr>
        <w:spacing w:after="0" w:line="221" w:lineRule="auto"/>
        <w:rPr>
          <w:sz w:val="20"/>
          <w:szCs w:val="20"/>
          <w:color w:val="auto"/>
        </w:rPr>
      </w:pPr>
      <w:r>
        <w:rPr>
          <w:rFonts w:ascii="Arial" w:cs="Arial" w:eastAsia="Arial" w:hAnsi="Arial"/>
          <w:sz w:val="14"/>
          <w:szCs w:val="14"/>
          <w:color w:val="auto"/>
        </w:rPr>
        <w:t>Grove City*</w:t>
      </w:r>
    </w:p>
    <w:p>
      <w:pPr>
        <w:spacing w:after="0" w:line="222" w:lineRule="auto"/>
        <w:rPr>
          <w:sz w:val="20"/>
          <w:szCs w:val="20"/>
          <w:color w:val="auto"/>
        </w:rPr>
      </w:pPr>
      <w:r>
        <w:rPr>
          <w:rFonts w:ascii="Arial" w:cs="Arial" w:eastAsia="Arial" w:hAnsi="Arial"/>
          <w:sz w:val="14"/>
          <w:szCs w:val="14"/>
          <w:color w:val="auto"/>
        </w:rPr>
        <w:t>Harrisburg</w:t>
      </w:r>
    </w:p>
    <w:p>
      <w:pPr>
        <w:spacing w:after="0" w:line="221" w:lineRule="auto"/>
        <w:rPr>
          <w:sz w:val="20"/>
          <w:szCs w:val="20"/>
          <w:color w:val="auto"/>
        </w:rPr>
      </w:pPr>
      <w:r>
        <w:rPr>
          <w:rFonts w:ascii="Arial" w:cs="Arial" w:eastAsia="Arial" w:hAnsi="Arial"/>
          <w:sz w:val="14"/>
          <w:szCs w:val="14"/>
          <w:color w:val="auto"/>
        </w:rPr>
        <w:t>King Of Prussia</w:t>
      </w:r>
    </w:p>
    <w:p>
      <w:pPr>
        <w:spacing w:after="0" w:line="222" w:lineRule="auto"/>
        <w:rPr>
          <w:sz w:val="20"/>
          <w:szCs w:val="20"/>
          <w:color w:val="auto"/>
        </w:rPr>
      </w:pPr>
      <w:r>
        <w:rPr>
          <w:rFonts w:ascii="Arial" w:cs="Arial" w:eastAsia="Arial" w:hAnsi="Arial"/>
          <w:sz w:val="14"/>
          <w:szCs w:val="14"/>
          <w:color w:val="auto"/>
        </w:rPr>
        <w:t>Lancaster*</w:t>
      </w:r>
    </w:p>
    <w:p>
      <w:pPr>
        <w:spacing w:after="0" w:line="221" w:lineRule="auto"/>
        <w:rPr>
          <w:sz w:val="20"/>
          <w:szCs w:val="20"/>
          <w:color w:val="auto"/>
        </w:rPr>
      </w:pPr>
      <w:r>
        <w:rPr>
          <w:rFonts w:ascii="Arial" w:cs="Arial" w:eastAsia="Arial" w:hAnsi="Arial"/>
          <w:sz w:val="14"/>
          <w:szCs w:val="14"/>
          <w:color w:val="auto"/>
        </w:rPr>
        <w:t>Langhorne</w:t>
      </w:r>
    </w:p>
    <w:p>
      <w:pPr>
        <w:spacing w:after="0" w:line="222" w:lineRule="auto"/>
        <w:rPr>
          <w:sz w:val="20"/>
          <w:szCs w:val="20"/>
          <w:color w:val="auto"/>
        </w:rPr>
      </w:pPr>
      <w:r>
        <w:rPr>
          <w:rFonts w:ascii="Arial" w:cs="Arial" w:eastAsia="Arial" w:hAnsi="Arial"/>
          <w:sz w:val="14"/>
          <w:szCs w:val="14"/>
          <w:color w:val="auto"/>
        </w:rPr>
        <w:t>Monroeville</w:t>
      </w:r>
    </w:p>
    <w:p>
      <w:pPr>
        <w:spacing w:after="0" w:line="221" w:lineRule="auto"/>
        <w:rPr>
          <w:sz w:val="20"/>
          <w:szCs w:val="20"/>
          <w:color w:val="auto"/>
        </w:rPr>
      </w:pPr>
      <w:r>
        <w:rPr>
          <w:rFonts w:ascii="Arial" w:cs="Arial" w:eastAsia="Arial" w:hAnsi="Arial"/>
          <w:sz w:val="14"/>
          <w:szCs w:val="14"/>
          <w:color w:val="auto"/>
        </w:rPr>
        <w:t>Philadelphia (4)*</w:t>
      </w:r>
    </w:p>
    <w:p>
      <w:pPr>
        <w:spacing w:after="0" w:line="222" w:lineRule="auto"/>
        <w:rPr>
          <w:sz w:val="20"/>
          <w:szCs w:val="20"/>
          <w:color w:val="auto"/>
        </w:rPr>
      </w:pPr>
      <w:r>
        <w:rPr>
          <w:rFonts w:ascii="Arial" w:cs="Arial" w:eastAsia="Arial" w:hAnsi="Arial"/>
          <w:sz w:val="14"/>
          <w:szCs w:val="14"/>
          <w:color w:val="auto"/>
        </w:rPr>
        <w:t>Pittsburgh (2)</w:t>
      </w:r>
    </w:p>
    <w:p>
      <w:pPr>
        <w:spacing w:after="0" w:line="221" w:lineRule="auto"/>
        <w:rPr>
          <w:sz w:val="20"/>
          <w:szCs w:val="20"/>
          <w:color w:val="auto"/>
        </w:rPr>
      </w:pPr>
      <w:r>
        <w:rPr>
          <w:rFonts w:ascii="Arial" w:cs="Arial" w:eastAsia="Arial" w:hAnsi="Arial"/>
          <w:sz w:val="14"/>
          <w:szCs w:val="14"/>
          <w:color w:val="auto"/>
        </w:rPr>
        <w:t>Pottstown</w:t>
      </w:r>
    </w:p>
    <w:p>
      <w:pPr>
        <w:spacing w:after="0" w:line="221" w:lineRule="auto"/>
        <w:rPr>
          <w:sz w:val="20"/>
          <w:szCs w:val="20"/>
          <w:color w:val="auto"/>
        </w:rPr>
      </w:pPr>
      <w:r>
        <w:rPr>
          <w:rFonts w:ascii="Arial" w:cs="Arial" w:eastAsia="Arial" w:hAnsi="Arial"/>
          <w:sz w:val="14"/>
          <w:szCs w:val="14"/>
          <w:color w:val="auto"/>
        </w:rPr>
        <w:t>Scranton</w:t>
      </w:r>
    </w:p>
    <w:p>
      <w:pPr>
        <w:spacing w:after="0" w:line="222" w:lineRule="auto"/>
        <w:rPr>
          <w:sz w:val="20"/>
          <w:szCs w:val="20"/>
          <w:color w:val="auto"/>
        </w:rPr>
      </w:pPr>
      <w:r>
        <w:rPr>
          <w:rFonts w:ascii="Arial" w:cs="Arial" w:eastAsia="Arial" w:hAnsi="Arial"/>
          <w:sz w:val="14"/>
          <w:szCs w:val="14"/>
          <w:color w:val="auto"/>
        </w:rPr>
        <w:t>Springfield</w:t>
      </w:r>
    </w:p>
    <w:p>
      <w:pPr>
        <w:spacing w:after="0" w:line="221" w:lineRule="auto"/>
        <w:rPr>
          <w:sz w:val="20"/>
          <w:szCs w:val="20"/>
          <w:color w:val="auto"/>
        </w:rPr>
      </w:pPr>
      <w:r>
        <w:rPr>
          <w:rFonts w:ascii="Arial" w:cs="Arial" w:eastAsia="Arial" w:hAnsi="Arial"/>
          <w:sz w:val="14"/>
          <w:szCs w:val="14"/>
          <w:color w:val="auto"/>
        </w:rPr>
        <w:t>Tannersville</w:t>
      </w:r>
    </w:p>
    <w:p>
      <w:pPr>
        <w:spacing w:after="0" w:line="222" w:lineRule="auto"/>
        <w:rPr>
          <w:sz w:val="20"/>
          <w:szCs w:val="20"/>
          <w:color w:val="auto"/>
        </w:rPr>
      </w:pPr>
      <w:r>
        <w:rPr>
          <w:rFonts w:ascii="Arial" w:cs="Arial" w:eastAsia="Arial" w:hAnsi="Arial"/>
          <w:sz w:val="14"/>
          <w:szCs w:val="14"/>
          <w:color w:val="auto"/>
        </w:rPr>
        <w:t>West Mifflin</w:t>
      </w:r>
    </w:p>
    <w:p>
      <w:pPr>
        <w:spacing w:after="0" w:line="221" w:lineRule="auto"/>
        <w:rPr>
          <w:sz w:val="20"/>
          <w:szCs w:val="20"/>
          <w:color w:val="auto"/>
        </w:rPr>
      </w:pPr>
      <w:r>
        <w:rPr>
          <w:rFonts w:ascii="Arial" w:cs="Arial" w:eastAsia="Arial" w:hAnsi="Arial"/>
          <w:sz w:val="14"/>
          <w:szCs w:val="14"/>
          <w:color w:val="auto"/>
        </w:rPr>
        <w:t>Whitehall</w:t>
      </w:r>
    </w:p>
    <w:p>
      <w:pPr>
        <w:spacing w:after="0" w:line="222" w:lineRule="auto"/>
        <w:rPr>
          <w:sz w:val="20"/>
          <w:szCs w:val="20"/>
          <w:color w:val="auto"/>
        </w:rPr>
      </w:pPr>
      <w:r>
        <w:rPr>
          <w:rFonts w:ascii="Arial" w:cs="Arial" w:eastAsia="Arial" w:hAnsi="Arial"/>
          <w:sz w:val="14"/>
          <w:szCs w:val="14"/>
          <w:color w:val="auto"/>
        </w:rPr>
        <w:t>Wilkes Barre</w:t>
      </w:r>
    </w:p>
    <w:p>
      <w:pPr>
        <w:spacing w:after="0" w:line="221" w:lineRule="auto"/>
        <w:rPr>
          <w:sz w:val="20"/>
          <w:szCs w:val="20"/>
          <w:color w:val="auto"/>
        </w:rPr>
      </w:pPr>
      <w:r>
        <w:rPr>
          <w:rFonts w:ascii="Arial" w:cs="Arial" w:eastAsia="Arial" w:hAnsi="Arial"/>
          <w:sz w:val="14"/>
          <w:szCs w:val="14"/>
          <w:color w:val="auto"/>
        </w:rPr>
        <w:t>Willow Grove</w:t>
      </w:r>
    </w:p>
    <w:p>
      <w:pPr>
        <w:spacing w:after="0" w:line="222" w:lineRule="auto"/>
        <w:rPr>
          <w:sz w:val="20"/>
          <w:szCs w:val="20"/>
          <w:color w:val="auto"/>
        </w:rPr>
      </w:pPr>
      <w:r>
        <w:rPr>
          <w:rFonts w:ascii="Arial" w:cs="Arial" w:eastAsia="Arial" w:hAnsi="Arial"/>
          <w:sz w:val="14"/>
          <w:szCs w:val="14"/>
          <w:color w:val="auto"/>
        </w:rPr>
        <w:t>Wyomissing</w:t>
      </w:r>
    </w:p>
    <w:p>
      <w:pPr>
        <w:spacing w:after="0"/>
        <w:rPr>
          <w:sz w:val="20"/>
          <w:szCs w:val="20"/>
          <w:color w:val="auto"/>
        </w:rPr>
      </w:pPr>
      <w:r>
        <w:rPr>
          <w:rFonts w:ascii="Arial" w:cs="Arial" w:eastAsia="Arial" w:hAnsi="Arial"/>
          <w:sz w:val="14"/>
          <w:szCs w:val="14"/>
          <w:color w:val="auto"/>
        </w:rPr>
        <w:t>York</w:t>
      </w:r>
    </w:p>
    <w:p>
      <w:pPr>
        <w:spacing w:after="0" w:line="57" w:lineRule="exact"/>
        <w:rPr>
          <w:sz w:val="20"/>
          <w:szCs w:val="20"/>
          <w:color w:val="auto"/>
        </w:rPr>
      </w:pPr>
    </w:p>
    <w:p>
      <w:pPr>
        <w:ind w:left="5340"/>
        <w:spacing w:after="0"/>
        <w:rPr>
          <w:sz w:val="20"/>
          <w:szCs w:val="20"/>
          <w:color w:val="auto"/>
        </w:rPr>
      </w:pPr>
      <w:r>
        <w:rPr>
          <w:rFonts w:ascii="Arial" w:cs="Arial" w:eastAsia="Arial" w:hAnsi="Arial"/>
          <w:sz w:val="12"/>
          <w:szCs w:val="12"/>
          <w:b w:val="1"/>
          <w:bCs w:val="1"/>
          <w:i w:val="1"/>
          <w:iCs w:val="1"/>
          <w:color w:val="auto"/>
        </w:rPr>
        <w:t>Rhode Island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Warwick</w:t>
      </w:r>
    </w:p>
    <w:p>
      <w:pPr>
        <w:spacing w:after="0" w:line="57" w:lineRule="exact"/>
        <w:rPr>
          <w:sz w:val="20"/>
          <w:szCs w:val="20"/>
          <w:color w:val="auto"/>
        </w:rPr>
      </w:pPr>
    </w:p>
    <w:p>
      <w:pPr>
        <w:jc w:val="right"/>
        <w:ind w:right="4079"/>
        <w:spacing w:after="0"/>
        <w:rPr>
          <w:sz w:val="20"/>
          <w:szCs w:val="20"/>
          <w:color w:val="auto"/>
        </w:rPr>
      </w:pPr>
      <w:r>
        <w:rPr>
          <w:rFonts w:ascii="Arial" w:cs="Arial" w:eastAsia="Arial" w:hAnsi="Arial"/>
          <w:sz w:val="14"/>
          <w:szCs w:val="14"/>
          <w:b w:val="1"/>
          <w:bCs w:val="1"/>
          <w:i w:val="1"/>
          <w:iCs w:val="1"/>
          <w:color w:val="auto"/>
        </w:rPr>
        <w:t>South Carolina</w:t>
      </w:r>
    </w:p>
    <w:p>
      <w:pPr>
        <w:spacing w:after="0" w:line="221" w:lineRule="auto"/>
        <w:rPr>
          <w:sz w:val="20"/>
          <w:szCs w:val="20"/>
          <w:color w:val="auto"/>
        </w:rPr>
      </w:pPr>
      <w:r>
        <w:rPr>
          <w:rFonts w:ascii="Arial" w:cs="Arial" w:eastAsia="Arial" w:hAnsi="Arial"/>
          <w:sz w:val="14"/>
          <w:szCs w:val="14"/>
          <w:color w:val="auto"/>
        </w:rPr>
        <w:t>Charleston</w:t>
      </w:r>
    </w:p>
    <w:p>
      <w:pPr>
        <w:spacing w:after="0" w:line="221" w:lineRule="auto"/>
        <w:rPr>
          <w:sz w:val="20"/>
          <w:szCs w:val="20"/>
          <w:color w:val="auto"/>
        </w:rPr>
      </w:pPr>
      <w:r>
        <w:rPr>
          <w:rFonts w:ascii="Arial" w:cs="Arial" w:eastAsia="Arial" w:hAnsi="Arial"/>
          <w:sz w:val="14"/>
          <w:szCs w:val="14"/>
          <w:color w:val="auto"/>
        </w:rPr>
        <w:t>Columbia (2)*</w:t>
      </w:r>
    </w:p>
    <w:p>
      <w:pPr>
        <w:spacing w:after="0" w:line="222" w:lineRule="auto"/>
        <w:rPr>
          <w:sz w:val="20"/>
          <w:szCs w:val="20"/>
          <w:color w:val="auto"/>
        </w:rPr>
      </w:pPr>
      <w:r>
        <w:rPr>
          <w:rFonts w:ascii="Arial" w:cs="Arial" w:eastAsia="Arial" w:hAnsi="Arial"/>
          <w:sz w:val="14"/>
          <w:szCs w:val="14"/>
          <w:color w:val="auto"/>
        </w:rPr>
        <w:t>Florence</w:t>
      </w:r>
    </w:p>
    <w:p>
      <w:pPr>
        <w:spacing w:after="0" w:line="221" w:lineRule="auto"/>
        <w:rPr>
          <w:sz w:val="20"/>
          <w:szCs w:val="20"/>
          <w:color w:val="auto"/>
        </w:rPr>
      </w:pPr>
      <w:r>
        <w:rPr>
          <w:rFonts w:ascii="Arial" w:cs="Arial" w:eastAsia="Arial" w:hAnsi="Arial"/>
          <w:sz w:val="14"/>
          <w:szCs w:val="14"/>
          <w:color w:val="auto"/>
        </w:rPr>
        <w:t>Greenville</w:t>
      </w:r>
    </w:p>
    <w:p>
      <w:pPr>
        <w:spacing w:after="0" w:line="222" w:lineRule="auto"/>
        <w:rPr>
          <w:sz w:val="20"/>
          <w:szCs w:val="20"/>
          <w:color w:val="auto"/>
        </w:rPr>
      </w:pPr>
      <w:r>
        <w:rPr>
          <w:rFonts w:ascii="Arial" w:cs="Arial" w:eastAsia="Arial" w:hAnsi="Arial"/>
          <w:sz w:val="14"/>
          <w:szCs w:val="14"/>
          <w:color w:val="auto"/>
        </w:rPr>
        <w:t>Myrtle Beach*</w:t>
      </w:r>
    </w:p>
    <w:p>
      <w:pPr>
        <w:spacing w:after="0"/>
        <w:rPr>
          <w:sz w:val="20"/>
          <w:szCs w:val="20"/>
          <w:color w:val="auto"/>
        </w:rPr>
      </w:pPr>
      <w:r>
        <w:rPr>
          <w:rFonts w:ascii="Arial" w:cs="Arial" w:eastAsia="Arial" w:hAnsi="Arial"/>
          <w:sz w:val="14"/>
          <w:szCs w:val="14"/>
          <w:color w:val="auto"/>
        </w:rPr>
        <w:t>N. Charleston</w:t>
      </w:r>
    </w:p>
    <w:p>
      <w:pPr>
        <w:spacing w:after="0" w:line="57" w:lineRule="exact"/>
        <w:rPr>
          <w:sz w:val="20"/>
          <w:szCs w:val="20"/>
          <w:color w:val="auto"/>
        </w:rPr>
      </w:pPr>
    </w:p>
    <w:p>
      <w:pPr>
        <w:ind w:left="5320"/>
        <w:spacing w:after="0"/>
        <w:rPr>
          <w:sz w:val="20"/>
          <w:szCs w:val="20"/>
          <w:color w:val="auto"/>
        </w:rPr>
      </w:pPr>
      <w:r>
        <w:rPr>
          <w:rFonts w:ascii="Arial" w:cs="Arial" w:eastAsia="Arial" w:hAnsi="Arial"/>
          <w:sz w:val="12"/>
          <w:szCs w:val="12"/>
          <w:b w:val="1"/>
          <w:bCs w:val="1"/>
          <w:i w:val="1"/>
          <w:iCs w:val="1"/>
          <w:color w:val="auto"/>
        </w:rPr>
        <w:t>South Dakota</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Sioux Falls</w:t>
      </w:r>
    </w:p>
    <w:p>
      <w:pPr>
        <w:spacing w:after="0" w:line="57" w:lineRule="exact"/>
        <w:rPr>
          <w:sz w:val="20"/>
          <w:szCs w:val="20"/>
          <w:color w:val="auto"/>
        </w:rPr>
      </w:pPr>
    </w:p>
    <w:p>
      <w:pPr>
        <w:ind w:left="5440"/>
        <w:spacing w:after="0"/>
        <w:rPr>
          <w:sz w:val="20"/>
          <w:szCs w:val="20"/>
          <w:color w:val="auto"/>
        </w:rPr>
      </w:pPr>
      <w:r>
        <w:rPr>
          <w:rFonts w:ascii="Arial" w:cs="Arial" w:eastAsia="Arial" w:hAnsi="Arial"/>
          <w:sz w:val="12"/>
          <w:szCs w:val="12"/>
          <w:b w:val="1"/>
          <w:bCs w:val="1"/>
          <w:i w:val="1"/>
          <w:iCs w:val="1"/>
          <w:color w:val="auto"/>
        </w:rPr>
        <w:t>Tennessee</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Antioch</w:t>
      </w:r>
    </w:p>
    <w:p>
      <w:pPr>
        <w:spacing w:after="0" w:line="221" w:lineRule="auto"/>
        <w:rPr>
          <w:sz w:val="20"/>
          <w:szCs w:val="20"/>
          <w:color w:val="auto"/>
        </w:rPr>
      </w:pPr>
      <w:r>
        <w:rPr>
          <w:rFonts w:ascii="Arial" w:cs="Arial" w:eastAsia="Arial" w:hAnsi="Arial"/>
          <w:sz w:val="14"/>
          <w:szCs w:val="14"/>
          <w:color w:val="auto"/>
        </w:rPr>
        <w:t>Chattanooga</w:t>
      </w:r>
    </w:p>
    <w:p>
      <w:pPr>
        <w:spacing w:after="0" w:line="221" w:lineRule="auto"/>
        <w:rPr>
          <w:sz w:val="20"/>
          <w:szCs w:val="20"/>
          <w:color w:val="auto"/>
        </w:rPr>
      </w:pPr>
      <w:r>
        <w:rPr>
          <w:rFonts w:ascii="Arial" w:cs="Arial" w:eastAsia="Arial" w:hAnsi="Arial"/>
          <w:sz w:val="14"/>
          <w:szCs w:val="14"/>
          <w:color w:val="auto"/>
        </w:rPr>
        <w:t>Knoxville</w:t>
      </w:r>
    </w:p>
    <w:p>
      <w:pPr>
        <w:spacing w:after="0" w:line="222" w:lineRule="auto"/>
        <w:rPr>
          <w:sz w:val="20"/>
          <w:szCs w:val="20"/>
          <w:color w:val="auto"/>
        </w:rPr>
      </w:pPr>
      <w:r>
        <w:rPr>
          <w:rFonts w:ascii="Arial" w:cs="Arial" w:eastAsia="Arial" w:hAnsi="Arial"/>
          <w:sz w:val="14"/>
          <w:szCs w:val="14"/>
          <w:color w:val="auto"/>
        </w:rPr>
        <w:t>Lakeland*</w:t>
      </w:r>
    </w:p>
    <w:p>
      <w:pPr>
        <w:spacing w:after="0" w:line="221" w:lineRule="auto"/>
        <w:rPr>
          <w:sz w:val="20"/>
          <w:szCs w:val="20"/>
          <w:color w:val="auto"/>
        </w:rPr>
      </w:pPr>
      <w:r>
        <w:rPr>
          <w:rFonts w:ascii="Arial" w:cs="Arial" w:eastAsia="Arial" w:hAnsi="Arial"/>
          <w:sz w:val="14"/>
          <w:szCs w:val="14"/>
          <w:color w:val="auto"/>
        </w:rPr>
        <w:t>Madison</w:t>
      </w:r>
    </w:p>
    <w:p>
      <w:pPr>
        <w:spacing w:after="0" w:line="222" w:lineRule="auto"/>
        <w:rPr>
          <w:sz w:val="20"/>
          <w:szCs w:val="20"/>
          <w:color w:val="auto"/>
        </w:rPr>
      </w:pPr>
      <w:r>
        <w:rPr>
          <w:rFonts w:ascii="Arial" w:cs="Arial" w:eastAsia="Arial" w:hAnsi="Arial"/>
          <w:sz w:val="14"/>
          <w:szCs w:val="14"/>
          <w:color w:val="auto"/>
        </w:rPr>
        <w:t>Memphis (2)</w:t>
      </w:r>
    </w:p>
    <w:p>
      <w:pPr>
        <w:spacing w:after="0"/>
        <w:rPr>
          <w:sz w:val="20"/>
          <w:szCs w:val="20"/>
          <w:color w:val="auto"/>
        </w:rPr>
      </w:pPr>
      <w:r>
        <w:rPr>
          <w:rFonts w:ascii="Arial" w:cs="Arial" w:eastAsia="Arial" w:hAnsi="Arial"/>
          <w:sz w:val="14"/>
          <w:szCs w:val="14"/>
          <w:color w:val="auto"/>
        </w:rPr>
        <w:t>Pigeon Forge*</w:t>
      </w:r>
    </w:p>
    <w:p>
      <w:pPr>
        <w:spacing w:after="0" w:line="56" w:lineRule="exact"/>
        <w:rPr>
          <w:sz w:val="20"/>
          <w:szCs w:val="20"/>
          <w:color w:val="auto"/>
        </w:rPr>
      </w:pPr>
    </w:p>
    <w:p>
      <w:pPr>
        <w:ind w:left="5560"/>
        <w:spacing w:after="0"/>
        <w:rPr>
          <w:sz w:val="20"/>
          <w:szCs w:val="20"/>
          <w:color w:val="auto"/>
        </w:rPr>
      </w:pPr>
      <w:r>
        <w:rPr>
          <w:rFonts w:ascii="Arial" w:cs="Arial" w:eastAsia="Arial" w:hAnsi="Arial"/>
          <w:sz w:val="14"/>
          <w:szCs w:val="14"/>
          <w:b w:val="1"/>
          <w:bCs w:val="1"/>
          <w:i w:val="1"/>
          <w:iCs w:val="1"/>
          <w:color w:val="auto"/>
        </w:rPr>
        <w:t>Texas</w:t>
      </w:r>
    </w:p>
    <w:p>
      <w:pPr>
        <w:spacing w:after="0" w:line="221" w:lineRule="auto"/>
        <w:rPr>
          <w:sz w:val="20"/>
          <w:szCs w:val="20"/>
          <w:color w:val="auto"/>
        </w:rPr>
      </w:pPr>
      <w:r>
        <w:rPr>
          <w:rFonts w:ascii="Arial" w:cs="Arial" w:eastAsia="Arial" w:hAnsi="Arial"/>
          <w:sz w:val="14"/>
          <w:szCs w:val="14"/>
          <w:color w:val="auto"/>
        </w:rPr>
        <w:t>Allen*</w:t>
      </w:r>
    </w:p>
    <w:p>
      <w:pPr>
        <w:spacing w:after="0" w:line="221" w:lineRule="auto"/>
        <w:rPr>
          <w:sz w:val="20"/>
          <w:szCs w:val="20"/>
          <w:color w:val="auto"/>
        </w:rPr>
      </w:pPr>
      <w:r>
        <w:rPr>
          <w:rFonts w:ascii="Arial" w:cs="Arial" w:eastAsia="Arial" w:hAnsi="Arial"/>
          <w:sz w:val="14"/>
          <w:szCs w:val="14"/>
          <w:color w:val="auto"/>
        </w:rPr>
        <w:t>Amarillo</w:t>
      </w:r>
    </w:p>
    <w:p>
      <w:pPr>
        <w:spacing w:after="0" w:line="222" w:lineRule="auto"/>
        <w:rPr>
          <w:sz w:val="20"/>
          <w:szCs w:val="20"/>
          <w:color w:val="auto"/>
        </w:rPr>
      </w:pPr>
      <w:r>
        <w:rPr>
          <w:rFonts w:ascii="Arial" w:cs="Arial" w:eastAsia="Arial" w:hAnsi="Arial"/>
          <w:sz w:val="14"/>
          <w:szCs w:val="14"/>
          <w:color w:val="auto"/>
        </w:rPr>
        <w:t>Arlington</w:t>
      </w:r>
    </w:p>
    <w:p>
      <w:pPr>
        <w:spacing w:after="0" w:line="221" w:lineRule="auto"/>
        <w:rPr>
          <w:sz w:val="20"/>
          <w:szCs w:val="20"/>
          <w:color w:val="auto"/>
        </w:rPr>
      </w:pPr>
      <w:r>
        <w:rPr>
          <w:rFonts w:ascii="Arial" w:cs="Arial" w:eastAsia="Arial" w:hAnsi="Arial"/>
          <w:sz w:val="14"/>
          <w:szCs w:val="14"/>
          <w:color w:val="auto"/>
        </w:rPr>
        <w:t>Austin</w:t>
      </w:r>
    </w:p>
    <w:p>
      <w:pPr>
        <w:spacing w:after="0" w:line="222" w:lineRule="auto"/>
        <w:rPr>
          <w:sz w:val="20"/>
          <w:szCs w:val="20"/>
          <w:color w:val="auto"/>
        </w:rPr>
      </w:pPr>
      <w:r>
        <w:rPr>
          <w:rFonts w:ascii="Arial" w:cs="Arial" w:eastAsia="Arial" w:hAnsi="Arial"/>
          <w:sz w:val="14"/>
          <w:szCs w:val="14"/>
          <w:color w:val="auto"/>
        </w:rPr>
        <w:t>Canutillo*</w:t>
      </w:r>
    </w:p>
    <w:p>
      <w:pPr>
        <w:spacing w:after="0"/>
        <w:rPr>
          <w:sz w:val="20"/>
          <w:szCs w:val="20"/>
          <w:color w:val="auto"/>
        </w:rPr>
      </w:pPr>
      <w:r>
        <w:rPr>
          <w:rFonts w:ascii="Arial" w:cs="Arial" w:eastAsia="Arial" w:hAnsi="Arial"/>
          <w:sz w:val="14"/>
          <w:szCs w:val="14"/>
          <w:color w:val="auto"/>
        </w:rPr>
        <w:t>Conroe*</w:t>
      </w:r>
    </w:p>
    <w:p>
      <w:pPr>
        <w:spacing w:after="0" w:line="124" w:lineRule="exact"/>
        <w:rPr>
          <w:sz w:val="20"/>
          <w:szCs w:val="20"/>
          <w:color w:val="auto"/>
        </w:rPr>
      </w:pPr>
    </w:p>
    <w:p>
      <w:pPr>
        <w:ind w:left="5380"/>
        <w:spacing w:after="0"/>
        <w:rPr>
          <w:sz w:val="20"/>
          <w:szCs w:val="20"/>
          <w:color w:val="auto"/>
        </w:rPr>
      </w:pPr>
      <w:r>
        <w:rPr>
          <w:rFonts w:ascii="Arial" w:cs="Arial" w:eastAsia="Arial" w:hAnsi="Arial"/>
          <w:sz w:val="12"/>
          <w:szCs w:val="12"/>
          <w:b w:val="1"/>
          <w:bCs w:val="1"/>
          <w:i w:val="1"/>
          <w:iCs w:val="1"/>
          <w:color w:val="auto"/>
        </w:rPr>
        <w:t>Texas, cont.</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Corpus Christi</w:t>
      </w:r>
    </w:p>
    <w:p>
      <w:pPr>
        <w:spacing w:after="0" w:line="221" w:lineRule="auto"/>
        <w:rPr>
          <w:sz w:val="20"/>
          <w:szCs w:val="20"/>
          <w:color w:val="auto"/>
        </w:rPr>
      </w:pPr>
      <w:r>
        <w:rPr>
          <w:rFonts w:ascii="Arial" w:cs="Arial" w:eastAsia="Arial" w:hAnsi="Arial"/>
          <w:sz w:val="14"/>
          <w:szCs w:val="14"/>
          <w:color w:val="auto"/>
        </w:rPr>
        <w:t>Dallas (2)</w:t>
      </w:r>
    </w:p>
    <w:p>
      <w:pPr>
        <w:spacing w:after="0" w:line="221" w:lineRule="auto"/>
        <w:rPr>
          <w:sz w:val="20"/>
          <w:szCs w:val="20"/>
          <w:color w:val="auto"/>
        </w:rPr>
      </w:pPr>
      <w:r>
        <w:rPr>
          <w:rFonts w:ascii="Arial" w:cs="Arial" w:eastAsia="Arial" w:hAnsi="Arial"/>
          <w:sz w:val="14"/>
          <w:szCs w:val="14"/>
          <w:color w:val="auto"/>
        </w:rPr>
        <w:t>El Paso</w:t>
      </w:r>
    </w:p>
    <w:p>
      <w:pPr>
        <w:spacing w:after="0" w:line="222" w:lineRule="auto"/>
        <w:rPr>
          <w:sz w:val="20"/>
          <w:szCs w:val="20"/>
          <w:color w:val="auto"/>
        </w:rPr>
      </w:pPr>
      <w:r>
        <w:rPr>
          <w:rFonts w:ascii="Arial" w:cs="Arial" w:eastAsia="Arial" w:hAnsi="Arial"/>
          <w:sz w:val="14"/>
          <w:szCs w:val="14"/>
          <w:color w:val="auto"/>
        </w:rPr>
        <w:t>Fort Worth</w:t>
      </w:r>
    </w:p>
    <w:p>
      <w:pPr>
        <w:spacing w:after="0" w:line="221" w:lineRule="auto"/>
        <w:rPr>
          <w:sz w:val="20"/>
          <w:szCs w:val="20"/>
          <w:color w:val="auto"/>
        </w:rPr>
      </w:pPr>
      <w:r>
        <w:rPr>
          <w:rFonts w:ascii="Arial" w:cs="Arial" w:eastAsia="Arial" w:hAnsi="Arial"/>
          <w:sz w:val="14"/>
          <w:szCs w:val="14"/>
          <w:color w:val="auto"/>
        </w:rPr>
        <w:t>Hillsboro*</w:t>
      </w:r>
    </w:p>
    <w:p>
      <w:pPr>
        <w:spacing w:after="0" w:line="222" w:lineRule="auto"/>
        <w:rPr>
          <w:sz w:val="20"/>
          <w:szCs w:val="20"/>
          <w:color w:val="auto"/>
        </w:rPr>
      </w:pPr>
      <w:r>
        <w:rPr>
          <w:rFonts w:ascii="Arial" w:cs="Arial" w:eastAsia="Arial" w:hAnsi="Arial"/>
          <w:sz w:val="14"/>
          <w:szCs w:val="14"/>
          <w:color w:val="auto"/>
        </w:rPr>
        <w:t>Houston (5)</w:t>
      </w:r>
    </w:p>
    <w:p>
      <w:pPr>
        <w:spacing w:after="0" w:line="221" w:lineRule="auto"/>
        <w:rPr>
          <w:sz w:val="20"/>
          <w:szCs w:val="20"/>
          <w:color w:val="auto"/>
        </w:rPr>
      </w:pPr>
      <w:r>
        <w:rPr>
          <w:rFonts w:ascii="Arial" w:cs="Arial" w:eastAsia="Arial" w:hAnsi="Arial"/>
          <w:sz w:val="14"/>
          <w:szCs w:val="14"/>
          <w:color w:val="auto"/>
        </w:rPr>
        <w:t>Humble</w:t>
      </w:r>
    </w:p>
    <w:p>
      <w:pPr>
        <w:spacing w:after="0" w:line="222" w:lineRule="auto"/>
        <w:rPr>
          <w:sz w:val="20"/>
          <w:szCs w:val="20"/>
          <w:color w:val="auto"/>
        </w:rPr>
      </w:pPr>
      <w:r>
        <w:rPr>
          <w:rFonts w:ascii="Arial" w:cs="Arial" w:eastAsia="Arial" w:hAnsi="Arial"/>
          <w:sz w:val="14"/>
          <w:szCs w:val="14"/>
          <w:color w:val="auto"/>
        </w:rPr>
        <w:t>Hurst</w:t>
      </w:r>
    </w:p>
    <w:p>
      <w:pPr>
        <w:spacing w:after="0" w:line="221" w:lineRule="auto"/>
        <w:rPr>
          <w:sz w:val="20"/>
          <w:szCs w:val="20"/>
          <w:color w:val="auto"/>
        </w:rPr>
      </w:pPr>
      <w:r>
        <w:rPr>
          <w:rFonts w:ascii="Arial" w:cs="Arial" w:eastAsia="Arial" w:hAnsi="Arial"/>
          <w:sz w:val="14"/>
          <w:szCs w:val="14"/>
          <w:color w:val="auto"/>
        </w:rPr>
        <w:t>Irving</w:t>
      </w:r>
    </w:p>
    <w:p>
      <w:pPr>
        <w:spacing w:after="0" w:line="222" w:lineRule="auto"/>
        <w:rPr>
          <w:sz w:val="20"/>
          <w:szCs w:val="20"/>
          <w:color w:val="auto"/>
        </w:rPr>
      </w:pPr>
      <w:r>
        <w:rPr>
          <w:rFonts w:ascii="Arial" w:cs="Arial" w:eastAsia="Arial" w:hAnsi="Arial"/>
          <w:sz w:val="14"/>
          <w:szCs w:val="14"/>
          <w:color w:val="auto"/>
        </w:rPr>
        <w:t>Laredo</w:t>
      </w:r>
    </w:p>
    <w:p>
      <w:pPr>
        <w:spacing w:after="0" w:line="221" w:lineRule="auto"/>
        <w:rPr>
          <w:sz w:val="20"/>
          <w:szCs w:val="20"/>
          <w:color w:val="auto"/>
        </w:rPr>
      </w:pPr>
      <w:r>
        <w:rPr>
          <w:rFonts w:ascii="Arial" w:cs="Arial" w:eastAsia="Arial" w:hAnsi="Arial"/>
          <w:sz w:val="14"/>
          <w:szCs w:val="14"/>
          <w:color w:val="auto"/>
        </w:rPr>
        <w:t>Lewisville</w:t>
      </w:r>
    </w:p>
    <w:p>
      <w:pPr>
        <w:spacing w:after="0" w:line="222" w:lineRule="auto"/>
        <w:rPr>
          <w:sz w:val="20"/>
          <w:szCs w:val="20"/>
          <w:color w:val="auto"/>
        </w:rPr>
      </w:pPr>
      <w:r>
        <w:rPr>
          <w:rFonts w:ascii="Arial" w:cs="Arial" w:eastAsia="Arial" w:hAnsi="Arial"/>
          <w:sz w:val="14"/>
          <w:szCs w:val="14"/>
          <w:color w:val="auto"/>
        </w:rPr>
        <w:t>Lubbock</w:t>
      </w:r>
    </w:p>
    <w:p>
      <w:pPr>
        <w:spacing w:after="0" w:line="221" w:lineRule="auto"/>
        <w:rPr>
          <w:sz w:val="20"/>
          <w:szCs w:val="20"/>
          <w:color w:val="auto"/>
        </w:rPr>
      </w:pPr>
      <w:r>
        <w:rPr>
          <w:rFonts w:ascii="Arial" w:cs="Arial" w:eastAsia="Arial" w:hAnsi="Arial"/>
          <w:sz w:val="14"/>
          <w:szCs w:val="14"/>
          <w:color w:val="auto"/>
        </w:rPr>
        <w:t>Mercedes</w:t>
      </w:r>
    </w:p>
    <w:p>
      <w:pPr>
        <w:spacing w:after="0" w:line="221" w:lineRule="auto"/>
        <w:rPr>
          <w:sz w:val="20"/>
          <w:szCs w:val="20"/>
          <w:color w:val="auto"/>
        </w:rPr>
      </w:pPr>
      <w:r>
        <w:rPr>
          <w:rFonts w:ascii="Arial" w:cs="Arial" w:eastAsia="Arial" w:hAnsi="Arial"/>
          <w:sz w:val="14"/>
          <w:szCs w:val="14"/>
          <w:color w:val="auto"/>
        </w:rPr>
        <w:t>Mesquite</w:t>
      </w:r>
    </w:p>
    <w:p>
      <w:pPr>
        <w:spacing w:after="0" w:line="222" w:lineRule="auto"/>
        <w:rPr>
          <w:sz w:val="20"/>
          <w:szCs w:val="20"/>
          <w:color w:val="auto"/>
        </w:rPr>
      </w:pPr>
      <w:r>
        <w:rPr>
          <w:rFonts w:ascii="Arial" w:cs="Arial" w:eastAsia="Arial" w:hAnsi="Arial"/>
          <w:sz w:val="14"/>
          <w:szCs w:val="14"/>
          <w:color w:val="auto"/>
        </w:rPr>
        <w:t>Midland</w:t>
      </w:r>
    </w:p>
    <w:p>
      <w:pPr>
        <w:spacing w:after="0" w:line="221" w:lineRule="auto"/>
        <w:rPr>
          <w:sz w:val="20"/>
          <w:szCs w:val="20"/>
          <w:color w:val="auto"/>
        </w:rPr>
      </w:pPr>
      <w:r>
        <w:rPr>
          <w:rFonts w:ascii="Arial" w:cs="Arial" w:eastAsia="Arial" w:hAnsi="Arial"/>
          <w:sz w:val="14"/>
          <w:szCs w:val="14"/>
          <w:color w:val="auto"/>
        </w:rPr>
        <w:t>Pasadena</w:t>
      </w:r>
    </w:p>
    <w:p>
      <w:pPr>
        <w:spacing w:after="0" w:line="222" w:lineRule="auto"/>
        <w:rPr>
          <w:sz w:val="20"/>
          <w:szCs w:val="20"/>
          <w:color w:val="auto"/>
        </w:rPr>
      </w:pPr>
      <w:r>
        <w:rPr>
          <w:rFonts w:ascii="Arial" w:cs="Arial" w:eastAsia="Arial" w:hAnsi="Arial"/>
          <w:sz w:val="14"/>
          <w:szCs w:val="14"/>
          <w:color w:val="auto"/>
        </w:rPr>
        <w:t>Plano</w:t>
      </w:r>
    </w:p>
    <w:p>
      <w:pPr>
        <w:spacing w:after="0" w:line="221" w:lineRule="auto"/>
        <w:rPr>
          <w:sz w:val="20"/>
          <w:szCs w:val="20"/>
          <w:color w:val="auto"/>
        </w:rPr>
      </w:pPr>
      <w:r>
        <w:rPr>
          <w:rFonts w:ascii="Arial" w:cs="Arial" w:eastAsia="Arial" w:hAnsi="Arial"/>
          <w:sz w:val="14"/>
          <w:szCs w:val="14"/>
          <w:color w:val="auto"/>
        </w:rPr>
        <w:t>Round Rock</w:t>
      </w:r>
    </w:p>
    <w:p>
      <w:pPr>
        <w:spacing w:after="0" w:line="222" w:lineRule="auto"/>
        <w:rPr>
          <w:sz w:val="20"/>
          <w:szCs w:val="20"/>
          <w:color w:val="auto"/>
        </w:rPr>
      </w:pPr>
      <w:r>
        <w:rPr>
          <w:rFonts w:ascii="Arial" w:cs="Arial" w:eastAsia="Arial" w:hAnsi="Arial"/>
          <w:sz w:val="14"/>
          <w:szCs w:val="14"/>
          <w:color w:val="auto"/>
        </w:rPr>
        <w:t>San Antonio (3)</w:t>
      </w:r>
    </w:p>
    <w:p>
      <w:pPr>
        <w:spacing w:after="0" w:line="221" w:lineRule="auto"/>
        <w:rPr>
          <w:sz w:val="20"/>
          <w:szCs w:val="20"/>
          <w:color w:val="auto"/>
        </w:rPr>
      </w:pPr>
      <w:r>
        <w:rPr>
          <w:rFonts w:ascii="Arial" w:cs="Arial" w:eastAsia="Arial" w:hAnsi="Arial"/>
          <w:sz w:val="14"/>
          <w:szCs w:val="14"/>
          <w:color w:val="auto"/>
        </w:rPr>
        <w:t>San Marcos*</w:t>
      </w:r>
    </w:p>
    <w:p>
      <w:pPr>
        <w:spacing w:after="0" w:line="222" w:lineRule="auto"/>
        <w:rPr>
          <w:sz w:val="20"/>
          <w:szCs w:val="20"/>
          <w:color w:val="auto"/>
        </w:rPr>
      </w:pPr>
      <w:r>
        <w:rPr>
          <w:rFonts w:ascii="Arial" w:cs="Arial" w:eastAsia="Arial" w:hAnsi="Arial"/>
          <w:sz w:val="14"/>
          <w:szCs w:val="14"/>
          <w:color w:val="auto"/>
        </w:rPr>
        <w:t>Selma</w:t>
      </w:r>
    </w:p>
    <w:p>
      <w:pPr>
        <w:spacing w:after="0" w:line="221" w:lineRule="auto"/>
        <w:rPr>
          <w:sz w:val="20"/>
          <w:szCs w:val="20"/>
          <w:color w:val="auto"/>
        </w:rPr>
      </w:pPr>
      <w:r>
        <w:rPr>
          <w:rFonts w:ascii="Arial" w:cs="Arial" w:eastAsia="Arial" w:hAnsi="Arial"/>
          <w:sz w:val="14"/>
          <w:szCs w:val="14"/>
          <w:color w:val="auto"/>
        </w:rPr>
        <w:t>Shenandoah</w:t>
      </w:r>
    </w:p>
    <w:p>
      <w:pPr>
        <w:spacing w:after="0" w:line="222" w:lineRule="auto"/>
        <w:rPr>
          <w:sz w:val="20"/>
          <w:szCs w:val="20"/>
          <w:color w:val="auto"/>
        </w:rPr>
      </w:pPr>
      <w:r>
        <w:rPr>
          <w:rFonts w:ascii="Arial" w:cs="Arial" w:eastAsia="Arial" w:hAnsi="Arial"/>
          <w:sz w:val="14"/>
          <w:szCs w:val="14"/>
          <w:color w:val="auto"/>
        </w:rPr>
        <w:t>Sunset Valley</w:t>
      </w:r>
    </w:p>
    <w:p>
      <w:pPr>
        <w:spacing w:after="0" w:line="221" w:lineRule="auto"/>
        <w:rPr>
          <w:sz w:val="20"/>
          <w:szCs w:val="20"/>
          <w:color w:val="auto"/>
        </w:rPr>
      </w:pPr>
      <w:r>
        <w:rPr>
          <w:rFonts w:ascii="Arial" w:cs="Arial" w:eastAsia="Arial" w:hAnsi="Arial"/>
          <w:sz w:val="14"/>
          <w:szCs w:val="14"/>
          <w:color w:val="auto"/>
        </w:rPr>
        <w:t>Tyler</w:t>
      </w:r>
    </w:p>
    <w:p>
      <w:pPr>
        <w:spacing w:after="0" w:line="222" w:lineRule="auto"/>
        <w:rPr>
          <w:sz w:val="20"/>
          <w:szCs w:val="20"/>
          <w:color w:val="auto"/>
        </w:rPr>
      </w:pPr>
      <w:r>
        <w:rPr>
          <w:rFonts w:ascii="Arial" w:cs="Arial" w:eastAsia="Arial" w:hAnsi="Arial"/>
          <w:sz w:val="14"/>
          <w:szCs w:val="14"/>
          <w:color w:val="auto"/>
        </w:rPr>
        <w:t>Waco</w:t>
      </w:r>
    </w:p>
    <w:p>
      <w:pPr>
        <w:spacing w:after="0"/>
        <w:rPr>
          <w:sz w:val="20"/>
          <w:szCs w:val="20"/>
          <w:color w:val="auto"/>
        </w:rPr>
      </w:pPr>
      <w:r>
        <w:rPr>
          <w:rFonts w:ascii="Arial" w:cs="Arial" w:eastAsia="Arial" w:hAnsi="Arial"/>
          <w:sz w:val="14"/>
          <w:szCs w:val="14"/>
          <w:color w:val="auto"/>
        </w:rPr>
        <w:t>Webster</w:t>
      </w:r>
    </w:p>
    <w:p>
      <w:pPr>
        <w:spacing w:after="0" w:line="56" w:lineRule="exact"/>
        <w:rPr>
          <w:sz w:val="20"/>
          <w:szCs w:val="20"/>
          <w:color w:val="auto"/>
        </w:rPr>
      </w:pPr>
    </w:p>
    <w:p>
      <w:pPr>
        <w:ind w:left="5480"/>
        <w:spacing w:after="0"/>
        <w:rPr>
          <w:sz w:val="20"/>
          <w:szCs w:val="20"/>
          <w:color w:val="auto"/>
        </w:rPr>
      </w:pPr>
      <w:r>
        <w:rPr>
          <w:rFonts w:ascii="Arial" w:cs="Arial" w:eastAsia="Arial" w:hAnsi="Arial"/>
          <w:sz w:val="14"/>
          <w:szCs w:val="14"/>
          <w:b w:val="1"/>
          <w:bCs w:val="1"/>
          <w:i w:val="1"/>
          <w:iCs w:val="1"/>
          <w:color w:val="auto"/>
        </w:rPr>
        <w:t>Vermont</w:t>
      </w:r>
    </w:p>
    <w:p>
      <w:pPr>
        <w:spacing w:after="0"/>
        <w:rPr>
          <w:sz w:val="20"/>
          <w:szCs w:val="20"/>
          <w:color w:val="auto"/>
        </w:rPr>
      </w:pPr>
      <w:r>
        <w:rPr>
          <w:rFonts w:ascii="Arial" w:cs="Arial" w:eastAsia="Arial" w:hAnsi="Arial"/>
          <w:sz w:val="14"/>
          <w:szCs w:val="14"/>
          <w:color w:val="auto"/>
        </w:rPr>
        <w:t>S. Burlington</w:t>
      </w:r>
    </w:p>
    <w:p>
      <w:pPr>
        <w:spacing w:after="0" w:line="56" w:lineRule="exact"/>
        <w:rPr>
          <w:sz w:val="20"/>
          <w:szCs w:val="20"/>
          <w:color w:val="auto"/>
        </w:rPr>
      </w:pPr>
    </w:p>
    <w:p>
      <w:pPr>
        <w:ind w:left="5480"/>
        <w:spacing w:after="0"/>
        <w:rPr>
          <w:sz w:val="20"/>
          <w:szCs w:val="20"/>
          <w:color w:val="auto"/>
        </w:rPr>
      </w:pPr>
      <w:r>
        <w:rPr>
          <w:rFonts w:ascii="Arial" w:cs="Arial" w:eastAsia="Arial" w:hAnsi="Arial"/>
          <w:sz w:val="14"/>
          <w:szCs w:val="14"/>
          <w:b w:val="1"/>
          <w:bCs w:val="1"/>
          <w:i w:val="1"/>
          <w:iCs w:val="1"/>
          <w:color w:val="auto"/>
        </w:rPr>
        <w:t>Virginia</w:t>
      </w:r>
    </w:p>
    <w:p>
      <w:pPr>
        <w:spacing w:after="0" w:line="221" w:lineRule="auto"/>
        <w:rPr>
          <w:sz w:val="20"/>
          <w:szCs w:val="20"/>
          <w:color w:val="auto"/>
        </w:rPr>
      </w:pPr>
      <w:r>
        <w:rPr>
          <w:rFonts w:ascii="Arial" w:cs="Arial" w:eastAsia="Arial" w:hAnsi="Arial"/>
          <w:sz w:val="14"/>
          <w:szCs w:val="14"/>
          <w:color w:val="auto"/>
        </w:rPr>
        <w:t>Alexandria</w:t>
      </w:r>
    </w:p>
    <w:p>
      <w:pPr>
        <w:spacing w:after="0" w:line="221" w:lineRule="auto"/>
        <w:rPr>
          <w:sz w:val="20"/>
          <w:szCs w:val="20"/>
          <w:color w:val="auto"/>
        </w:rPr>
      </w:pPr>
      <w:r>
        <w:rPr>
          <w:rFonts w:ascii="Arial" w:cs="Arial" w:eastAsia="Arial" w:hAnsi="Arial"/>
          <w:sz w:val="14"/>
          <w:szCs w:val="14"/>
          <w:color w:val="auto"/>
        </w:rPr>
        <w:t>Fairfax</w:t>
      </w:r>
    </w:p>
    <w:p>
      <w:pPr>
        <w:spacing w:after="0" w:line="222" w:lineRule="auto"/>
        <w:rPr>
          <w:sz w:val="20"/>
          <w:szCs w:val="20"/>
          <w:color w:val="auto"/>
        </w:rPr>
      </w:pPr>
      <w:r>
        <w:rPr>
          <w:rFonts w:ascii="Arial" w:cs="Arial" w:eastAsia="Arial" w:hAnsi="Arial"/>
          <w:sz w:val="14"/>
          <w:szCs w:val="14"/>
          <w:color w:val="auto"/>
        </w:rPr>
        <w:t>Fredericksburg</w:t>
      </w:r>
    </w:p>
    <w:p>
      <w:pPr>
        <w:spacing w:after="0" w:line="221" w:lineRule="auto"/>
        <w:rPr>
          <w:sz w:val="20"/>
          <w:szCs w:val="20"/>
          <w:color w:val="auto"/>
        </w:rPr>
      </w:pPr>
      <w:r>
        <w:rPr>
          <w:rFonts w:ascii="Arial" w:cs="Arial" w:eastAsia="Arial" w:hAnsi="Arial"/>
          <w:sz w:val="14"/>
          <w:szCs w:val="14"/>
          <w:color w:val="auto"/>
        </w:rPr>
        <w:t>Hampton</w:t>
      </w:r>
    </w:p>
    <w:p>
      <w:pPr>
        <w:spacing w:after="0" w:line="222" w:lineRule="auto"/>
        <w:rPr>
          <w:sz w:val="20"/>
          <w:szCs w:val="20"/>
          <w:color w:val="auto"/>
        </w:rPr>
      </w:pPr>
      <w:r>
        <w:rPr>
          <w:rFonts w:ascii="Arial" w:cs="Arial" w:eastAsia="Arial" w:hAnsi="Arial"/>
          <w:sz w:val="14"/>
          <w:szCs w:val="14"/>
          <w:color w:val="auto"/>
        </w:rPr>
        <w:t>Manassas</w:t>
      </w:r>
    </w:p>
    <w:p>
      <w:pPr>
        <w:spacing w:after="0" w:line="221" w:lineRule="auto"/>
        <w:rPr>
          <w:sz w:val="20"/>
          <w:szCs w:val="20"/>
          <w:color w:val="auto"/>
        </w:rPr>
      </w:pPr>
      <w:r>
        <w:rPr>
          <w:rFonts w:ascii="Arial" w:cs="Arial" w:eastAsia="Arial" w:hAnsi="Arial"/>
          <w:sz w:val="14"/>
          <w:szCs w:val="14"/>
          <w:color w:val="auto"/>
        </w:rPr>
        <w:t>Norfolk</w:t>
      </w:r>
    </w:p>
    <w:p>
      <w:pPr>
        <w:spacing w:after="0" w:line="222" w:lineRule="auto"/>
        <w:rPr>
          <w:sz w:val="20"/>
          <w:szCs w:val="20"/>
          <w:color w:val="auto"/>
        </w:rPr>
      </w:pPr>
      <w:r>
        <w:rPr>
          <w:rFonts w:ascii="Arial" w:cs="Arial" w:eastAsia="Arial" w:hAnsi="Arial"/>
          <w:sz w:val="14"/>
          <w:szCs w:val="14"/>
          <w:color w:val="auto"/>
        </w:rPr>
        <w:t>Richmond (2)</w:t>
      </w:r>
    </w:p>
    <w:p>
      <w:pPr>
        <w:spacing w:after="0" w:line="221" w:lineRule="auto"/>
        <w:rPr>
          <w:sz w:val="20"/>
          <w:szCs w:val="20"/>
          <w:color w:val="auto"/>
        </w:rPr>
      </w:pPr>
      <w:r>
        <w:rPr>
          <w:rFonts w:ascii="Arial" w:cs="Arial" w:eastAsia="Arial" w:hAnsi="Arial"/>
          <w:sz w:val="14"/>
          <w:szCs w:val="14"/>
          <w:color w:val="auto"/>
        </w:rPr>
        <w:t>Roanoke</w:t>
      </w:r>
    </w:p>
    <w:p>
      <w:pPr>
        <w:spacing w:after="0" w:line="222" w:lineRule="auto"/>
        <w:rPr>
          <w:sz w:val="20"/>
          <w:szCs w:val="20"/>
          <w:color w:val="auto"/>
        </w:rPr>
      </w:pPr>
      <w:r>
        <w:rPr>
          <w:rFonts w:ascii="Arial" w:cs="Arial" w:eastAsia="Arial" w:hAnsi="Arial"/>
          <w:sz w:val="14"/>
          <w:szCs w:val="14"/>
          <w:color w:val="auto"/>
        </w:rPr>
        <w:t>Sterling</w:t>
      </w:r>
    </w:p>
    <w:p>
      <w:pPr>
        <w:spacing w:after="0" w:line="221" w:lineRule="auto"/>
        <w:rPr>
          <w:sz w:val="20"/>
          <w:szCs w:val="20"/>
          <w:color w:val="auto"/>
        </w:rPr>
      </w:pPr>
      <w:r>
        <w:rPr>
          <w:rFonts w:ascii="Arial" w:cs="Arial" w:eastAsia="Arial" w:hAnsi="Arial"/>
          <w:sz w:val="14"/>
          <w:szCs w:val="14"/>
          <w:color w:val="auto"/>
        </w:rPr>
        <w:t>Virginia Beach</w:t>
      </w:r>
    </w:p>
    <w:p>
      <w:pPr>
        <w:spacing w:after="0" w:line="222" w:lineRule="auto"/>
        <w:rPr>
          <w:sz w:val="20"/>
          <w:szCs w:val="20"/>
          <w:color w:val="auto"/>
        </w:rPr>
      </w:pPr>
      <w:r>
        <w:rPr>
          <w:rFonts w:ascii="Arial" w:cs="Arial" w:eastAsia="Arial" w:hAnsi="Arial"/>
          <w:sz w:val="14"/>
          <w:szCs w:val="14"/>
          <w:color w:val="auto"/>
        </w:rPr>
        <w:t>Woodbridge*</w:t>
      </w:r>
    </w:p>
    <w:p>
      <w:pPr>
        <w:spacing w:after="0"/>
        <w:rPr>
          <w:sz w:val="20"/>
          <w:szCs w:val="20"/>
          <w:color w:val="auto"/>
        </w:rPr>
      </w:pPr>
      <w:r>
        <w:rPr>
          <w:rFonts w:ascii="Arial" w:cs="Arial" w:eastAsia="Arial" w:hAnsi="Arial"/>
          <w:sz w:val="14"/>
          <w:szCs w:val="14"/>
          <w:color w:val="auto"/>
        </w:rPr>
        <w:t>Williamsburg*</w:t>
      </w:r>
    </w:p>
    <w:p>
      <w:pPr>
        <w:spacing w:after="0" w:line="57" w:lineRule="exact"/>
        <w:rPr>
          <w:sz w:val="20"/>
          <w:szCs w:val="20"/>
          <w:color w:val="auto"/>
        </w:rPr>
      </w:pPr>
    </w:p>
    <w:p>
      <w:pPr>
        <w:ind w:left="5380"/>
        <w:spacing w:after="0"/>
        <w:rPr>
          <w:sz w:val="20"/>
          <w:szCs w:val="20"/>
          <w:color w:val="auto"/>
        </w:rPr>
      </w:pPr>
      <w:r>
        <w:rPr>
          <w:rFonts w:ascii="Arial" w:cs="Arial" w:eastAsia="Arial" w:hAnsi="Arial"/>
          <w:sz w:val="12"/>
          <w:szCs w:val="12"/>
          <w:b w:val="1"/>
          <w:bCs w:val="1"/>
          <w:i w:val="1"/>
          <w:iCs w:val="1"/>
          <w:color w:val="auto"/>
        </w:rPr>
        <w:t>Washington</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Auburn*</w:t>
      </w:r>
    </w:p>
    <w:p>
      <w:pPr>
        <w:sectPr>
          <w:pgSz w:w="11900" w:h="16843" w:orient="portrait"/>
          <w:cols w:equalWidth="0" w:num="1">
            <w:col w:w="10219"/>
          </w:cols>
          <w:pgMar w:left="240" w:top="129" w:right="1440" w:bottom="0" w:gutter="0" w:footer="0" w:header="0"/>
        </w:sectPr>
      </w:pPr>
    </w:p>
    <w:bookmarkStart w:id="26" w:name="page27"/>
    <w:bookmarkEnd w:id="26"/>
    <w:p>
      <w:pPr>
        <w:spacing w:after="0"/>
        <w:rPr>
          <w:sz w:val="20"/>
          <w:szCs w:val="20"/>
          <w:color w:val="auto"/>
        </w:rPr>
      </w:pPr>
      <w:r>
        <w:rPr>
          <w:rFonts w:ascii="Arial" w:cs="Arial" w:eastAsia="Arial" w:hAnsi="Arial"/>
          <w:sz w:val="14"/>
          <w:szCs w:val="14"/>
          <w:color w:val="auto"/>
        </w:rPr>
        <w:t>Bellevue</w:t>
      </w:r>
    </w:p>
    <w:p>
      <w:pPr>
        <w:spacing w:after="0" w:line="221" w:lineRule="auto"/>
        <w:rPr>
          <w:sz w:val="20"/>
          <w:szCs w:val="20"/>
          <w:color w:val="auto"/>
        </w:rPr>
      </w:pPr>
      <w:r>
        <w:rPr>
          <w:rFonts w:ascii="Arial" w:cs="Arial" w:eastAsia="Arial" w:hAnsi="Arial"/>
          <w:sz w:val="14"/>
          <w:szCs w:val="14"/>
          <w:color w:val="auto"/>
        </w:rPr>
        <w:t>Lynnwood</w:t>
      </w:r>
    </w:p>
    <w:p>
      <w:pPr>
        <w:spacing w:after="0" w:line="221" w:lineRule="auto"/>
        <w:rPr>
          <w:sz w:val="20"/>
          <w:szCs w:val="20"/>
          <w:color w:val="auto"/>
        </w:rPr>
      </w:pPr>
      <w:r>
        <w:rPr>
          <w:rFonts w:ascii="Arial" w:cs="Arial" w:eastAsia="Arial" w:hAnsi="Arial"/>
          <w:sz w:val="14"/>
          <w:szCs w:val="14"/>
          <w:color w:val="auto"/>
        </w:rPr>
        <w:t>Spokane</w:t>
      </w:r>
    </w:p>
    <w:p>
      <w:pPr>
        <w:spacing w:after="0" w:line="222" w:lineRule="auto"/>
        <w:rPr>
          <w:sz w:val="20"/>
          <w:szCs w:val="20"/>
          <w:color w:val="auto"/>
        </w:rPr>
      </w:pPr>
      <w:r>
        <w:rPr>
          <w:rFonts w:ascii="Arial" w:cs="Arial" w:eastAsia="Arial" w:hAnsi="Arial"/>
          <w:sz w:val="14"/>
          <w:szCs w:val="14"/>
          <w:color w:val="auto"/>
        </w:rPr>
        <w:t>Tacoma</w:t>
      </w:r>
    </w:p>
    <w:p>
      <w:pPr>
        <w:spacing w:after="0"/>
        <w:rPr>
          <w:sz w:val="20"/>
          <w:szCs w:val="20"/>
          <w:color w:val="auto"/>
        </w:rPr>
      </w:pPr>
      <w:r>
        <w:rPr>
          <w:rFonts w:ascii="Arial" w:cs="Arial" w:eastAsia="Arial" w:hAnsi="Arial"/>
          <w:sz w:val="14"/>
          <w:szCs w:val="14"/>
          <w:color w:val="auto"/>
        </w:rPr>
        <w:t>Tukwila</w:t>
      </w:r>
    </w:p>
    <w:p>
      <w:pPr>
        <w:spacing w:after="0" w:line="56" w:lineRule="exact"/>
        <w:rPr>
          <w:sz w:val="20"/>
          <w:szCs w:val="20"/>
          <w:color w:val="auto"/>
        </w:rPr>
      </w:pPr>
    </w:p>
    <w:p>
      <w:pPr>
        <w:jc w:val="right"/>
        <w:ind w:right="4119"/>
        <w:spacing w:after="0"/>
        <w:rPr>
          <w:sz w:val="20"/>
          <w:szCs w:val="20"/>
          <w:color w:val="auto"/>
        </w:rPr>
      </w:pPr>
      <w:r>
        <w:rPr>
          <w:rFonts w:ascii="Arial" w:cs="Arial" w:eastAsia="Arial" w:hAnsi="Arial"/>
          <w:sz w:val="14"/>
          <w:szCs w:val="14"/>
          <w:b w:val="1"/>
          <w:bCs w:val="1"/>
          <w:i w:val="1"/>
          <w:iCs w:val="1"/>
          <w:color w:val="auto"/>
        </w:rPr>
        <w:t>West Virginia</w:t>
      </w:r>
    </w:p>
    <w:p>
      <w:pPr>
        <w:spacing w:after="0"/>
        <w:rPr>
          <w:sz w:val="20"/>
          <w:szCs w:val="20"/>
          <w:color w:val="auto"/>
        </w:rPr>
      </w:pPr>
      <w:r>
        <w:rPr>
          <w:rFonts w:ascii="Arial" w:cs="Arial" w:eastAsia="Arial" w:hAnsi="Arial"/>
          <w:sz w:val="14"/>
          <w:szCs w:val="14"/>
          <w:color w:val="auto"/>
        </w:rPr>
        <w:t>South Charleston</w:t>
      </w:r>
    </w:p>
    <w:p>
      <w:pPr>
        <w:spacing w:after="0" w:line="124" w:lineRule="exact"/>
        <w:rPr>
          <w:sz w:val="20"/>
          <w:szCs w:val="20"/>
          <w:color w:val="auto"/>
        </w:rPr>
      </w:pPr>
    </w:p>
    <w:p>
      <w:pPr>
        <w:ind w:left="5420"/>
        <w:spacing w:after="0"/>
        <w:rPr>
          <w:sz w:val="20"/>
          <w:szCs w:val="20"/>
          <w:color w:val="auto"/>
        </w:rPr>
      </w:pPr>
      <w:r>
        <w:rPr>
          <w:rFonts w:ascii="Arial" w:cs="Arial" w:eastAsia="Arial" w:hAnsi="Arial"/>
          <w:sz w:val="12"/>
          <w:szCs w:val="12"/>
          <w:b w:val="1"/>
          <w:bCs w:val="1"/>
          <w:i w:val="1"/>
          <w:iCs w:val="1"/>
          <w:color w:val="auto"/>
        </w:rPr>
        <w:t>Wisconsin</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Brookfield</w:t>
      </w:r>
    </w:p>
    <w:p>
      <w:pPr>
        <w:spacing w:after="0" w:line="221" w:lineRule="auto"/>
        <w:rPr>
          <w:sz w:val="20"/>
          <w:szCs w:val="20"/>
          <w:color w:val="auto"/>
        </w:rPr>
      </w:pPr>
      <w:r>
        <w:rPr>
          <w:rFonts w:ascii="Arial" w:cs="Arial" w:eastAsia="Arial" w:hAnsi="Arial"/>
          <w:sz w:val="14"/>
          <w:szCs w:val="14"/>
          <w:color w:val="auto"/>
        </w:rPr>
        <w:t>Brown Deer</w:t>
      </w:r>
    </w:p>
    <w:p>
      <w:pPr>
        <w:spacing w:after="0" w:line="221" w:lineRule="auto"/>
        <w:rPr>
          <w:sz w:val="20"/>
          <w:szCs w:val="20"/>
          <w:color w:val="auto"/>
        </w:rPr>
      </w:pPr>
      <w:r>
        <w:rPr>
          <w:rFonts w:ascii="Arial" w:cs="Arial" w:eastAsia="Arial" w:hAnsi="Arial"/>
          <w:sz w:val="14"/>
          <w:szCs w:val="14"/>
          <w:color w:val="auto"/>
        </w:rPr>
        <w:t>Grand Chute</w:t>
      </w:r>
    </w:p>
    <w:p>
      <w:pPr>
        <w:spacing w:after="0" w:line="222" w:lineRule="auto"/>
        <w:rPr>
          <w:sz w:val="20"/>
          <w:szCs w:val="20"/>
          <w:color w:val="auto"/>
        </w:rPr>
      </w:pPr>
      <w:r>
        <w:rPr>
          <w:rFonts w:ascii="Arial" w:cs="Arial" w:eastAsia="Arial" w:hAnsi="Arial"/>
          <w:sz w:val="14"/>
          <w:szCs w:val="14"/>
          <w:color w:val="auto"/>
        </w:rPr>
        <w:t>Green Bay</w:t>
      </w:r>
    </w:p>
    <w:p>
      <w:pPr>
        <w:spacing w:after="0" w:line="221" w:lineRule="auto"/>
        <w:rPr>
          <w:sz w:val="20"/>
          <w:szCs w:val="20"/>
          <w:color w:val="auto"/>
        </w:rPr>
      </w:pPr>
      <w:r>
        <w:rPr>
          <w:rFonts w:ascii="Arial" w:cs="Arial" w:eastAsia="Arial" w:hAnsi="Arial"/>
          <w:sz w:val="14"/>
          <w:szCs w:val="14"/>
          <w:color w:val="auto"/>
        </w:rPr>
        <w:t>Greenfield</w:t>
      </w:r>
    </w:p>
    <w:p>
      <w:pPr>
        <w:spacing w:after="0" w:line="222" w:lineRule="auto"/>
        <w:rPr>
          <w:sz w:val="20"/>
          <w:szCs w:val="20"/>
          <w:color w:val="auto"/>
        </w:rPr>
      </w:pPr>
      <w:r>
        <w:rPr>
          <w:rFonts w:ascii="Arial" w:cs="Arial" w:eastAsia="Arial" w:hAnsi="Arial"/>
          <w:sz w:val="14"/>
          <w:szCs w:val="14"/>
          <w:color w:val="auto"/>
        </w:rPr>
        <w:t>Johnson Creek*</w:t>
      </w:r>
    </w:p>
    <w:p>
      <w:pPr>
        <w:spacing w:after="0" w:line="221" w:lineRule="auto"/>
        <w:rPr>
          <w:sz w:val="20"/>
          <w:szCs w:val="20"/>
          <w:color w:val="auto"/>
        </w:rPr>
      </w:pPr>
      <w:r>
        <w:rPr>
          <w:rFonts w:ascii="Arial" w:cs="Arial" w:eastAsia="Arial" w:hAnsi="Arial"/>
          <w:sz w:val="14"/>
          <w:szCs w:val="14"/>
          <w:color w:val="auto"/>
        </w:rPr>
        <w:t>Madison</w:t>
      </w:r>
    </w:p>
    <w:p>
      <w:pPr>
        <w:spacing w:after="0"/>
        <w:rPr>
          <w:sz w:val="20"/>
          <w:szCs w:val="20"/>
          <w:color w:val="auto"/>
        </w:rPr>
      </w:pPr>
      <w:r>
        <w:rPr>
          <w:rFonts w:ascii="Arial" w:cs="Arial" w:eastAsia="Arial" w:hAnsi="Arial"/>
          <w:sz w:val="14"/>
          <w:szCs w:val="14"/>
          <w:color w:val="auto"/>
        </w:rPr>
        <w:t>Pleasant Prairie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Rochester Big &amp; Tall</w:t>
      </w:r>
    </w:p>
    <w:p>
      <w:pPr>
        <w:spacing w:after="0" w:line="88" w:lineRule="exact"/>
        <w:rPr>
          <w:sz w:val="20"/>
          <w:szCs w:val="20"/>
          <w:color w:val="auto"/>
        </w:rPr>
      </w:pPr>
    </w:p>
    <w:p>
      <w:pPr>
        <w:ind w:left="5420"/>
        <w:spacing w:after="0"/>
        <w:rPr>
          <w:sz w:val="20"/>
          <w:szCs w:val="20"/>
          <w:color w:val="auto"/>
        </w:rPr>
      </w:pPr>
      <w:r>
        <w:rPr>
          <w:rFonts w:ascii="Arial" w:cs="Arial" w:eastAsia="Arial" w:hAnsi="Arial"/>
          <w:sz w:val="12"/>
          <w:szCs w:val="12"/>
          <w:b w:val="1"/>
          <w:bCs w:val="1"/>
          <w:i w:val="1"/>
          <w:iCs w:val="1"/>
          <w:color w:val="auto"/>
        </w:rPr>
        <w:t>Southwest</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Phoenix, AR</w:t>
      </w:r>
    </w:p>
    <w:p>
      <w:pPr>
        <w:spacing w:after="0" w:line="221" w:lineRule="auto"/>
        <w:rPr>
          <w:sz w:val="20"/>
          <w:szCs w:val="20"/>
          <w:color w:val="auto"/>
        </w:rPr>
      </w:pPr>
      <w:r>
        <w:rPr>
          <w:rFonts w:ascii="Arial" w:cs="Arial" w:eastAsia="Arial" w:hAnsi="Arial"/>
          <w:sz w:val="14"/>
          <w:szCs w:val="14"/>
          <w:color w:val="auto"/>
        </w:rPr>
        <w:t>Beverley Hills, CA</w:t>
      </w:r>
    </w:p>
    <w:p>
      <w:pPr>
        <w:spacing w:after="0" w:line="221" w:lineRule="auto"/>
        <w:rPr>
          <w:sz w:val="20"/>
          <w:szCs w:val="20"/>
          <w:color w:val="auto"/>
        </w:rPr>
      </w:pPr>
      <w:r>
        <w:rPr>
          <w:rFonts w:ascii="Arial" w:cs="Arial" w:eastAsia="Arial" w:hAnsi="Arial"/>
          <w:sz w:val="14"/>
          <w:szCs w:val="14"/>
          <w:color w:val="auto"/>
        </w:rPr>
        <w:t>Costa Mesa, CA</w:t>
      </w:r>
    </w:p>
    <w:p>
      <w:pPr>
        <w:spacing w:after="0" w:line="222" w:lineRule="auto"/>
        <w:rPr>
          <w:sz w:val="20"/>
          <w:szCs w:val="20"/>
          <w:color w:val="auto"/>
        </w:rPr>
      </w:pPr>
      <w:r>
        <w:rPr>
          <w:rFonts w:ascii="Arial" w:cs="Arial" w:eastAsia="Arial" w:hAnsi="Arial"/>
          <w:sz w:val="14"/>
          <w:szCs w:val="14"/>
          <w:color w:val="auto"/>
        </w:rPr>
        <w:t>Fresno, CA</w:t>
      </w:r>
    </w:p>
    <w:p>
      <w:pPr>
        <w:spacing w:after="0" w:line="221" w:lineRule="auto"/>
        <w:rPr>
          <w:sz w:val="20"/>
          <w:szCs w:val="20"/>
          <w:color w:val="auto"/>
        </w:rPr>
      </w:pPr>
      <w:r>
        <w:rPr>
          <w:rFonts w:ascii="Arial" w:cs="Arial" w:eastAsia="Arial" w:hAnsi="Arial"/>
          <w:sz w:val="14"/>
          <w:szCs w:val="14"/>
          <w:color w:val="auto"/>
        </w:rPr>
        <w:t>San Francisco (1), CA</w:t>
      </w:r>
    </w:p>
    <w:p>
      <w:pPr>
        <w:spacing w:after="0" w:line="222" w:lineRule="auto"/>
        <w:rPr>
          <w:sz w:val="20"/>
          <w:szCs w:val="20"/>
          <w:color w:val="auto"/>
        </w:rPr>
      </w:pPr>
      <w:r>
        <w:rPr>
          <w:rFonts w:ascii="Arial" w:cs="Arial" w:eastAsia="Arial" w:hAnsi="Arial"/>
          <w:sz w:val="14"/>
          <w:szCs w:val="14"/>
          <w:color w:val="auto"/>
        </w:rPr>
        <w:t>San Jose, CA</w:t>
      </w:r>
    </w:p>
    <w:p>
      <w:pPr>
        <w:spacing w:after="0" w:line="221" w:lineRule="auto"/>
        <w:rPr>
          <w:sz w:val="20"/>
          <w:szCs w:val="20"/>
          <w:color w:val="auto"/>
        </w:rPr>
      </w:pPr>
      <w:r>
        <w:rPr>
          <w:rFonts w:ascii="Arial" w:cs="Arial" w:eastAsia="Arial" w:hAnsi="Arial"/>
          <w:sz w:val="14"/>
          <w:szCs w:val="14"/>
          <w:color w:val="auto"/>
        </w:rPr>
        <w:t>Walnut Creek, CA</w:t>
      </w:r>
    </w:p>
    <w:p>
      <w:pPr>
        <w:spacing w:after="0" w:line="222" w:lineRule="auto"/>
        <w:rPr>
          <w:sz w:val="20"/>
          <w:szCs w:val="20"/>
          <w:color w:val="auto"/>
        </w:rPr>
      </w:pPr>
      <w:r>
        <w:rPr>
          <w:rFonts w:ascii="Arial" w:cs="Arial" w:eastAsia="Arial" w:hAnsi="Arial"/>
          <w:sz w:val="14"/>
          <w:szCs w:val="14"/>
          <w:color w:val="auto"/>
        </w:rPr>
        <w:t>Las Vegas , NV</w:t>
      </w:r>
    </w:p>
    <w:p>
      <w:pPr>
        <w:spacing w:after="0" w:line="221" w:lineRule="auto"/>
        <w:rPr>
          <w:sz w:val="20"/>
          <w:szCs w:val="20"/>
          <w:color w:val="auto"/>
        </w:rPr>
      </w:pPr>
      <w:r>
        <w:rPr>
          <w:rFonts w:ascii="Arial" w:cs="Arial" w:eastAsia="Arial" w:hAnsi="Arial"/>
          <w:sz w:val="14"/>
          <w:szCs w:val="14"/>
          <w:color w:val="auto"/>
        </w:rPr>
        <w:t>Dallas, TX</w:t>
      </w:r>
    </w:p>
    <w:p>
      <w:pPr>
        <w:spacing w:after="0"/>
        <w:rPr>
          <w:sz w:val="20"/>
          <w:szCs w:val="20"/>
          <w:color w:val="auto"/>
        </w:rPr>
      </w:pPr>
      <w:r>
        <w:rPr>
          <w:rFonts w:ascii="Arial" w:cs="Arial" w:eastAsia="Arial" w:hAnsi="Arial"/>
          <w:sz w:val="14"/>
          <w:szCs w:val="14"/>
          <w:color w:val="auto"/>
        </w:rPr>
        <w:t>Houston, TX</w:t>
      </w:r>
    </w:p>
    <w:p>
      <w:pPr>
        <w:spacing w:after="0" w:line="57" w:lineRule="exact"/>
        <w:rPr>
          <w:sz w:val="20"/>
          <w:szCs w:val="20"/>
          <w:color w:val="auto"/>
        </w:rPr>
      </w:pPr>
    </w:p>
    <w:p>
      <w:pPr>
        <w:ind w:left="5440"/>
        <w:spacing w:after="0"/>
        <w:rPr>
          <w:sz w:val="20"/>
          <w:szCs w:val="20"/>
          <w:color w:val="auto"/>
        </w:rPr>
      </w:pPr>
      <w:r>
        <w:rPr>
          <w:rFonts w:ascii="Arial" w:cs="Arial" w:eastAsia="Arial" w:hAnsi="Arial"/>
          <w:sz w:val="12"/>
          <w:szCs w:val="12"/>
          <w:b w:val="1"/>
          <w:bCs w:val="1"/>
          <w:i w:val="1"/>
          <w:iCs w:val="1"/>
          <w:color w:val="auto"/>
        </w:rPr>
        <w:t>Southeast</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Aventura, FL</w:t>
      </w:r>
    </w:p>
    <w:p>
      <w:pPr>
        <w:spacing w:after="0" w:line="221" w:lineRule="auto"/>
        <w:rPr>
          <w:sz w:val="20"/>
          <w:szCs w:val="20"/>
          <w:color w:val="auto"/>
        </w:rPr>
      </w:pPr>
      <w:r>
        <w:rPr>
          <w:rFonts w:ascii="Arial" w:cs="Arial" w:eastAsia="Arial" w:hAnsi="Arial"/>
          <w:sz w:val="14"/>
          <w:szCs w:val="14"/>
          <w:color w:val="auto"/>
        </w:rPr>
        <w:t>Atlanta, GA</w:t>
      </w:r>
    </w:p>
    <w:p>
      <w:pPr>
        <w:spacing w:after="0" w:line="221" w:lineRule="auto"/>
        <w:rPr>
          <w:sz w:val="20"/>
          <w:szCs w:val="20"/>
          <w:color w:val="auto"/>
        </w:rPr>
      </w:pPr>
      <w:r>
        <w:rPr>
          <w:rFonts w:ascii="Arial" w:cs="Arial" w:eastAsia="Arial" w:hAnsi="Arial"/>
          <w:sz w:val="14"/>
          <w:szCs w:val="14"/>
          <w:color w:val="auto"/>
        </w:rPr>
        <w:t>Boca Raton, FL</w:t>
      </w:r>
    </w:p>
    <w:p>
      <w:pPr>
        <w:spacing w:after="0"/>
        <w:rPr>
          <w:sz w:val="20"/>
          <w:szCs w:val="20"/>
          <w:color w:val="auto"/>
        </w:rPr>
      </w:pPr>
      <w:r>
        <w:rPr>
          <w:rFonts w:ascii="Arial" w:cs="Arial" w:eastAsia="Arial" w:hAnsi="Arial"/>
          <w:sz w:val="14"/>
          <w:szCs w:val="14"/>
          <w:color w:val="auto"/>
        </w:rPr>
        <w:t>Washington D.C.</w:t>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4"/>
          <w:szCs w:val="14"/>
          <w:b w:val="1"/>
          <w:bCs w:val="1"/>
          <w:i w:val="1"/>
          <w:iCs w:val="1"/>
          <w:color w:val="auto"/>
        </w:rPr>
        <w:t>North</w:t>
      </w:r>
    </w:p>
    <w:p>
      <w:pPr>
        <w:spacing w:after="0" w:line="221" w:lineRule="auto"/>
        <w:rPr>
          <w:sz w:val="20"/>
          <w:szCs w:val="20"/>
          <w:color w:val="auto"/>
        </w:rPr>
      </w:pPr>
      <w:r>
        <w:rPr>
          <w:rFonts w:ascii="Arial" w:cs="Arial" w:eastAsia="Arial" w:hAnsi="Arial"/>
          <w:sz w:val="14"/>
          <w:szCs w:val="14"/>
          <w:color w:val="auto"/>
        </w:rPr>
        <w:t>Boston, MA</w:t>
      </w:r>
    </w:p>
    <w:p>
      <w:pPr>
        <w:spacing w:after="0" w:line="221" w:lineRule="auto"/>
        <w:rPr>
          <w:sz w:val="20"/>
          <w:szCs w:val="20"/>
          <w:color w:val="auto"/>
        </w:rPr>
      </w:pPr>
      <w:r>
        <w:rPr>
          <w:rFonts w:ascii="Arial" w:cs="Arial" w:eastAsia="Arial" w:hAnsi="Arial"/>
          <w:sz w:val="14"/>
          <w:szCs w:val="14"/>
          <w:color w:val="auto"/>
        </w:rPr>
        <w:t>Central Valley, NY*</w:t>
      </w:r>
    </w:p>
    <w:p>
      <w:pPr>
        <w:spacing w:after="0" w:line="222" w:lineRule="auto"/>
        <w:rPr>
          <w:sz w:val="20"/>
          <w:szCs w:val="20"/>
          <w:color w:val="auto"/>
        </w:rPr>
      </w:pPr>
      <w:r>
        <w:rPr>
          <w:rFonts w:ascii="Arial" w:cs="Arial" w:eastAsia="Arial" w:hAnsi="Arial"/>
          <w:sz w:val="14"/>
          <w:szCs w:val="14"/>
          <w:color w:val="auto"/>
        </w:rPr>
        <w:t>Chicago, IL</w:t>
      </w:r>
    </w:p>
    <w:p>
      <w:pPr>
        <w:spacing w:after="0" w:line="221" w:lineRule="auto"/>
        <w:rPr>
          <w:sz w:val="20"/>
          <w:szCs w:val="20"/>
          <w:color w:val="auto"/>
        </w:rPr>
      </w:pPr>
      <w:r>
        <w:rPr>
          <w:rFonts w:ascii="Arial" w:cs="Arial" w:eastAsia="Arial" w:hAnsi="Arial"/>
          <w:sz w:val="14"/>
          <w:szCs w:val="14"/>
          <w:color w:val="auto"/>
        </w:rPr>
        <w:t>King of Prussia, PA</w:t>
      </w:r>
    </w:p>
    <w:p>
      <w:pPr>
        <w:spacing w:after="0" w:line="222" w:lineRule="auto"/>
        <w:rPr>
          <w:sz w:val="20"/>
          <w:szCs w:val="20"/>
          <w:color w:val="auto"/>
        </w:rPr>
      </w:pPr>
      <w:r>
        <w:rPr>
          <w:rFonts w:ascii="Arial" w:cs="Arial" w:eastAsia="Arial" w:hAnsi="Arial"/>
          <w:sz w:val="14"/>
          <w:szCs w:val="14"/>
          <w:color w:val="auto"/>
        </w:rPr>
        <w:t>Manhasset, NY</w:t>
      </w:r>
    </w:p>
    <w:p>
      <w:pPr>
        <w:spacing w:after="0" w:line="221" w:lineRule="auto"/>
        <w:rPr>
          <w:sz w:val="20"/>
          <w:szCs w:val="20"/>
          <w:color w:val="auto"/>
        </w:rPr>
      </w:pPr>
      <w:r>
        <w:rPr>
          <w:rFonts w:ascii="Arial" w:cs="Arial" w:eastAsia="Arial" w:hAnsi="Arial"/>
          <w:sz w:val="14"/>
          <w:szCs w:val="14"/>
          <w:color w:val="auto"/>
        </w:rPr>
        <w:t>Natick, MA</w:t>
      </w:r>
    </w:p>
    <w:p>
      <w:pPr>
        <w:spacing w:after="0" w:line="222" w:lineRule="auto"/>
        <w:rPr>
          <w:sz w:val="20"/>
          <w:szCs w:val="20"/>
          <w:color w:val="auto"/>
        </w:rPr>
      </w:pPr>
      <w:r>
        <w:rPr>
          <w:rFonts w:ascii="Arial" w:cs="Arial" w:eastAsia="Arial" w:hAnsi="Arial"/>
          <w:sz w:val="14"/>
          <w:szCs w:val="14"/>
          <w:color w:val="auto"/>
        </w:rPr>
        <w:t>New York, NY</w:t>
      </w:r>
    </w:p>
    <w:p>
      <w:pPr>
        <w:spacing w:after="0" w:line="221" w:lineRule="auto"/>
        <w:rPr>
          <w:sz w:val="20"/>
          <w:szCs w:val="20"/>
          <w:color w:val="auto"/>
        </w:rPr>
      </w:pPr>
      <w:r>
        <w:rPr>
          <w:rFonts w:ascii="Arial" w:cs="Arial" w:eastAsia="Arial" w:hAnsi="Arial"/>
          <w:sz w:val="14"/>
          <w:szCs w:val="14"/>
          <w:color w:val="auto"/>
        </w:rPr>
        <w:t>Oakbrook Terrace, IL</w:t>
      </w:r>
    </w:p>
    <w:p>
      <w:pPr>
        <w:spacing w:after="0" w:line="222" w:lineRule="auto"/>
        <w:rPr>
          <w:sz w:val="20"/>
          <w:szCs w:val="20"/>
          <w:color w:val="auto"/>
        </w:rPr>
      </w:pPr>
      <w:r>
        <w:rPr>
          <w:rFonts w:ascii="Arial" w:cs="Arial" w:eastAsia="Arial" w:hAnsi="Arial"/>
          <w:sz w:val="14"/>
          <w:szCs w:val="14"/>
          <w:color w:val="auto"/>
        </w:rPr>
        <w:t>Seattle, WA</w:t>
      </w:r>
    </w:p>
    <w:p>
      <w:pPr>
        <w:spacing w:after="0"/>
        <w:rPr>
          <w:sz w:val="20"/>
          <w:szCs w:val="20"/>
          <w:color w:val="auto"/>
        </w:rPr>
      </w:pPr>
      <w:r>
        <w:rPr>
          <w:rFonts w:ascii="Arial" w:cs="Arial" w:eastAsia="Arial" w:hAnsi="Arial"/>
          <w:sz w:val="14"/>
          <w:szCs w:val="14"/>
          <w:color w:val="auto"/>
        </w:rPr>
        <w:t>Southfield, MI</w:t>
      </w:r>
    </w:p>
    <w:p>
      <w:pPr>
        <w:spacing w:after="0" w:line="57" w:lineRule="exact"/>
        <w:rPr>
          <w:sz w:val="20"/>
          <w:szCs w:val="20"/>
          <w:color w:val="auto"/>
        </w:rPr>
      </w:pPr>
    </w:p>
    <w:p>
      <w:pPr>
        <w:ind w:left="5340"/>
        <w:spacing w:after="0"/>
        <w:rPr>
          <w:sz w:val="20"/>
          <w:szCs w:val="20"/>
          <w:color w:val="auto"/>
        </w:rPr>
      </w:pPr>
      <w:r>
        <w:rPr>
          <w:rFonts w:ascii="Arial" w:cs="Arial" w:eastAsia="Arial" w:hAnsi="Arial"/>
          <w:sz w:val="12"/>
          <w:szCs w:val="12"/>
          <w:b w:val="1"/>
          <w:bCs w:val="1"/>
          <w:i w:val="1"/>
          <w:iCs w:val="1"/>
          <w:color w:val="auto"/>
        </w:rPr>
        <w:t>International</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London, England</w:t>
      </w:r>
    </w:p>
    <w:p>
      <w:pPr>
        <w:spacing w:after="0" w:line="1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219"/>
          </w:cols>
          <w:pgMar w:left="240" w:top="128" w:right="1440"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are subject to various legal proceedings and claims that arise in the ordinary course of business. We believe that the resolution of these matters will not have an adverse impact on our operations or financial position.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matters were submitted to a vote of our security holders during the fourth quarter of fiscal 2007.</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20"/>
          </w:cols>
          <w:pgMar w:left="240" w:top="45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listed for trading on the NASDAQ Global Select Market under the symbol “CMRG.”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for the periods indicated, the high and low per share sales prices for the common stock, as reported on Nasdaq.</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Fiscal Year Ended February 2, 2008</w:t>
            </w:r>
          </w:p>
        </w:tc>
        <w:tc>
          <w:tcPr>
            <w:tcW w:w="5880" w:type="dxa"/>
            <w:vAlign w:val="bottom"/>
          </w:tcPr>
          <w:p>
            <w:pPr>
              <w:spacing w:after="0"/>
              <w:rPr>
                <w:sz w:val="14"/>
                <w:szCs w:val="14"/>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High</w:t>
            </w: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2"/>
              </w:rPr>
              <w:t>Low</w:t>
            </w:r>
          </w:p>
        </w:tc>
      </w:tr>
      <w:tr>
        <w:trPr>
          <w:trHeight w:val="21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6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11.08</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Second Quarter</w:t>
            </w:r>
          </w:p>
        </w:tc>
        <w:tc>
          <w:tcPr>
            <w:tcW w:w="6380" w:type="dxa"/>
            <w:vAlign w:val="bottom"/>
            <w:gridSpan w:val="2"/>
          </w:tcPr>
          <w:p>
            <w:pPr>
              <w:jc w:val="right"/>
              <w:spacing w:after="0"/>
              <w:rPr>
                <w:sz w:val="20"/>
                <w:szCs w:val="20"/>
                <w:color w:val="auto"/>
              </w:rPr>
            </w:pPr>
            <w:r>
              <w:rPr>
                <w:rFonts w:ascii="Arial" w:cs="Arial" w:eastAsia="Arial" w:hAnsi="Arial"/>
                <w:sz w:val="18"/>
                <w:szCs w:val="18"/>
                <w:color w:val="auto"/>
              </w:rPr>
              <w:t>12.75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9.98</w:t>
            </w: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6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r>
      <w:tr>
        <w:trPr>
          <w:trHeight w:val="222"/>
        </w:trPr>
        <w:tc>
          <w:tcPr>
            <w:tcW w:w="2220" w:type="dxa"/>
            <w:vAlign w:val="bottom"/>
          </w:tcPr>
          <w:p>
            <w:pPr>
              <w:spacing w:after="0"/>
              <w:rPr>
                <w:sz w:val="20"/>
                <w:szCs w:val="20"/>
                <w:color w:val="auto"/>
              </w:rPr>
            </w:pPr>
            <w:r>
              <w:rPr>
                <w:rFonts w:ascii="Arial" w:cs="Arial" w:eastAsia="Arial" w:hAnsi="Arial"/>
                <w:sz w:val="18"/>
                <w:szCs w:val="18"/>
                <w:color w:val="auto"/>
              </w:rPr>
              <w:t>Fourth Quarter</w:t>
            </w:r>
          </w:p>
        </w:tc>
        <w:tc>
          <w:tcPr>
            <w:tcW w:w="6380" w:type="dxa"/>
            <w:vAlign w:val="bottom"/>
            <w:gridSpan w:val="2"/>
          </w:tcPr>
          <w:p>
            <w:pPr>
              <w:jc w:val="right"/>
              <w:spacing w:after="0"/>
              <w:rPr>
                <w:sz w:val="20"/>
                <w:szCs w:val="20"/>
                <w:color w:val="auto"/>
              </w:rPr>
            </w:pPr>
            <w:r>
              <w:rPr>
                <w:rFonts w:ascii="Arial" w:cs="Arial" w:eastAsia="Arial" w:hAnsi="Arial"/>
                <w:sz w:val="18"/>
                <w:szCs w:val="18"/>
                <w:color w:val="auto"/>
              </w:rPr>
              <w:t>8.00</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3.35</w:t>
            </w:r>
          </w:p>
        </w:tc>
      </w:tr>
      <w:tr>
        <w:trPr>
          <w:trHeight w:val="250"/>
        </w:trPr>
        <w:tc>
          <w:tcPr>
            <w:tcW w:w="2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Fiscal Year Ended February 3, 2007</w:t>
            </w:r>
          </w:p>
        </w:tc>
        <w:tc>
          <w:tcPr>
            <w:tcW w:w="5880" w:type="dxa"/>
            <w:vAlign w:val="bottom"/>
          </w:tcPr>
          <w:p>
            <w:pPr>
              <w:spacing w:after="0"/>
              <w:rPr>
                <w:sz w:val="21"/>
                <w:szCs w:val="21"/>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High</w:t>
            </w:r>
          </w:p>
        </w:tc>
        <w:tc>
          <w:tcPr>
            <w:tcW w:w="4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2"/>
              </w:rPr>
              <w:t>Low</w:t>
            </w:r>
          </w:p>
        </w:tc>
      </w:tr>
      <w:tr>
        <w:trPr>
          <w:trHeight w:val="21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6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Second Quarter</w:t>
            </w:r>
          </w:p>
        </w:tc>
        <w:tc>
          <w:tcPr>
            <w:tcW w:w="6380" w:type="dxa"/>
            <w:vAlign w:val="bottom"/>
            <w:gridSpan w:val="2"/>
          </w:tcPr>
          <w:p>
            <w:pPr>
              <w:jc w:val="right"/>
              <w:spacing w:after="0"/>
              <w:rPr>
                <w:sz w:val="20"/>
                <w:szCs w:val="20"/>
                <w:color w:val="auto"/>
              </w:rPr>
            </w:pPr>
            <w:r>
              <w:rPr>
                <w:rFonts w:ascii="Arial" w:cs="Arial" w:eastAsia="Arial" w:hAnsi="Arial"/>
                <w:sz w:val="18"/>
                <w:szCs w:val="18"/>
                <w:color w:val="auto"/>
              </w:rPr>
              <w:t>11.20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9.24</w:t>
            </w: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6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10.76</w:t>
            </w:r>
          </w:p>
        </w:tc>
      </w:tr>
      <w:tr>
        <w:trPr>
          <w:trHeight w:val="222"/>
        </w:trPr>
        <w:tc>
          <w:tcPr>
            <w:tcW w:w="2220" w:type="dxa"/>
            <w:vAlign w:val="bottom"/>
          </w:tcPr>
          <w:p>
            <w:pPr>
              <w:spacing w:after="0"/>
              <w:rPr>
                <w:sz w:val="20"/>
                <w:szCs w:val="20"/>
                <w:color w:val="auto"/>
              </w:rPr>
            </w:pPr>
            <w:r>
              <w:rPr>
                <w:rFonts w:ascii="Arial" w:cs="Arial" w:eastAsia="Arial" w:hAnsi="Arial"/>
                <w:sz w:val="18"/>
                <w:szCs w:val="18"/>
                <w:color w:val="auto"/>
              </w:rPr>
              <w:t>Fourth Quarter</w:t>
            </w:r>
          </w:p>
        </w:tc>
        <w:tc>
          <w:tcPr>
            <w:tcW w:w="6380" w:type="dxa"/>
            <w:vAlign w:val="bottom"/>
            <w:gridSpan w:val="2"/>
          </w:tcPr>
          <w:p>
            <w:pPr>
              <w:jc w:val="right"/>
              <w:spacing w:after="0"/>
              <w:rPr>
                <w:sz w:val="20"/>
                <w:szCs w:val="20"/>
                <w:color w:val="auto"/>
              </w:rPr>
            </w:pPr>
            <w:r>
              <w:rPr>
                <w:rFonts w:ascii="Arial" w:cs="Arial" w:eastAsia="Arial" w:hAnsi="Arial"/>
                <w:sz w:val="18"/>
                <w:szCs w:val="18"/>
                <w:color w:val="auto"/>
              </w:rPr>
              <w:t>15.10</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11.93</w:t>
            </w:r>
          </w:p>
        </w:tc>
      </w:tr>
    </w:tbl>
    <w:p>
      <w:pPr>
        <w:spacing w:after="0" w:line="14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As of March 14, 2008, based upon data provided by independent shareholder communication services and the transfer agent for our common stock, there were approximately 236 holders of record of our common stock. The number of holders does not include individuals or entities who beneficially own shares but whose shares are held of record by a broker or clearing agent, but does include each such broker or clearing agency as one record holder.</w:t>
      </w:r>
    </w:p>
    <w:p>
      <w:pPr>
        <w:spacing w:after="0" w:line="10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 have not paid and do not anticipate paying cash dividends on our common stock. In addition, financial covenants in our loan agreement may restrict dividend payments. For a description of these financial covenants see Note C to the Notes to the Consolidated Financial Statements.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60"/>
          </w:cols>
          <w:pgMar w:left="240" w:top="459" w:right="3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following Performance Graph compares our cumulative stockholder return with that of a broad market index (Standard &amp; Poor’s Industrials Index) and one published industry index (Standard &amp; Poor’s 500—Composite Retail Index) for each of the most recent five years ended January 31. The cumulative stockholder return for shares of our common stock (“CMRG”) and each of the indices is calculated assuming that $100 was invested on January 31, 2003. We paid no cash dividends during the periods shown. The performance of the indices is shown on a total return (dividends reinvested) basis. The graph lines merely connect January 31 of each year and do not reflect fluctuations between those dates. In addition there is a chart of the annual percentage return of our common stock, the S &amp; P Industrials and Composite Retail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81280</wp:posOffset>
            </wp:positionV>
            <wp:extent cx="5068570" cy="29673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068570" cy="296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Return Percentage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Company/Index</w:t>
            </w: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Years Ending</w:t>
            </w:r>
          </w:p>
        </w:tc>
        <w:tc>
          <w:tcPr>
            <w:tcW w:w="4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80" w:type="dxa"/>
            <w:vAlign w:val="bottom"/>
            <w:gridSpan w:val="3"/>
            <w:vMerge w:val="continue"/>
          </w:tcPr>
          <w:p>
            <w:pPr>
              <w:spacing w:after="0"/>
              <w:rPr>
                <w:sz w:val="12"/>
                <w:szCs w:val="12"/>
                <w:color w:val="auto"/>
              </w:rPr>
            </w:pPr>
          </w:p>
        </w:tc>
        <w:tc>
          <w:tcPr>
            <w:tcW w:w="580" w:type="dxa"/>
            <w:vAlign w:val="bottom"/>
          </w:tcPr>
          <w:p>
            <w:pPr>
              <w:jc w:val="right"/>
              <w:ind w:right="17"/>
              <w:spacing w:after="0" w:line="142" w:lineRule="exact"/>
              <w:rPr>
                <w:sz w:val="20"/>
                <w:szCs w:val="20"/>
                <w:color w:val="auto"/>
              </w:rPr>
            </w:pPr>
            <w:r>
              <w:rPr>
                <w:rFonts w:ascii="Arial" w:cs="Arial" w:eastAsia="Arial" w:hAnsi="Arial"/>
                <w:sz w:val="14"/>
                <w:szCs w:val="14"/>
                <w:b w:val="1"/>
                <w:bCs w:val="1"/>
                <w:color w:val="auto"/>
              </w:rPr>
              <w:t>Jan 04</w:t>
            </w:r>
          </w:p>
        </w:tc>
        <w:tc>
          <w:tcPr>
            <w:tcW w:w="220" w:type="dxa"/>
            <w:vAlign w:val="bottom"/>
          </w:tcPr>
          <w:p>
            <w:pPr>
              <w:spacing w:after="0"/>
              <w:rPr>
                <w:sz w:val="12"/>
                <w:szCs w:val="12"/>
                <w:color w:val="auto"/>
              </w:rPr>
            </w:pPr>
          </w:p>
        </w:tc>
        <w:tc>
          <w:tcPr>
            <w:tcW w:w="72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Jan05</w:t>
            </w:r>
          </w:p>
        </w:tc>
        <w:tc>
          <w:tcPr>
            <w:tcW w:w="120" w:type="dxa"/>
            <w:vAlign w:val="bottom"/>
          </w:tcPr>
          <w:p>
            <w:pPr>
              <w:spacing w:after="0"/>
              <w:rPr>
                <w:sz w:val="12"/>
                <w:szCs w:val="12"/>
                <w:color w:val="auto"/>
              </w:rPr>
            </w:pPr>
          </w:p>
        </w:tc>
        <w:tc>
          <w:tcPr>
            <w:tcW w:w="94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Jan 06</w:t>
            </w:r>
          </w:p>
        </w:tc>
        <w:tc>
          <w:tcPr>
            <w:tcW w:w="92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Jan 07</w:t>
            </w: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Jan 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CMRG</w:t>
            </w:r>
          </w:p>
        </w:tc>
        <w:tc>
          <w:tcPr>
            <w:tcW w:w="6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107.60</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32.41</w:t>
            </w: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74.55</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S&amp;P INDUSTRIALS</w:t>
            </w:r>
          </w:p>
        </w:tc>
        <w:tc>
          <w:tcPr>
            <w:tcW w:w="580" w:type="dxa"/>
            <w:vAlign w:val="bottom"/>
          </w:tcPr>
          <w:p>
            <w:pPr>
              <w:jc w:val="right"/>
              <w:spacing w:after="0"/>
              <w:rPr>
                <w:sz w:val="20"/>
                <w:szCs w:val="20"/>
                <w:color w:val="auto"/>
              </w:rPr>
            </w:pPr>
            <w:r>
              <w:rPr>
                <w:rFonts w:ascii="Arial" w:cs="Arial" w:eastAsia="Arial" w:hAnsi="Arial"/>
                <w:sz w:val="18"/>
                <w:szCs w:val="18"/>
                <w:color w:val="auto"/>
              </w:rPr>
              <w:t>32.13</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3.43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9.29</w:t>
            </w:r>
          </w:p>
        </w:tc>
        <w:tc>
          <w:tcPr>
            <w:tcW w:w="46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11.94</w:t>
            </w:r>
          </w:p>
        </w:tc>
        <w:tc>
          <w:tcPr>
            <w:tcW w:w="54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COMPOSITE RETAIL—500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48.35</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13.96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13.97</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(19.24)</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Indexed Returns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91"/>
              </w:rPr>
              <w:t>Base Period</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500" w:type="dxa"/>
            <w:vAlign w:val="bottom"/>
            <w:gridSpan w:val="3"/>
          </w:tcPr>
          <w:p>
            <w:pPr>
              <w:spacing w:after="0"/>
              <w:rPr>
                <w:sz w:val="20"/>
                <w:szCs w:val="20"/>
                <w:color w:val="auto"/>
              </w:rPr>
            </w:pPr>
            <w:r>
              <w:rPr>
                <w:rFonts w:ascii="Arial" w:cs="Arial" w:eastAsia="Arial" w:hAnsi="Arial"/>
                <w:sz w:val="14"/>
                <w:szCs w:val="14"/>
                <w:b w:val="1"/>
                <w:bCs w:val="1"/>
                <w:color w:val="auto"/>
              </w:rPr>
              <w:t>Company/Index</w:t>
            </w:r>
          </w:p>
        </w:tc>
        <w:tc>
          <w:tcPr>
            <w:tcW w:w="820" w:type="dxa"/>
            <w:vAlign w:val="bottom"/>
          </w:tcPr>
          <w:p>
            <w:pPr>
              <w:jc w:val="right"/>
              <w:ind w:right="140"/>
              <w:spacing w:after="0"/>
              <w:rPr>
                <w:sz w:val="20"/>
                <w:szCs w:val="20"/>
                <w:color w:val="auto"/>
              </w:rPr>
            </w:pPr>
            <w:r>
              <w:rPr>
                <w:rFonts w:ascii="Arial" w:cs="Arial" w:eastAsia="Arial" w:hAnsi="Arial"/>
                <w:sz w:val="14"/>
                <w:szCs w:val="14"/>
                <w:b w:val="1"/>
                <w:bCs w:val="1"/>
                <w:color w:val="auto"/>
              </w:rPr>
              <w:t>Jan 03</w:t>
            </w:r>
          </w:p>
        </w:tc>
        <w:tc>
          <w:tcPr>
            <w:tcW w:w="22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 04</w:t>
            </w: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 05</w:t>
            </w: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 06</w:t>
            </w: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 07</w:t>
            </w:r>
          </w:p>
        </w:tc>
        <w:tc>
          <w:tcPr>
            <w:tcW w:w="62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 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CMRG</w:t>
            </w:r>
          </w:p>
        </w:tc>
        <w:tc>
          <w:tcPr>
            <w:tcW w:w="5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3"/>
              </w:rPr>
              <w:t>207.60</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164.13</w:t>
            </w:r>
          </w:p>
        </w:tc>
        <w:tc>
          <w:tcPr>
            <w:tcW w:w="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217.33</w:t>
            </w:r>
          </w:p>
        </w:tc>
        <w:tc>
          <w:tcPr>
            <w:tcW w:w="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379.33</w:t>
            </w: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3"/>
              </w:rPr>
              <w:t>151.37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S&amp;P INDUSTRIALS</w:t>
            </w: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c>
          <w:tcPr>
            <w:tcW w:w="1040" w:type="dxa"/>
            <w:vAlign w:val="bottom"/>
            <w:gridSpan w:val="3"/>
          </w:tcPr>
          <w:p>
            <w:pPr>
              <w:ind w:left="340"/>
              <w:spacing w:after="0"/>
              <w:rPr>
                <w:sz w:val="20"/>
                <w:szCs w:val="20"/>
                <w:color w:val="auto"/>
              </w:rPr>
            </w:pPr>
            <w:r>
              <w:rPr>
                <w:rFonts w:ascii="Arial" w:cs="Arial" w:eastAsia="Arial" w:hAnsi="Arial"/>
                <w:sz w:val="18"/>
                <w:szCs w:val="18"/>
                <w:color w:val="auto"/>
              </w:rPr>
              <w:t>132.13</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136.66</w:t>
            </w:r>
          </w:p>
        </w:tc>
        <w:tc>
          <w:tcPr>
            <w:tcW w:w="820" w:type="dxa"/>
            <w:vAlign w:val="bottom"/>
            <w:gridSpan w:val="2"/>
          </w:tcPr>
          <w:p>
            <w:pPr>
              <w:ind w:left="120"/>
              <w:spacing w:after="0"/>
              <w:rPr>
                <w:sz w:val="20"/>
                <w:szCs w:val="20"/>
                <w:color w:val="auto"/>
              </w:rPr>
            </w:pPr>
            <w:r>
              <w:rPr>
                <w:rFonts w:ascii="Arial" w:cs="Arial" w:eastAsia="Arial" w:hAnsi="Arial"/>
                <w:sz w:val="18"/>
                <w:szCs w:val="18"/>
                <w:color w:val="auto"/>
              </w:rPr>
              <w:t>149.36</w:t>
            </w:r>
          </w:p>
        </w:tc>
        <w:tc>
          <w:tcPr>
            <w:tcW w:w="840" w:type="dxa"/>
            <w:vAlign w:val="bottom"/>
            <w:gridSpan w:val="2"/>
          </w:tcPr>
          <w:p>
            <w:pPr>
              <w:ind w:left="140"/>
              <w:spacing w:after="0"/>
              <w:rPr>
                <w:sz w:val="20"/>
                <w:szCs w:val="20"/>
                <w:color w:val="auto"/>
              </w:rPr>
            </w:pPr>
            <w:r>
              <w:rPr>
                <w:rFonts w:ascii="Arial" w:cs="Arial" w:eastAsia="Arial" w:hAnsi="Arial"/>
                <w:sz w:val="18"/>
                <w:szCs w:val="18"/>
                <w:color w:val="auto"/>
              </w:rPr>
              <w:t>167.20</w:t>
            </w:r>
          </w:p>
        </w:tc>
        <w:tc>
          <w:tcPr>
            <w:tcW w:w="600" w:type="dxa"/>
            <w:vAlign w:val="bottom"/>
          </w:tcPr>
          <w:p>
            <w:pPr>
              <w:ind w:left="120"/>
              <w:spacing w:after="0"/>
              <w:rPr>
                <w:sz w:val="20"/>
                <w:szCs w:val="20"/>
                <w:color w:val="auto"/>
              </w:rPr>
            </w:pPr>
            <w:r>
              <w:rPr>
                <w:rFonts w:ascii="Arial" w:cs="Arial" w:eastAsia="Arial" w:hAnsi="Arial"/>
                <w:sz w:val="18"/>
                <w:szCs w:val="18"/>
                <w:color w:val="auto"/>
                <w:w w:val="83"/>
              </w:rPr>
              <w:t>168.89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COMPOSITE RETAIL—500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148.35</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169.05</w:t>
            </w:r>
          </w:p>
        </w:tc>
        <w:tc>
          <w:tcPr>
            <w:tcW w:w="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182.31</w:t>
            </w:r>
          </w:p>
        </w:tc>
        <w:tc>
          <w:tcPr>
            <w:tcW w:w="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207.77</w:t>
            </w: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3"/>
              </w:rPr>
              <w:t>167.80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performance graph above shall not be deemed “filed” for purposes of Section 18 of the Securities Exchange Act of 1934, as amended (the “Exchange Act”), or otherwise subject to the liability of that section. This graph will not be deemed incorporated by reference into any filing under the Securities Act of 1933, as amended, or the Exchange Act, whether made before or after the date hereof, regardless of any general incorporation language in such filing.</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4"/>
                <w:szCs w:val="14"/>
                <w:b w:val="1"/>
                <w:bCs w:val="1"/>
                <w:color w:val="auto"/>
                <w:w w:val="86"/>
              </w:rPr>
              <w:t>Fiscal Years Ended(1),(2)</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1200" w:type="dxa"/>
            <w:vAlign w:val="bottom"/>
            <w:gridSpan w:val="3"/>
          </w:tcPr>
          <w:p>
            <w:pPr>
              <w:jc w:val="right"/>
              <w:ind w:right="480"/>
              <w:spacing w:after="0" w:line="129" w:lineRule="exact"/>
              <w:rPr>
                <w:sz w:val="20"/>
                <w:szCs w:val="20"/>
                <w:color w:val="auto"/>
              </w:rPr>
            </w:pPr>
            <w:r>
              <w:rPr>
                <w:rFonts w:ascii="Arial" w:cs="Arial" w:eastAsia="Arial" w:hAnsi="Arial"/>
                <w:sz w:val="14"/>
                <w:szCs w:val="14"/>
                <w:b w:val="1"/>
                <w:bCs w:val="1"/>
                <w:color w:val="auto"/>
                <w:w w:val="92"/>
              </w:rPr>
              <w:t>February 2,</w:t>
            </w:r>
          </w:p>
        </w:tc>
        <w:tc>
          <w:tcPr>
            <w:tcW w:w="380" w:type="dxa"/>
            <w:vAlign w:val="bottom"/>
          </w:tcPr>
          <w:p>
            <w:pPr>
              <w:spacing w:after="0"/>
              <w:rPr>
                <w:sz w:val="11"/>
                <w:szCs w:val="11"/>
                <w:color w:val="auto"/>
              </w:rPr>
            </w:pPr>
          </w:p>
        </w:tc>
        <w:tc>
          <w:tcPr>
            <w:tcW w:w="1120" w:type="dxa"/>
            <w:vAlign w:val="bottom"/>
            <w:gridSpan w:val="3"/>
          </w:tcPr>
          <w:p>
            <w:pPr>
              <w:jc w:val="right"/>
              <w:ind w:right="400"/>
              <w:spacing w:after="0" w:line="129" w:lineRule="exact"/>
              <w:rPr>
                <w:sz w:val="20"/>
                <w:szCs w:val="20"/>
                <w:color w:val="auto"/>
              </w:rPr>
            </w:pPr>
            <w:r>
              <w:rPr>
                <w:rFonts w:ascii="Arial" w:cs="Arial" w:eastAsia="Arial" w:hAnsi="Arial"/>
                <w:sz w:val="14"/>
                <w:szCs w:val="14"/>
                <w:b w:val="1"/>
                <w:bCs w:val="1"/>
                <w:color w:val="auto"/>
                <w:w w:val="92"/>
              </w:rPr>
              <w:t>February 3,</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January 29,</w:t>
            </w:r>
          </w:p>
        </w:tc>
        <w:tc>
          <w:tcPr>
            <w:tcW w:w="280" w:type="dxa"/>
            <w:vAlign w:val="bottom"/>
          </w:tcPr>
          <w:p>
            <w:pPr>
              <w:spacing w:after="0"/>
              <w:rPr>
                <w:sz w:val="11"/>
                <w:szCs w:val="11"/>
                <w:color w:val="auto"/>
              </w:rPr>
            </w:pPr>
          </w:p>
        </w:tc>
        <w:tc>
          <w:tcPr>
            <w:tcW w:w="7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January 31,</w:t>
            </w: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54"/>
              <w:spacing w:after="0" w:line="149" w:lineRule="exact"/>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54"/>
              <w:spacing w:after="0" w:line="149" w:lineRule="exact"/>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8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January 28,</w:t>
            </w:r>
          </w:p>
        </w:tc>
        <w:tc>
          <w:tcPr>
            <w:tcW w:w="160" w:type="dxa"/>
            <w:vAlign w:val="bottom"/>
          </w:tcPr>
          <w:p>
            <w:pPr>
              <w:spacing w:after="0"/>
              <w:rPr>
                <w:sz w:val="12"/>
                <w:szCs w:val="12"/>
                <w:color w:val="auto"/>
              </w:rPr>
            </w:pPr>
          </w:p>
        </w:tc>
        <w:tc>
          <w:tcPr>
            <w:tcW w:w="580" w:type="dxa"/>
            <w:vAlign w:val="bottom"/>
          </w:tcPr>
          <w:p>
            <w:pPr>
              <w:jc w:val="right"/>
              <w:ind w:right="154"/>
              <w:spacing w:after="0" w:line="149" w:lineRule="exact"/>
              <w:rPr>
                <w:sz w:val="20"/>
                <w:szCs w:val="20"/>
                <w:color w:val="auto"/>
              </w:rPr>
            </w:pPr>
            <w:r>
              <w:rPr>
                <w:rFonts w:ascii="Arial" w:cs="Arial" w:eastAsia="Arial" w:hAnsi="Arial"/>
                <w:sz w:val="14"/>
                <w:szCs w:val="14"/>
                <w:b w:val="1"/>
                <w:bCs w:val="1"/>
                <w:color w:val="auto"/>
              </w:rPr>
              <w:t>2005</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34"/>
              <w:spacing w:after="0" w:line="149" w:lineRule="exact"/>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(Fiscal 2007)</w:t>
            </w:r>
          </w:p>
        </w:tc>
        <w:tc>
          <w:tcPr>
            <w:tcW w:w="38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(Fiscal 2006)</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center"/>
              <w:ind w:right="73"/>
              <w:spacing w:after="0" w:line="149" w:lineRule="exact"/>
              <w:rPr>
                <w:sz w:val="20"/>
                <w:szCs w:val="20"/>
                <w:color w:val="auto"/>
              </w:rPr>
            </w:pPr>
            <w:r>
              <w:rPr>
                <w:rFonts w:ascii="Arial" w:cs="Arial" w:eastAsia="Arial" w:hAnsi="Arial"/>
                <w:sz w:val="14"/>
                <w:szCs w:val="14"/>
                <w:b w:val="1"/>
                <w:bCs w:val="1"/>
                <w:color w:val="auto"/>
                <w:w w:val="83"/>
              </w:rPr>
              <w:t>2006</w:t>
            </w:r>
          </w:p>
        </w:tc>
        <w:tc>
          <w:tcPr>
            <w:tcW w:w="84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(Fiscal 2004)</w:t>
            </w:r>
          </w:p>
        </w:tc>
        <w:tc>
          <w:tcPr>
            <w:tcW w:w="28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(Fiscal 2003)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(3)</w:t>
            </w:r>
          </w:p>
        </w:tc>
        <w:tc>
          <w:tcPr>
            <w:tcW w:w="460" w:type="dxa"/>
            <w:vAlign w:val="bottom"/>
          </w:tcPr>
          <w:p>
            <w:pPr>
              <w:spacing w:after="0"/>
              <w:rPr>
                <w:sz w:val="14"/>
                <w:szCs w:val="14"/>
                <w:color w:val="auto"/>
              </w:rPr>
            </w:pPr>
          </w:p>
        </w:tc>
        <w:tc>
          <w:tcPr>
            <w:tcW w:w="3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(In</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(3)</w:t>
            </w: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(Fiscal 2005)</w:t>
            </w:r>
          </w:p>
        </w:tc>
        <w:tc>
          <w:tcPr>
            <w:tcW w:w="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(4)</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(4)</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4480" w:type="dxa"/>
            <w:vAlign w:val="bottom"/>
            <w:gridSpan w:val="10"/>
          </w:tcPr>
          <w:p>
            <w:pPr>
              <w:ind w:left="20"/>
              <w:spacing w:after="0" w:line="142" w:lineRule="exact"/>
              <w:rPr>
                <w:sz w:val="20"/>
                <w:szCs w:val="20"/>
                <w:color w:val="auto"/>
              </w:rPr>
            </w:pPr>
            <w:r>
              <w:rPr>
                <w:rFonts w:ascii="Arial" w:cs="Arial" w:eastAsia="Arial" w:hAnsi="Arial"/>
                <w:sz w:val="14"/>
                <w:szCs w:val="14"/>
                <w:b w:val="1"/>
                <w:bCs w:val="1"/>
                <w:color w:val="auto"/>
                <w:w w:val="92"/>
              </w:rPr>
              <w:t>millions, except per share, weighted average shares and operating data)</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Sales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464.1</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465.4</w:t>
            </w:r>
          </w:p>
        </w:tc>
        <w:tc>
          <w:tcPr>
            <w:tcW w:w="380" w:type="dxa"/>
            <w:vAlign w:val="bottom"/>
          </w:tcPr>
          <w:p>
            <w:pPr>
              <w:spacing w:after="0"/>
              <w:rPr>
                <w:sz w:val="18"/>
                <w:szCs w:val="18"/>
                <w:color w:val="auto"/>
              </w:rPr>
            </w:pP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40"/>
              <w:spacing w:after="0"/>
              <w:rPr>
                <w:sz w:val="20"/>
                <w:szCs w:val="20"/>
                <w:color w:val="auto"/>
              </w:rPr>
            </w:pPr>
            <w:r>
              <w:rPr>
                <w:rFonts w:ascii="Arial" w:cs="Arial" w:eastAsia="Arial" w:hAnsi="Arial"/>
                <w:sz w:val="18"/>
                <w:szCs w:val="18"/>
                <w:color w:val="auto"/>
              </w:rPr>
              <w:t>421.4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365.0</w:t>
            </w:r>
          </w:p>
        </w:tc>
        <w:tc>
          <w:tcPr>
            <w:tcW w:w="580" w:type="dxa"/>
            <w:vAlign w:val="bottom"/>
          </w:tcPr>
          <w:p>
            <w:pPr>
              <w:spacing w:after="0"/>
              <w:rPr>
                <w:sz w:val="18"/>
                <w:szCs w:val="18"/>
                <w:color w:val="auto"/>
              </w:rPr>
            </w:pP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339.3</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Gross profit, net of occupancy costs</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206.0(7)</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211.6</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182.2</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178.1</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168.8</w:t>
            </w: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840"/>
              <w:spacing w:after="0"/>
              <w:rPr>
                <w:sz w:val="20"/>
                <w:szCs w:val="20"/>
                <w:color w:val="auto"/>
              </w:rPr>
            </w:pPr>
            <w:r>
              <w:rPr>
                <w:rFonts w:ascii="Arial" w:cs="Arial" w:eastAsia="Arial" w:hAnsi="Arial"/>
                <w:sz w:val="18"/>
                <w:szCs w:val="18"/>
                <w:color w:val="auto"/>
              </w:rPr>
              <w:t>151.9</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132.5</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115.6</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impairment of assets, store</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closings and severance</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17.4</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w:t>
            </w: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840"/>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10.5</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17.6</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0.5(5)</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1.1(5)</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0.3(10)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(8.6)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5"/>
        </w:trPr>
        <w:tc>
          <w:tcPr>
            <w:tcW w:w="398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 before</w:t>
            </w: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minority interest and taxes</w:t>
            </w:r>
          </w:p>
        </w:tc>
        <w:tc>
          <w:tcPr>
            <w:tcW w:w="160" w:type="dxa"/>
            <w:vAlign w:val="bottom"/>
          </w:tcPr>
          <w:p>
            <w:pPr>
              <w:spacing w:after="0"/>
              <w:rPr>
                <w:sz w:val="19"/>
                <w:szCs w:val="19"/>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6.7</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22.2</w:t>
            </w: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840"/>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0.3</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Less: minority interest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6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2.8</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(21.1)(8)</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(2.8)(8)</w:t>
            </w:r>
          </w:p>
        </w:tc>
        <w:tc>
          <w:tcPr>
            <w:tcW w:w="16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3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Income (loss) from discontinued operations</w:t>
            </w: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(3.5)(6)</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(0.7)</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0.5(10)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(3.6)(11)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0.4</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3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8"/>
                <w:szCs w:val="18"/>
                <w:color w:val="auto"/>
              </w:rPr>
              <w:t>Income (loss) per share from continuing</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9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operations—basic</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0.09</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1.23</w:t>
            </w:r>
          </w:p>
        </w:tc>
        <w:tc>
          <w:tcPr>
            <w:tcW w:w="380" w:type="dxa"/>
            <w:vAlign w:val="bottom"/>
          </w:tcPr>
          <w:p>
            <w:pPr>
              <w:spacing w:after="0"/>
              <w:rPr>
                <w:sz w:val="19"/>
                <w:szCs w:val="19"/>
                <w:color w:val="auto"/>
              </w:rPr>
            </w:pP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40"/>
              <w:spacing w:after="0"/>
              <w:rPr>
                <w:sz w:val="20"/>
                <w:szCs w:val="20"/>
                <w:color w:val="auto"/>
              </w:rPr>
            </w:pPr>
            <w:r>
              <w:rPr>
                <w:rFonts w:ascii="Arial" w:cs="Arial" w:eastAsia="Arial" w:hAnsi="Arial"/>
                <w:sz w:val="18"/>
                <w:szCs w:val="18"/>
                <w:color w:val="auto"/>
              </w:rPr>
              <w:t>0.31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0.03</w:t>
            </w:r>
          </w:p>
        </w:tc>
        <w:tc>
          <w:tcPr>
            <w:tcW w:w="580" w:type="dxa"/>
            <w:vAlign w:val="bottom"/>
          </w:tcPr>
          <w:p>
            <w:pPr>
              <w:spacing w:after="0"/>
              <w:rPr>
                <w:sz w:val="19"/>
                <w:szCs w:val="19"/>
                <w:color w:val="auto"/>
              </w:rPr>
            </w:pP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Income (loss) per share from continuing</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operations—diluted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0.09</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3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0.30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5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322"/>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Net income (loss) per share—basic</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0.01(7)</w:t>
            </w:r>
          </w:p>
        </w:tc>
        <w:tc>
          <w:tcPr>
            <w:tcW w:w="540" w:type="dxa"/>
            <w:vAlign w:val="bottom"/>
            <w:gridSpan w:val="2"/>
          </w:tcPr>
          <w:p>
            <w:pPr>
              <w:ind w:left="38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1.21</w:t>
            </w:r>
          </w:p>
        </w:tc>
        <w:tc>
          <w:tcPr>
            <w:tcW w:w="380" w:type="dxa"/>
            <w:vAlign w:val="bottom"/>
          </w:tcPr>
          <w:p>
            <w:pPr>
              <w:spacing w:after="0"/>
              <w:rPr>
                <w:sz w:val="24"/>
                <w:szCs w:val="24"/>
                <w:color w:val="auto"/>
              </w:rPr>
            </w:pPr>
          </w:p>
        </w:tc>
        <w:tc>
          <w:tcPr>
            <w:tcW w:w="620" w:type="dxa"/>
            <w:vAlign w:val="bottom"/>
            <w:gridSpan w:val="2"/>
          </w:tcPr>
          <w:p>
            <w:pPr>
              <w:ind w:left="46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0.31</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0.04</w:t>
            </w:r>
          </w:p>
        </w:tc>
        <w:tc>
          <w:tcPr>
            <w:tcW w:w="580" w:type="dxa"/>
            <w:vAlign w:val="bottom"/>
          </w:tcPr>
          <w:p>
            <w:pPr>
              <w:spacing w:after="0"/>
              <w:rPr>
                <w:sz w:val="24"/>
                <w:szCs w:val="24"/>
                <w:color w:val="auto"/>
              </w:rPr>
            </w:pPr>
          </w:p>
        </w:tc>
        <w:tc>
          <w:tcPr>
            <w:tcW w:w="440" w:type="dxa"/>
            <w:vAlign w:val="bottom"/>
            <w:gridSpan w:val="2"/>
          </w:tcPr>
          <w:p>
            <w:pPr>
              <w:ind w:left="28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(0.34)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per share—diluted</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0.01</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0.98</w:t>
            </w:r>
          </w:p>
        </w:tc>
        <w:tc>
          <w:tcPr>
            <w:tcW w:w="3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b w:val="1"/>
                <w:bCs w:val="1"/>
                <w:color w:val="auto"/>
              </w:rPr>
              <w:t>0.30</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0.04</w:t>
            </w:r>
          </w:p>
        </w:tc>
        <w:tc>
          <w:tcPr>
            <w:tcW w:w="5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(0.34)</w:t>
            </w:r>
          </w:p>
        </w:tc>
        <w:tc>
          <w:tcPr>
            <w:tcW w:w="0" w:type="dxa"/>
            <w:vAlign w:val="bottom"/>
          </w:tcPr>
          <w:p>
            <w:pPr>
              <w:spacing w:after="0"/>
              <w:rPr>
                <w:sz w:val="1"/>
                <w:szCs w:val="1"/>
                <w:color w:val="auto"/>
              </w:rPr>
            </w:pPr>
          </w:p>
        </w:tc>
      </w:tr>
      <w:tr>
        <w:trPr>
          <w:trHeight w:val="323"/>
        </w:trPr>
        <w:tc>
          <w:tcPr>
            <w:tcW w:w="3980" w:type="dxa"/>
            <w:vAlign w:val="bottom"/>
            <w:gridSpan w:val="2"/>
          </w:tcPr>
          <w:p>
            <w:pPr>
              <w:spacing w:after="0"/>
              <w:rPr>
                <w:sz w:val="20"/>
                <w:szCs w:val="20"/>
                <w:color w:val="auto"/>
              </w:rPr>
            </w:pPr>
            <w:r>
              <w:rPr>
                <w:rFonts w:ascii="Arial" w:cs="Arial" w:eastAsia="Arial" w:hAnsi="Arial"/>
                <w:sz w:val="18"/>
                <w:szCs w:val="18"/>
                <w:color w:val="auto"/>
              </w:rPr>
              <w:t>Weighted average shares outstanding:</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 net income (loss) per share—basic</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41,707</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35,276</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34,306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34,511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35,702</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for net income(loss) per share—diluted</w:t>
            </w:r>
          </w:p>
        </w:tc>
        <w:tc>
          <w:tcPr>
            <w:tcW w:w="160" w:type="dxa"/>
            <w:vAlign w:val="bottom"/>
          </w:tcPr>
          <w:p>
            <w:pPr>
              <w:spacing w:after="0"/>
              <w:rPr>
                <w:sz w:val="19"/>
                <w:szCs w:val="19"/>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43,229</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46,457</w:t>
            </w: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840"/>
              <w:spacing w:after="0"/>
              <w:rPr>
                <w:sz w:val="20"/>
                <w:szCs w:val="20"/>
                <w:color w:val="auto"/>
              </w:rPr>
            </w:pPr>
            <w:r>
              <w:rPr>
                <w:rFonts w:ascii="Arial" w:cs="Arial" w:eastAsia="Arial" w:hAnsi="Arial"/>
                <w:sz w:val="18"/>
                <w:szCs w:val="18"/>
                <w:color w:val="auto"/>
              </w:rPr>
              <w:t>35,860</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36,733</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35,702</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Working capital</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41.0</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66.8</w:t>
            </w:r>
          </w:p>
        </w:tc>
        <w:tc>
          <w:tcPr>
            <w:tcW w:w="380" w:type="dxa"/>
            <w:vAlign w:val="bottom"/>
          </w:tcPr>
          <w:p>
            <w:pPr>
              <w:spacing w:after="0"/>
              <w:rPr>
                <w:sz w:val="18"/>
                <w:szCs w:val="18"/>
                <w:color w:val="auto"/>
              </w:rPr>
            </w:pP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40"/>
              <w:spacing w:after="0"/>
              <w:rPr>
                <w:sz w:val="20"/>
                <w:szCs w:val="20"/>
                <w:color w:val="auto"/>
              </w:rPr>
            </w:pPr>
            <w:r>
              <w:rPr>
                <w:rFonts w:ascii="Arial" w:cs="Arial" w:eastAsia="Arial" w:hAnsi="Arial"/>
                <w:sz w:val="18"/>
                <w:szCs w:val="18"/>
                <w:color w:val="auto"/>
              </w:rPr>
              <w:t>33.3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22.2</w:t>
            </w:r>
          </w:p>
        </w:tc>
        <w:tc>
          <w:tcPr>
            <w:tcW w:w="580" w:type="dxa"/>
            <w:vAlign w:val="bottom"/>
          </w:tcPr>
          <w:p>
            <w:pPr>
              <w:spacing w:after="0"/>
              <w:rPr>
                <w:sz w:val="18"/>
                <w:szCs w:val="18"/>
                <w:color w:val="auto"/>
              </w:rPr>
            </w:pP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48.4</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117.8</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114.5</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91.5</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62.2</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59.1</w:t>
            </w: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840"/>
              <w:spacing w:after="0"/>
              <w:rPr>
                <w:sz w:val="20"/>
                <w:szCs w:val="20"/>
                <w:color w:val="auto"/>
              </w:rPr>
            </w:pPr>
            <w:r>
              <w:rPr>
                <w:rFonts w:ascii="Arial" w:cs="Arial" w:eastAsia="Arial" w:hAnsi="Arial"/>
                <w:sz w:val="18"/>
                <w:szCs w:val="18"/>
                <w:color w:val="auto"/>
              </w:rPr>
              <w:t>51.3</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74.7</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68.3</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325.4</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283.8</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Long term debt</w:t>
            </w:r>
          </w:p>
        </w:tc>
        <w:tc>
          <w:tcPr>
            <w:tcW w:w="16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12.5</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840"/>
              <w:spacing w:after="0"/>
              <w:rPr>
                <w:sz w:val="20"/>
                <w:szCs w:val="20"/>
                <w:color w:val="auto"/>
              </w:rPr>
            </w:pPr>
            <w:r>
              <w:rPr>
                <w:rFonts w:ascii="Arial" w:cs="Arial" w:eastAsia="Arial" w:hAnsi="Arial"/>
                <w:sz w:val="18"/>
                <w:szCs w:val="18"/>
                <w:color w:val="auto"/>
              </w:rPr>
              <w:t>95.4</w:t>
            </w:r>
          </w:p>
        </w:tc>
        <w:tc>
          <w:tcPr>
            <w:tcW w:w="16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117.8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122.4</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181.9</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89.2</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OPERATING DATA:</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sales per square foot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208</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211</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195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5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Number of stores open at fiscal year end</w:t>
            </w:r>
          </w:p>
        </w:tc>
        <w:tc>
          <w:tcPr>
            <w:tcW w:w="160" w:type="dxa"/>
            <w:vAlign w:val="bottom"/>
          </w:tcPr>
          <w:p>
            <w:pPr>
              <w:spacing w:after="0"/>
              <w:rPr>
                <w:sz w:val="19"/>
                <w:szCs w:val="19"/>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488</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508</w:t>
            </w: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840"/>
              <w:spacing w:after="0"/>
              <w:rPr>
                <w:sz w:val="20"/>
                <w:szCs w:val="20"/>
                <w:color w:val="auto"/>
              </w:rPr>
            </w:pPr>
            <w:r>
              <w:rPr>
                <w:rFonts w:ascii="Arial" w:cs="Arial" w:eastAsia="Arial" w:hAnsi="Arial"/>
                <w:sz w:val="18"/>
                <w:szCs w:val="18"/>
                <w:color w:val="auto"/>
              </w:rPr>
              <w:t>518</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527</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560</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fiscal year is a 52 or 53 week period ending on the Saturday closest to January 31. The fiscal year ending February 3, 2007 included 53 weeks.</w:t>
      </w:r>
    </w:p>
    <w:p>
      <w:pPr>
        <w:spacing w:after="0" w:line="18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results for fiscal 2004 include the effect, since October 30, 2004, of the acquisition of Rochester Big &amp; Tall Clothing.</w:t>
      </w:r>
    </w:p>
    <w:p>
      <w:pPr>
        <w:spacing w:after="0" w:line="15" w:lineRule="exact"/>
        <w:rPr>
          <w:rFonts w:ascii="Arial" w:cs="Arial" w:eastAsia="Arial" w:hAnsi="Arial"/>
          <w:sz w:val="18"/>
          <w:szCs w:val="18"/>
          <w:color w:val="auto"/>
        </w:rPr>
      </w:pPr>
    </w:p>
    <w:p>
      <w:pPr>
        <w:ind w:left="460" w:right="140" w:hanging="452"/>
        <w:spacing w:after="0" w:line="281"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During the fourth quarter of fiscal 2007, we exited our Jared M. business. In accordance with Statement of Financial Accounting Standards (“SFAS”) No. 144, “Accounting for the Impairment or Disposal of Long-Lived Assets,” we have shown the results of our Jared M. business, since its acquisition in fiscal 2006, as discontinued operations. Accordingly, certain prior-year amounts on the Income Statement Data for fiscal 2006 have been reclassified to discontinued operations to conform to the current-year presentation. Subsequent to the end of fiscal 2007, we sold our Jared M. business for $250,000. No material gain or loss is expected on the sale. See Note J to the Notes to the Consolidated Financial Statements for a complete description.</w:t>
      </w:r>
    </w:p>
    <w:p>
      <w:pPr>
        <w:spacing w:after="0" w:line="3" w:lineRule="exact"/>
        <w:rPr>
          <w:rFonts w:ascii="Arial" w:cs="Arial" w:eastAsia="Arial" w:hAnsi="Arial"/>
          <w:sz w:val="16"/>
          <w:szCs w:val="16"/>
          <w:color w:val="auto"/>
        </w:rPr>
      </w:pPr>
    </w:p>
    <w:p>
      <w:pPr>
        <w:ind w:left="460" w:right="360" w:hanging="452"/>
        <w:spacing w:after="0" w:line="218"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fiscal 2004, we completed the closure of our Levi’s</w:t>
      </w:r>
      <w:r>
        <w:rPr>
          <w:rFonts w:ascii="Arial" w:cs="Arial" w:eastAsia="Arial" w:hAnsi="Arial"/>
          <w:sz w:val="21"/>
          <w:szCs w:val="21"/>
          <w:color w:val="auto"/>
          <w:vertAlign w:val="superscript"/>
        </w:rPr>
        <w:t>®</w:t>
      </w:r>
      <w:r>
        <w:rPr>
          <w:rFonts w:ascii="Arial" w:cs="Arial" w:eastAsia="Arial" w:hAnsi="Arial"/>
          <w:sz w:val="17"/>
          <w:szCs w:val="17"/>
          <w:color w:val="auto"/>
        </w:rPr>
        <w:t>/Dockers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business through the sale of 32 stores and the closure of the remaining 26 stores. The results of our Levi’s</w:t>
      </w:r>
      <w:r>
        <w:rPr>
          <w:rFonts w:ascii="Arial" w:cs="Arial" w:eastAsia="Arial" w:hAnsi="Arial"/>
          <w:sz w:val="21"/>
          <w:szCs w:val="21"/>
          <w:color w:val="auto"/>
          <w:vertAlign w:val="superscript"/>
        </w:rPr>
        <w:t>®</w:t>
      </w:r>
      <w:r>
        <w:rPr>
          <w:rFonts w:ascii="Arial" w:cs="Arial" w:eastAsia="Arial" w:hAnsi="Arial"/>
          <w:sz w:val="17"/>
          <w:szCs w:val="17"/>
          <w:color w:val="auto"/>
        </w:rPr>
        <w:t>/Dockers business for fiscal 2004 and fiscal 2003 have been shown as discontinued operations.</w:t>
      </w:r>
    </w:p>
    <w:p>
      <w:pPr>
        <w:spacing w:after="0" w:line="1" w:lineRule="exact"/>
        <w:rPr>
          <w:rFonts w:ascii="Arial" w:cs="Arial" w:eastAsia="Arial" w:hAnsi="Arial"/>
          <w:sz w:val="17"/>
          <w:szCs w:val="17"/>
          <w:color w:val="auto"/>
        </w:rPr>
      </w:pPr>
    </w:p>
    <w:p>
      <w:pPr>
        <w:ind w:left="460" w:right="100" w:hanging="452"/>
        <w:spacing w:after="0" w:line="24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results for fiscal 2006 include other income of $1.1 million related to our initial gain on the sale of LP Innovations, Inc. in the amount of $1.5 million. This gain was offset slightly by approximately $0.4 million of unrelated non-operating expenses primarily related to legal costs. Fiscal 2007 includes other income of $0.5 million related the annual recognition of the deferred gain on sale. See Note L to the Notes to the Consolidated Financial Statements for further details.</w:t>
      </w:r>
    </w:p>
    <w:p>
      <w:pPr>
        <w:spacing w:after="0" w:line="1"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Discontinued operations for fiscal 2007 include a charge of $2.6 million recorded during the third and fourth quarters of fiscal 2007 related to the exiting of our Jared M. business. Of the $2.6 million charge, $1.1 million related to the write-down of inventory, $1.4 million for the impairment of fixed assets and $0.1 million for the write-down of accounts receivables and other assets.</w:t>
      </w:r>
    </w:p>
    <w:p>
      <w:pPr>
        <w:spacing w:after="0" w:line="1"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the fourth quarter of fiscal 2007, we recorded a charge to gross margin of approximately $6.1 million, or $0.08 per diluted share, for the write-down of inventory for both our Casual Male and Rochester businesses.</w:t>
      </w:r>
    </w:p>
    <w:p>
      <w:pPr>
        <w:ind w:left="460" w:hanging="452"/>
        <w:spacing w:after="0" w:line="281"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the fourth quarter of fiscal 2006, we reversed $31.0 million of our deferred tax valuation allowance of which $30.5 million was recognized as an income tax benefit and $0.5 million was recorded as an adjustment to additional paid-in capital. The income tax benefit of $30.5 million was partially offset by $8.9 million in tax provisions. In the fourth quarter of fiscal 2005, we recognized an income tax benefit of $2.8 million associated with the partial reversal of $3.1 million of our valuation allowance. This benefit was partially offset by $0.3 million in tax provisions. For a discussion of the valuation allowance reversals, see Note D to the Notes to the Consolidated Financial Statements.</w:t>
      </w:r>
    </w:p>
    <w:p>
      <w:pPr>
        <w:spacing w:after="0" w:line="3" w:lineRule="exact"/>
        <w:rPr>
          <w:rFonts w:ascii="Arial" w:cs="Arial" w:eastAsia="Arial" w:hAnsi="Arial"/>
          <w:sz w:val="16"/>
          <w:szCs w:val="16"/>
          <w:color w:val="auto"/>
        </w:rPr>
      </w:pPr>
    </w:p>
    <w:p>
      <w:pPr>
        <w:ind w:left="460" w:right="20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results for fiscal 2005 include other expenses of $1.0 million related to a $1.2 million prepayment penalty associated with the early repayment of our mortgage on our corporate headquarters offset partially by income of $0.2 million of bond discount, net of the write-off of deferred financing costs, recognized on the early prepayment of $5.3 million of our convertible notes due 2024.</w:t>
      </w:r>
    </w:p>
    <w:p>
      <w:pPr>
        <w:spacing w:after="0" w:line="1" w:lineRule="exact"/>
        <w:rPr>
          <w:rFonts w:ascii="Arial" w:cs="Arial" w:eastAsia="Arial" w:hAnsi="Arial"/>
          <w:sz w:val="18"/>
          <w:szCs w:val="18"/>
          <w:color w:val="auto"/>
        </w:rPr>
      </w:pPr>
    </w:p>
    <w:p>
      <w:pPr>
        <w:ind w:left="460" w:right="80" w:hanging="452"/>
        <w:spacing w:after="0" w:line="22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results for fiscal 2004 include other income of $0.3 million related to the $3.1 million gain on our sale of our 50.5% interest in the Ecko Unltd.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stores to Ecko.Complex, LLC, offset partially by approximately $1.9 million of costs incurred in the second quarter of fiscal 2004 related to our prepayment of our 12% Senior Subordinated Notes, due 2010, in addition to a write-off of approximately $0.9 million related to previously incurred costs associated with our intended spin-off of our subsidiary LP Innovations, Inc. which was postponed in fiscal 2004. Discontinued operations for fiscal 2004 include a gain of $1.2 million recognized from the sale of our 32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and reversal of approximately $2.5 million of restructuring reserves associated with these stores.</w:t>
      </w:r>
    </w:p>
    <w:p>
      <w:pPr>
        <w:spacing w:after="0" w:line="5" w:lineRule="exact"/>
        <w:rPr>
          <w:rFonts w:ascii="Arial" w:cs="Arial" w:eastAsia="Arial" w:hAnsi="Arial"/>
          <w:sz w:val="18"/>
          <w:szCs w:val="18"/>
          <w:color w:val="auto"/>
        </w:rPr>
      </w:pPr>
    </w:p>
    <w:p>
      <w:pPr>
        <w:ind w:left="460" w:right="100" w:hanging="452"/>
        <w:spacing w:after="0" w:line="251"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results for fiscal 2003 include a charge of approximately $14.1 million, primarily related to the write-off of costs and prepayment penalties incurred in connection with our prepayment of our long-term debt. Included in discontinued operations for fiscal 2003 is the reversal of $646,000 of restructuring liabilities related to excess reserves established for landlord settlements.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As noted above, this Annual Report on Form 10-K, including, without limitation, this Item 7, contains “forward-looking statements” within the meaning of the United States Private Securities Litigation Reform Act of 1995. Actual results or developments could differ materially from those projected in such statements, including, without limitation, those set forth below under “Executive Overview—Fiscal 2008 Expectations,” as a result of numerous factors, including, without limitation, those risks and uncertainties set forth in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which you are encouraged to read. The following discussion and analysis of our financial condition and results of operations should be read in light of those risks and uncertainties and in conjunction with our accompanying Consolidated Financial Statements and Notes thereto.</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results from continued operations and net earnings for fiscal 2007 were below our expectations. Our fourth quarter performance was negatively impacted by a weakening retail market caused by general weakness in the economy. The resulting lower traffic and reduced spending during the holiday season significantly impacted our expected comparable sales, which were a significant factor underlying our fiscal 2007 earnings guidance of $0.24 to $0.28 per diluted share. We were expecting a comparable sales increase of between 4% to 7% during the fourth quarter, but comparable sales were essentially flat resulting in overall lower sales of approximately $10.0 million for the quarter. In addition, our gross margin for the fourth quarter was negatively impacted by a charge of approximately $6.1 million in inventory reductions, affecting both our Casual Male and Rochester businesses. Operating income from continuing operations for fiscal 2007 was $10.5 million, a decrease of $16.0 million from fiscal 2006. The primary reasons for this decrease were: (i) an additional $1.0 million in operating income in fiscal 2006 as the result of the 53rd week, (ii) increased selling, general &amp; administrative (“SG&amp;A”) costs of $9.2 million, $6.0 million of which related to our new businesses, which are described below, (iii) a charge of $6.1 million related to the write-down of inventory, and (iv) an operating loss of $1.5 million from our new businesses.</w:t>
      </w:r>
    </w:p>
    <w:p>
      <w:pPr>
        <w:spacing w:after="0" w:line="12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Despite our limited sales growth and profitability during fiscal 2007, we made significant progress toward increasing the breadth of our direct businesses which is in line with our long term strategies to grow our market share. We continue to see strong growth, with both Casual Male and Rochester direct businesses, of double digit comparable sale increases and we believe that this level of growth can continue. During fiscal 2007, we invested additional SG&amp;A of approximately $2.0 million into our existing direct businesses. Building on this growth, we launched three new lifestyle product extensions to complement our existing businesses. The performance of these three direct businesses, described below, was solid, with aggregate sales of $8.9 million and a combined operating loss of $1.5 million.</w:t>
      </w:r>
    </w:p>
    <w:p>
      <w:pPr>
        <w:spacing w:after="0" w:line="63" w:lineRule="exact"/>
        <w:rPr>
          <w:sz w:val="20"/>
          <w:szCs w:val="20"/>
          <w:color w:val="auto"/>
        </w:rPr>
      </w:pPr>
    </w:p>
    <w:p>
      <w:pPr>
        <w:jc w:val="both"/>
        <w:ind w:left="780" w:right="100" w:hanging="326"/>
        <w:spacing w:after="0" w:line="306" w:lineRule="auto"/>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We launched our first B&amp;T Factory Direct catalog for Spring 2007. This new catalog offering, along with our new e-commerce site </w:t>
      </w:r>
      <w:r>
        <w:rPr>
          <w:rFonts w:ascii="Arial" w:cs="Arial" w:eastAsia="Arial" w:hAnsi="Arial"/>
          <w:sz w:val="16"/>
          <w:szCs w:val="16"/>
          <w:i w:val="1"/>
          <w:iCs w:val="1"/>
          <w:color w:val="auto"/>
        </w:rPr>
        <w:t>www.btdirect.com</w:t>
      </w:r>
      <w:r>
        <w:rPr>
          <w:rFonts w:ascii="Arial" w:cs="Arial" w:eastAsia="Arial" w:hAnsi="Arial"/>
          <w:sz w:val="16"/>
          <w:szCs w:val="16"/>
          <w:color w:val="auto"/>
        </w:rPr>
        <w:t xml:space="preserve"> which we launched in Fall 2006, allows us an opportunity to cater to our value-oriented customers. We carry several private label lines which are very similar in fashion and style to our private label lines in our retail stores but are made at lower costs and sold at lower price points.</w:t>
      </w:r>
    </w:p>
    <w:p>
      <w:pPr>
        <w:spacing w:after="0" w:line="25" w:lineRule="exact"/>
        <w:rPr>
          <w:rFonts w:ascii="Arial" w:cs="Arial" w:eastAsia="Arial" w:hAnsi="Arial"/>
          <w:sz w:val="16"/>
          <w:szCs w:val="16"/>
          <w:color w:val="auto"/>
        </w:rPr>
      </w:pPr>
    </w:p>
    <w:p>
      <w:pPr>
        <w:ind w:left="780" w:right="380" w:hanging="326"/>
        <w:spacing w:after="0" w:line="306" w:lineRule="auto"/>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During the first quarter of fiscal 2007, we launched our website </w:t>
      </w:r>
      <w:r>
        <w:rPr>
          <w:rFonts w:ascii="Arial" w:cs="Arial" w:eastAsia="Arial" w:hAnsi="Arial"/>
          <w:sz w:val="16"/>
          <w:szCs w:val="16"/>
          <w:i w:val="1"/>
          <w:iCs w:val="1"/>
          <w:color w:val="auto"/>
        </w:rPr>
        <w:t>www.livingXL.com</w:t>
      </w:r>
      <w:r>
        <w:rPr>
          <w:rFonts w:ascii="Arial" w:cs="Arial" w:eastAsia="Arial" w:hAnsi="Arial"/>
          <w:sz w:val="16"/>
          <w:szCs w:val="16"/>
          <w:color w:val="auto"/>
        </w:rPr>
        <w:t>. The website provides our customers a collection of unique, innovative and high quality products for tall and plus-sized men and women to help them achieve a more comfortable lifestyle. During the second quarter of fiscal 2007, we launched the Living XL catalog, which carries similar products as the website.</w:t>
      </w:r>
    </w:p>
    <w:p>
      <w:pPr>
        <w:spacing w:after="0" w:line="25" w:lineRule="exact"/>
        <w:rPr>
          <w:rFonts w:ascii="Arial" w:cs="Arial" w:eastAsia="Arial" w:hAnsi="Arial"/>
          <w:sz w:val="16"/>
          <w:szCs w:val="16"/>
          <w:color w:val="auto"/>
        </w:rPr>
      </w:pPr>
    </w:p>
    <w:p>
      <w:pPr>
        <w:jc w:val="both"/>
        <w:ind w:left="780" w:right="120" w:hanging="326"/>
        <w:spacing w:after="0" w:line="259"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During the third quarter of fiscal 2007, we launched our new website </w:t>
      </w:r>
      <w:r>
        <w:rPr>
          <w:rFonts w:ascii="Arial" w:cs="Arial" w:eastAsia="Arial" w:hAnsi="Arial"/>
          <w:sz w:val="18"/>
          <w:szCs w:val="18"/>
          <w:i w:val="1"/>
          <w:iCs w:val="1"/>
          <w:color w:val="auto"/>
        </w:rPr>
        <w:t>www.shoesXL.com</w:t>
      </w:r>
      <w:r>
        <w:rPr>
          <w:rFonts w:ascii="Arial" w:cs="Arial" w:eastAsia="Arial" w:hAnsi="Arial"/>
          <w:sz w:val="18"/>
          <w:szCs w:val="18"/>
          <w:color w:val="auto"/>
        </w:rPr>
        <w:t>, which carries a complete line of men’s footwear in extended sizes. This website offers our customers a full range of footwear in hard-to-find sizes. Our plan is to significantly increase our sales penetration in the shoe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spacing w:after="0" w:line="259" w:lineRule="auto"/>
        <w:rPr>
          <w:sz w:val="20"/>
          <w:szCs w:val="20"/>
          <w:color w:val="auto"/>
        </w:rPr>
      </w:pPr>
      <w:r>
        <w:rPr>
          <w:rFonts w:ascii="Arial" w:cs="Arial" w:eastAsia="Arial" w:hAnsi="Arial"/>
          <w:sz w:val="18"/>
          <w:szCs w:val="18"/>
          <w:color w:val="auto"/>
        </w:rPr>
        <w:t xml:space="preserve">product category to levels which are more in line with men’s apparel spending for shoes. We have added the expanded shoe assortments within our existing Casual Male and Rochester catalogs, including on our websites, </w:t>
      </w:r>
      <w:r>
        <w:rPr>
          <w:rFonts w:ascii="Arial" w:cs="Arial" w:eastAsia="Arial" w:hAnsi="Arial"/>
          <w:sz w:val="18"/>
          <w:szCs w:val="18"/>
          <w:i w:val="1"/>
          <w:iCs w:val="1"/>
          <w:color w:val="auto"/>
        </w:rPr>
        <w:t>www.casualmaleXL.com</w:t>
      </w:r>
      <w:r>
        <w:rPr>
          <w:rFonts w:ascii="Arial" w:cs="Arial" w:eastAsia="Arial" w:hAnsi="Arial"/>
          <w:sz w:val="18"/>
          <w:szCs w:val="18"/>
          <w:color w:val="auto"/>
        </w:rPr>
        <w:t xml:space="preserve"> and </w:t>
      </w:r>
      <w:r>
        <w:rPr>
          <w:rFonts w:ascii="Arial" w:cs="Arial" w:eastAsia="Arial" w:hAnsi="Arial"/>
          <w:sz w:val="18"/>
          <w:szCs w:val="18"/>
          <w:i w:val="1"/>
          <w:iCs w:val="1"/>
          <w:color w:val="auto"/>
        </w:rPr>
        <w:t>www.rochesterclothing.com</w:t>
      </w:r>
      <w:r>
        <w:rPr>
          <w:rFonts w:ascii="Arial" w:cs="Arial" w:eastAsia="Arial" w:hAnsi="Arial"/>
          <w:sz w:val="18"/>
          <w:szCs w:val="18"/>
          <w:color w:val="auto"/>
        </w:rPr>
        <w:t xml:space="preserve">, as well as featuring the entire shoe product assortments on </w:t>
      </w:r>
      <w:r>
        <w:rPr>
          <w:rFonts w:ascii="Arial" w:cs="Arial" w:eastAsia="Arial" w:hAnsi="Arial"/>
          <w:sz w:val="18"/>
          <w:szCs w:val="18"/>
          <w:i w:val="1"/>
          <w:iCs w:val="1"/>
          <w:color w:val="auto"/>
        </w:rPr>
        <w:t>www.shoesXL.com</w:t>
      </w:r>
      <w:r>
        <w:rPr>
          <w:rFonts w:ascii="Arial" w:cs="Arial" w:eastAsia="Arial" w:hAnsi="Arial"/>
          <w:sz w:val="18"/>
          <w:szCs w:val="18"/>
          <w:color w:val="auto"/>
        </w:rPr>
        <w:t>.</w:t>
      </w:r>
    </w:p>
    <w:p>
      <w:pPr>
        <w:spacing w:after="0" w:line="15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We also continue to improve the merchandising of our brands. With respect to our Rochester business, toward the end of fiscal 2007, we started to shift our merchandise, which has predominantly been traditional in style, to a more balanced mix of traditional and modern styles, which includes a selection of high denim. Our customers have responded well to the new brands that we are introducing and we plan to increase these offerings during fiscal 2008. With respect to our Casual Male business, we continue to increase of our offering of private label merchandise and this year introduced </w:t>
      </w:r>
      <w:r>
        <w:rPr>
          <w:rFonts w:ascii="Arial" w:cs="Arial" w:eastAsia="Arial" w:hAnsi="Arial"/>
          <w:sz w:val="18"/>
          <w:szCs w:val="18"/>
          <w:i w:val="1"/>
          <w:iCs w:val="1"/>
          <w:color w:val="auto"/>
        </w:rPr>
        <w:t>Oak Hill</w:t>
      </w:r>
      <w:r>
        <w:rPr>
          <w:rFonts w:ascii="Arial" w:cs="Arial" w:eastAsia="Arial" w:hAnsi="Arial"/>
          <w:sz w:val="18"/>
          <w:szCs w:val="18"/>
          <w:color w:val="auto"/>
        </w:rPr>
        <w:t xml:space="preserve">, which is a more upscale and higher quality line than our traditional </w:t>
      </w:r>
      <w:r>
        <w:rPr>
          <w:rFonts w:ascii="Arial" w:cs="Arial" w:eastAsia="Arial" w:hAnsi="Arial"/>
          <w:sz w:val="18"/>
          <w:szCs w:val="18"/>
          <w:i w:val="1"/>
          <w:iCs w:val="1"/>
          <w:color w:val="auto"/>
        </w:rPr>
        <w:t>Harbor Bay</w:t>
      </w:r>
      <w:r>
        <w:rPr>
          <w:rFonts w:ascii="Arial" w:cs="Arial" w:eastAsia="Arial" w:hAnsi="Arial"/>
          <w:sz w:val="18"/>
          <w:szCs w:val="18"/>
          <w:color w:val="auto"/>
        </w:rPr>
        <w: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Discontinued operations—Jared M.</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During the fourth quarter of fiscal 2007, we exited our Jared M. business. We purchased Jared M. in May 2006 in an effort to expand upon the custom clothing business and develop a direct sales capability within our Rochester business, which would cater to a very discriminating and select customer base. However, based on the financial performance of Jared M. since the acquisition, we did not believe that Jared M. has the scalability and potential profitability as a long-term strategy. As a result, we decided to exit our Jared M. operations.</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As a result of this decision, we recorded a total non-cash charge of $2.6 million relating to the impairment of fixed assets, the write-down of inventory and the write-off of certain other assets. Of the $2.6 million charge, approximately $1.1 million related to the write-down of inventory and the remaining $1.5 million related to the write-off of fixed assets and other assets. In accordance with the provisions of Statement of Financial Accounting Standard (“SFAS”) No. 144, </w:t>
      </w:r>
      <w:r>
        <w:rPr>
          <w:rFonts w:ascii="Arial" w:cs="Arial" w:eastAsia="Arial" w:hAnsi="Arial"/>
          <w:sz w:val="16"/>
          <w:szCs w:val="16"/>
          <w:i w:val="1"/>
          <w:iCs w:val="1"/>
          <w:color w:val="auto"/>
        </w:rPr>
        <w:t xml:space="preserve">Accounting for the Impairment or Disposal of Long-Lived Assets </w:t>
      </w:r>
      <w:r>
        <w:rPr>
          <w:rFonts w:ascii="Arial" w:cs="Arial" w:eastAsia="Arial" w:hAnsi="Arial"/>
          <w:sz w:val="16"/>
          <w:szCs w:val="16"/>
          <w:color w:val="auto"/>
        </w:rPr>
        <w:t>(“SFAS No. 144”), the results of operations for our Jared M. business for fiscal 2007 and fiscal</w:t>
      </w:r>
      <w:r>
        <w:rPr>
          <w:rFonts w:ascii="Arial" w:cs="Arial" w:eastAsia="Arial" w:hAnsi="Arial"/>
          <w:sz w:val="16"/>
          <w:szCs w:val="16"/>
          <w:i w:val="1"/>
          <w:iCs w:val="1"/>
          <w:color w:val="auto"/>
        </w:rPr>
        <w:t xml:space="preserve"> </w:t>
      </w:r>
      <w:r>
        <w:rPr>
          <w:rFonts w:ascii="Arial" w:cs="Arial" w:eastAsia="Arial" w:hAnsi="Arial"/>
          <w:sz w:val="16"/>
          <w:szCs w:val="16"/>
          <w:color w:val="auto"/>
        </w:rPr>
        <w:t>2006 have been reclassified to discontinued operations for both fiscal years.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Subsequent to the end of fiscal 2007, on February 19, 2008, we sold our Jared M. business to a third party for a cash purchase price of $250,000.</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Fiscal 2008 Expectations</w:t>
      </w:r>
    </w:p>
    <w:p>
      <w:pPr>
        <w:spacing w:after="0" w:line="90"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We continue to focus on driving our operating margin performance while also striving to achieve our long-term goal of growing our market share of the big &amp; tall market. We believe that market share growth will not only be gained from existing brands and products, but also in improving our existing brands, creating new brands directed toward certain market segments, and offering other products appropriate for our target market.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grow market share by:</w:t>
      </w:r>
    </w:p>
    <w:p>
      <w:pPr>
        <w:spacing w:after="0" w:line="90" w:lineRule="exact"/>
        <w:rPr>
          <w:sz w:val="20"/>
          <w:szCs w:val="20"/>
          <w:color w:val="auto"/>
        </w:rPr>
      </w:pPr>
    </w:p>
    <w:p>
      <w:pPr>
        <w:ind w:left="780" w:hanging="326"/>
        <w:spacing w:after="0" w:line="259"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intensifying our goal of improving market share by increasing our marketing spend to almost 8% of sales, up from just over 7% in fiscal 2007. This increase will support the mass media marketing campaign which is planned for the second quarter of fiscal 2008, without compromising our traditional direct mail campaigns;</w:t>
      </w:r>
    </w:p>
    <w:p>
      <w:pPr>
        <w:spacing w:after="0" w:line="59" w:lineRule="exact"/>
        <w:rPr>
          <w:rFonts w:ascii="Arial" w:cs="Arial" w:eastAsia="Arial" w:hAnsi="Arial"/>
          <w:sz w:val="18"/>
          <w:szCs w:val="18"/>
          <w:color w:val="auto"/>
        </w:rPr>
      </w:pPr>
    </w:p>
    <w:p>
      <w:pPr>
        <w:ind w:left="780" w:right="68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focus on customer service by providing better sales training and development tools to our sales associates to enhance our customer experience;</w:t>
      </w:r>
    </w:p>
    <w:p>
      <w:pPr>
        <w:spacing w:after="0" w:line="50" w:lineRule="exact"/>
        <w:rPr>
          <w:rFonts w:ascii="Arial" w:cs="Arial" w:eastAsia="Arial" w:hAnsi="Arial"/>
          <w:sz w:val="18"/>
          <w:szCs w:val="18"/>
          <w:color w:val="auto"/>
        </w:rPr>
      </w:pPr>
    </w:p>
    <w:p>
      <w:pPr>
        <w:ind w:left="780" w:right="62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improving upon our methodology of planning and allocating appropriate assortments to each store, considering the demographics and lifestyle tendencies of each store location;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280" w:hanging="326"/>
        <w:spacing w:after="0" w:line="268"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continuing to grow our direct businesses, including Living XL, Shoes XL and B&amp;T Factory Direct, and launching our primary brands, Casual Male XL and Rochester, on web sites in the European Union in the third quarter of fiscal 2008.</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these ways, we expect to continue to produce gains in market share and, accordingly, sales volume increases, maintain and slightly improve upon our gross margins, and slow the SG&amp;A expense growth incurred in fiscal 2006 and 2007, resulting in our expectations to show healthy operating margin growth with increases in our cash flow.</w:t>
      </w:r>
    </w:p>
    <w:p>
      <w:pPr>
        <w:spacing w:after="0" w:line="14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are able to market our merchandise to a variety of target customer market segments, both geographically by store and by lifestyle. We are able to identify, through statistical clustering, our key customer groups, their demographics and their purchasing habits. Just as important, we are better able to service our customers’ size requirements throughout the chain, either by being in-stock of the sizes in demand at the store level, or providing to our customers the sizes required from our direct fulfillment center. With access to this type of information, we have been able to improve upon our merchandising strategies and inventory management, which we expect will result in sales growth and margin improvements.</w:t>
      </w:r>
    </w:p>
    <w:p>
      <w:pPr>
        <w:spacing w:after="0" w:line="116" w:lineRule="exact"/>
        <w:rPr>
          <w:sz w:val="20"/>
          <w:szCs w:val="20"/>
          <w:color w:val="auto"/>
        </w:rPr>
      </w:pPr>
    </w:p>
    <w:p>
      <w:pPr>
        <w:jc w:val="both"/>
        <w:ind w:right="40" w:firstLine="456"/>
        <w:spacing w:after="0" w:line="303" w:lineRule="auto"/>
        <w:rPr>
          <w:sz w:val="20"/>
          <w:szCs w:val="20"/>
          <w:color w:val="auto"/>
        </w:rPr>
      </w:pPr>
      <w:r>
        <w:rPr>
          <w:rFonts w:ascii="Arial" w:cs="Arial" w:eastAsia="Arial" w:hAnsi="Arial"/>
          <w:sz w:val="15"/>
          <w:szCs w:val="15"/>
          <w:color w:val="auto"/>
        </w:rPr>
        <w:t>Given the uncertainty in the retail market as a whole, for fiscal 2008 we expect our sales to range between $470—$480 million, based on comparable sales from our core businesses of between flat to -2.0% . We have seen a steady increase in our gross margin rate over the past several years as a result of our improved operating systems and the development of a strong private label program. We expect a modest increase in gross margin for fiscal 2008 of 50-75 basis points.</w:t>
      </w:r>
    </w:p>
    <w:p>
      <w:pPr>
        <w:spacing w:after="0" w:line="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Although strong expense control will be a priority in fiscal 2008, it will also be important that we invest our SG&amp;A dollars into the right initiatives, which we believe are the above described merchandising and marketing initiatives. We expect that our total SG&amp;A for fiscal 2008 will approximate $180 million. Based on these assumptions, we anticipate that our earnings for fiscal 2008 will approximate $0.25-$0.30 per diluted share.</w:t>
      </w:r>
    </w:p>
    <w:p>
      <w:pPr>
        <w:spacing w:after="0" w:line="1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90" w:lineRule="exact"/>
        <w:rPr>
          <w:sz w:val="20"/>
          <w:szCs w:val="20"/>
          <w:color w:val="auto"/>
        </w:rPr>
      </w:pPr>
    </w:p>
    <w:p>
      <w:pPr>
        <w:ind w:right="620" w:firstLine="456"/>
        <w:spacing w:after="0" w:line="259" w:lineRule="auto"/>
        <w:rPr>
          <w:sz w:val="20"/>
          <w:szCs w:val="20"/>
          <w:color w:val="auto"/>
        </w:rPr>
      </w:pPr>
      <w:r>
        <w:rPr>
          <w:rFonts w:ascii="Arial" w:cs="Arial" w:eastAsia="Arial" w:hAnsi="Arial"/>
          <w:sz w:val="18"/>
          <w:szCs w:val="18"/>
          <w:color w:val="auto"/>
        </w:rPr>
        <w:t>We report our operations as one reportable segment, Big &amp; Tall Men’s Apparel, which consists of our two operating segments—Casual Male and Rochester. We consider our operating segments to be similar in terms of economic characteristic, production processes and operations, and have therefore aggregated them into a single reporting segment.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Our fiscal year is a 52- or 53-week period ending on the Saturday closest to January 31. Both fiscal 2007 and fiscal 2005 were 52- week periods. Fiscal 2006, which ended February 3, 2007, covered 53 weeks. Comparable sales for fiscal 2007 were based on a 52-week comparison to fiscal 2006. Sales and operating income for the additional 53rd week in fiscal 2006 approximated $6.7 million and $1.0 million, respectively.</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Comparable sales for all periods include our retail stores that have been open for at least one full fiscal year together with our e-commerce and catalog sales. Stores that have been remodeled, expanded or re-located during the period are also included in our determination of comparable sales. We include our direct businesses, with the exception of Living XL, as part of our calculation of comparable sales since we are a multi-channel retailer, offering our customers convenient alternatives for their shopping. The method of calculating comparable sales varies across the retail industry and, as a result, our calculation of comparable sales is not necessarily comparable to similarly titled measures reported by other companies.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SALES.</w:t>
      </w:r>
    </w:p>
    <w:p>
      <w:pPr>
        <w:spacing w:after="0" w:line="9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Sales for the 52 weeks in fiscal 2007 were $464.1 million as compared to $465.4 million for the 53 weeks in fiscal 2006. Sales for the additional week in fiscal 2006 approximated $6.7 million. On a 52-week comparable basis, total sales for fiscal 2007 increased $5.4 million as compared to sales of $458.7 million for the 52 weeks of fiscal 2006.</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sales increase was due to increases in our direct channels, including our new businesses, Living XL, Shoes XL and B&amp;T Factory Direct, which had aggregate sales of $8.9 million for fiscal 2007. These increases were offset by decreases from both our Rochester and Casual Male stores. Similar to many in the retail industry, the last six months of fiscal 2007 proved to be a difficult environment with unseasonably warm weather which slowed sales of our fall and early winter merchandise and the overall weakness in the economy which negatively affected our holiday season. We felt a sharp drop in customer traffic during the fourth quarter, which approached almost a 7% decrease as we neared our holiday selling season. Comparable sales for fiscal 2007 increased 2% as compared to fiscal 2006, of which the retail channel had a decrease of 0.5% and our direct channel had an increase of 16.5%. Comparable sales from our core Casual Male and Rochester businesses, excluding the new businesses, for fiscal 2007 were up 0.3%.</w:t>
      </w:r>
    </w:p>
    <w:p>
      <w:pPr>
        <w:spacing w:after="0" w:line="11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Sales for the 53 weeks in fiscal 2006 increased 10.4% to $465.4 million as compared to $421.4 million for the 52 weeks in fiscal 2005. This $44.0 million increase was primarily due to an increase of 9.0%, or $37.4 million, in comparable sales and the additional 53rd week in fiscal 2006 which generated sales of approximately $6.7 million. The comparable sale increase of $37.4 million was driven by increases among all channels, with the Casual Male retail store operations representing almost 49% of this increase. Included in sales for fiscal 2005 is income of $1.2 million related to our initial recognition of gift card breakage.</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With the benefit of our recently upgraded merchandising systems we have been able to better manage our in-stock positions and allocations throughout the chain on a micro level, responding to each store’s specific merchandise needs. We believe that we will continue to improve upon our level of execution in providing timely and appropriate lifestyle assortments to all our stores, and therefore, maintain our comparable sales increases. However, as seen during this fiscal year, our sales trends could be negatively impacted by non-controllable factors such as competitive forces, reaction to our strategies and macro-economic events and trends.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GROSS MARGIN</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Gross margin rate for fiscal 2007 was 44.4% as compared to 45.5% for fiscal 2006 and 43.3% for fiscal 2005. The decrease of 110 basis points in the gross margin rate was comprised of a 80 basis point increase in merchandise margin offset by a 60 basis point increase in occupancy costs, primarily due to a lower sales base. In addition, gross margin includes a charge of approximately $6.1 million, or 130 basis points, related to the write down of inventory. Our 80 basis point improvement in merchandise margin includes the impact of approximately $2.0 million in accelerated markdowns which we incurred during the fourth quarter to clear seasonal merchandise.</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increase in fiscal 2006 over fiscal 2005 was due to a 120 basis point increase in merchandise margins and a 100 basis point improvement in occupancy costs, primarily attributable to the leveraging of sales. We continued to see improvements in our gross margin rate during fiscal 2006 principally due to our improved initial margins from our direct sourcing initiatives, as well as strong inventory management which resulted in less markdowns and promotional activities.</w:t>
      </w:r>
    </w:p>
    <w:p>
      <w:pPr>
        <w:spacing w:after="0" w:line="143" w:lineRule="exact"/>
        <w:rPr>
          <w:sz w:val="20"/>
          <w:szCs w:val="20"/>
          <w:color w:val="auto"/>
        </w:rPr>
      </w:pPr>
    </w:p>
    <w:p>
      <w:pPr>
        <w:ind w:right="220" w:firstLine="456"/>
        <w:spacing w:after="0" w:line="323" w:lineRule="auto"/>
        <w:rPr>
          <w:sz w:val="20"/>
          <w:szCs w:val="20"/>
          <w:color w:val="auto"/>
        </w:rPr>
      </w:pPr>
      <w:r>
        <w:rPr>
          <w:rFonts w:ascii="Arial" w:cs="Arial" w:eastAsia="Arial" w:hAnsi="Arial"/>
          <w:sz w:val="15"/>
          <w:szCs w:val="15"/>
          <w:color w:val="auto"/>
        </w:rPr>
        <w:t>We believe that there is still gross margin improvements that can be achieved in fiscal 2008, as we continue to execute our merchandising and marketing strategies, and build upon our direct sourcing activities to lower our merchandise purchase costs. However, our gross margin improvement trends can be negatively impacted if we poorly execute our merchandising strategies which could result in undesirable merchandise assortments that need to be liquidated at clearance prices, or if competition intensifies in our markets which would also result in higher level of price discounting to reduce unplanned inventory levels.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SG&amp;A as a percentage of sales for fiscal 2007, 2006 and 2005 were 38.4%, 36.3% and 36.1%, respectively.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SG&amp;A expenses in fiscal 2007 increased $9.2 million, or 5.5% as compared to fiscal 2006. Fiscal 2006 included additional expenses of approximately $3.0</w:t>
      </w:r>
    </w:p>
    <w:p>
      <w:pPr>
        <w:spacing w:after="0" w:line="46" w:lineRule="exact"/>
        <w:rPr>
          <w:sz w:val="20"/>
          <w:szCs w:val="20"/>
          <w:color w:val="auto"/>
        </w:rPr>
      </w:pPr>
    </w:p>
    <w:p>
      <w:pPr>
        <w:ind w:right="240"/>
        <w:spacing w:after="0" w:line="221" w:lineRule="auto"/>
        <w:rPr>
          <w:sz w:val="20"/>
          <w:szCs w:val="20"/>
          <w:color w:val="auto"/>
        </w:rPr>
      </w:pPr>
      <w:r>
        <w:rPr>
          <w:rFonts w:ascii="Arial" w:cs="Arial" w:eastAsia="Arial" w:hAnsi="Arial"/>
          <w:sz w:val="18"/>
          <w:szCs w:val="18"/>
          <w:color w:val="auto"/>
        </w:rPr>
        <w:t>million attributable to the 53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week in fiscal 2006. The total increase in SG&amp;A expenses of $12.2 million, on a comparable basis to fiscal 2006 is due partly to our new</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businesses, B&amp;T Factory Direct, Living XL and Shoes XL, which had total SG&amp;A expenses of approximately $6.1 million. A substantial portion of these expenses were marketing costs associated with the new catalogs as well as our direct advertising campaign. We also recognized an increase of approximately $2.0 million associated with our other direct businesses to support our increased growth from our Casual Male and Rochester catalogs and e-commerce sites. Legal expenses associated with protecting proprietary intangibles and contract rights related to our Rochester direct business as well as other litigation increased by $1.0 million. Also, we expended another $1.5 million in distribution costs associated primarily with start up costs associated with the investment in new sortation systems during 2007.</w:t>
      </w:r>
    </w:p>
    <w:p>
      <w:pPr>
        <w:spacing w:after="0" w:line="14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SG&amp;A expenses for fiscal 2006 included costs of approximately $1.9 million to support our new brands and product extensions. New SG&amp;A expense categories expended during fiscal 2006, included $3.6 million related to the new corporate lease created with the sale-leaseback transaction consummated in February 2006, performance bonuses and stock option expense totaling approximately $3.0 million, and incremental legal fees of approximately $0.5 million. SG&amp;A expenses for fiscal 2005 include a benefit of $1.0 million related to the class action settlement with Visa/Mastercard for past overcharges and other accrual benefits.</w:t>
      </w:r>
    </w:p>
    <w:p>
      <w:pPr>
        <w:spacing w:after="0" w:line="14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Tantamount to our strategy of improving profitability and growing operating margins is maintaining a firm control on the growth of our SG&amp;A expenses. Although, we believe that we can limit SG&amp;A growth rates, except for certain programs to support our growth activities, unanticipated cost increases by our suppliers, or unanticipated costs that are necessary to support our overall activities could negatively impact our growth in profitability.</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PROVISION FOR EMPLOYMENT CONTRACT TERMINATION</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the third quarter of fiscal 2006, we terminated certain employment agreements with Rochester management as part of our plan to integrate the remaining San Francisco-based Rochester operations into our headquarters in Canton, MA. In connection with that decision to terminate these agreements, we incurred a charge of $1.2 million in the third quarter of fiscal 2006 to accrue our remaining obligations pursuant to these employees’ employment agreements. At February 2, 2008, approximately $175,000 remains outstanding.</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Depreciation and amortization expense was $17.4 million for fiscal 2007, $15.1 million for fiscal 2006 and $12.7 million for fiscal 2005. The increase in depreciation and amortization for fiscal 2007 is directly attributable to the capital expenditures associated with improving our infrastructure as well as new store growth, our re-branding efforts and remodeling of some of our older locations.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INCOME (EXPENSE)</w:t>
      </w:r>
    </w:p>
    <w:p>
      <w:pPr>
        <w:spacing w:after="0" w:line="9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i w:val="1"/>
          <w:iCs w:val="1"/>
          <w:color w:val="auto"/>
        </w:rPr>
        <w:t>Fiscal 2007</w:t>
      </w:r>
      <w:r>
        <w:rPr>
          <w:rFonts w:ascii="Arial" w:cs="Arial" w:eastAsia="Arial" w:hAnsi="Arial"/>
          <w:sz w:val="18"/>
          <w:szCs w:val="18"/>
          <w:color w:val="auto"/>
        </w:rPr>
        <w:t>. In connection with the sale of our loss prevention subsidiary LP Innovations, Inc. (“LPI”) in fiscal 2006, we received a note for $2.2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representing a portion of the sale price which we fully reserved against at that time. We are recognizing income as realizability of this note is assured. For fiscal 2007, $0.5 million was recognized as other income.</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Fiscal 2006</w:t>
      </w:r>
      <w:r>
        <w:rPr>
          <w:rFonts w:ascii="Arial" w:cs="Arial" w:eastAsia="Arial" w:hAnsi="Arial"/>
          <w:sz w:val="18"/>
          <w:szCs w:val="18"/>
          <w:color w:val="auto"/>
        </w:rPr>
        <w:t>. During the first quarter of fiscal 2006, we sold LPI for a purchase price of $5.2 million. We recognized an initial gain on the sale of LPI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$1.5 million which was recorded as other income for fiscal 2006. The gain of $1.5 million was offset slightly by approximately $0.4 million of unrelated non-operating expenses, primarily related to legal costs.</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Fiscal 2005</w:t>
      </w:r>
      <w:r>
        <w:rPr>
          <w:rFonts w:ascii="Arial" w:cs="Arial" w:eastAsia="Arial" w:hAnsi="Arial"/>
          <w:sz w:val="18"/>
          <w:szCs w:val="18"/>
          <w:color w:val="auto"/>
        </w:rPr>
        <w:t>. During the fourth quarter of fiscal 2005, we prepaid our outstanding mortgage note. In connection with the prepayment, we incurred a penalty</w:t>
      </w:r>
      <w:r>
        <w:rPr>
          <w:rFonts w:ascii="Arial" w:cs="Arial" w:eastAsia="Arial" w:hAnsi="Arial"/>
          <w:sz w:val="18"/>
          <w:szCs w:val="18"/>
          <w:i w:val="1"/>
          <w:iCs w:val="1"/>
          <w:color w:val="auto"/>
        </w:rPr>
        <w:t xml:space="preserve"> </w:t>
      </w:r>
      <w:r>
        <w:rPr>
          <w:rFonts w:ascii="Arial" w:cs="Arial" w:eastAsia="Arial" w:hAnsi="Arial"/>
          <w:sz w:val="18"/>
          <w:szCs w:val="18"/>
          <w:color w:val="auto"/>
        </w:rPr>
        <w:t>of $1.2 million associated with the early retirement of the note. In addition, during the fourth quarter of fiscal 2005, we repurchased $5.3 million of our outstanding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convertible notes and, as a result, recognized a gain of $0.4 million related to the associated discount on the notes. This gain of $0.4 million was partially offset by the write-off of $0.2 million of deferred financing costs associated with the notes.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EXPENSE, NET</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Net interest expense was $4.3 million in fiscal 2007 as compared to $5.5 million in fiscal 2006 and $8.6 million in fiscal 2005. The decrease in interest expense during fiscal 2007 as compared to fiscal 2006 was the result of a reduction in average borrowings, specifically the annualized interest cost savings realized as a result of our prepayment and conversion of long-term debt at the end of fiscal 2006. This decrease was partially offset by an increase in interest costs on borrowings under our credit facility to fund our working capital needs, including our stock repurchase program. The decrease in interest expense during fiscal 2006 was primarily attributable to the reduction in our long-term debt. We used the proceeds from our sale-leaseback transaction to reduce our borrowings under our credit facility and prepay a portion of our long-term debt. See “Liquidity and Capital Resources” for more discussion regarding our current debt obligations and future liquidity needs.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DISCONTINUED OPERATIONS</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summarizes for fiscal 2007 and 2006 the results of operations for our Jared M. business which we exited during the fourth quarter of fiscal 2007.</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3"/>
              </w:rPr>
              <w:t>Fiscal 2007(1)</w:t>
            </w:r>
          </w:p>
        </w:tc>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3"/>
              </w:rPr>
              <w:t>Fiscal 2006</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Provision for impairment of assets</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Loss before taxes</w:t>
            </w:r>
          </w:p>
        </w:tc>
        <w:tc>
          <w:tcPr>
            <w:tcW w:w="3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Loss from discontinued operations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00" w:hanging="452"/>
        <w:spacing w:after="0" w:line="412"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Discontinued operations for fiscal 2007 include a charge of $2.6 million, of which $1.1 million relates to the write-down of inventory and is included as part of gross margin. The remainder of the charge is for the impairment of fixed assets of $1.4 million and other current assets of $0.1 million. Subsequent to the end of fiscal 2007, on February 19, 2008, we sold our Jared M. business to a third party for a cash purchase price of $250,000.</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200" w:firstLine="456"/>
        <w:spacing w:after="0" w:line="275" w:lineRule="auto"/>
        <w:rPr>
          <w:sz w:val="20"/>
          <w:szCs w:val="20"/>
          <w:color w:val="auto"/>
        </w:rPr>
      </w:pPr>
      <w:r>
        <w:rPr>
          <w:rFonts w:ascii="Arial" w:cs="Arial" w:eastAsia="Arial" w:hAnsi="Arial"/>
          <w:sz w:val="16"/>
          <w:szCs w:val="16"/>
          <w:color w:val="auto"/>
        </w:rPr>
        <w:t>Pursuant to accounting rules, realization of our deferred tax assets, which relate principally to federal net operating loss carryforwards which expire from 2018 through 2024, is dependent on generating sufficient taxable income in the near term. In fiscal years 2001 and 2002, we established a full valuation allowance against our deferred tax assets due to the uncertainty at that time of generating future taxable income, based on our historical losses in those years.</w:t>
      </w:r>
    </w:p>
    <w:p>
      <w:pPr>
        <w:spacing w:after="0" w:line="2" w:lineRule="exact"/>
        <w:rPr>
          <w:sz w:val="20"/>
          <w:szCs w:val="20"/>
          <w:color w:val="auto"/>
        </w:rPr>
      </w:pPr>
    </w:p>
    <w:p>
      <w:pPr>
        <w:ind w:right="160"/>
        <w:spacing w:after="0" w:line="254" w:lineRule="auto"/>
        <w:rPr>
          <w:sz w:val="20"/>
          <w:szCs w:val="20"/>
          <w:color w:val="auto"/>
        </w:rPr>
      </w:pPr>
      <w:r>
        <w:rPr>
          <w:rFonts w:ascii="Arial" w:cs="Arial" w:eastAsia="Arial" w:hAnsi="Arial"/>
          <w:sz w:val="16"/>
          <w:szCs w:val="16"/>
          <w:color w:val="auto"/>
        </w:rPr>
        <w:t>Since that time, we have transformed our Company, through acquisitions and divestures, from an operator of Levi’s</w:t>
      </w:r>
      <w:r>
        <w:rPr>
          <w:rFonts w:ascii="Arial" w:cs="Arial" w:eastAsia="Arial" w:hAnsi="Arial"/>
          <w:sz w:val="20"/>
          <w:szCs w:val="20"/>
          <w:color w:val="auto"/>
          <w:vertAlign w:val="superscript"/>
        </w:rPr>
        <w:t>®</w:t>
      </w:r>
      <w:r>
        <w:rPr>
          <w:rFonts w:ascii="Arial" w:cs="Arial" w:eastAsia="Arial" w:hAnsi="Arial"/>
          <w:sz w:val="16"/>
          <w:szCs w:val="16"/>
          <w:color w:val="auto"/>
        </w:rPr>
        <w:t>/Dockers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outlet stores to the market leader of men’s big &amp; tall apparel. Since we acquired Casual Male in fiscal 2002, our big &amp; tall business has been profitable from an operating perspective.</w:t>
      </w:r>
    </w:p>
    <w:p>
      <w:pPr>
        <w:spacing w:after="0" w:line="170" w:lineRule="exact"/>
        <w:rPr>
          <w:sz w:val="20"/>
          <w:szCs w:val="20"/>
          <w:color w:val="auto"/>
        </w:rPr>
      </w:pPr>
    </w:p>
    <w:p>
      <w:pPr>
        <w:jc w:val="center"/>
        <w:ind w:left="420" w:right="280"/>
        <w:spacing w:after="0" w:line="440" w:lineRule="auto"/>
        <w:rPr>
          <w:sz w:val="20"/>
          <w:szCs w:val="20"/>
          <w:color w:val="auto"/>
        </w:rPr>
      </w:pPr>
      <w:r>
        <w:rPr>
          <w:rFonts w:ascii="Arial" w:cs="Arial" w:eastAsia="Arial" w:hAnsi="Arial"/>
          <w:sz w:val="18"/>
          <w:szCs w:val="18"/>
          <w:color w:val="auto"/>
        </w:rPr>
        <w:t>During the fourth quarter of fiscal 2005, we reversed $3.1 million of our deferred tax valuation allowance and recorded a benefit to income tax expense. 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Throughout fiscal 2006, we reviewed the realizability of the remaining deferred tax assets and, in the fourth quarter, determined that it was more likely than not that we would be able to realize substantially all of the remaining deferred tax assets. In reaching this determination, we considered the positive evidence of thirteen consecutive quarters of positive comparable store sales, our continued improvement in operating income over the past five years, our expectations regarding the generation of future taxable income, and our current market position and expected growth of our industry. Due to the seasonality of our business, achievement of the fourth quarter earnings was a critical factor in our determination of the reversal.</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Accordingly, for fiscal 2006, we reversed $31.0 million of the deferred tax valuation allowance and recorded a benefit to income tax expense of $30.5 million. The remaining $0.5 million of the reversal was credited to additional paid-in capital as it related to prior deferred tax assets associated with stock options. At February 2, 2008, we have a valuation allowance of $1.3 million for losses associated with our Canada operations and certain state net operating losses, the benefit of which may not be recognized due to short carryforward periods.</w:t>
      </w:r>
    </w:p>
    <w:p>
      <w:pPr>
        <w:spacing w:after="0" w:line="14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As of February 2, 2008, we have net operating loss carryforwards of $56.5 million for federal income tax purposes and $45.5 million for state income tax purposes that are available to offset future taxable income, subject to certain annual usage limitations, through fiscal year 2025. As a result of the Casual Male acquisition and the issuance of additional equity in fiscal 2002, the utilization of approximately $19.9 million of the $56.5 million in federal net operating losses is subject to an annual limitation of approximately $4.8 million per year. Additionally, we have alternative minimum tax credit carryforwards of $2.3 million, which are available to further reduce income taxes over an indefinite period.</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Net income for fiscal 2007 was $0.4 million, or $0.01 per diluted share, compared to $42.6 million, or $0.98 per diluted share in fiscal 2006 and $10.8 million, or $0.30 per diluted share in fiscal 2005.</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Fiscal 2007(1)</w:t>
            </w:r>
          </w:p>
        </w:tc>
        <w:tc>
          <w:tcPr>
            <w:tcW w:w="1640" w:type="dxa"/>
            <w:vAlign w:val="bottom"/>
            <w:gridSpan w:val="3"/>
          </w:tcPr>
          <w:p>
            <w:pPr>
              <w:ind w:left="20"/>
              <w:spacing w:after="0"/>
              <w:rPr>
                <w:sz w:val="20"/>
                <w:szCs w:val="20"/>
                <w:color w:val="auto"/>
              </w:rPr>
            </w:pPr>
            <w:r>
              <w:rPr>
                <w:rFonts w:ascii="Arial" w:cs="Arial" w:eastAsia="Arial" w:hAnsi="Arial"/>
                <w:sz w:val="14"/>
                <w:szCs w:val="14"/>
                <w:b w:val="1"/>
                <w:bCs w:val="1"/>
                <w:color w:val="auto"/>
              </w:rPr>
              <w:t>Fiscal 2006(2)</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3"/>
              </w:rPr>
              <w:t>Fiscal 2005(3)</w:t>
            </w:r>
          </w:p>
        </w:tc>
      </w:tr>
      <w:tr>
        <w:trPr>
          <w:trHeight w:val="142"/>
        </w:trPr>
        <w:tc>
          <w:tcPr>
            <w:tcW w:w="116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(in millions)</w:t>
            </w:r>
          </w:p>
        </w:tc>
        <w:tc>
          <w:tcPr>
            <w:tcW w:w="8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60" w:type="dxa"/>
            <w:vAlign w:val="bottom"/>
            <w:shd w:val="clear" w:color="auto" w:fill="CCEEFF"/>
          </w:tcPr>
          <w:p>
            <w:pPr>
              <w:spacing w:after="0"/>
              <w:rPr>
                <w:sz w:val="18"/>
                <w:szCs w:val="18"/>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0.5</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(5.5)</w:t>
            </w: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280" w:type="dxa"/>
            <w:vAlign w:val="bottom"/>
          </w:tcPr>
          <w:p>
            <w:pPr>
              <w:spacing w:after="0"/>
              <w:rPr>
                <w:sz w:val="18"/>
                <w:szCs w:val="18"/>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21.1</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(0.7)</w:t>
            </w: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72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8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8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19" w:lineRule="exact"/>
        <w:rPr>
          <w:sz w:val="20"/>
          <w:szCs w:val="20"/>
          <w:color w:val="auto"/>
        </w:rPr>
      </w:pPr>
    </w:p>
    <w:p>
      <w:pPr>
        <w:ind w:left="460" w:right="160" w:hanging="452"/>
        <w:spacing w:after="0" w:line="283"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Results for fiscal 2007 include a charge of approximately $2.6 million, or $0.04 per diluted share, which is included as part of discontinued operations, related to our decision in the fourth quarter of fiscal 2007 to exit our Jared M. business. Operating income included a charge for $6.1 million, or $0.08 per diluted share, which was recorded as part of gross margin related to inventory write-offs associated with markdowns and the write-off of excess inventory in addition to the correction of freight and other inventory adjustments which were deemed immaterial to the prior periods presented.</w:t>
      </w:r>
    </w:p>
    <w:p>
      <w:pPr>
        <w:spacing w:after="0" w:line="2" w:lineRule="exact"/>
        <w:rPr>
          <w:rFonts w:ascii="Arial" w:cs="Arial" w:eastAsia="Arial" w:hAnsi="Arial"/>
          <w:sz w:val="16"/>
          <w:szCs w:val="16"/>
          <w:color w:val="auto"/>
        </w:rPr>
      </w:pPr>
    </w:p>
    <w:p>
      <w:pPr>
        <w:ind w:left="460" w:right="60" w:hanging="452"/>
        <w:spacing w:after="0" w:line="281"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Results for fiscal 2006 include other income (expense) of $1.1 million related to the initial gain on the sale of LPI of $1.5 million offset partially by $0.4 million of unrelated non-operating expenses primarily related to legal costs. Fiscal 2006 also include a charge of $1.2 million related to the costs incurred for the early termination of certain employment contracts. In addition, as a result of our continued improvement in profitability, during the fourth quarter of fiscal 2006, we reversed $31.0 million of our valuation allowance against our deferred tax assets of which $30.5 million was recognized as an income tax benefit for fiscal 2006. This amount was offset by approximately $8.9 million of income tax provisions.</w:t>
      </w:r>
    </w:p>
    <w:p>
      <w:pPr>
        <w:spacing w:after="0" w:line="3" w:lineRule="exact"/>
        <w:rPr>
          <w:rFonts w:ascii="Arial" w:cs="Arial" w:eastAsia="Arial" w:hAnsi="Arial"/>
          <w:sz w:val="16"/>
          <w:szCs w:val="16"/>
          <w:color w:val="auto"/>
        </w:rPr>
      </w:pPr>
    </w:p>
    <w:p>
      <w:pPr>
        <w:ind w:left="460" w:right="80" w:hanging="452"/>
        <w:spacing w:after="0" w:line="255"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Results for fiscal 2005 include other income (expense) of $1.0 million related to a $1.2 million prepayment charge associated with the prepayment of our mortgage note, $0.4 million of income associated with the repurchase of approximately $5.3 million of our convertible notes and an associated write-off of $0.2</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color w:val="auto"/>
        </w:rPr>
        <w:t>million of deferred financing costs. In addition, during the fourth quarter of fiscal 2005, we reversed approximately $3.1 million of our deferred tax asset-valuation allowance. This benefit was offset slightly by approximately $0.3 million of income tax provision.</w:t>
      </w:r>
    </w:p>
    <w:p>
      <w:pPr>
        <w:spacing w:after="0" w:line="2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SEASONALITY</w:t>
      </w:r>
    </w:p>
    <w:p>
      <w:pPr>
        <w:spacing w:after="0" w:line="90"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A comparison of sales in each quarter of the past three fiscal years is presented below. The amounts shown are not necessarily indicative of actual trends, because such amounts also reflect the addition of new stores and the remodeling and closing of others during these periods. Consistent with the retail apparel industry, our business is seasonal. Our business traditionally generates the largest volume of its sales during the Father’s Day selling season in June and the Christmas selling season in December. The majority of our operating income is generated in the fourth quarter as a result of the impact of the Christmas selling season. A comparison of quarterly sales, gross profit, net income per share for the past two fiscal years is presented in Note N of the Notes to the Consolidated Financial Statements.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34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FISCAL 2007(1)</w:t>
            </w:r>
          </w:p>
        </w:tc>
        <w:tc>
          <w:tcPr>
            <w:tcW w:w="240" w:type="dxa"/>
            <w:vAlign w:val="bottom"/>
          </w:tcPr>
          <w:p>
            <w:pPr>
              <w:spacing w:after="0"/>
              <w:rPr>
                <w:sz w:val="14"/>
                <w:szCs w:val="14"/>
                <w:color w:val="auto"/>
              </w:rPr>
            </w:pPr>
          </w:p>
        </w:tc>
        <w:tc>
          <w:tcPr>
            <w:tcW w:w="3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(in</w:t>
            </w:r>
          </w:p>
        </w:tc>
        <w:tc>
          <w:tcPr>
            <w:tcW w:w="134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FISCAL 2006(1)</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FISCAL 2005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1760" w:type="dxa"/>
            <w:vAlign w:val="bottom"/>
            <w:gridSpan w:val="4"/>
          </w:tcPr>
          <w:p>
            <w:pPr>
              <w:jc w:val="right"/>
              <w:ind w:right="160"/>
              <w:spacing w:after="0" w:line="142" w:lineRule="exact"/>
              <w:rPr>
                <w:sz w:val="20"/>
                <w:szCs w:val="20"/>
                <w:color w:val="auto"/>
              </w:rPr>
            </w:pPr>
            <w:r>
              <w:rPr>
                <w:rFonts w:ascii="Arial" w:cs="Arial" w:eastAsia="Arial" w:hAnsi="Arial"/>
                <w:sz w:val="14"/>
                <w:szCs w:val="14"/>
                <w:b w:val="1"/>
                <w:bCs w:val="1"/>
                <w:color w:val="auto"/>
                <w:w w:val="80"/>
              </w:rPr>
              <w:t>millions, except percentages)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$ 110.6</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22.1%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97.3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113.5</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24.4%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111.4</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23.9%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100.6</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93.8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133.9</w:t>
            </w:r>
          </w:p>
        </w:tc>
        <w:tc>
          <w:tcPr>
            <w:tcW w:w="4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28.9%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144.7</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129.7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$464.1</w:t>
            </w: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$465.4</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421.4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Sales results for fiscal 2007 and fiscal 2006 exclude sales from the Jared M. discontinued operations.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Our primary cash needs are for working capital (essentially inventory requirements), capital expenditures and our stock repurchase program. Specifically, our capital expenditure program includes projects for new store openings, remodeling, downsizing or combining existing stores, and improvements and integration of our systems infrastructure. We expect that cash flow from operations, external borrowings and trade credit will enable us to finance our current working capital and expansion requirements. We have financed our working capital requirements, store expansion program, stock repurchase programs and acquisitions with cash flow from operations, external borrowings, and proceeds from equity offerings. Our objective is to maintain a positive cash flow after capital expenditures such that we can support our growth activities with operational cash flows and without the use of incurring any additional debt.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financial data regarding our liquidity position at the end of the past three fiscal years:</w:t>
      </w:r>
    </w:p>
    <w:p>
      <w:pPr>
        <w:spacing w:after="0" w:line="207"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5810885</wp:posOffset>
            </wp:positionH>
            <wp:positionV relativeFrom="paragraph">
              <wp:posOffset>0</wp:posOffset>
            </wp:positionV>
            <wp:extent cx="14408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ind w:left="9240"/>
        <w:spacing w:after="0"/>
        <w:tabs>
          <w:tab w:leader="none" w:pos="10140" w:val="left"/>
          <w:tab w:leader="none" w:pos="11040" w:val="left"/>
        </w:tabs>
        <w:rPr>
          <w:sz w:val="20"/>
          <w:szCs w:val="20"/>
          <w:color w:val="auto"/>
        </w:rPr>
      </w:pPr>
      <w:r>
        <w:rPr>
          <w:rFonts w:ascii="Arial" w:cs="Arial" w:eastAsia="Arial" w:hAnsi="Arial"/>
          <w:sz w:val="14"/>
          <w:szCs w:val="14"/>
          <w:b w:val="1"/>
          <w:bCs w:val="1"/>
          <w:color w:val="auto"/>
        </w:rPr>
        <w:t>2007</w:t>
      </w:r>
      <w:r>
        <w:rPr>
          <w:sz w:val="20"/>
          <w:szCs w:val="20"/>
          <w:color w:val="auto"/>
        </w:rPr>
        <w:tab/>
      </w:r>
      <w:r>
        <w:rPr>
          <w:rFonts w:ascii="Arial" w:cs="Arial" w:eastAsia="Arial" w:hAnsi="Arial"/>
          <w:sz w:val="14"/>
          <w:szCs w:val="14"/>
          <w:b w:val="1"/>
          <w:bCs w:val="1"/>
          <w:color w:val="auto"/>
        </w:rPr>
        <w:t>2006</w:t>
      </w:r>
      <w:r>
        <w:rPr>
          <w:sz w:val="20"/>
          <w:szCs w:val="20"/>
          <w:color w:val="auto"/>
        </w:rPr>
        <w:tab/>
      </w:r>
      <w:r>
        <w:rPr>
          <w:rFonts w:ascii="Arial" w:cs="Arial" w:eastAsia="Arial" w:hAnsi="Arial"/>
          <w:sz w:val="11"/>
          <w:szCs w:val="11"/>
          <w:b w:val="1"/>
          <w:bCs w:val="1"/>
          <w:color w:val="auto"/>
        </w:rPr>
        <w:t>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5810885</wp:posOffset>
            </wp:positionH>
            <wp:positionV relativeFrom="paragraph">
              <wp:posOffset>-6985</wp:posOffset>
            </wp:positionV>
            <wp:extent cx="2914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-6985</wp:posOffset>
            </wp:positionV>
            <wp:extent cx="2914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6960235</wp:posOffset>
            </wp:positionH>
            <wp:positionV relativeFrom="paragraph">
              <wp:posOffset>-6985</wp:posOffset>
            </wp:positionV>
            <wp:extent cx="2914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ind w:left="9540"/>
        <w:spacing w:after="0" w:line="223" w:lineRule="auto"/>
        <w:rPr>
          <w:sz w:val="20"/>
          <w:szCs w:val="20"/>
          <w:color w:val="auto"/>
        </w:rPr>
      </w:pPr>
      <w:r>
        <w:rPr>
          <w:rFonts w:ascii="Arial" w:cs="Arial" w:eastAsia="Arial" w:hAnsi="Arial"/>
          <w:sz w:val="14"/>
          <w:szCs w:val="14"/>
          <w:b w:val="1"/>
          <w:bCs w:val="1"/>
          <w:color w:val="auto"/>
        </w:rPr>
        <w:t>(in millions, except ratios)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operations</w:t>
            </w:r>
          </w:p>
        </w:tc>
        <w:tc>
          <w:tcPr>
            <w:tcW w:w="4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$ 11.7</w:t>
            </w:r>
          </w:p>
        </w:tc>
        <w:tc>
          <w:tcPr>
            <w:tcW w:w="9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$ 12.1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$ 16.8</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Working capital</w:t>
            </w:r>
          </w:p>
        </w:tc>
        <w:tc>
          <w:tcPr>
            <w:tcW w:w="4260" w:type="dxa"/>
            <w:vAlign w:val="bottom"/>
          </w:tcPr>
          <w:p>
            <w:pPr>
              <w:jc w:val="right"/>
              <w:ind w:right="132"/>
              <w:spacing w:after="0"/>
              <w:rPr>
                <w:sz w:val="20"/>
                <w:szCs w:val="20"/>
                <w:color w:val="auto"/>
              </w:rPr>
            </w:pPr>
            <w:r>
              <w:rPr>
                <w:rFonts w:ascii="Arial" w:cs="Arial" w:eastAsia="Arial" w:hAnsi="Arial"/>
                <w:sz w:val="18"/>
                <w:szCs w:val="18"/>
                <w:color w:val="auto"/>
              </w:rPr>
              <w:t>41.0</w:t>
            </w: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66.8</w:t>
            </w:r>
          </w:p>
        </w:tc>
        <w:tc>
          <w:tcPr>
            <w:tcW w:w="680" w:type="dxa"/>
            <w:vAlign w:val="bottom"/>
          </w:tcPr>
          <w:p>
            <w:pPr>
              <w:jc w:val="right"/>
              <w:spacing w:after="0"/>
              <w:rPr>
                <w:sz w:val="20"/>
                <w:szCs w:val="20"/>
                <w:color w:val="auto"/>
              </w:rPr>
            </w:pPr>
            <w:r>
              <w:rPr>
                <w:rFonts w:ascii="Arial" w:cs="Arial" w:eastAsia="Arial" w:hAnsi="Arial"/>
                <w:sz w:val="18"/>
                <w:szCs w:val="18"/>
                <w:color w:val="auto"/>
              </w:rPr>
              <w:t>33.3</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Current ratio</w:t>
            </w:r>
          </w:p>
        </w:tc>
        <w:tc>
          <w:tcPr>
            <w:tcW w:w="4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1.4:1</w:t>
            </w:r>
          </w:p>
        </w:tc>
        <w:tc>
          <w:tcPr>
            <w:tcW w:w="9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r>
    </w:tbl>
    <w:p>
      <w:pPr>
        <w:spacing w:after="0" w:line="154"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decrease in cash flow provided by operations in fiscal 2007 of $0.4 million from fiscal 2006 was primarily due to lower profitability, adjusted for non-cash activity, offset by the timing of working capital payments, such as inventory purchases, prepaid rent and advertising. Cash flow from operations for fiscal 2006, before changes in working capital accounts, increased from fiscal 2005 primarily as a result of improved profitability.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Facility</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December 20, 2007, we amended our credit facility (the “Credit Facility”) with Bank of America, N.A. by executing the Third Amendment to Fifth Amended and Restated Loan and Security Agreement (the “Third Amendment”). The Third Amendment extends the maturity date of the credit facility to October 29, 2011 and extends our current Last Out Advance Percentage, as defined in the Third Amendment, of 10% through, but excluding, December 28, 2008. On and after December 28, 2008, the Last Out Advance Percentage will be 5%. The Third Amendment also permits the formation of new wholly-owned subsidiaries, which will directly or indirectly own 100% membership in CMRG Apparel, LLC.</w:t>
      </w:r>
    </w:p>
    <w:p>
      <w:pPr>
        <w:spacing w:after="0" w:line="116"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The Credit Facility continues to provide for a total commitment of $110 million comprised of (i) a $100 million revolving credit facility which includes a sublimit of $20 million for commercial and standby letter of credits and a sublimit of up to $15 million for SwingLine Loans and (ii) a $10 million “Last Out” revolving credit facility, which will be subordinate to the $100 million revolving credit facility. If at any time our Excess Availability Ratio, as defined in the Credit Facility, is less than 50%, our borrowings must first be made from the “Last Out” revolving credit facility before borrowing from the $100 million revolving credit facility. Borrowings under the Credit Facility bear interest at variable rates based on Bank of America’s prime rate or the London Interbank Offering Rate (“LIBOR”) and vary depending on our levels of excess availability.</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At February 2, 2008, we had borrowings outstanding under the Credit Facility of $41.0 million and outstanding standby letters of credit of $2.7 million and documentary letters of credit of $1.9 million. Average borrowings outstanding under this facility during fiscal 2007 were approximately $50.6 million, resulting in an average unused excess availability of approximately $44.6 million. Our ability to borrow under the Credit Facility is determined using an availability formula based on eligible assets, with increased advance rates based on seasonality.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Master Loan and Security Agreement</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July 20, 2007, we entered into a Master Loan and Security Agreement (the “Master Agreement”) with Banc of America Leasing &amp; Capital, LLC (“BALC”) for equipment financing. In conjunction with the Master Agreement, we entered into an Equipment Security Note (the “First Secured Note”), whereby we borrowed an aggregate of $17.4 million from BALC. The First Secured Note is due July 20, 2011.</w:t>
      </w:r>
    </w:p>
    <w:p>
      <w:pPr>
        <w:spacing w:after="0" w:line="14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On January 16, 2008, we entered into a second Equipment Security Note (the “Second Secured Note”), pursuant to the same terms and provisions of the Master Agreement, whereby we borrowed an additional $2.1 million. The Second Secured Note is due January 16, 2012.</w:t>
      </w:r>
    </w:p>
    <w:p>
      <w:pPr>
        <w:spacing w:after="0" w:line="8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Both secured notes accrue interest at a per annum rate of 1.75% plus the rate of interest equal to the 30-day published LIBOR rate. Principal and interest, in arrears, are payable monthly on each note, commencing one month after issuance of such note. We are subject to a prepayment penalty on both secured notes equal to 1% of the prepaid principal until the first anniversary of the respective secured note, 0.5% of the prepaid principal from the first day after the first anniversary through the end of the second anniversary and no prepayment penalty thereafter. At February 2, 2008, the outstanding balance of the secured notes was $17.3 million.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Both notes are secured by a security interest in all of our rights, title and interest in and to certain equipment.</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During fiscal 2006, our Board of Directors adopted a $75 million stock repurchase program, which was scheduled to terminate on December 31, 2007. On January 9, 2008, our Board of Directors extended this repurchase program authorizing us to continue to repurchase the approximately $24.1 million remaining under the program. The repurchases may be made through open market and privately negotiated transactions pursuant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to Rule 10b-18 of the Exchange Act. The stock repurchase program will expire on December 31, 2008 but may be terminated earlier at any time without prior notice. Through February 2, 2008, we have repurchased approximately 4.3 million shares for an aggregate price of $50.9 million pursuant to this program. Approximately 4.1 million of these shares were purchased during fiscal 2007 at an aggregate cost of $48.8 million.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INVENTORY</w:t>
      </w:r>
    </w:p>
    <w:p>
      <w:pPr>
        <w:spacing w:after="0" w:line="90"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At February 2, 2008, total inventories were $117.8 million as compared to $114.5 million at February 3, 2007. The increase in inventory of $3.3 million is principally due to an increase of approximately $9.8 million of added inventories in our Casual Male stores and direct businesses and approximately $0.9 million for our Living XL business. These increases were offset by a decrease in our Rochester inventory of $6.7 million and a decrease in the Jared M. inventory of $0.7 million from last year.</w:t>
      </w:r>
    </w:p>
    <w:p>
      <w:pPr>
        <w:spacing w:after="0" w:line="143" w:lineRule="exact"/>
        <w:rPr>
          <w:sz w:val="20"/>
          <w:szCs w:val="20"/>
          <w:color w:val="auto"/>
        </w:rPr>
      </w:pPr>
    </w:p>
    <w:p>
      <w:pPr>
        <w:jc w:val="both"/>
        <w:ind w:right="460" w:firstLine="456"/>
        <w:spacing w:after="0" w:line="306" w:lineRule="auto"/>
        <w:rPr>
          <w:sz w:val="20"/>
          <w:szCs w:val="20"/>
          <w:color w:val="auto"/>
        </w:rPr>
      </w:pPr>
      <w:r>
        <w:rPr>
          <w:rFonts w:ascii="Arial" w:cs="Arial" w:eastAsia="Arial" w:hAnsi="Arial"/>
          <w:sz w:val="16"/>
          <w:szCs w:val="16"/>
          <w:color w:val="auto"/>
        </w:rPr>
        <w:t>During the fourth quarter of fiscal 2007, we recorded approximately $6.1 million in inventory write-downs associated with the clearance of obsolete Rochester inventory to make way for its updated merchandising strategy, and the corrections of freight and other inventory adjustments which were deemed immaterial to the prior periods presented. The charge of $6.1 million is included in gross margin in the Statement of Operations for fiscal 2007.</w:t>
      </w:r>
    </w:p>
    <w:p>
      <w:pPr>
        <w:spacing w:after="0" w:line="10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 addition, in connection with the exiting of our Jared M. business, we recorded a charge of $1.1 million for the write-off of inventory. This charge is included in discontinued operations for fiscal 2007 as a reduction in gross margin.</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During the second quarter of fiscal 2006, we changed our inventory valuation method from lower of cost or market, on a FIFO basis, using the retail method to lower of cost or market, on a weighted-average cost basis, using the cost method. The effect of this change in accounting principle was not material at January 29, 2006 or April 29, 2006.</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no off balance sheet arrangements as defined by 303(a)(4) of Regulation S-K.</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OBLIGATIONS</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table summarizes our contractual obligations at February 2, 2008, and the effect such obligations are expected to have on our liquidity and cash flows in future periods: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7"/>
          </w:tcPr>
          <w:p>
            <w:pPr>
              <w:jc w:val="center"/>
              <w:ind w:right="400"/>
              <w:spacing w:after="0"/>
              <w:rPr>
                <w:sz w:val="20"/>
                <w:szCs w:val="20"/>
                <w:color w:val="auto"/>
              </w:rPr>
            </w:pPr>
            <w:r>
              <w:rPr>
                <w:rFonts w:ascii="Arial" w:cs="Arial" w:eastAsia="Arial" w:hAnsi="Arial"/>
                <w:sz w:val="14"/>
                <w:szCs w:val="14"/>
                <w:b w:val="1"/>
                <w:bCs w:val="1"/>
                <w:color w:val="auto"/>
                <w:w w:val="85"/>
              </w:rPr>
              <w:t>Payments due by period</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Less than</w:t>
            </w:r>
          </w:p>
        </w:tc>
        <w:tc>
          <w:tcPr>
            <w:tcW w:w="700" w:type="dxa"/>
            <w:vAlign w:val="bottom"/>
            <w:gridSpan w:val="2"/>
          </w:tcPr>
          <w:p>
            <w:pPr>
              <w:jc w:val="center"/>
              <w:ind w:left="220"/>
              <w:spacing w:after="0" w:line="129" w:lineRule="exact"/>
              <w:rPr>
                <w:sz w:val="20"/>
                <w:szCs w:val="20"/>
                <w:color w:val="auto"/>
              </w:rPr>
            </w:pPr>
            <w:r>
              <w:rPr>
                <w:rFonts w:ascii="Arial" w:cs="Arial" w:eastAsia="Arial" w:hAnsi="Arial"/>
                <w:sz w:val="14"/>
                <w:szCs w:val="14"/>
                <w:b w:val="1"/>
                <w:bCs w:val="1"/>
                <w:color w:val="auto"/>
                <w:w w:val="96"/>
              </w:rPr>
              <w:t>1-</w:t>
            </w:r>
          </w:p>
        </w:tc>
        <w:tc>
          <w:tcPr>
            <w:tcW w:w="440" w:type="dxa"/>
            <w:vAlign w:val="bottom"/>
          </w:tcPr>
          <w:p>
            <w:pPr>
              <w:spacing w:after="0"/>
              <w:rPr>
                <w:sz w:val="11"/>
                <w:szCs w:val="11"/>
                <w:color w:val="auto"/>
              </w:rPr>
            </w:pPr>
          </w:p>
        </w:tc>
        <w:tc>
          <w:tcPr>
            <w:tcW w:w="400" w:type="dxa"/>
            <w:vAlign w:val="bottom"/>
          </w:tcPr>
          <w:p>
            <w:pPr>
              <w:jc w:val="right"/>
              <w:ind w:right="19"/>
              <w:spacing w:after="0" w:line="129" w:lineRule="exact"/>
              <w:rPr>
                <w:sz w:val="20"/>
                <w:szCs w:val="20"/>
                <w:color w:val="auto"/>
              </w:rPr>
            </w:pPr>
            <w:r>
              <w:rPr>
                <w:rFonts w:ascii="Arial" w:cs="Arial" w:eastAsia="Arial" w:hAnsi="Arial"/>
                <w:sz w:val="14"/>
                <w:szCs w:val="14"/>
                <w:b w:val="1"/>
                <w:bCs w:val="1"/>
                <w:color w:val="auto"/>
              </w:rPr>
              <w:t>3-5</w:t>
            </w:r>
          </w:p>
        </w:tc>
        <w:tc>
          <w:tcPr>
            <w:tcW w:w="44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More than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200" w:type="dxa"/>
            <w:vAlign w:val="bottom"/>
            <w:gridSpan w:val="3"/>
          </w:tcPr>
          <w:p>
            <w:pPr>
              <w:spacing w:after="0"/>
              <w:rPr>
                <w:sz w:val="20"/>
                <w:szCs w:val="20"/>
                <w:color w:val="auto"/>
              </w:rPr>
            </w:pPr>
            <w:r>
              <w:rPr>
                <w:rFonts w:ascii="Arial" w:cs="Arial" w:eastAsia="Arial" w:hAnsi="Arial"/>
                <w:sz w:val="14"/>
                <w:szCs w:val="14"/>
                <w:b w:val="1"/>
                <w:bCs w:val="1"/>
                <w:color w:val="auto"/>
              </w:rPr>
              <w:t>Contractual Obligations</w:t>
            </w:r>
          </w:p>
        </w:tc>
        <w:tc>
          <w:tcPr>
            <w:tcW w:w="500" w:type="dxa"/>
            <w:vAlign w:val="bottom"/>
          </w:tcPr>
          <w:p>
            <w:pPr>
              <w:jc w:val="right"/>
              <w:ind w:right="16"/>
              <w:spacing w:after="0"/>
              <w:rPr>
                <w:sz w:val="20"/>
                <w:szCs w:val="20"/>
                <w:color w:val="auto"/>
              </w:rPr>
            </w:pPr>
            <w:r>
              <w:rPr>
                <w:rFonts w:ascii="Arial" w:cs="Arial" w:eastAsia="Arial" w:hAnsi="Arial"/>
                <w:sz w:val="14"/>
                <w:szCs w:val="14"/>
                <w:b w:val="1"/>
                <w:bCs w:val="1"/>
                <w:color w:val="auto"/>
              </w:rPr>
              <w:t>Total</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300" w:type="dxa"/>
            <w:vAlign w:val="bottom"/>
            <w:vMerge w:val="restart"/>
          </w:tcPr>
          <w:p>
            <w:pPr>
              <w:ind w:left="140"/>
              <w:spacing w:after="0"/>
              <w:rPr>
                <w:sz w:val="20"/>
                <w:szCs w:val="20"/>
                <w:color w:val="auto"/>
              </w:rPr>
            </w:pPr>
            <w:r>
              <w:rPr>
                <w:rFonts w:ascii="Arial" w:cs="Arial" w:eastAsia="Arial" w:hAnsi="Arial"/>
                <w:sz w:val="14"/>
                <w:szCs w:val="14"/>
                <w:b w:val="1"/>
                <w:bCs w:val="1"/>
                <w:color w:val="auto"/>
                <w:w w:val="81"/>
              </w:rPr>
              <w:t>(in</w:t>
            </w:r>
          </w:p>
        </w:tc>
        <w:tc>
          <w:tcPr>
            <w:tcW w:w="8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2"/>
              </w:rPr>
              <w:t>3 years</w:t>
            </w:r>
          </w:p>
        </w:tc>
        <w:tc>
          <w:tcPr>
            <w:tcW w:w="8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1"/>
              </w:rPr>
              <w:t>years</w:t>
            </w:r>
          </w:p>
        </w:tc>
        <w:tc>
          <w:tcPr>
            <w:tcW w:w="10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11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7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w w:val="76"/>
              </w:rPr>
              <w:t>millions)</w:t>
            </w:r>
          </w:p>
        </w:tc>
        <w:tc>
          <w:tcPr>
            <w:tcW w:w="4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Leases(1)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$299.5</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$ 78.1</w:t>
            </w: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$56.8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center"/>
              <w:ind w:left="56"/>
              <w:spacing w:after="0"/>
              <w:rPr>
                <w:sz w:val="20"/>
                <w:szCs w:val="20"/>
                <w:color w:val="auto"/>
              </w:rPr>
            </w:pPr>
            <w:r>
              <w:rPr>
                <w:rFonts w:ascii="Arial" w:cs="Arial" w:eastAsia="Arial" w:hAnsi="Arial"/>
                <w:sz w:val="18"/>
                <w:szCs w:val="18"/>
                <w:color w:val="auto"/>
                <w:w w:val="84"/>
              </w:rPr>
              <w:t>116.1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gridSpan w:val="3"/>
          </w:tcPr>
          <w:p>
            <w:pPr>
              <w:spacing w:after="0"/>
              <w:rPr>
                <w:sz w:val="20"/>
                <w:szCs w:val="20"/>
                <w:color w:val="auto"/>
              </w:rPr>
            </w:pPr>
            <w:r>
              <w:rPr>
                <w:rFonts w:ascii="Arial" w:cs="Arial" w:eastAsia="Arial" w:hAnsi="Arial"/>
                <w:sz w:val="18"/>
                <w:szCs w:val="18"/>
                <w:color w:val="auto"/>
              </w:rPr>
              <w:t>Long-Term Debt Obligations(2)</w:t>
            </w:r>
          </w:p>
        </w:tc>
        <w:tc>
          <w:tcPr>
            <w:tcW w:w="500" w:type="dxa"/>
            <w:vAlign w:val="bottom"/>
          </w:tcPr>
          <w:p>
            <w:pPr>
              <w:jc w:val="right"/>
              <w:spacing w:after="0"/>
              <w:rPr>
                <w:sz w:val="20"/>
                <w:szCs w:val="20"/>
                <w:color w:val="auto"/>
              </w:rPr>
            </w:pPr>
            <w:r>
              <w:rPr>
                <w:rFonts w:ascii="Arial" w:cs="Arial" w:eastAsia="Arial" w:hAnsi="Arial"/>
                <w:sz w:val="18"/>
                <w:szCs w:val="18"/>
                <w:color w:val="auto"/>
              </w:rPr>
              <w:t>19.1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5.8</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44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520" w:type="dxa"/>
            <w:vAlign w:val="bottom"/>
          </w:tcPr>
          <w:p>
            <w:pPr>
              <w:jc w:val="center"/>
              <w:ind w:left="96"/>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Non-merchandise Purchase Obligations(3)</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center"/>
              <w:ind w:left="96"/>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00" w:type="dxa"/>
            <w:vAlign w:val="bottom"/>
            <w:gridSpan w:val="3"/>
          </w:tcPr>
          <w:p>
            <w:pPr>
              <w:spacing w:after="0"/>
              <w:rPr>
                <w:sz w:val="20"/>
                <w:szCs w:val="20"/>
                <w:color w:val="auto"/>
              </w:rPr>
            </w:pPr>
            <w:r>
              <w:rPr>
                <w:rFonts w:ascii="Arial" w:cs="Arial" w:eastAsia="Arial" w:hAnsi="Arial"/>
                <w:sz w:val="18"/>
                <w:szCs w:val="18"/>
                <w:color w:val="auto"/>
              </w:rPr>
              <w:t>Total Commitments(4)</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319.3</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54.9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$ 88.8</w:t>
            </w:r>
          </w:p>
        </w:tc>
        <w:tc>
          <w:tcPr>
            <w:tcW w:w="440" w:type="dxa"/>
            <w:vAlign w:val="bottom"/>
          </w:tcPr>
          <w:p>
            <w:pPr>
              <w:spacing w:after="0"/>
              <w:rPr>
                <w:sz w:val="19"/>
                <w:szCs w:val="19"/>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59.5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center"/>
              <w:ind w:left="36"/>
              <w:spacing w:after="0"/>
              <w:rPr>
                <w:sz w:val="20"/>
                <w:szCs w:val="20"/>
                <w:color w:val="auto"/>
              </w:rPr>
            </w:pPr>
            <w:r>
              <w:rPr>
                <w:rFonts w:ascii="Arial" w:cs="Arial" w:eastAsia="Arial" w:hAnsi="Arial"/>
                <w:sz w:val="18"/>
                <w:szCs w:val="18"/>
                <w:color w:val="auto"/>
                <w:w w:val="84"/>
              </w:rPr>
              <w:t>116.1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80" w:hanging="452"/>
        <w:spacing w:after="0" w:line="25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amounts due on our 20-year lease agreement for our corporate headquarters and operating leases for all of our current store locations and certain equipment and auto leases.</w:t>
      </w: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principal payments on our outstanding secured notes and the corresponding estimated interest costs.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80" w:hanging="452"/>
        <w:spacing w:after="0" w:line="253"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Non-merchandise Purchase Obligations include an on-going consulting agreement with Jewelcor Management, Inc., pursuant to which we are obligated to pay $575,000 annually through April 28, 2009. See Note H—”Related Parties” to the Notes to the Consolidated Financial Statements for a full description of this agreement.</w:t>
      </w:r>
    </w:p>
    <w:p>
      <w:pPr>
        <w:ind w:left="460" w:hanging="452"/>
        <w:spacing w:after="0" w:line="255"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table excludes Merchandise Purchase Obligations, which represent our outstanding obligations pursuant to open purchase orders. At February 2, 2008, we had approximately $60.0 million in open purchase orders. We estimate that approximately 73% of these purchase orders may be considered non-cancelable.</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EXPENDITURES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summary of store openings, closings and remodels from February 3, 2007 to February 2, 2008 and related square footage:</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7"/>
              </w:rPr>
              <w:t>Casual</w:t>
            </w: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Total</w:t>
            </w:r>
          </w:p>
        </w:tc>
      </w:tr>
      <w:tr>
        <w:trPr>
          <w:trHeight w:val="161"/>
        </w:trPr>
        <w:tc>
          <w:tcPr>
            <w:tcW w:w="1140" w:type="dxa"/>
            <w:vAlign w:val="bottom"/>
          </w:tcPr>
          <w:p>
            <w:pPr>
              <w:spacing w:after="0"/>
              <w:rPr>
                <w:sz w:val="20"/>
                <w:szCs w:val="20"/>
                <w:color w:val="auto"/>
              </w:rPr>
            </w:pPr>
            <w:r>
              <w:rPr>
                <w:rFonts w:ascii="Arial" w:cs="Arial" w:eastAsia="Arial" w:hAnsi="Arial"/>
                <w:sz w:val="14"/>
                <w:szCs w:val="14"/>
                <w:b w:val="1"/>
                <w:bCs w:val="1"/>
                <w:color w:val="auto"/>
                <w:w w:val="91"/>
              </w:rPr>
              <w:t>Number of Stores:</w:t>
            </w:r>
          </w:p>
        </w:tc>
        <w:tc>
          <w:tcPr>
            <w:tcW w:w="5920" w:type="dxa"/>
            <w:vAlign w:val="bottom"/>
            <w:gridSpan w:val="2"/>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Male</w:t>
            </w:r>
          </w:p>
        </w:tc>
        <w:tc>
          <w:tcPr>
            <w:tcW w:w="520" w:type="dxa"/>
            <w:vAlign w:val="bottom"/>
          </w:tcPr>
          <w:p>
            <w:pPr>
              <w:spacing w:after="0"/>
              <w:rPr>
                <w:sz w:val="14"/>
                <w:szCs w:val="14"/>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1"/>
              </w:rPr>
              <w:t>Rochester</w:t>
            </w:r>
          </w:p>
        </w:tc>
        <w:tc>
          <w:tcPr>
            <w:tcW w:w="4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stores</w:t>
            </w:r>
          </w:p>
        </w:tc>
      </w:tr>
      <w:tr>
        <w:trPr>
          <w:trHeight w:val="20"/>
        </w:trPr>
        <w:tc>
          <w:tcPr>
            <w:tcW w:w="11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At February 3, 2007</w:t>
            </w: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484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60" w:type="dxa"/>
            <w:vAlign w:val="bottom"/>
            <w:shd w:val="clear" w:color="auto" w:fill="CCEEFF"/>
          </w:tcPr>
          <w:p>
            <w:pPr>
              <w:spacing w:after="0"/>
              <w:rPr>
                <w:sz w:val="18"/>
                <w:szCs w:val="18"/>
                <w:color w:val="auto"/>
              </w:rPr>
            </w:pPr>
          </w:p>
        </w:tc>
      </w:tr>
      <w:tr>
        <w:trPr>
          <w:trHeight w:val="216"/>
        </w:trPr>
        <w:tc>
          <w:tcPr>
            <w:tcW w:w="7060" w:type="dxa"/>
            <w:vAlign w:val="bottom"/>
            <w:gridSpan w:val="3"/>
          </w:tcPr>
          <w:p>
            <w:pPr>
              <w:ind w:left="440"/>
              <w:spacing w:after="0"/>
              <w:rPr>
                <w:sz w:val="20"/>
                <w:szCs w:val="20"/>
                <w:color w:val="auto"/>
              </w:rPr>
            </w:pPr>
            <w:r>
              <w:rPr>
                <w:rFonts w:ascii="Arial" w:cs="Arial" w:eastAsia="Arial" w:hAnsi="Arial"/>
                <w:sz w:val="18"/>
                <w:szCs w:val="18"/>
                <w:color w:val="auto"/>
              </w:rPr>
              <w:t>New outlet stores</w:t>
            </w: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r>
      <w:tr>
        <w:trPr>
          <w:trHeight w:val="216"/>
        </w:trPr>
        <w:tc>
          <w:tcPr>
            <w:tcW w:w="70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New retail stores</w:t>
            </w: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r>
      <w:tr>
        <w:trPr>
          <w:trHeight w:val="216"/>
        </w:trPr>
        <w:tc>
          <w:tcPr>
            <w:tcW w:w="7060" w:type="dxa"/>
            <w:vAlign w:val="bottom"/>
            <w:gridSpan w:val="3"/>
          </w:tcPr>
          <w:p>
            <w:pPr>
              <w:ind w:left="440"/>
              <w:spacing w:after="0"/>
              <w:rPr>
                <w:sz w:val="20"/>
                <w:szCs w:val="20"/>
                <w:color w:val="auto"/>
              </w:rPr>
            </w:pPr>
            <w:r>
              <w:rPr>
                <w:rFonts w:ascii="Arial" w:cs="Arial" w:eastAsia="Arial" w:hAnsi="Arial"/>
                <w:sz w:val="18"/>
                <w:szCs w:val="18"/>
                <w:color w:val="auto"/>
              </w:rPr>
              <w:t>Closed Sears-Canada</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(12)</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0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Closed Casual Male XL retail and outlet stores</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2"/>
        </w:trPr>
        <w:tc>
          <w:tcPr>
            <w:tcW w:w="7060" w:type="dxa"/>
            <w:vAlign w:val="bottom"/>
            <w:gridSpan w:val="3"/>
          </w:tcPr>
          <w:p>
            <w:pPr>
              <w:spacing w:after="0"/>
              <w:rPr>
                <w:sz w:val="20"/>
                <w:szCs w:val="20"/>
                <w:color w:val="auto"/>
              </w:rPr>
            </w:pPr>
            <w:r>
              <w:rPr>
                <w:rFonts w:ascii="Arial" w:cs="Arial" w:eastAsia="Arial" w:hAnsi="Arial"/>
                <w:sz w:val="18"/>
                <w:szCs w:val="18"/>
                <w:color w:val="auto"/>
              </w:rPr>
              <w:t>At February 2, 2008</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5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52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60" w:type="dxa"/>
            <w:vAlign w:val="bottom"/>
          </w:tcPr>
          <w:p>
            <w:pPr>
              <w:spacing w:after="0"/>
              <w:rPr>
                <w:sz w:val="19"/>
                <w:szCs w:val="19"/>
                <w:color w:val="auto"/>
              </w:rPr>
            </w:pPr>
          </w:p>
        </w:tc>
      </w:tr>
      <w:tr>
        <w:trPr>
          <w:trHeight w:val="217"/>
        </w:trPr>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2007 Relocations</w:t>
            </w: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365"/>
        </w:trPr>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Square footage (in thousands)</w:t>
            </w:r>
          </w:p>
        </w:tc>
        <w:tc>
          <w:tcPr>
            <w:tcW w:w="5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0"/>
        </w:trPr>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at February 2, 2008</w:t>
            </w: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8"/>
              </w:rPr>
              <w:t>1,594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1,809</w:t>
            </w:r>
          </w:p>
        </w:tc>
        <w:tc>
          <w:tcPr>
            <w:tcW w:w="60" w:type="dxa"/>
            <w:vAlign w:val="bottom"/>
            <w:shd w:val="clear" w:color="auto" w:fill="CCEEFF"/>
          </w:tcPr>
          <w:p>
            <w:pPr>
              <w:spacing w:after="0"/>
              <w:rPr>
                <w:sz w:val="18"/>
                <w:szCs w:val="18"/>
                <w:color w:val="auto"/>
              </w:rPr>
            </w:pPr>
          </w:p>
        </w:tc>
      </w:tr>
      <w:tr>
        <w:trPr>
          <w:trHeight w:val="222"/>
        </w:trPr>
        <w:tc>
          <w:tcPr>
            <w:tcW w:w="7060" w:type="dxa"/>
            <w:vAlign w:val="bottom"/>
            <w:gridSpan w:val="3"/>
          </w:tcPr>
          <w:p>
            <w:pPr>
              <w:spacing w:after="0"/>
              <w:rPr>
                <w:sz w:val="20"/>
                <w:szCs w:val="20"/>
                <w:color w:val="auto"/>
              </w:rPr>
            </w:pPr>
            <w:r>
              <w:rPr>
                <w:rFonts w:ascii="Arial" w:cs="Arial" w:eastAsia="Arial" w:hAnsi="Arial"/>
                <w:sz w:val="18"/>
                <w:szCs w:val="18"/>
                <w:color w:val="auto"/>
              </w:rPr>
              <w:t>at February 3, 2007</w:t>
            </w: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w w:val="88"/>
              </w:rPr>
              <w:t>1,668</w:t>
            </w:r>
          </w:p>
        </w:tc>
        <w:tc>
          <w:tcPr>
            <w:tcW w:w="580" w:type="dxa"/>
            <w:vAlign w:val="bottom"/>
          </w:tcPr>
          <w:p>
            <w:pPr>
              <w:jc w:val="right"/>
              <w:spacing w:after="0"/>
              <w:rPr>
                <w:sz w:val="20"/>
                <w:szCs w:val="20"/>
                <w:color w:val="auto"/>
              </w:rPr>
            </w:pPr>
            <w:r>
              <w:rPr>
                <w:rFonts w:ascii="Arial" w:cs="Arial" w:eastAsia="Arial" w:hAnsi="Arial"/>
                <w:sz w:val="18"/>
                <w:szCs w:val="18"/>
                <w:color w:val="auto"/>
              </w:rPr>
              <w:t>184</w:t>
            </w:r>
          </w:p>
        </w:tc>
        <w:tc>
          <w:tcPr>
            <w:tcW w:w="5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1,852</w:t>
            </w:r>
          </w:p>
        </w:tc>
        <w:tc>
          <w:tcPr>
            <w:tcW w:w="60" w:type="dxa"/>
            <w:vAlign w:val="bottom"/>
          </w:tcPr>
          <w:p>
            <w:pPr>
              <w:spacing w:after="0"/>
              <w:rPr>
                <w:sz w:val="19"/>
                <w:szCs w:val="19"/>
                <w:color w:val="auto"/>
              </w:rPr>
            </w:pPr>
          </w:p>
        </w:tc>
      </w:tr>
    </w:tbl>
    <w:p>
      <w:pPr>
        <w:spacing w:after="0" w:line="14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During fiscal 2007, we incurred approximately $21.4 million in capital expenditures. Approximately $11.1 million of our capital expenditures were for system enhancements and a new sortation system for our distribution center. The remainder of our capital expenditures related to store capital for new stores as well as remodels and relocations, with the rest for corporate facilities.</w:t>
      </w:r>
    </w:p>
    <w:p>
      <w:pPr>
        <w:spacing w:after="0" w:line="14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Capital expenditures for fiscal 2008 are expected to be approximately $11.5 million, of which $5.9 million relates to store capital related to new stores, remodels and relocations. The budget also includes approximately $3.4 million for system enhancements, including our inventory integration project. The remainder of the budget relates to other miscellaneous store and corporate level expenditures. Included in store expansion are funds to relocate approximately 10 of our existing Casual Male XL retail stores at an estimated $150,000 for each location.</w:t>
      </w:r>
    </w:p>
    <w:p>
      <w:pPr>
        <w:spacing w:after="0" w:line="11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For fiscal 2008, we intend to open six new Casual Male XL retail stores, two Casual Male XL outlet stores and one Rochester Big &amp; Tall store. We also expect to close nine existing Casual Male XL retail and outlets stores as their respective leases expire.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CRITICAL ACCOUNTING POLICIES</w:t>
      </w:r>
    </w:p>
    <w:p>
      <w:pPr>
        <w:spacing w:after="0" w:line="90"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Our financial statements are based on the application of significant accounting policies, many of which require our management to make significant estimates and assumptions (see Note A to the Notes to the Consolidated Financial Statements). We believe that the following items involve some of the more critical judgments in the application of accounting policies that currently affect our financial condition and results of operations.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Stock-Based Compensation</w:t>
      </w:r>
      <w:r>
        <w:rPr>
          <w:rFonts w:ascii="Arial" w:cs="Arial" w:eastAsia="Arial" w:hAnsi="Arial"/>
          <w:sz w:val="18"/>
          <w:szCs w:val="18"/>
          <w:i w:val="1"/>
          <w:iCs w:val="1"/>
          <w:color w:val="auto"/>
        </w:rPr>
        <w:t>.</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SFAS 123R requires us to measure compensation cost for all stock awards at fair value on date of grant and recognize compensation over the service period for awards expected to vest. The fair value of our stock options is determined using the Black-Scholes valuation model, which requires the input of highly subjective assumptions. These assumptions include estimating the length of time employees will retain their vested stock options before exercising them (the “expected term”), the estimated volatility of our common stock price over the expected term and the number of options that will ultimately not complete their vesting requirements (“forfeitures”). Changes in these subjective assumptions can materially affect the estimate of fair value of stock-based compensation and, consequently, the related amount recognized as an expense on the consolidated statements of operations. As required under the accounting rules, we review our valuation assumptions at each grant date and, as a result, we are likely to change our valuation assumptions used to value employee stock-based awards granted in future periods. The values derived from using the Black-Scholes model are recognized as expense over the service period, net of estimated forfeitures. Actual results, and future changes in estimates, may differ substantially from these current estimates. For fiscal 2007 and fiscal 2006, we recognized total compensation expense of $2.1 million and $0.8 million, respectively.</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Inventory.</w:t>
      </w:r>
    </w:p>
    <w:p>
      <w:pPr>
        <w:spacing w:after="0" w:line="9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We value inventory at the lower of cost or market, using a weighted-average cost method. We review our inventory to identify slow-moving and broken assortments and use markdowns to clear merchandise. We value our inventory at the lower of cost or market and will record inventory reserves if the estimated future selling price is less than cost. In addition, an inventory shrink estimate is made each period that reduces the value of inventory for lost or stolen merchandise. We perform physical inventories through the year and adjust the shrink reserves accordingly.</w:t>
      </w:r>
    </w:p>
    <w:p>
      <w:pPr>
        <w:spacing w:after="0" w:line="11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During the fourth quarter of fiscal 2007, we recorded approximately $6.1 million in inventory write-downs associated with the excess merchandise and the acceleration of markdowns associated with seasonal merchandise. The charge also included corrections of freight and other inventory adjustments which were deemed immaterial to the prior periods presented.</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During the third and fourth quarters of fiscal 2007, we recorded a charge of $1.1 million for the write-off of inventory related to our decision to exit our Jared M. operations. This charge is included as part of discontinued operations for fiscal 2007.</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Impairment of Long-Lived Assets.</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review our long-lived assets for impairment when indicators of impairment are present and the undiscounted cash flow estimated to be generated by those assets is less than the assets’ carrying amount. We evaluate our long-lived assets for impairment at a store level for all our retail locations. If actual market conditions are less favorable than management’s projections, future write-offs may be necessary. In fiscal 2007, in connection with the exiting of our Jared M. operations, we recorded an impairment charge for fixed assets of $1.4 million which is included as part of discontinued operations for fiscal 2007.</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Goodwill and Intangibles.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In connection with our acquisitions, we have goodwill and intangibles totaling approximately $95.9 million at February 2, 2008. In accordance with Statement of Financial Accounting Standards (“SFAS”) No.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xml:space="preserve"> (“SFAS No. 142”), we evaluate goodwill and intangible assets with indefinite-lives at least annually for impairment by analyzing the estimated fair value based on the present value of discounted cash flows compared to the net book value. We evaluate goodwill, based on two separate operating segments, our Casual Male business and our Rochester business, by comparing the current carrying value of goodwill with the fair value of the net assets of the operating segments. We will write off the amount of any goodwill or intangible in excess of its fair value.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Deferred Taxes.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record a valuation allowance to reduce our deferred tax assets to the amount that is more likely than not to be realized. We have considered estimated future taxable income and ongoing tax planning strategies in assessing the amount needed for the valuation allowance. At February 2, 2008, our net deferred tax assets were $28.6 million. During the fourth quarter of fiscal 2006, we determined that it was more likely than not that we would be able to realize the benefits of substantially all of our deferred tax assets. In reaching that determination, we considered the positive evidence of thirteen consecutive quarters of increases in comparable sales, our continued improvement in operating income over the past five years, our expectations regarding the generation of future taxable income, and our current market position and expected growth of our industry. During fiscal 2006, we also entered into a sale-leaseback transaction which resulted in a gain on the sale of our corporate headquarters of approximately $29.3 million. For tax purposes in fiscal 2006, we utilized our existing NOL’s to offset this gain, For book purposes, we deferred the gain and are recognizing $1.5 million annually over the initial term of the respective lease agreement. Accordingly, during the fourth quarter of fiscal 2006, we reversed $31.0 million of our valuation allowance and recognized an income tax benefit for $30.5 million. The remaining $0.5 million of the reversal was credited to additional paid-in capital. The $30.5 million income tax benefit was partially offset by an income tax provision on current earnings of $8.9 million. For fiscal 2007, we recorded an income tax provision of $0.5 million, which consisted of an income tax benefit of $2.3 million recognized on our discontinued operations and an income tax provision of $2.8 million for continuing operations.</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 ACCOUNTING PRONOUNCEMENTS</w:t>
      </w:r>
    </w:p>
    <w:p>
      <w:pPr>
        <w:spacing w:after="0" w:line="90"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 xml:space="preserve">In September 2006, the FASB issued FASB No.157,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(“FAS 157”). The purpose of FAS 157 is to define fair value, establish a framework for measuring fair value and enhance disclosures about fair value measurements. The measurement and disclosure requirements are effective beginning in the first quarter of fiscal 2008. We are currently assessing whether adoption of FAS No. 157 will have an impact on our financial statements.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In February 2007, the FASB issued FAS No. 159, </w:t>
      </w:r>
      <w:r>
        <w:rPr>
          <w:rFonts w:ascii="Arial" w:cs="Arial" w:eastAsia="Arial" w:hAnsi="Arial"/>
          <w:sz w:val="18"/>
          <w:szCs w:val="18"/>
          <w:i w:val="1"/>
          <w:iCs w:val="1"/>
          <w:color w:val="auto"/>
        </w:rPr>
        <w:t>The Fair Value Option for Financial Assets and Financial Liabilities—including an amendment to FASB</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No. 115</w:t>
      </w:r>
      <w:r>
        <w:rPr>
          <w:rFonts w:ascii="Arial" w:cs="Arial" w:eastAsia="Arial" w:hAnsi="Arial"/>
          <w:sz w:val="18"/>
          <w:szCs w:val="18"/>
          <w:color w:val="auto"/>
        </w:rPr>
        <w:t>, (“FAS 159”), which permits entities to choose to measure many financial instruments and certain other items at fair value that are not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be measured at fair value. SFAS 159 is effective January 1, 2008. We have evaluated the impact of FAS 159 and believe it will not significantly impact our consolidated financial statements.</w:t>
      </w:r>
    </w:p>
    <w:p>
      <w:pPr>
        <w:spacing w:after="0" w:line="14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 xml:space="preserve">In December 2007, the FASB issued FAS No. 141 (revised 2007), </w:t>
      </w:r>
      <w:r>
        <w:rPr>
          <w:rFonts w:ascii="Arial" w:cs="Arial" w:eastAsia="Arial" w:hAnsi="Arial"/>
          <w:sz w:val="16"/>
          <w:szCs w:val="16"/>
          <w:i w:val="1"/>
          <w:iCs w:val="1"/>
          <w:color w:val="auto"/>
        </w:rPr>
        <w:t>Business Combinations</w:t>
      </w:r>
      <w:r>
        <w:rPr>
          <w:rFonts w:ascii="Arial" w:cs="Arial" w:eastAsia="Arial" w:hAnsi="Arial"/>
          <w:sz w:val="16"/>
          <w:szCs w:val="16"/>
          <w:color w:val="auto"/>
        </w:rPr>
        <w:t>, (“FAS 141R”), which changes how business combinations are accounted for and will impact financial statements both on the acquisition date and in subsequent periods. FAS 141R is effective January 1, 2009, and will be applied prospectively. The impact of adopting FAS 141R will depend on the nature and terms of future acquisitions.</w:t>
      </w:r>
    </w:p>
    <w:p>
      <w:pPr>
        <w:spacing w:after="0" w:line="10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In December 2007, the FASB issued FAS No. 160, </w:t>
      </w:r>
      <w:r>
        <w:rPr>
          <w:rFonts w:ascii="Arial" w:cs="Arial" w:eastAsia="Arial" w:hAnsi="Arial"/>
          <w:sz w:val="18"/>
          <w:szCs w:val="18"/>
          <w:i w:val="1"/>
          <w:iCs w:val="1"/>
          <w:color w:val="auto"/>
        </w:rPr>
        <w:t>Noncontrolling Interests in Consolidated Financial Statements</w:t>
      </w:r>
      <w:r>
        <w:rPr>
          <w:rFonts w:ascii="Arial" w:cs="Arial" w:eastAsia="Arial" w:hAnsi="Arial"/>
          <w:sz w:val="18"/>
          <w:szCs w:val="18"/>
          <w:color w:val="auto"/>
        </w:rPr>
        <w:t xml:space="preserve"> (“FAS 160”), which changes the accounting and reporting standards for the noncontrolling interests in a subsidiary in consolidated financial statements. FAS 160 recharacterizes minority interests as noncontrolling interests and requires noncontrolling interests to be classified as a component of shareholders’ equity. FAS 160 is effective January 1, 2009 and requires retroactive adoption of the presentation and disclosure requirements for existing minority interests. We are currently evaluating the impact of FAS 160 on our consolidated financial statements.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EFFECTS OF INFLATION</w:t>
      </w:r>
    </w:p>
    <w:p>
      <w:pPr>
        <w:spacing w:after="0" w:line="90"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Although our operations are influenced by general economic trends, we do not believe that inflation has had a material effect on the results of our operations in the last three fiscal years.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the normal course of business, our financial position and results of operations are routinely subject to a variety of risks, including market risk associated with interest rate movements on borrowings and foreign currency fluctuations. We regularly assess these risks and have established policies and business practices to protect against the adverse effects of these and other potential exposures.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utilize cash from operations and from our Credit Facility to fund our working capital needs. Our Credit Facility is not used for trading or speculative purposes. In addition, we have available letters of credit as sources of financing for its working capital requirements. Borrowings under the Credit Facility, which expires October 29, 2011, bear interest at variable rates based on Bank of America’s prime rate or LIBOR. At February 2, 2008, all of our borrowings were prime based borrowings at 6.0%. Based upon a sensitivity analysis as of February 2, 2008, assuming average outstanding borrowing during fiscal 2007 of $50.6 million, a 50 basis point increase in interest rates would have resulted in a potential increase in interest expense of approximately $253,000.</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Our direct businesses with Sears Canada conduct business in Canadian dollars and our Rochester Big &amp; Tall store located in London, England conducts business in British pounds. If the value of the Canadian dollar or the British pound against the U.S. dollar weakens, the revenues and earnings of these stores will be reduced when they are translated to U.S. dollars. Also, the value of these assets in U.S. dollars may decline. As of February 2, 2008, sales from our Sears Canada business, including sales from 12 Sears Canada stores which closed during fiscal 2007 and our London Rochester Big &amp; Tall store were immaterial to consolidated sales. As such, we believe that movement in foreign currency exchange rates will not have a material adverse affect on our financial position or results of operations.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140" w:type="dxa"/>
            <w:vAlign w:val="bottom"/>
            <w:gridSpan w:val="8"/>
            <w:vMerge w:val="restart"/>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Report of Independent Registered Public Accounting Firm</w:t>
              </w:r>
            </w:hyperlink>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11140" w:type="dxa"/>
            <w:vAlign w:val="bottom"/>
            <w:gridSpan w:val="8"/>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44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3"/>
        </w:trPr>
        <w:tc>
          <w:tcPr>
            <w:tcW w:w="412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Consolidated Financial Statements:</w:t>
            </w:r>
          </w:p>
        </w:tc>
        <w:tc>
          <w:tcPr>
            <w:tcW w:w="7020" w:type="dxa"/>
            <w:vAlign w:val="bottom"/>
            <w:gridSpan w:val="5"/>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60" w:type="dxa"/>
            <w:vAlign w:val="bottom"/>
          </w:tcPr>
          <w:p>
            <w:pPr>
              <w:spacing w:after="0"/>
              <w:rPr>
                <w:sz w:val="24"/>
                <w:szCs w:val="24"/>
                <w:color w:val="auto"/>
              </w:rPr>
            </w:pPr>
          </w:p>
        </w:tc>
        <w:tc>
          <w:tcPr>
            <w:tcW w:w="10680" w:type="dxa"/>
            <w:vAlign w:val="bottom"/>
            <w:gridSpan w:val="7"/>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Consolidated Balance Sheets at February 2, 2008 and February 3, 2007</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4"/>
                <w:szCs w:val="24"/>
                <w:color w:val="auto"/>
              </w:rPr>
            </w:pPr>
          </w:p>
        </w:tc>
        <w:tc>
          <w:tcPr>
            <w:tcW w:w="872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50">
              <w:r>
                <w:rPr>
                  <w:rFonts w:ascii="Arial" w:cs="Arial" w:eastAsia="Arial" w:hAnsi="Arial"/>
                  <w:sz w:val="18"/>
                  <w:szCs w:val="18"/>
                  <w:color w:val="0000EE"/>
                  <w:w w:val="87"/>
                </w:rPr>
                <w:t>Consolidated Statements of Operations for the Fiscal Years Ended February 2, 2008, February 3, 2007 and January 28, 2006</w:t>
              </w:r>
            </w:hyperlink>
          </w:p>
        </w:tc>
        <w:tc>
          <w:tcPr>
            <w:tcW w:w="1960" w:type="dxa"/>
            <w:vAlign w:val="bottom"/>
            <w:gridSpan w:val="3"/>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4"/>
                <w:szCs w:val="24"/>
                <w:color w:val="auto"/>
              </w:rPr>
            </w:pPr>
          </w:p>
        </w:tc>
        <w:tc>
          <w:tcPr>
            <w:tcW w:w="1026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51">
              <w:r>
                <w:rPr>
                  <w:rFonts w:ascii="Arial" w:cs="Arial" w:eastAsia="Arial" w:hAnsi="Arial"/>
                  <w:sz w:val="18"/>
                  <w:szCs w:val="18"/>
                  <w:color w:val="0000EE"/>
                  <w:w w:val="87"/>
                </w:rPr>
                <w:t>Consolidated Statements of Changes in Stockholders’ Equity for the Fiscal Years Ended February 2, 2008, February 3, 2007 and January 28, 2006</w:t>
              </w:r>
            </w:hyperlink>
          </w:p>
        </w:tc>
        <w:tc>
          <w:tcPr>
            <w:tcW w:w="42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4"/>
                <w:szCs w:val="24"/>
                <w:color w:val="auto"/>
              </w:rPr>
            </w:pPr>
          </w:p>
        </w:tc>
        <w:tc>
          <w:tcPr>
            <w:tcW w:w="10680" w:type="dxa"/>
            <w:vAlign w:val="bottom"/>
            <w:gridSpan w:val="7"/>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Consolidated Statements of Cash Flows for the Fiscal Years Ended February 2, 2008, February 3, 2007 and January 28, 2006</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6140" w:type="dxa"/>
            <w:vAlign w:val="bottom"/>
            <w:gridSpan w:val="4"/>
            <w:shd w:val="clear" w:color="auto" w:fill="0000EE"/>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8"/>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Notes to Consolidated Financial Statements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83"/>
        </w:trPr>
        <w:tc>
          <w:tcPr>
            <w:tcW w:w="3080" w:type="dxa"/>
            <w:vAlign w:val="bottom"/>
            <w:tcBorders>
              <w:top w:val="single" w:sz="8" w:color="0000EE"/>
            </w:tcBorders>
            <w:gridSpan w:val="2"/>
          </w:tcPr>
          <w:p>
            <w:pPr>
              <w:spacing w:after="0"/>
              <w:rPr>
                <w:sz w:val="24"/>
                <w:szCs w:val="24"/>
                <w:color w:val="auto"/>
              </w:rPr>
            </w:pPr>
          </w:p>
        </w:tc>
        <w:tc>
          <w:tcPr>
            <w:tcW w:w="6100" w:type="dxa"/>
            <w:vAlign w:val="bottom"/>
            <w:gridSpan w:val="3"/>
          </w:tcPr>
          <w:p>
            <w:pPr>
              <w:jc w:val="right"/>
              <w:ind w:right="3380"/>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of Casual Male Retail Group, Inc.</w:t>
      </w:r>
    </w:p>
    <w:p>
      <w:pPr>
        <w:spacing w:after="0" w:line="165" w:lineRule="exact"/>
        <w:rPr>
          <w:sz w:val="20"/>
          <w:szCs w:val="20"/>
          <w:color w:val="auto"/>
        </w:rPr>
      </w:pPr>
    </w:p>
    <w:p>
      <w:pPr>
        <w:ind w:right="260" w:firstLine="456"/>
        <w:spacing w:after="0" w:line="305" w:lineRule="auto"/>
        <w:rPr>
          <w:sz w:val="20"/>
          <w:szCs w:val="20"/>
          <w:color w:val="auto"/>
        </w:rPr>
      </w:pPr>
      <w:r>
        <w:rPr>
          <w:rFonts w:ascii="Arial" w:cs="Arial" w:eastAsia="Arial" w:hAnsi="Arial"/>
          <w:sz w:val="15"/>
          <w:szCs w:val="15"/>
          <w:color w:val="auto"/>
        </w:rPr>
        <w:t>We have audited the accompanying consolidated balance sheets of Casual Male Retail Group, Inc. as of February 2, 2008 and February 3, 2007, and the related consolidated statements of operations, changes in stockholders’ equity, and cash flows for each of the three years in the period ended February 2,</w:t>
      </w:r>
    </w:p>
    <w:p>
      <w:pPr>
        <w:ind w:right="220"/>
        <w:spacing w:after="0" w:line="261" w:lineRule="auto"/>
        <w:rPr>
          <w:sz w:val="20"/>
          <w:szCs w:val="20"/>
          <w:color w:val="auto"/>
        </w:rPr>
      </w:pPr>
      <w:r>
        <w:rPr>
          <w:rFonts w:ascii="Arial" w:cs="Arial" w:eastAsia="Arial" w:hAnsi="Arial"/>
          <w:sz w:val="18"/>
          <w:szCs w:val="18"/>
          <w:color w:val="auto"/>
        </w:rPr>
        <w:t>2008. These financial statements are the responsibility of the Company’s management. Our responsibility is to express an opinion on these financial statements based on our audits.</w:t>
      </w:r>
    </w:p>
    <w:p>
      <w:pPr>
        <w:spacing w:after="0" w:line="13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Casual Male Retail Group, Inc. at February 2, 2008 and February 3, 2007, and the consolidated results of their operations and their cash flows for each of the three years in the period ended February 2, 2008, in conformity with U.S. generally accepted accounting principles.</w:t>
      </w:r>
    </w:p>
    <w:p>
      <w:pPr>
        <w:spacing w:after="0" w:line="14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Casual Male Retail Group, Inc.’s internal control over financial reporting as of February 2, 2008, based on criteria established in Internal Control-Integrated Framework issued by the Committee of Sponsoring Organizations of the Treadway Commission and our report dated March 24, 2008 expressed an unqualified opinion thereon.</w:t>
      </w:r>
    </w:p>
    <w:p>
      <w:pPr>
        <w:spacing w:after="0" w:line="10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As discussed in Note D to the consolidated financial statements, effective February 4, 2007, the Company adopted FASB Interpretation No. 48, </w:t>
      </w:r>
      <w:r>
        <w:rPr>
          <w:rFonts w:ascii="Arial" w:cs="Arial" w:eastAsia="Arial" w:hAnsi="Arial"/>
          <w:sz w:val="18"/>
          <w:szCs w:val="18"/>
          <w:i w:val="1"/>
          <w:iCs w:val="1"/>
          <w:color w:val="auto"/>
        </w:rPr>
        <w:t>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for Uncertainty in Income Taxes—an Interpretation of FASB Statement No. 109.</w:t>
      </w:r>
    </w:p>
    <w:p>
      <w:pPr>
        <w:spacing w:after="0" w:line="132"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 xml:space="preserve">As discussed in Note I to the consolidated financial statements, effective for the fiscal year ended February 3, 2007, the Company adopted Statement of Financial Accounting Standards No. 158, </w:t>
      </w:r>
      <w:r>
        <w:rPr>
          <w:rFonts w:ascii="Arial" w:cs="Arial" w:eastAsia="Arial" w:hAnsi="Arial"/>
          <w:sz w:val="18"/>
          <w:szCs w:val="18"/>
          <w:i w:val="1"/>
          <w:iCs w:val="1"/>
          <w:color w:val="auto"/>
        </w:rPr>
        <w:t>Employers’ Accounting for Defined Benefit Pension and Other Post-Retirement Plans—An amendment of FASB</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Nos. 87, 88, 106, and 132(R)</w:t>
      </w:r>
      <w:r>
        <w:rPr>
          <w:rFonts w:ascii="Arial" w:cs="Arial" w:eastAsia="Arial" w:hAnsi="Arial"/>
          <w:sz w:val="18"/>
          <w:szCs w:val="18"/>
          <w:color w:val="auto"/>
        </w:rPr>
        <w:t>.</w:t>
      </w:r>
    </w:p>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 xml:space="preserve">As discussed in Note A to the consolidated financial statements, effective January 29, 2006, the Company adopted Statement of Financial Accounting Standards No. 123(R), </w:t>
      </w:r>
      <w:r>
        <w:rPr>
          <w:rFonts w:ascii="Arial" w:cs="Arial" w:eastAsia="Arial" w:hAnsi="Arial"/>
          <w:sz w:val="18"/>
          <w:szCs w:val="18"/>
          <w:i w:val="1"/>
          <w:iCs w:val="1"/>
          <w:color w:val="auto"/>
        </w:rPr>
        <w:t>Share-Based Payment</w:t>
      </w:r>
      <w:r>
        <w:rPr>
          <w:rFonts w:ascii="Arial" w:cs="Arial" w:eastAsia="Arial" w:hAnsi="Arial"/>
          <w:sz w:val="18"/>
          <w:szCs w:val="18"/>
          <w:color w:val="auto"/>
        </w:rPr>
        <w:t>.</w:t>
      </w:r>
    </w:p>
    <w:p>
      <w:pPr>
        <w:spacing w:after="0" w:line="213" w:lineRule="exact"/>
        <w:rPr>
          <w:sz w:val="20"/>
          <w:szCs w:val="20"/>
          <w:color w:val="auto"/>
        </w:rPr>
      </w:pPr>
    </w:p>
    <w:p>
      <w:pPr>
        <w:ind w:left="6060"/>
        <w:spacing w:after="0"/>
        <w:tabs>
          <w:tab w:leader="none" w:pos="63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Ernst &amp; Young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24, 2008</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CASUAL MALE RETAIL GROUP, INC.</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February 2, 2008 and February 3, 2007</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February 2, 2008</w:t>
            </w:r>
          </w:p>
        </w:tc>
        <w:tc>
          <w:tcPr>
            <w:tcW w:w="3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w w:val="94"/>
              </w:rPr>
              <w:t>February 3, 2007</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87"/>
              </w:rPr>
              <w:t>(Fiscal 2007)</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87"/>
              </w:rPr>
              <w:t>(Fiscal 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60" w:type="dxa"/>
            <w:vAlign w:val="bottom"/>
            <w:gridSpan w:val="6"/>
          </w:tcPr>
          <w:p>
            <w:pPr>
              <w:jc w:val="right"/>
              <w:ind w:right="520"/>
              <w:spacing w:after="0" w:line="142" w:lineRule="exact"/>
              <w:rPr>
                <w:sz w:val="20"/>
                <w:szCs w:val="20"/>
                <w:color w:val="auto"/>
              </w:rPr>
            </w:pPr>
            <w:r>
              <w:rPr>
                <w:rFonts w:ascii="Arial" w:cs="Arial" w:eastAsia="Arial" w:hAnsi="Arial"/>
                <w:sz w:val="14"/>
                <w:szCs w:val="14"/>
                <w:b w:val="1"/>
                <w:bCs w:val="1"/>
                <w:color w:val="auto"/>
                <w:w w:val="99"/>
              </w:rPr>
              <w:t>(In thousands, except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5,293</w:t>
            </w:r>
          </w:p>
        </w:tc>
        <w:tc>
          <w:tcPr>
            <w:tcW w:w="4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2,813</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117,787</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8,885</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11,503</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6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146,281</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141,723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62,156</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1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60,660</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Other intangible assets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35,191</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35,534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19,732</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1,341</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325,361</w:t>
            </w:r>
          </w:p>
        </w:tc>
        <w:tc>
          <w:tcPr>
            <w:tcW w:w="4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18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480" w:type="dxa"/>
            <w:vAlign w:val="bottom"/>
            <w:gridSpan w:val="2"/>
          </w:tcPr>
          <w:p>
            <w:pPr>
              <w:ind w:left="38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4,874</w:t>
            </w:r>
          </w:p>
        </w:tc>
        <w:tc>
          <w:tcPr>
            <w:tcW w:w="420" w:type="dxa"/>
            <w:vAlign w:val="bottom"/>
          </w:tcPr>
          <w:p>
            <w:pPr>
              <w:spacing w:after="0"/>
              <w:rPr>
                <w:sz w:val="18"/>
                <w:szCs w:val="18"/>
                <w:color w:val="auto"/>
              </w:rPr>
            </w:pP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deferred gain on sale-leaseback</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1,465</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34,187</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35,368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23,808</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28,278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Notes payable</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40,978</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6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105,312</w:t>
            </w: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74,942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Long-term debt, net of current portion</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12,450</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gain on sale-leaseback, net of current portion</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24,912</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Other long-term liabilities</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746</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long-term liabilities</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38,108</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180" w:type="dxa"/>
            <w:vAlign w:val="bottom"/>
            <w:gridSpan w:val="2"/>
          </w:tcPr>
          <w:p>
            <w:pPr>
              <w:spacing w:after="0"/>
              <w:rPr>
                <w:sz w:val="20"/>
                <w:szCs w:val="20"/>
                <w:color w:val="auto"/>
              </w:rPr>
            </w:pPr>
            <w:r>
              <w:rPr>
                <w:rFonts w:ascii="Arial" w:cs="Arial" w:eastAsia="Arial" w:hAnsi="Arial"/>
                <w:sz w:val="18"/>
                <w:szCs w:val="18"/>
                <w:color w:val="auto"/>
              </w:rPr>
              <w:t>Commitments and contingencies (Note E)</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Preferred stock, $0.01 par value, 1,000,000 shares authorized, none issued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0"/>
              </w:rPr>
              <w:t>Common stock, $0.01 par value, 75,000,000 shares authorized, 52,266,840 and 50,860,322 shares issued</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523</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at February 2, 2008 and February 3, 2007, respectively</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271,354</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258,334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Treasury stock at cost, 10,877,439 shares at February 2, 2008 and 6,686,029 shares at February 3, 2007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(87,977)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(835)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(1,124)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60" w:type="dxa"/>
            <w:vAlign w:val="bottom"/>
          </w:tcPr>
          <w:p>
            <w:pPr>
              <w:ind w:left="860"/>
              <w:spacing w:after="0"/>
              <w:rPr>
                <w:sz w:val="20"/>
                <w:szCs w:val="20"/>
                <w:color w:val="auto"/>
              </w:rPr>
            </w:pPr>
            <w:r>
              <w:rPr>
                <w:rFonts w:ascii="Arial" w:cs="Arial" w:eastAsia="Arial" w:hAnsi="Arial"/>
                <w:sz w:val="18"/>
                <w:szCs w:val="18"/>
                <w:color w:val="auto"/>
              </w:rPr>
              <w:t>Total stockholders’ equity</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181,941</w:t>
            </w: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218,046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liabilities and stockholders’ equity</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325,361</w:t>
            </w:r>
          </w:p>
        </w:tc>
        <w:tc>
          <w:tcPr>
            <w:tcW w:w="4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years ended February 2, 2008, February 3, 2007 and January 28, 2006</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080" w:type="dxa"/>
            <w:vAlign w:val="bottom"/>
            <w:gridSpan w:val="3"/>
          </w:tcPr>
          <w:p>
            <w:pPr>
              <w:jc w:val="right"/>
              <w:ind w:right="292"/>
              <w:spacing w:after="0"/>
              <w:rPr>
                <w:sz w:val="20"/>
                <w:szCs w:val="20"/>
                <w:color w:val="auto"/>
              </w:rPr>
            </w:pPr>
            <w:r>
              <w:rPr>
                <w:rFonts w:ascii="Arial" w:cs="Arial" w:eastAsia="Arial" w:hAnsi="Arial"/>
                <w:sz w:val="14"/>
                <w:szCs w:val="14"/>
                <w:b w:val="1"/>
                <w:bCs w:val="1"/>
                <w:color w:val="auto"/>
                <w:w w:val="92"/>
              </w:rPr>
              <w:t>February 2,</w:t>
            </w:r>
          </w:p>
        </w:tc>
        <w:tc>
          <w:tcPr>
            <w:tcW w:w="280" w:type="dxa"/>
            <w:vAlign w:val="bottom"/>
          </w:tcPr>
          <w:p>
            <w:pPr>
              <w:spacing w:after="0"/>
              <w:rPr>
                <w:sz w:val="14"/>
                <w:szCs w:val="14"/>
                <w:color w:val="auto"/>
              </w:rPr>
            </w:pPr>
          </w:p>
        </w:tc>
        <w:tc>
          <w:tcPr>
            <w:tcW w:w="1360" w:type="dxa"/>
            <w:vAlign w:val="bottom"/>
            <w:gridSpan w:val="3"/>
          </w:tcPr>
          <w:p>
            <w:pPr>
              <w:jc w:val="right"/>
              <w:ind w:right="572"/>
              <w:spacing w:after="0"/>
              <w:rPr>
                <w:sz w:val="20"/>
                <w:szCs w:val="20"/>
                <w:color w:val="auto"/>
              </w:rPr>
            </w:pPr>
            <w:r>
              <w:rPr>
                <w:rFonts w:ascii="Arial" w:cs="Arial" w:eastAsia="Arial" w:hAnsi="Arial"/>
                <w:sz w:val="14"/>
                <w:szCs w:val="14"/>
                <w:b w:val="1"/>
                <w:bCs w:val="1"/>
                <w:color w:val="auto"/>
                <w:w w:val="92"/>
              </w:rPr>
              <w:t>February 3,</w:t>
            </w: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January 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53"/>
              <w:spacing w:after="0" w:line="149" w:lineRule="exact"/>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33"/>
              <w:spacing w:after="0" w:line="149" w:lineRule="exact"/>
              <w:rPr>
                <w:sz w:val="20"/>
                <w:szCs w:val="20"/>
                <w:color w:val="auto"/>
              </w:rPr>
            </w:pPr>
            <w:r>
              <w:rPr>
                <w:rFonts w:ascii="Arial" w:cs="Arial" w:eastAsia="Arial" w:hAnsi="Arial"/>
                <w:sz w:val="14"/>
                <w:szCs w:val="14"/>
                <w:b w:val="1"/>
                <w:bCs w:val="1"/>
                <w:color w:val="auto"/>
              </w:rPr>
              <w:t>2007</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53"/>
              <w:spacing w:after="0" w:line="149"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5"/>
              </w:rPr>
              <w:t>(Fiscal 2007)</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(Fiscal 2006)</w:t>
            </w: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(Fiscal 2005)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7"/>
              </w:rPr>
              <w:t>share data)</w:t>
            </w: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6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87"/>
              </w:rPr>
              <w:t>(In thousands, except</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b w:val="1"/>
                <w:bCs w:val="1"/>
                <w:color w:val="auto"/>
                <w:w w:val="89"/>
              </w:rPr>
              <w:t>464,128</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465,393</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421,383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Cost of goods sold including occupancy costs</w:t>
            </w:r>
          </w:p>
        </w:tc>
        <w:tc>
          <w:tcPr>
            <w:tcW w:w="140" w:type="dxa"/>
            <w:vAlign w:val="bottom"/>
          </w:tcPr>
          <w:p>
            <w:pPr>
              <w:spacing w:after="0"/>
              <w:rPr>
                <w:sz w:val="18"/>
                <w:szCs w:val="18"/>
                <w:color w:val="auto"/>
              </w:rPr>
            </w:pPr>
          </w:p>
        </w:tc>
        <w:tc>
          <w:tcPr>
            <w:tcW w:w="940" w:type="dxa"/>
            <w:vAlign w:val="bottom"/>
            <w:gridSpan w:val="2"/>
          </w:tcPr>
          <w:p>
            <w:pPr>
              <w:jc w:val="right"/>
              <w:ind w:right="272"/>
              <w:spacing w:after="0"/>
              <w:rPr>
                <w:sz w:val="20"/>
                <w:szCs w:val="20"/>
                <w:color w:val="auto"/>
              </w:rPr>
            </w:pPr>
            <w:r>
              <w:rPr>
                <w:rFonts w:ascii="Arial" w:cs="Arial" w:eastAsia="Arial" w:hAnsi="Arial"/>
                <w:sz w:val="18"/>
                <w:szCs w:val="18"/>
                <w:b w:val="1"/>
                <w:bCs w:val="1"/>
                <w:color w:val="auto"/>
                <w:w w:val="89"/>
              </w:rPr>
              <w:t>258,155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253,756</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239,203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b w:val="1"/>
                <w:bCs w:val="1"/>
                <w:color w:val="auto"/>
                <w:w w:val="89"/>
              </w:rPr>
              <w:t>205,973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211,637</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182,180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Expenses: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b w:val="1"/>
                <w:bCs w:val="1"/>
                <w:color w:val="auto"/>
                <w:w w:val="89"/>
              </w:rPr>
              <w:t>178,055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168,824</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151,890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Provision for employment contract termination</w:t>
            </w:r>
          </w:p>
        </w:tc>
        <w:tc>
          <w:tcPr>
            <w:tcW w:w="140" w:type="dxa"/>
            <w:vAlign w:val="bottom"/>
          </w:tcPr>
          <w:p>
            <w:pPr>
              <w:spacing w:after="0"/>
              <w:rPr>
                <w:sz w:val="18"/>
                <w:szCs w:val="18"/>
                <w:color w:val="auto"/>
              </w:rPr>
            </w:pPr>
          </w:p>
        </w:tc>
        <w:tc>
          <w:tcPr>
            <w:tcW w:w="940" w:type="dxa"/>
            <w:vAlign w:val="bottom"/>
            <w:gridSpan w:val="2"/>
          </w:tcPr>
          <w:p>
            <w:pPr>
              <w:jc w:val="right"/>
              <w:ind w:right="352"/>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1,200</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17,408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15,057</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195,463</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185,081</w:t>
            </w:r>
          </w:p>
        </w:tc>
        <w:tc>
          <w:tcPr>
            <w:tcW w:w="6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164,627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10,510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26,556</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18"/>
                <w:szCs w:val="18"/>
                <w:color w:val="auto"/>
              </w:rPr>
            </w:pPr>
          </w:p>
        </w:tc>
        <w:tc>
          <w:tcPr>
            <w:tcW w:w="940" w:type="dxa"/>
            <w:vAlign w:val="bottom"/>
            <w:gridSpan w:val="2"/>
          </w:tcPr>
          <w:p>
            <w:pPr>
              <w:jc w:val="right"/>
              <w:ind w:right="272"/>
              <w:spacing w:after="0"/>
              <w:rPr>
                <w:sz w:val="20"/>
                <w:szCs w:val="20"/>
                <w:color w:val="auto"/>
              </w:rPr>
            </w:pPr>
            <w:r>
              <w:rPr>
                <w:rFonts w:ascii="Arial" w:cs="Arial" w:eastAsia="Arial" w:hAnsi="Arial"/>
                <w:sz w:val="18"/>
                <w:szCs w:val="18"/>
                <w:b w:val="1"/>
                <w:bCs w:val="1"/>
                <w:color w:val="auto"/>
              </w:rPr>
              <w:t>502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1,112</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(4,314)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(5,466)</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(8,553)</w:t>
            </w:r>
          </w:p>
        </w:tc>
        <w:tc>
          <w:tcPr>
            <w:tcW w:w="0" w:type="dxa"/>
            <w:vAlign w:val="bottom"/>
          </w:tcPr>
          <w:p>
            <w:pPr>
              <w:spacing w:after="0"/>
              <w:rPr>
                <w:sz w:val="1"/>
                <w:szCs w:val="1"/>
                <w:color w:val="auto"/>
              </w:rPr>
            </w:pPr>
          </w:p>
        </w:tc>
      </w:tr>
      <w:tr>
        <w:trPr>
          <w:trHeight w:val="222"/>
        </w:trPr>
        <w:tc>
          <w:tcPr>
            <w:tcW w:w="788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6,698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22,202</w:t>
            </w: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2,772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w w:val="95"/>
              </w:rPr>
              <w:t>(21,100)</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(2,729)</w:t>
            </w:r>
          </w:p>
        </w:tc>
        <w:tc>
          <w:tcPr>
            <w:tcW w:w="0" w:type="dxa"/>
            <w:vAlign w:val="bottom"/>
          </w:tcPr>
          <w:p>
            <w:pPr>
              <w:spacing w:after="0"/>
              <w:rPr>
                <w:sz w:val="1"/>
                <w:szCs w:val="1"/>
                <w:color w:val="auto"/>
              </w:rPr>
            </w:pPr>
          </w:p>
        </w:tc>
      </w:tr>
      <w:tr>
        <w:trPr>
          <w:trHeight w:val="230"/>
        </w:trPr>
        <w:tc>
          <w:tcPr>
            <w:tcW w:w="788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3,926</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43,302</w:t>
            </w:r>
          </w:p>
        </w:tc>
        <w:tc>
          <w:tcPr>
            <w:tcW w:w="6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10,760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taxes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(3,512)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(670)</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8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42,632</w:t>
            </w:r>
          </w:p>
        </w:tc>
        <w:tc>
          <w:tcPr>
            <w:tcW w:w="6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share—basic</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Income from continuing operations</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272"/>
              <w:spacing w:after="0"/>
              <w:rPr>
                <w:sz w:val="20"/>
                <w:szCs w:val="20"/>
                <w:color w:val="auto"/>
              </w:rPr>
            </w:pPr>
            <w:r>
              <w:rPr>
                <w:rFonts w:ascii="Arial" w:cs="Arial" w:eastAsia="Arial" w:hAnsi="Arial"/>
                <w:sz w:val="18"/>
                <w:szCs w:val="18"/>
                <w:b w:val="1"/>
                <w:bCs w:val="1"/>
                <w:color w:val="auto"/>
              </w:rPr>
              <w:t>0.09</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1.23</w:t>
            </w:r>
          </w:p>
        </w:tc>
        <w:tc>
          <w:tcPr>
            <w:tcW w:w="6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discontinued operations</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(0.08)</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0.01</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share—diluted</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Income from continuing operations</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272"/>
              <w:spacing w:after="0"/>
              <w:rPr>
                <w:sz w:val="20"/>
                <w:szCs w:val="20"/>
                <w:color w:val="auto"/>
              </w:rPr>
            </w:pPr>
            <w:r>
              <w:rPr>
                <w:rFonts w:ascii="Arial" w:cs="Arial" w:eastAsia="Arial" w:hAnsi="Arial"/>
                <w:sz w:val="18"/>
                <w:szCs w:val="18"/>
                <w:b w:val="1"/>
                <w:bCs w:val="1"/>
                <w:color w:val="auto"/>
              </w:rPr>
              <w:t>0.09</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0.99</w:t>
            </w:r>
          </w:p>
        </w:tc>
        <w:tc>
          <w:tcPr>
            <w:tcW w:w="6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discontinued operations</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(0.08)</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0.01</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0.98</w:t>
            </w: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common shares outstanding:</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8"/>
                <w:szCs w:val="18"/>
                <w:color w:val="auto"/>
              </w:rPr>
            </w:pPr>
          </w:p>
        </w:tc>
        <w:tc>
          <w:tcPr>
            <w:tcW w:w="940" w:type="dxa"/>
            <w:vAlign w:val="bottom"/>
            <w:gridSpan w:val="2"/>
          </w:tcPr>
          <w:p>
            <w:pPr>
              <w:jc w:val="right"/>
              <w:ind w:right="272"/>
              <w:spacing w:after="0"/>
              <w:rPr>
                <w:sz w:val="20"/>
                <w:szCs w:val="20"/>
                <w:color w:val="auto"/>
              </w:rPr>
            </w:pPr>
            <w:r>
              <w:rPr>
                <w:rFonts w:ascii="Arial" w:cs="Arial" w:eastAsia="Arial" w:hAnsi="Arial"/>
                <w:sz w:val="18"/>
                <w:szCs w:val="18"/>
                <w:b w:val="1"/>
                <w:bCs w:val="1"/>
                <w:color w:val="auto"/>
              </w:rPr>
              <w:t>41,707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35,276</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34,306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43,229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46,457</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years ended February 2, 2008, February 3, 2007 and January 28, 2006</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020" w:type="dxa"/>
            <w:vAlign w:val="bottom"/>
            <w:gridSpan w:val="5"/>
            <w:vMerge w:val="restart"/>
          </w:tcPr>
          <w:p>
            <w:pPr>
              <w:jc w:val="right"/>
              <w:ind w:right="80"/>
              <w:spacing w:after="0"/>
              <w:rPr>
                <w:sz w:val="20"/>
                <w:szCs w:val="20"/>
                <w:color w:val="auto"/>
              </w:rPr>
            </w:pPr>
            <w:r>
              <w:rPr>
                <w:rFonts w:ascii="Arial" w:cs="Arial" w:eastAsia="Arial" w:hAnsi="Arial"/>
                <w:sz w:val="14"/>
                <w:szCs w:val="14"/>
                <w:b w:val="1"/>
                <w:bCs w:val="1"/>
                <w:color w:val="auto"/>
                <w:w w:val="89"/>
              </w:rPr>
              <w:t>Common Stock</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5"/>
            <w:vMerge w:val="restart"/>
          </w:tcPr>
          <w:p>
            <w:pPr>
              <w:jc w:val="right"/>
              <w:ind w:right="200"/>
              <w:spacing w:after="0"/>
              <w:rPr>
                <w:sz w:val="20"/>
                <w:szCs w:val="20"/>
                <w:color w:val="auto"/>
              </w:rPr>
            </w:pPr>
            <w:r>
              <w:rPr>
                <w:rFonts w:ascii="Arial" w:cs="Arial" w:eastAsia="Arial" w:hAnsi="Arial"/>
                <w:sz w:val="14"/>
                <w:szCs w:val="14"/>
                <w:b w:val="1"/>
                <w:bCs w:val="1"/>
                <w:color w:val="auto"/>
                <w:w w:val="94"/>
              </w:rPr>
              <w:t>Treasury Stock</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Accumulated</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02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7"/>
              </w:rPr>
              <w:t>Additional</w:t>
            </w:r>
          </w:p>
        </w:tc>
        <w:tc>
          <w:tcPr>
            <w:tcW w:w="100" w:type="dxa"/>
            <w:vAlign w:val="bottom"/>
          </w:tcPr>
          <w:p>
            <w:pPr>
              <w:spacing w:after="0"/>
              <w:rPr>
                <w:sz w:val="12"/>
                <w:szCs w:val="12"/>
                <w:color w:val="auto"/>
              </w:rPr>
            </w:pPr>
          </w:p>
        </w:tc>
        <w:tc>
          <w:tcPr>
            <w:tcW w:w="118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5"/>
              </w:rPr>
              <w:t>other</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32"/>
              <w:spacing w:after="0" w:line="129" w:lineRule="exact"/>
              <w:rPr>
                <w:sz w:val="20"/>
                <w:szCs w:val="20"/>
                <w:color w:val="auto"/>
              </w:rPr>
            </w:pPr>
            <w:r>
              <w:rPr>
                <w:rFonts w:ascii="Arial" w:cs="Arial" w:eastAsia="Arial" w:hAnsi="Arial"/>
                <w:sz w:val="14"/>
                <w:szCs w:val="14"/>
                <w:b w:val="1"/>
                <w:bCs w:val="1"/>
                <w:color w:val="auto"/>
                <w:w w:val="89"/>
              </w:rPr>
              <w:t>Paid-in</w:t>
            </w:r>
          </w:p>
        </w:tc>
        <w:tc>
          <w:tcPr>
            <w:tcW w:w="10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5"/>
              </w:rPr>
              <w:t>Accumulated</w:t>
            </w:r>
          </w:p>
        </w:tc>
        <w:tc>
          <w:tcPr>
            <w:tcW w:w="60" w:type="dxa"/>
            <w:vAlign w:val="bottom"/>
          </w:tcPr>
          <w:p>
            <w:pPr>
              <w:spacing w:after="0"/>
              <w:rPr>
                <w:sz w:val="11"/>
                <w:szCs w:val="11"/>
                <w:color w:val="auto"/>
              </w:rPr>
            </w:pPr>
          </w:p>
        </w:tc>
        <w:tc>
          <w:tcPr>
            <w:tcW w:w="10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7"/>
              </w:rPr>
              <w:t>comprehensive</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76"/>
              </w:rPr>
              <w:t>Shares</w:t>
            </w:r>
          </w:p>
        </w:tc>
        <w:tc>
          <w:tcPr>
            <w:tcW w:w="100" w:type="dxa"/>
            <w:vAlign w:val="bottom"/>
          </w:tcPr>
          <w:p>
            <w:pPr>
              <w:spacing w:after="0"/>
              <w:rPr>
                <w:sz w:val="14"/>
                <w:szCs w:val="14"/>
                <w:color w:val="auto"/>
              </w:rPr>
            </w:pPr>
          </w:p>
        </w:tc>
        <w:tc>
          <w:tcPr>
            <w:tcW w:w="540" w:type="dxa"/>
            <w:vAlign w:val="bottom"/>
            <w:gridSpan w:val="3"/>
          </w:tcPr>
          <w:p>
            <w:pPr>
              <w:spacing w:after="0"/>
              <w:rPr>
                <w:sz w:val="20"/>
                <w:szCs w:val="20"/>
                <w:color w:val="auto"/>
              </w:rPr>
            </w:pPr>
            <w:r>
              <w:rPr>
                <w:rFonts w:ascii="Arial" w:cs="Arial" w:eastAsia="Arial" w:hAnsi="Arial"/>
                <w:sz w:val="14"/>
                <w:szCs w:val="14"/>
                <w:b w:val="1"/>
                <w:bCs w:val="1"/>
                <w:color w:val="auto"/>
                <w:w w:val="85"/>
              </w:rPr>
              <w:t>Amounts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b w:val="1"/>
                <w:bCs w:val="1"/>
                <w:color w:val="auto"/>
                <w:w w:val="89"/>
              </w:rPr>
              <w:t>Capital</w:t>
            </w:r>
          </w:p>
        </w:tc>
        <w:tc>
          <w:tcPr>
            <w:tcW w:w="10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1"/>
              </w:rPr>
              <w:t>Shares</w:t>
            </w:r>
          </w:p>
        </w:tc>
        <w:tc>
          <w:tcPr>
            <w:tcW w:w="4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5"/>
              </w:rPr>
              <w:t>Amounts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Deficit</w:t>
            </w:r>
          </w:p>
        </w:tc>
        <w:tc>
          <w:tcPr>
            <w:tcW w:w="60" w:type="dxa"/>
            <w:vAlign w:val="bottom"/>
          </w:tcPr>
          <w:p>
            <w:pPr>
              <w:spacing w:after="0"/>
              <w:rPr>
                <w:sz w:val="14"/>
                <w:szCs w:val="14"/>
                <w:color w:val="auto"/>
              </w:rPr>
            </w:pPr>
          </w:p>
        </w:tc>
        <w:tc>
          <w:tcPr>
            <w:tcW w:w="10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1"/>
              </w:rPr>
              <w:t>income (loss)</w:t>
            </w:r>
          </w:p>
        </w:tc>
        <w:tc>
          <w:tcPr>
            <w:tcW w:w="60" w:type="dxa"/>
            <w:vAlign w:val="bottom"/>
          </w:tcPr>
          <w:p>
            <w:pPr>
              <w:spacing w:after="0"/>
              <w:rPr>
                <w:sz w:val="14"/>
                <w:szCs w:val="14"/>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70"/>
              </w:rPr>
              <w:t>(In thousands)</w:t>
            </w:r>
          </w:p>
        </w:tc>
        <w:tc>
          <w:tcPr>
            <w:tcW w:w="1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January 29, 2005</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39,399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154,693</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9"/>
              </w:rPr>
              <w:t>(5,172)</w:t>
            </w:r>
          </w:p>
        </w:tc>
        <w:tc>
          <w:tcPr>
            <w:tcW w:w="6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3"/>
              </w:rPr>
              <w:t>$ (23,362)</w:t>
            </w:r>
          </w:p>
        </w:tc>
        <w:tc>
          <w:tcPr>
            <w:tcW w:w="2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(54,641)</w:t>
            </w:r>
          </w:p>
        </w:tc>
        <w:tc>
          <w:tcPr>
            <w:tcW w:w="2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7"/>
              </w:rPr>
              <w:t>76,964</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4"/>
                <w:szCs w:val="14"/>
                <w:color w:val="auto"/>
              </w:rPr>
              <w:t>Exercises under option program</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860" w:type="dxa"/>
            <w:vAlign w:val="bottom"/>
            <w:gridSpan w:val="2"/>
            <w:vMerge w:val="continue"/>
          </w:tcPr>
          <w:p>
            <w:pPr>
              <w:spacing w:after="0"/>
              <w:rPr>
                <w:sz w:val="12"/>
                <w:szCs w:val="12"/>
                <w:color w:val="auto"/>
              </w:rPr>
            </w:pPr>
          </w:p>
        </w:tc>
        <w:tc>
          <w:tcPr>
            <w:tcW w:w="380" w:type="dxa"/>
            <w:vAlign w:val="bottom"/>
          </w:tcPr>
          <w:p>
            <w:pPr>
              <w:jc w:val="right"/>
              <w:spacing w:after="0" w:line="143" w:lineRule="exact"/>
              <w:rPr>
                <w:sz w:val="20"/>
                <w:szCs w:val="20"/>
                <w:color w:val="auto"/>
              </w:rPr>
            </w:pPr>
            <w:r>
              <w:rPr>
                <w:rFonts w:ascii="Arial" w:cs="Arial" w:eastAsia="Arial" w:hAnsi="Arial"/>
                <w:sz w:val="14"/>
                <w:szCs w:val="14"/>
                <w:color w:val="auto"/>
              </w:rPr>
              <w:t>120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jc w:val="right"/>
              <w:spacing w:after="0" w:line="143"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4"/>
                <w:szCs w:val="14"/>
                <w:color w:val="auto"/>
              </w:rPr>
              <w:t>458</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459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Exercises of warrants</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547</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line="149" w:lineRule="exact"/>
              <w:rPr>
                <w:sz w:val="20"/>
                <w:szCs w:val="20"/>
                <w:color w:val="auto"/>
              </w:rPr>
            </w:pPr>
            <w:r>
              <w:rPr>
                <w:rFonts w:ascii="Arial" w:cs="Arial" w:eastAsia="Arial" w:hAnsi="Arial"/>
                <w:sz w:val="14"/>
                <w:szCs w:val="14"/>
                <w:color w:val="auto"/>
              </w:rPr>
              <w:t>Acceleration of stock options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202</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Board of Directors compensation</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line="149" w:lineRule="exact"/>
              <w:rPr>
                <w:sz w:val="20"/>
                <w:szCs w:val="20"/>
                <w:color w:val="auto"/>
              </w:rPr>
            </w:pPr>
            <w:r>
              <w:rPr>
                <w:rFonts w:ascii="Arial" w:cs="Arial" w:eastAsia="Arial" w:hAnsi="Arial"/>
                <w:sz w:val="14"/>
                <w:szCs w:val="14"/>
                <w:color w:val="auto"/>
              </w:rPr>
              <w:t>Issuance of options to related party for professional services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201</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loss- foreign currency</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(53)</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10,760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7"/>
              </w:rPr>
              <w:t>10,760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comprehensive income</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7"/>
              </w:rPr>
              <w:t>10,707</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4"/>
                <w:szCs w:val="14"/>
                <w:color w:val="auto"/>
              </w:rPr>
              <w:t>Balance at January 28, 2006</w:t>
            </w: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60" w:type="dxa"/>
            <w:vAlign w:val="bottom"/>
            <w:gridSpan w:val="2"/>
            <w:vMerge w:val="continue"/>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w w:val="83"/>
              </w:rPr>
              <w:t>39,636</w:t>
            </w:r>
          </w:p>
        </w:tc>
        <w:tc>
          <w:tcPr>
            <w:tcW w:w="100" w:type="dxa"/>
            <w:vAlign w:val="bottom"/>
          </w:tcPr>
          <w:p>
            <w:pPr>
              <w:spacing w:after="0"/>
              <w:rPr>
                <w:sz w:val="13"/>
                <w:szCs w:val="13"/>
                <w:color w:val="auto"/>
              </w:rPr>
            </w:pPr>
          </w:p>
        </w:tc>
        <w:tc>
          <w:tcPr>
            <w:tcW w:w="2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55" w:lineRule="exact"/>
              <w:rPr>
                <w:sz w:val="20"/>
                <w:szCs w:val="20"/>
                <w:color w:val="auto"/>
              </w:rPr>
            </w:pPr>
            <w:r>
              <w:rPr>
                <w:rFonts w:ascii="Arial" w:cs="Arial" w:eastAsia="Arial" w:hAnsi="Arial"/>
                <w:sz w:val="14"/>
                <w:szCs w:val="14"/>
                <w:color w:val="auto"/>
              </w:rPr>
              <w:t>396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156,177</w:t>
            </w:r>
          </w:p>
        </w:tc>
        <w:tc>
          <w:tcPr>
            <w:tcW w:w="100" w:type="dxa"/>
            <w:vAlign w:val="bottom"/>
          </w:tcPr>
          <w:p>
            <w:pPr>
              <w:spacing w:after="0"/>
              <w:rPr>
                <w:sz w:val="13"/>
                <w:szCs w:val="13"/>
                <w:color w:val="auto"/>
              </w:rPr>
            </w:pPr>
          </w:p>
        </w:tc>
        <w:tc>
          <w:tcPr>
            <w:tcW w:w="5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99"/>
              </w:rPr>
              <w:t>(5,172)</w:t>
            </w:r>
          </w:p>
        </w:tc>
        <w:tc>
          <w:tcPr>
            <w:tcW w:w="660" w:type="dxa"/>
            <w:vAlign w:val="bottom"/>
            <w:gridSpan w:val="3"/>
          </w:tcPr>
          <w:p>
            <w:pPr>
              <w:jc w:val="right"/>
              <w:ind w:right="40"/>
              <w:spacing w:after="0" w:line="155" w:lineRule="exact"/>
              <w:rPr>
                <w:sz w:val="20"/>
                <w:szCs w:val="20"/>
                <w:color w:val="auto"/>
              </w:rPr>
            </w:pPr>
            <w:r>
              <w:rPr>
                <w:rFonts w:ascii="Arial" w:cs="Arial" w:eastAsia="Arial" w:hAnsi="Arial"/>
                <w:sz w:val="14"/>
                <w:szCs w:val="14"/>
                <w:color w:val="auto"/>
                <w:w w:val="93"/>
              </w:rPr>
              <w:t>$ (23,362)</w:t>
            </w:r>
          </w:p>
        </w:tc>
        <w:tc>
          <w:tcPr>
            <w:tcW w:w="20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(43,881)</w:t>
            </w:r>
          </w:p>
        </w:tc>
        <w:tc>
          <w:tcPr>
            <w:tcW w:w="24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(173)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97"/>
              </w:rPr>
              <w:t>89,157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8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Repurchase of common stock</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rPr>
              <w:t>(1,514)</w:t>
            </w:r>
          </w:p>
        </w:tc>
        <w:tc>
          <w:tcPr>
            <w:tcW w:w="660" w:type="dxa"/>
            <w:vAlign w:val="bottom"/>
            <w:gridSpan w:val="3"/>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(15,208)</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w w:val="91"/>
              </w:rPr>
              <w:t>(15,208)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line="149" w:lineRule="exact"/>
              <w:rPr>
                <w:sz w:val="20"/>
                <w:szCs w:val="20"/>
                <w:color w:val="auto"/>
              </w:rPr>
            </w:pPr>
            <w:r>
              <w:rPr>
                <w:rFonts w:ascii="Arial" w:cs="Arial" w:eastAsia="Arial" w:hAnsi="Arial"/>
                <w:sz w:val="14"/>
                <w:szCs w:val="14"/>
                <w:color w:val="auto"/>
              </w:rPr>
              <w:t>Conversion of subordinated convertible notes due 2024</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8,896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90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91,285</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7"/>
              </w:rPr>
              <w:t>91,375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Exercises under option program</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5,810</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5,821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line="149" w:lineRule="exact"/>
              <w:rPr>
                <w:sz w:val="20"/>
                <w:szCs w:val="20"/>
                <w:color w:val="auto"/>
              </w:rPr>
            </w:pPr>
            <w:r>
              <w:rPr>
                <w:rFonts w:ascii="Arial" w:cs="Arial" w:eastAsia="Arial" w:hAnsi="Arial"/>
                <w:sz w:val="14"/>
                <w:szCs w:val="14"/>
                <w:color w:val="auto"/>
              </w:rPr>
              <w:t>Exercises of warrants</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1,185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3,456</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3,468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option compensation expense</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777</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line="149" w:lineRule="exact"/>
              <w:rPr>
                <w:sz w:val="20"/>
                <w:szCs w:val="20"/>
                <w:color w:val="auto"/>
              </w:rPr>
            </w:pPr>
            <w:r>
              <w:rPr>
                <w:rFonts w:ascii="Arial" w:cs="Arial" w:eastAsia="Arial" w:hAnsi="Arial"/>
                <w:sz w:val="14"/>
                <w:szCs w:val="14"/>
                <w:color w:val="auto"/>
              </w:rPr>
              <w:t>Board of Directors compensation</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106</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Valuation allowance reversal attribute to stock options</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522</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line="149" w:lineRule="exact"/>
              <w:rPr>
                <w:sz w:val="20"/>
                <w:szCs w:val="20"/>
                <w:color w:val="auto"/>
              </w:rPr>
            </w:pPr>
            <w:r>
              <w:rPr>
                <w:rFonts w:ascii="Arial" w:cs="Arial" w:eastAsia="Arial" w:hAnsi="Arial"/>
                <w:sz w:val="14"/>
                <w:szCs w:val="14"/>
                <w:color w:val="auto"/>
              </w:rPr>
              <w:t>Issuance of options to related party for professional services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201</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income (loss):</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ind w:left="420"/>
              <w:spacing w:after="0" w:line="149" w:lineRule="exact"/>
              <w:rPr>
                <w:sz w:val="20"/>
                <w:szCs w:val="20"/>
                <w:color w:val="auto"/>
              </w:rPr>
            </w:pPr>
            <w:r>
              <w:rPr>
                <w:rFonts w:ascii="Arial" w:cs="Arial" w:eastAsia="Arial" w:hAnsi="Arial"/>
                <w:sz w:val="14"/>
                <w:szCs w:val="14"/>
                <w:color w:val="auto"/>
              </w:rPr>
              <w:t>Cumulative effect of the adoption of FAS 158 related to the Pension Plan</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(1,111)</w:t>
            </w:r>
          </w:p>
        </w:tc>
        <w:tc>
          <w:tcPr>
            <w:tcW w:w="6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Foreign currency</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306</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42,632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7"/>
              </w:rPr>
              <w:t>42,632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comprehensive income</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7"/>
              </w:rPr>
              <w:t>42,938</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4"/>
                <w:szCs w:val="14"/>
                <w:color w:val="auto"/>
              </w:rPr>
              <w:t>Balance at February 3, 2007</w:t>
            </w: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60" w:type="dxa"/>
            <w:vAlign w:val="bottom"/>
            <w:gridSpan w:val="2"/>
            <w:vMerge w:val="continue"/>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w w:val="83"/>
              </w:rPr>
              <w:t>50,860</w:t>
            </w:r>
          </w:p>
        </w:tc>
        <w:tc>
          <w:tcPr>
            <w:tcW w:w="100" w:type="dxa"/>
            <w:vAlign w:val="bottom"/>
          </w:tcPr>
          <w:p>
            <w:pPr>
              <w:spacing w:after="0"/>
              <w:rPr>
                <w:sz w:val="13"/>
                <w:szCs w:val="13"/>
                <w:color w:val="auto"/>
              </w:rPr>
            </w:pPr>
          </w:p>
        </w:tc>
        <w:tc>
          <w:tcPr>
            <w:tcW w:w="2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55" w:lineRule="exact"/>
              <w:rPr>
                <w:sz w:val="20"/>
                <w:szCs w:val="20"/>
                <w:color w:val="auto"/>
              </w:rPr>
            </w:pPr>
            <w:r>
              <w:rPr>
                <w:rFonts w:ascii="Arial" w:cs="Arial" w:eastAsia="Arial" w:hAnsi="Arial"/>
                <w:sz w:val="14"/>
                <w:szCs w:val="14"/>
                <w:color w:val="auto"/>
              </w:rPr>
              <w:t>509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258,334</w:t>
            </w:r>
          </w:p>
        </w:tc>
        <w:tc>
          <w:tcPr>
            <w:tcW w:w="100" w:type="dxa"/>
            <w:vAlign w:val="bottom"/>
          </w:tcPr>
          <w:p>
            <w:pPr>
              <w:spacing w:after="0"/>
              <w:rPr>
                <w:sz w:val="13"/>
                <w:szCs w:val="13"/>
                <w:color w:val="auto"/>
              </w:rPr>
            </w:pPr>
          </w:p>
        </w:tc>
        <w:tc>
          <w:tcPr>
            <w:tcW w:w="5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99"/>
              </w:rPr>
              <w:t>(6,686)</w:t>
            </w:r>
          </w:p>
        </w:tc>
        <w:tc>
          <w:tcPr>
            <w:tcW w:w="660" w:type="dxa"/>
            <w:vAlign w:val="bottom"/>
            <w:gridSpan w:val="3"/>
          </w:tcPr>
          <w:p>
            <w:pPr>
              <w:jc w:val="right"/>
              <w:ind w:right="40"/>
              <w:spacing w:after="0" w:line="155" w:lineRule="exact"/>
              <w:rPr>
                <w:sz w:val="20"/>
                <w:szCs w:val="20"/>
                <w:color w:val="auto"/>
              </w:rPr>
            </w:pPr>
            <w:r>
              <w:rPr>
                <w:rFonts w:ascii="Arial" w:cs="Arial" w:eastAsia="Arial" w:hAnsi="Arial"/>
                <w:sz w:val="14"/>
                <w:szCs w:val="14"/>
                <w:color w:val="auto"/>
                <w:w w:val="93"/>
              </w:rPr>
              <w:t>$ (38,570)</w:t>
            </w:r>
          </w:p>
        </w:tc>
        <w:tc>
          <w:tcPr>
            <w:tcW w:w="20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(1,249)</w:t>
            </w:r>
          </w:p>
        </w:tc>
        <w:tc>
          <w:tcPr>
            <w:tcW w:w="24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(978)</w:t>
            </w: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5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82"/>
              </w:rPr>
              <w:t>218,046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8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Repurchase of common stock</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rPr>
              <w:t>(4,191)</w:t>
            </w:r>
          </w:p>
        </w:tc>
        <w:tc>
          <w:tcPr>
            <w:tcW w:w="660" w:type="dxa"/>
            <w:vAlign w:val="bottom"/>
            <w:gridSpan w:val="3"/>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(49,407)</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w w:val="91"/>
              </w:rPr>
              <w:t>(49,407)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line="149" w:lineRule="exact"/>
              <w:rPr>
                <w:sz w:val="20"/>
                <w:szCs w:val="20"/>
                <w:color w:val="auto"/>
              </w:rPr>
            </w:pPr>
            <w:r>
              <w:rPr>
                <w:rFonts w:ascii="Arial" w:cs="Arial" w:eastAsia="Arial" w:hAnsi="Arial"/>
                <w:sz w:val="14"/>
                <w:szCs w:val="14"/>
                <w:color w:val="auto"/>
              </w:rPr>
              <w:t>Exercises under option program</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358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2,006</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Exercises of warrants</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8,740</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8,750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line="149" w:lineRule="exact"/>
              <w:rPr>
                <w:sz w:val="20"/>
                <w:szCs w:val="20"/>
                <w:color w:val="auto"/>
              </w:rPr>
            </w:pPr>
            <w:r>
              <w:rPr>
                <w:rFonts w:ascii="Arial" w:cs="Arial" w:eastAsia="Arial" w:hAnsi="Arial"/>
                <w:sz w:val="14"/>
                <w:szCs w:val="14"/>
                <w:color w:val="auto"/>
              </w:rPr>
              <w:t>Stock option compensation expense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2,121</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2,121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Board of Directors compensation</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line="149" w:lineRule="exact"/>
              <w:rPr>
                <w:sz w:val="20"/>
                <w:szCs w:val="20"/>
                <w:color w:val="auto"/>
              </w:rPr>
            </w:pPr>
            <w:r>
              <w:rPr>
                <w:rFonts w:ascii="Arial" w:cs="Arial" w:eastAsia="Arial" w:hAnsi="Arial"/>
                <w:sz w:val="14"/>
                <w:szCs w:val="14"/>
                <w:color w:val="auto"/>
              </w:rPr>
              <w:t>Accumulated other comprehensive income (loss):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Unrecognized loss associated with Pension Plan</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(741)</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ind w:left="420"/>
              <w:spacing w:after="0" w:line="149" w:lineRule="exact"/>
              <w:rPr>
                <w:sz w:val="20"/>
                <w:szCs w:val="20"/>
                <w:color w:val="auto"/>
              </w:rPr>
            </w:pPr>
            <w:r>
              <w:rPr>
                <w:rFonts w:ascii="Arial" w:cs="Arial" w:eastAsia="Arial" w:hAnsi="Arial"/>
                <w:sz w:val="14"/>
                <w:szCs w:val="14"/>
                <w:color w:val="auto"/>
              </w:rPr>
              <w:t>Foreign currency</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595</w:t>
            </w:r>
          </w:p>
        </w:tc>
        <w:tc>
          <w:tcPr>
            <w:tcW w:w="6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414</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4"/>
                <w:szCs w:val="14"/>
                <w:color w:val="auto"/>
              </w:rPr>
              <w:t>Total comprehensive income</w:t>
            </w: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6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February 2, 2008</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52,267</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271,354</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4"/>
              </w:rPr>
              <w:t>(10,877)</w:t>
            </w:r>
          </w:p>
        </w:tc>
        <w:tc>
          <w:tcPr>
            <w:tcW w:w="6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3"/>
              </w:rPr>
              <w:t>$ (87,977)</w:t>
            </w:r>
          </w:p>
        </w:tc>
        <w:tc>
          <w:tcPr>
            <w:tcW w:w="2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(835)</w:t>
            </w:r>
          </w:p>
        </w:tc>
        <w:tc>
          <w:tcPr>
            <w:tcW w:w="2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(1,124)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2"/>
              </w:rPr>
              <w:t>181,941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years ended February 2, 2008, February 3, 2007 and January 28, 2006</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Fiscal 2007</w:t>
            </w:r>
          </w:p>
        </w:tc>
        <w:tc>
          <w:tcPr>
            <w:tcW w:w="2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Fiscal 2006</w:t>
            </w:r>
          </w:p>
        </w:tc>
        <w:tc>
          <w:tcPr>
            <w:tcW w:w="20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w w:val="90"/>
              </w:rPr>
              <w:t>Fiscal 2005</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9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1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60" w:type="dxa"/>
            <w:vAlign w:val="bottom"/>
          </w:tcPr>
          <w:p>
            <w:pPr>
              <w:ind w:left="440"/>
              <w:spacing w:after="0" w:line="149" w:lineRule="exact"/>
              <w:rPr>
                <w:sz w:val="20"/>
                <w:szCs w:val="20"/>
                <w:color w:val="auto"/>
              </w:rPr>
            </w:pPr>
            <w:r>
              <w:rPr>
                <w:rFonts w:ascii="Arial" w:cs="Arial" w:eastAsia="Arial" w:hAnsi="Arial"/>
                <w:sz w:val="14"/>
                <w:szCs w:val="14"/>
                <w:color w:val="auto"/>
              </w:rPr>
              <w:t>Net income</w:t>
            </w:r>
          </w:p>
        </w:tc>
        <w:tc>
          <w:tcPr>
            <w:tcW w:w="1660" w:type="dxa"/>
            <w:vAlign w:val="bottom"/>
            <w:gridSpan w:val="2"/>
          </w:tcPr>
          <w:p>
            <w:pPr>
              <w:ind w:left="1520"/>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414</w:t>
            </w:r>
          </w:p>
        </w:tc>
        <w:tc>
          <w:tcPr>
            <w:tcW w:w="220" w:type="dxa"/>
            <w:vAlign w:val="bottom"/>
          </w:tcPr>
          <w:p>
            <w:pPr>
              <w:spacing w:after="0"/>
              <w:rPr>
                <w:sz w:val="12"/>
                <w:szCs w:val="12"/>
                <w:color w:val="auto"/>
              </w:rPr>
            </w:pPr>
          </w:p>
        </w:tc>
        <w:tc>
          <w:tcPr>
            <w:tcW w:w="4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42,632</w:t>
            </w:r>
          </w:p>
        </w:tc>
        <w:tc>
          <w:tcPr>
            <w:tcW w:w="280" w:type="dxa"/>
            <w:vAlign w:val="bottom"/>
          </w:tcPr>
          <w:p>
            <w:pPr>
              <w:spacing w:after="0"/>
              <w:rPr>
                <w:sz w:val="12"/>
                <w:szCs w:val="12"/>
                <w:color w:val="auto"/>
              </w:rPr>
            </w:pPr>
          </w:p>
        </w:tc>
        <w:tc>
          <w:tcPr>
            <w:tcW w:w="3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10,760</w:t>
            </w:r>
          </w:p>
        </w:tc>
        <w:tc>
          <w:tcPr>
            <w:tcW w:w="0" w:type="dxa"/>
            <w:vAlign w:val="bottom"/>
          </w:tcPr>
          <w:p>
            <w:pPr>
              <w:spacing w:after="0"/>
              <w:rPr>
                <w:sz w:val="1"/>
                <w:szCs w:val="1"/>
                <w:color w:val="auto"/>
              </w:rPr>
            </w:pPr>
          </w:p>
        </w:tc>
      </w:tr>
      <w:tr>
        <w:trPr>
          <w:trHeight w:val="149"/>
        </w:trPr>
        <w:tc>
          <w:tcPr>
            <w:tcW w:w="69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1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60" w:type="dxa"/>
            <w:vAlign w:val="bottom"/>
          </w:tcPr>
          <w:p>
            <w:pPr>
              <w:ind w:left="880"/>
              <w:spacing w:after="0" w:line="149" w:lineRule="exact"/>
              <w:rPr>
                <w:sz w:val="20"/>
                <w:szCs w:val="20"/>
                <w:color w:val="auto"/>
              </w:rPr>
            </w:pPr>
            <w:r>
              <w:rPr>
                <w:rFonts w:ascii="Arial" w:cs="Arial" w:eastAsia="Arial" w:hAnsi="Arial"/>
                <w:sz w:val="14"/>
                <w:szCs w:val="14"/>
                <w:color w:val="auto"/>
              </w:rPr>
              <w:t>Loss from discontinued operations, net of tax</w:t>
            </w: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2,034</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670</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9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Amortization of deferred gain on sale leaseback</w:t>
            </w:r>
          </w:p>
        </w:tc>
        <w:tc>
          <w:tcPr>
            <w:tcW w:w="1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(1,466)</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(1,465)</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960" w:type="dxa"/>
            <w:vAlign w:val="bottom"/>
          </w:tcPr>
          <w:p>
            <w:pPr>
              <w:ind w:left="880"/>
              <w:spacing w:after="0" w:line="149" w:lineRule="exact"/>
              <w:rPr>
                <w:sz w:val="20"/>
                <w:szCs w:val="20"/>
                <w:color w:val="auto"/>
              </w:rPr>
            </w:pPr>
            <w:r>
              <w:rPr>
                <w:rFonts w:ascii="Arial" w:cs="Arial" w:eastAsia="Arial" w:hAnsi="Arial"/>
                <w:sz w:val="14"/>
                <w:szCs w:val="14"/>
                <w:color w:val="auto"/>
              </w:rPr>
              <w:t>Provision for employment contract terminations</w:t>
            </w: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1,200</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9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Provision for impairment of assets—discontinued operations</w:t>
            </w:r>
          </w:p>
        </w:tc>
        <w:tc>
          <w:tcPr>
            <w:tcW w:w="1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1,478</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960" w:type="dxa"/>
            <w:vAlign w:val="bottom"/>
          </w:tcPr>
          <w:p>
            <w:pPr>
              <w:ind w:left="880"/>
              <w:spacing w:after="0" w:line="149" w:lineRule="exact"/>
              <w:rPr>
                <w:sz w:val="20"/>
                <w:szCs w:val="20"/>
                <w:color w:val="auto"/>
              </w:rPr>
            </w:pPr>
            <w:r>
              <w:rPr>
                <w:rFonts w:ascii="Arial" w:cs="Arial" w:eastAsia="Arial" w:hAnsi="Arial"/>
                <w:sz w:val="14"/>
                <w:szCs w:val="14"/>
                <w:color w:val="auto"/>
              </w:rPr>
              <w:t>Depreciation and amortization</w:t>
            </w: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17,408</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15,057</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12,737</w:t>
            </w:r>
          </w:p>
        </w:tc>
        <w:tc>
          <w:tcPr>
            <w:tcW w:w="0" w:type="dxa"/>
            <w:vAlign w:val="bottom"/>
          </w:tcPr>
          <w:p>
            <w:pPr>
              <w:spacing w:after="0"/>
              <w:rPr>
                <w:sz w:val="1"/>
                <w:szCs w:val="1"/>
                <w:color w:val="auto"/>
              </w:rPr>
            </w:pPr>
          </w:p>
        </w:tc>
      </w:tr>
      <w:tr>
        <w:trPr>
          <w:trHeight w:val="149"/>
        </w:trPr>
        <w:tc>
          <w:tcPr>
            <w:tcW w:w="69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Non-cash interest costs associated with debt conversions</w:t>
            </w:r>
          </w:p>
        </w:tc>
        <w:tc>
          <w:tcPr>
            <w:tcW w:w="1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960" w:type="dxa"/>
            <w:vAlign w:val="bottom"/>
          </w:tcPr>
          <w:p>
            <w:pPr>
              <w:ind w:left="880"/>
              <w:spacing w:after="0" w:line="149" w:lineRule="exact"/>
              <w:rPr>
                <w:sz w:val="20"/>
                <w:szCs w:val="20"/>
                <w:color w:val="auto"/>
              </w:rPr>
            </w:pPr>
            <w:r>
              <w:rPr>
                <w:rFonts w:ascii="Arial" w:cs="Arial" w:eastAsia="Arial" w:hAnsi="Arial"/>
                <w:sz w:val="14"/>
                <w:szCs w:val="14"/>
                <w:color w:val="auto"/>
              </w:rPr>
              <w:t>Other non-cash expenses, principally related to debt redemption costs</w:t>
            </w: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969</w:t>
            </w:r>
          </w:p>
        </w:tc>
        <w:tc>
          <w:tcPr>
            <w:tcW w:w="0" w:type="dxa"/>
            <w:vAlign w:val="bottom"/>
          </w:tcPr>
          <w:p>
            <w:pPr>
              <w:spacing w:after="0"/>
              <w:rPr>
                <w:sz w:val="1"/>
                <w:szCs w:val="1"/>
                <w:color w:val="auto"/>
              </w:rPr>
            </w:pPr>
          </w:p>
        </w:tc>
      </w:tr>
      <w:tr>
        <w:trPr>
          <w:trHeight w:val="149"/>
        </w:trPr>
        <w:tc>
          <w:tcPr>
            <w:tcW w:w="69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Gain on sale of businesses</w:t>
            </w:r>
          </w:p>
        </w:tc>
        <w:tc>
          <w:tcPr>
            <w:tcW w:w="1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(1,483)</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960" w:type="dxa"/>
            <w:vAlign w:val="bottom"/>
          </w:tcPr>
          <w:p>
            <w:pPr>
              <w:ind w:left="880"/>
              <w:spacing w:after="0" w:line="149" w:lineRule="exact"/>
              <w:rPr>
                <w:sz w:val="20"/>
                <w:szCs w:val="20"/>
                <w:color w:val="auto"/>
              </w:rPr>
            </w:pPr>
            <w:r>
              <w:rPr>
                <w:rFonts w:ascii="Arial" w:cs="Arial" w:eastAsia="Arial" w:hAnsi="Arial"/>
                <w:sz w:val="14"/>
                <w:szCs w:val="14"/>
                <w:color w:val="auto"/>
              </w:rPr>
              <w:t>Deferred taxes</w:t>
            </w: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1,855</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(23,511)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(3,071)</w:t>
            </w:r>
          </w:p>
        </w:tc>
        <w:tc>
          <w:tcPr>
            <w:tcW w:w="0" w:type="dxa"/>
            <w:vAlign w:val="bottom"/>
          </w:tcPr>
          <w:p>
            <w:pPr>
              <w:spacing w:after="0"/>
              <w:rPr>
                <w:sz w:val="1"/>
                <w:szCs w:val="1"/>
                <w:color w:val="auto"/>
              </w:rPr>
            </w:pPr>
          </w:p>
        </w:tc>
      </w:tr>
      <w:tr>
        <w:trPr>
          <w:trHeight w:val="149"/>
        </w:trPr>
        <w:tc>
          <w:tcPr>
            <w:tcW w:w="69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Loss from disposal of property and equipment</w:t>
            </w:r>
          </w:p>
        </w:tc>
        <w:tc>
          <w:tcPr>
            <w:tcW w:w="1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51</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488</w:t>
            </w:r>
          </w:p>
        </w:tc>
        <w:tc>
          <w:tcPr>
            <w:tcW w:w="0" w:type="dxa"/>
            <w:vAlign w:val="bottom"/>
          </w:tcPr>
          <w:p>
            <w:pPr>
              <w:spacing w:after="0"/>
              <w:rPr>
                <w:sz w:val="1"/>
                <w:szCs w:val="1"/>
                <w:color w:val="auto"/>
              </w:rPr>
            </w:pPr>
          </w:p>
        </w:tc>
      </w:tr>
      <w:tr>
        <w:trPr>
          <w:trHeight w:val="149"/>
        </w:trPr>
        <w:tc>
          <w:tcPr>
            <w:tcW w:w="6960" w:type="dxa"/>
            <w:vAlign w:val="bottom"/>
          </w:tcPr>
          <w:p>
            <w:pPr>
              <w:ind w:left="880"/>
              <w:spacing w:after="0" w:line="149" w:lineRule="exact"/>
              <w:rPr>
                <w:sz w:val="20"/>
                <w:szCs w:val="20"/>
                <w:color w:val="auto"/>
              </w:rPr>
            </w:pPr>
            <w:r>
              <w:rPr>
                <w:rFonts w:ascii="Arial" w:cs="Arial" w:eastAsia="Arial" w:hAnsi="Arial"/>
                <w:sz w:val="14"/>
                <w:szCs w:val="14"/>
                <w:color w:val="auto"/>
              </w:rPr>
              <w:t>Stock option compensation</w:t>
            </w: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2,121</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777</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9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Issuance of common stock to Board of Directors</w:t>
            </w:r>
          </w:p>
        </w:tc>
        <w:tc>
          <w:tcPr>
            <w:tcW w:w="1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153</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49"/>
        </w:trPr>
        <w:tc>
          <w:tcPr>
            <w:tcW w:w="6960" w:type="dxa"/>
            <w:vAlign w:val="bottom"/>
          </w:tcPr>
          <w:p>
            <w:pPr>
              <w:ind w:left="880"/>
              <w:spacing w:after="0" w:line="149" w:lineRule="exact"/>
              <w:rPr>
                <w:sz w:val="20"/>
                <w:szCs w:val="20"/>
                <w:color w:val="auto"/>
              </w:rPr>
            </w:pPr>
            <w:r>
              <w:rPr>
                <w:rFonts w:ascii="Arial" w:cs="Arial" w:eastAsia="Arial" w:hAnsi="Arial"/>
                <w:sz w:val="14"/>
                <w:szCs w:val="14"/>
                <w:color w:val="auto"/>
              </w:rPr>
              <w:t>Issuance of common stock to related party</w:t>
            </w: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201</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9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Issuance of common stock for professional services</w:t>
            </w:r>
          </w:p>
        </w:tc>
        <w:tc>
          <w:tcPr>
            <w:tcW w:w="1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49"/>
        </w:trPr>
        <w:tc>
          <w:tcPr>
            <w:tcW w:w="6960" w:type="dxa"/>
            <w:vAlign w:val="bottom"/>
          </w:tcPr>
          <w:p>
            <w:pPr>
              <w:ind w:left="440"/>
              <w:spacing w:after="0" w:line="149" w:lineRule="exact"/>
              <w:rPr>
                <w:sz w:val="20"/>
                <w:szCs w:val="20"/>
                <w:color w:val="auto"/>
              </w:rPr>
            </w:pPr>
            <w:r>
              <w:rPr>
                <w:rFonts w:ascii="Arial" w:cs="Arial" w:eastAsia="Arial" w:hAnsi="Arial"/>
                <w:sz w:val="14"/>
                <w:szCs w:val="14"/>
                <w:color w:val="auto"/>
              </w:rPr>
              <w:t>Changes in operating assets and liabilities, net of effect of businesses acquired:</w:t>
            </w: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Accounts receivable</w:t>
            </w:r>
          </w:p>
        </w:tc>
        <w:tc>
          <w:tcPr>
            <w:tcW w:w="1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436</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(581)</w:t>
            </w:r>
          </w:p>
        </w:tc>
        <w:tc>
          <w:tcPr>
            <w:tcW w:w="0" w:type="dxa"/>
            <w:vAlign w:val="bottom"/>
          </w:tcPr>
          <w:p>
            <w:pPr>
              <w:spacing w:after="0"/>
              <w:rPr>
                <w:sz w:val="1"/>
                <w:szCs w:val="1"/>
                <w:color w:val="auto"/>
              </w:rPr>
            </w:pPr>
          </w:p>
        </w:tc>
      </w:tr>
      <w:tr>
        <w:trPr>
          <w:trHeight w:val="149"/>
        </w:trPr>
        <w:tc>
          <w:tcPr>
            <w:tcW w:w="6960" w:type="dxa"/>
            <w:vAlign w:val="bottom"/>
          </w:tcPr>
          <w:p>
            <w:pPr>
              <w:ind w:left="880"/>
              <w:spacing w:after="0" w:line="149" w:lineRule="exact"/>
              <w:rPr>
                <w:sz w:val="20"/>
                <w:szCs w:val="20"/>
                <w:color w:val="auto"/>
              </w:rPr>
            </w:pPr>
            <w:r>
              <w:rPr>
                <w:rFonts w:ascii="Arial" w:cs="Arial" w:eastAsia="Arial" w:hAnsi="Arial"/>
                <w:sz w:val="14"/>
                <w:szCs w:val="14"/>
                <w:color w:val="auto"/>
              </w:rPr>
              <w:t>Inventories</w:t>
            </w: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(4,405)</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(22,620)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(11,688)</w:t>
            </w:r>
          </w:p>
        </w:tc>
        <w:tc>
          <w:tcPr>
            <w:tcW w:w="0" w:type="dxa"/>
            <w:vAlign w:val="bottom"/>
          </w:tcPr>
          <w:p>
            <w:pPr>
              <w:spacing w:after="0"/>
              <w:rPr>
                <w:sz w:val="1"/>
                <w:szCs w:val="1"/>
                <w:color w:val="auto"/>
              </w:rPr>
            </w:pPr>
          </w:p>
        </w:tc>
      </w:tr>
      <w:tr>
        <w:trPr>
          <w:trHeight w:val="149"/>
        </w:trPr>
        <w:tc>
          <w:tcPr>
            <w:tcW w:w="69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1,012</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(7,901)</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1,687</w:t>
            </w:r>
          </w:p>
        </w:tc>
        <w:tc>
          <w:tcPr>
            <w:tcW w:w="0" w:type="dxa"/>
            <w:vAlign w:val="bottom"/>
          </w:tcPr>
          <w:p>
            <w:pPr>
              <w:spacing w:after="0"/>
              <w:rPr>
                <w:sz w:val="1"/>
                <w:szCs w:val="1"/>
                <w:color w:val="auto"/>
              </w:rPr>
            </w:pPr>
          </w:p>
        </w:tc>
      </w:tr>
      <w:tr>
        <w:trPr>
          <w:trHeight w:val="149"/>
        </w:trPr>
        <w:tc>
          <w:tcPr>
            <w:tcW w:w="6960" w:type="dxa"/>
            <w:vAlign w:val="bottom"/>
          </w:tcPr>
          <w:p>
            <w:pPr>
              <w:ind w:left="880"/>
              <w:spacing w:after="0" w:line="149" w:lineRule="exact"/>
              <w:rPr>
                <w:sz w:val="20"/>
                <w:szCs w:val="20"/>
                <w:color w:val="auto"/>
              </w:rPr>
            </w:pPr>
            <w:r>
              <w:rPr>
                <w:rFonts w:ascii="Arial" w:cs="Arial" w:eastAsia="Arial" w:hAnsi="Arial"/>
                <w:sz w:val="14"/>
                <w:szCs w:val="14"/>
                <w:color w:val="auto"/>
              </w:rPr>
              <w:t>Other assets</w:t>
            </w: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533</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(475)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(374)</w:t>
            </w:r>
          </w:p>
        </w:tc>
        <w:tc>
          <w:tcPr>
            <w:tcW w:w="0" w:type="dxa"/>
            <w:vAlign w:val="bottom"/>
          </w:tcPr>
          <w:p>
            <w:pPr>
              <w:spacing w:after="0"/>
              <w:rPr>
                <w:sz w:val="1"/>
                <w:szCs w:val="1"/>
                <w:color w:val="auto"/>
              </w:rPr>
            </w:pPr>
          </w:p>
        </w:tc>
      </w:tr>
      <w:tr>
        <w:trPr>
          <w:trHeight w:val="149"/>
        </w:trPr>
        <w:tc>
          <w:tcPr>
            <w:tcW w:w="69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Accounts payable</w:t>
            </w:r>
          </w:p>
        </w:tc>
        <w:tc>
          <w:tcPr>
            <w:tcW w:w="1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(1,181)</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7,263</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1,077</w:t>
            </w:r>
          </w:p>
        </w:tc>
        <w:tc>
          <w:tcPr>
            <w:tcW w:w="0" w:type="dxa"/>
            <w:vAlign w:val="bottom"/>
          </w:tcPr>
          <w:p>
            <w:pPr>
              <w:spacing w:after="0"/>
              <w:rPr>
                <w:sz w:val="1"/>
                <w:szCs w:val="1"/>
                <w:color w:val="auto"/>
              </w:rPr>
            </w:pPr>
          </w:p>
        </w:tc>
      </w:tr>
      <w:tr>
        <w:trPr>
          <w:trHeight w:val="149"/>
        </w:trPr>
        <w:tc>
          <w:tcPr>
            <w:tcW w:w="6960" w:type="dxa"/>
            <w:vAlign w:val="bottom"/>
          </w:tcPr>
          <w:p>
            <w:pPr>
              <w:ind w:left="880"/>
              <w:spacing w:after="0" w:line="149" w:lineRule="exact"/>
              <w:rPr>
                <w:sz w:val="20"/>
                <w:szCs w:val="20"/>
                <w:color w:val="auto"/>
              </w:rPr>
            </w:pPr>
            <w:r>
              <w:rPr>
                <w:rFonts w:ascii="Arial" w:cs="Arial" w:eastAsia="Arial" w:hAnsi="Arial"/>
                <w:sz w:val="14"/>
                <w:szCs w:val="14"/>
                <w:color w:val="auto"/>
              </w:rPr>
              <w:t>Accrued liabilities for severance, store closings and impairment charges</w:t>
            </w: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(995)</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9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Income taxes</w:t>
            </w:r>
          </w:p>
        </w:tc>
        <w:tc>
          <w:tcPr>
            <w:tcW w:w="1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(4,217)</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342</w:t>
            </w:r>
          </w:p>
        </w:tc>
        <w:tc>
          <w:tcPr>
            <w:tcW w:w="0" w:type="dxa"/>
            <w:vAlign w:val="bottom"/>
          </w:tcPr>
          <w:p>
            <w:pPr>
              <w:spacing w:after="0"/>
              <w:rPr>
                <w:sz w:val="1"/>
                <w:szCs w:val="1"/>
                <w:color w:val="auto"/>
              </w:rPr>
            </w:pPr>
          </w:p>
        </w:tc>
      </w:tr>
      <w:tr>
        <w:trPr>
          <w:trHeight w:val="149"/>
        </w:trPr>
        <w:tc>
          <w:tcPr>
            <w:tcW w:w="6960" w:type="dxa"/>
            <w:vAlign w:val="bottom"/>
          </w:tcPr>
          <w:p>
            <w:pPr>
              <w:ind w:left="880"/>
              <w:spacing w:after="0" w:line="149" w:lineRule="exact"/>
              <w:rPr>
                <w:sz w:val="20"/>
                <w:szCs w:val="20"/>
                <w:color w:val="auto"/>
              </w:rPr>
            </w:pPr>
            <w:r>
              <w:rPr>
                <w:rFonts w:ascii="Arial" w:cs="Arial" w:eastAsia="Arial" w:hAnsi="Arial"/>
                <w:sz w:val="14"/>
                <w:szCs w:val="14"/>
                <w:color w:val="auto"/>
              </w:rPr>
              <w:t>Accrued expenses and other liabilities</w:t>
            </w: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(3,493)</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544</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4,037</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69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Net cash provided by operating activities</w:t>
            </w:r>
          </w:p>
        </w:tc>
        <w:tc>
          <w:tcPr>
            <w:tcW w:w="1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11,738</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12,087</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16,832</w:t>
            </w:r>
          </w:p>
        </w:tc>
        <w:tc>
          <w:tcPr>
            <w:tcW w:w="0" w:type="dxa"/>
            <w:vAlign w:val="bottom"/>
          </w:tcPr>
          <w:p>
            <w:pPr>
              <w:spacing w:after="0"/>
              <w:rPr>
                <w:sz w:val="1"/>
                <w:szCs w:val="1"/>
                <w:color w:val="auto"/>
              </w:rPr>
            </w:pPr>
          </w:p>
        </w:tc>
      </w:tr>
      <w:tr>
        <w:trPr>
          <w:trHeight w:val="156"/>
        </w:trPr>
        <w:tc>
          <w:tcPr>
            <w:tcW w:w="6960" w:type="dxa"/>
            <w:vAlign w:val="bottom"/>
          </w:tcPr>
          <w:p>
            <w:pPr>
              <w:ind w:left="440"/>
              <w:spacing w:after="0" w:line="155" w:lineRule="exact"/>
              <w:rPr>
                <w:sz w:val="20"/>
                <w:szCs w:val="20"/>
                <w:color w:val="auto"/>
              </w:rPr>
            </w:pPr>
            <w:r>
              <w:rPr>
                <w:rFonts w:ascii="Arial" w:cs="Arial" w:eastAsia="Arial" w:hAnsi="Arial"/>
                <w:sz w:val="14"/>
                <w:szCs w:val="14"/>
                <w:color w:val="auto"/>
              </w:rPr>
              <w:t>Cash flows from investing activities:</w:t>
            </w:r>
          </w:p>
        </w:tc>
        <w:tc>
          <w:tcPr>
            <w:tcW w:w="15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9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Additions to property and equipment, net</w:t>
            </w:r>
          </w:p>
        </w:tc>
        <w:tc>
          <w:tcPr>
            <w:tcW w:w="1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w w:val="99"/>
              </w:rPr>
              <w:t>(21,377)</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(22,676)</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(15,656)</w:t>
            </w:r>
          </w:p>
        </w:tc>
        <w:tc>
          <w:tcPr>
            <w:tcW w:w="0" w:type="dxa"/>
            <w:vAlign w:val="bottom"/>
          </w:tcPr>
          <w:p>
            <w:pPr>
              <w:spacing w:after="0"/>
              <w:rPr>
                <w:sz w:val="1"/>
                <w:szCs w:val="1"/>
                <w:color w:val="auto"/>
              </w:rPr>
            </w:pPr>
          </w:p>
        </w:tc>
      </w:tr>
      <w:tr>
        <w:trPr>
          <w:trHeight w:val="149"/>
        </w:trPr>
        <w:tc>
          <w:tcPr>
            <w:tcW w:w="6960" w:type="dxa"/>
            <w:vAlign w:val="bottom"/>
          </w:tcPr>
          <w:p>
            <w:pPr>
              <w:ind w:left="880"/>
              <w:spacing w:after="0" w:line="149" w:lineRule="exact"/>
              <w:rPr>
                <w:sz w:val="20"/>
                <w:szCs w:val="20"/>
                <w:color w:val="auto"/>
              </w:rPr>
            </w:pPr>
            <w:r>
              <w:rPr>
                <w:rFonts w:ascii="Arial" w:cs="Arial" w:eastAsia="Arial" w:hAnsi="Arial"/>
                <w:sz w:val="14"/>
                <w:szCs w:val="14"/>
                <w:color w:val="auto"/>
              </w:rPr>
              <w:t>Net proceeds from sale-leaseback of corporate headquarters</w:t>
            </w: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55,937</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Proceeds from disposal of property and equipment</w:t>
            </w:r>
          </w:p>
        </w:tc>
        <w:tc>
          <w:tcPr>
            <w:tcW w:w="1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960" w:type="dxa"/>
            <w:vAlign w:val="bottom"/>
          </w:tcPr>
          <w:p>
            <w:pPr>
              <w:ind w:left="880"/>
              <w:spacing w:after="0" w:line="149" w:lineRule="exact"/>
              <w:rPr>
                <w:sz w:val="20"/>
                <w:szCs w:val="20"/>
                <w:color w:val="auto"/>
              </w:rPr>
            </w:pPr>
            <w:r>
              <w:rPr>
                <w:rFonts w:ascii="Arial" w:cs="Arial" w:eastAsia="Arial" w:hAnsi="Arial"/>
                <w:sz w:val="14"/>
                <w:szCs w:val="14"/>
                <w:color w:val="auto"/>
              </w:rPr>
              <w:t>Proceeds from sale of businesses</w:t>
            </w: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502</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2,570</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9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Payment of earn-out provision for Rochester acquisition</w:t>
            </w:r>
          </w:p>
        </w:tc>
        <w:tc>
          <w:tcPr>
            <w:tcW w:w="1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(1,333)</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(1,333)</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60" w:type="dxa"/>
            <w:vAlign w:val="bottom"/>
          </w:tcPr>
          <w:p>
            <w:pPr>
              <w:ind w:left="880"/>
              <w:spacing w:after="0" w:line="149" w:lineRule="exact"/>
              <w:rPr>
                <w:sz w:val="20"/>
                <w:szCs w:val="20"/>
                <w:color w:val="auto"/>
              </w:rPr>
            </w:pPr>
            <w:r>
              <w:rPr>
                <w:rFonts w:ascii="Arial" w:cs="Arial" w:eastAsia="Arial" w:hAnsi="Arial"/>
                <w:sz w:val="14"/>
                <w:szCs w:val="14"/>
                <w:color w:val="auto"/>
              </w:rPr>
              <w:t>Acquisitions, net of cash acquired</w:t>
            </w: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(2,980)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69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Net cash provided by (used for) investing activities</w:t>
            </w:r>
          </w:p>
        </w:tc>
        <w:tc>
          <w:tcPr>
            <w:tcW w:w="1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w w:val="99"/>
              </w:rPr>
              <w:t>(22,208)</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31,518</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(15,656)</w:t>
            </w:r>
          </w:p>
        </w:tc>
        <w:tc>
          <w:tcPr>
            <w:tcW w:w="0" w:type="dxa"/>
            <w:vAlign w:val="bottom"/>
          </w:tcPr>
          <w:p>
            <w:pPr>
              <w:spacing w:after="0"/>
              <w:rPr>
                <w:sz w:val="1"/>
                <w:szCs w:val="1"/>
                <w:color w:val="auto"/>
              </w:rPr>
            </w:pPr>
          </w:p>
        </w:tc>
      </w:tr>
      <w:tr>
        <w:trPr>
          <w:trHeight w:val="156"/>
        </w:trPr>
        <w:tc>
          <w:tcPr>
            <w:tcW w:w="6960" w:type="dxa"/>
            <w:vAlign w:val="bottom"/>
          </w:tcPr>
          <w:p>
            <w:pPr>
              <w:ind w:left="440"/>
              <w:spacing w:after="0" w:line="155" w:lineRule="exact"/>
              <w:rPr>
                <w:sz w:val="20"/>
                <w:szCs w:val="20"/>
                <w:color w:val="auto"/>
              </w:rPr>
            </w:pPr>
            <w:r>
              <w:rPr>
                <w:rFonts w:ascii="Arial" w:cs="Arial" w:eastAsia="Arial" w:hAnsi="Arial"/>
                <w:sz w:val="14"/>
                <w:szCs w:val="14"/>
                <w:color w:val="auto"/>
              </w:rPr>
              <w:t>Cash flows from financing activities:</w:t>
            </w:r>
          </w:p>
        </w:tc>
        <w:tc>
          <w:tcPr>
            <w:tcW w:w="15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9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Net borrowings (repayments) under credit facility</w:t>
            </w:r>
          </w:p>
        </w:tc>
        <w:tc>
          <w:tcPr>
            <w:tcW w:w="1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32,449</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(28,858)</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18,076</w:t>
            </w:r>
          </w:p>
        </w:tc>
        <w:tc>
          <w:tcPr>
            <w:tcW w:w="0" w:type="dxa"/>
            <w:vAlign w:val="bottom"/>
          </w:tcPr>
          <w:p>
            <w:pPr>
              <w:spacing w:after="0"/>
              <w:rPr>
                <w:sz w:val="1"/>
                <w:szCs w:val="1"/>
                <w:color w:val="auto"/>
              </w:rPr>
            </w:pPr>
          </w:p>
        </w:tc>
      </w:tr>
      <w:tr>
        <w:trPr>
          <w:trHeight w:val="149"/>
        </w:trPr>
        <w:tc>
          <w:tcPr>
            <w:tcW w:w="6960" w:type="dxa"/>
            <w:vAlign w:val="bottom"/>
          </w:tcPr>
          <w:p>
            <w:pPr>
              <w:ind w:left="880"/>
              <w:spacing w:after="0" w:line="149" w:lineRule="exact"/>
              <w:rPr>
                <w:sz w:val="20"/>
                <w:szCs w:val="20"/>
                <w:color w:val="auto"/>
              </w:rPr>
            </w:pPr>
            <w:r>
              <w:rPr>
                <w:rFonts w:ascii="Arial" w:cs="Arial" w:eastAsia="Arial" w:hAnsi="Arial"/>
                <w:sz w:val="14"/>
                <w:szCs w:val="14"/>
                <w:color w:val="auto"/>
              </w:rPr>
              <w:t>Proceeds from the issuance of long-term debt, net of commissions and offering costs</w:t>
            </w: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19,496</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9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Principal payments on long-term debt</w:t>
            </w:r>
          </w:p>
        </w:tc>
        <w:tc>
          <w:tcPr>
            <w:tcW w:w="1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(2,860)</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(9,071)</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(5,403)</w:t>
            </w:r>
          </w:p>
        </w:tc>
        <w:tc>
          <w:tcPr>
            <w:tcW w:w="0" w:type="dxa"/>
            <w:vAlign w:val="bottom"/>
          </w:tcPr>
          <w:p>
            <w:pPr>
              <w:spacing w:after="0"/>
              <w:rPr>
                <w:sz w:val="1"/>
                <w:szCs w:val="1"/>
                <w:color w:val="auto"/>
              </w:rPr>
            </w:pPr>
          </w:p>
        </w:tc>
      </w:tr>
      <w:tr>
        <w:trPr>
          <w:trHeight w:val="149"/>
        </w:trPr>
        <w:tc>
          <w:tcPr>
            <w:tcW w:w="6960" w:type="dxa"/>
            <w:vAlign w:val="bottom"/>
          </w:tcPr>
          <w:p>
            <w:pPr>
              <w:ind w:left="880"/>
              <w:spacing w:after="0" w:line="149" w:lineRule="exact"/>
              <w:rPr>
                <w:sz w:val="20"/>
                <w:szCs w:val="20"/>
                <w:color w:val="auto"/>
              </w:rPr>
            </w:pPr>
            <w:r>
              <w:rPr>
                <w:rFonts w:ascii="Arial" w:cs="Arial" w:eastAsia="Arial" w:hAnsi="Arial"/>
                <w:sz w:val="14"/>
                <w:szCs w:val="14"/>
                <w:color w:val="auto"/>
              </w:rPr>
              <w:t>Prepayment of long-term debt</w:t>
            </w: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(14,243)</w:t>
            </w:r>
          </w:p>
        </w:tc>
        <w:tc>
          <w:tcPr>
            <w:tcW w:w="0" w:type="dxa"/>
            <w:vAlign w:val="bottom"/>
          </w:tcPr>
          <w:p>
            <w:pPr>
              <w:spacing w:after="0"/>
              <w:rPr>
                <w:sz w:val="1"/>
                <w:szCs w:val="1"/>
                <w:color w:val="auto"/>
              </w:rPr>
            </w:pPr>
          </w:p>
        </w:tc>
      </w:tr>
      <w:tr>
        <w:trPr>
          <w:trHeight w:val="149"/>
        </w:trPr>
        <w:tc>
          <w:tcPr>
            <w:tcW w:w="69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Proceeds from the exercise of warrants</w:t>
            </w:r>
          </w:p>
        </w:tc>
        <w:tc>
          <w:tcPr>
            <w:tcW w:w="1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8,750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3,468</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548</w:t>
            </w:r>
          </w:p>
        </w:tc>
        <w:tc>
          <w:tcPr>
            <w:tcW w:w="0" w:type="dxa"/>
            <w:vAlign w:val="bottom"/>
          </w:tcPr>
          <w:p>
            <w:pPr>
              <w:spacing w:after="0"/>
              <w:rPr>
                <w:sz w:val="1"/>
                <w:szCs w:val="1"/>
                <w:color w:val="auto"/>
              </w:rPr>
            </w:pPr>
          </w:p>
        </w:tc>
      </w:tr>
      <w:tr>
        <w:trPr>
          <w:trHeight w:val="149"/>
        </w:trPr>
        <w:tc>
          <w:tcPr>
            <w:tcW w:w="6960" w:type="dxa"/>
            <w:vAlign w:val="bottom"/>
          </w:tcPr>
          <w:p>
            <w:pPr>
              <w:ind w:left="880"/>
              <w:spacing w:after="0" w:line="149" w:lineRule="exact"/>
              <w:rPr>
                <w:sz w:val="20"/>
                <w:szCs w:val="20"/>
                <w:color w:val="auto"/>
              </w:rPr>
            </w:pPr>
            <w:r>
              <w:rPr>
                <w:rFonts w:ascii="Arial" w:cs="Arial" w:eastAsia="Arial" w:hAnsi="Arial"/>
                <w:sz w:val="14"/>
                <w:szCs w:val="14"/>
                <w:color w:val="auto"/>
              </w:rPr>
              <w:t>Net payment of premiums associated with prepayment of long-term debt</w:t>
            </w: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(806)</w:t>
            </w:r>
          </w:p>
        </w:tc>
        <w:tc>
          <w:tcPr>
            <w:tcW w:w="0" w:type="dxa"/>
            <w:vAlign w:val="bottom"/>
          </w:tcPr>
          <w:p>
            <w:pPr>
              <w:spacing w:after="0"/>
              <w:rPr>
                <w:sz w:val="1"/>
                <w:szCs w:val="1"/>
                <w:color w:val="auto"/>
              </w:rPr>
            </w:pPr>
          </w:p>
        </w:tc>
      </w:tr>
      <w:tr>
        <w:trPr>
          <w:trHeight w:val="149"/>
        </w:trPr>
        <w:tc>
          <w:tcPr>
            <w:tcW w:w="69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Repurchase of common stock</w:t>
            </w:r>
          </w:p>
        </w:tc>
        <w:tc>
          <w:tcPr>
            <w:tcW w:w="1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w w:val="99"/>
              </w:rPr>
              <w:t>(49,407)</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(15,208)</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960" w:type="dxa"/>
            <w:vAlign w:val="bottom"/>
          </w:tcPr>
          <w:p>
            <w:pPr>
              <w:ind w:left="880"/>
              <w:spacing w:after="0" w:line="149" w:lineRule="exact"/>
              <w:rPr>
                <w:sz w:val="20"/>
                <w:szCs w:val="20"/>
                <w:color w:val="auto"/>
              </w:rPr>
            </w:pPr>
            <w:r>
              <w:rPr>
                <w:rFonts w:ascii="Arial" w:cs="Arial" w:eastAsia="Arial" w:hAnsi="Arial"/>
                <w:sz w:val="14"/>
                <w:szCs w:val="14"/>
                <w:color w:val="auto"/>
              </w:rPr>
              <w:t>Proceeds from the exercise of stock options under option program</w:t>
            </w: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5,821</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69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Net cash provided by (used for) financing activities</w:t>
            </w:r>
          </w:p>
        </w:tc>
        <w:tc>
          <w:tcPr>
            <w:tcW w:w="1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10,438</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(43,848)</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(1,339)</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Arial" w:cs="Arial" w:eastAsia="Arial" w:hAnsi="Arial"/>
                <w:sz w:val="14"/>
                <w:szCs w:val="14"/>
                <w:color w:val="auto"/>
              </w:rPr>
              <w:t>Net decrease in cash and cash equivalents</w:t>
            </w:r>
          </w:p>
        </w:tc>
        <w:tc>
          <w:tcPr>
            <w:tcW w:w="1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960" w:type="dxa"/>
            <w:vAlign w:val="bottom"/>
            <w:vMerge w:val="continue"/>
          </w:tcPr>
          <w:p>
            <w:pPr>
              <w:spacing w:after="0"/>
              <w:rPr>
                <w:sz w:val="13"/>
                <w:szCs w:val="13"/>
                <w:color w:val="auto"/>
              </w:rPr>
            </w:pPr>
          </w:p>
        </w:tc>
        <w:tc>
          <w:tcPr>
            <w:tcW w:w="1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rPr>
              <w:t>(32)</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(243)</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49"/>
        </w:trPr>
        <w:tc>
          <w:tcPr>
            <w:tcW w:w="6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1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60" w:type="dxa"/>
            <w:vAlign w:val="bottom"/>
          </w:tcPr>
          <w:p>
            <w:pPr>
              <w:ind w:left="440"/>
              <w:spacing w:after="0" w:line="149" w:lineRule="exact"/>
              <w:rPr>
                <w:sz w:val="20"/>
                <w:szCs w:val="20"/>
                <w:color w:val="auto"/>
              </w:rPr>
            </w:pPr>
            <w:r>
              <w:rPr>
                <w:rFonts w:ascii="Arial" w:cs="Arial" w:eastAsia="Arial" w:hAnsi="Arial"/>
                <w:sz w:val="14"/>
                <w:szCs w:val="14"/>
                <w:color w:val="auto"/>
              </w:rPr>
              <w:t>Beginning of the year</w:t>
            </w: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5,325</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5,568</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5,731</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69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End of the year</w:t>
            </w:r>
          </w:p>
        </w:tc>
        <w:tc>
          <w:tcPr>
            <w:tcW w:w="1660" w:type="dxa"/>
            <w:vAlign w:val="bottom"/>
            <w:gridSpan w:val="2"/>
            <w:shd w:val="clear" w:color="auto" w:fill="CCEEFF"/>
          </w:tcPr>
          <w:p>
            <w:pPr>
              <w:ind w:left="1520"/>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5,293</w:t>
            </w:r>
          </w:p>
        </w:tc>
        <w:tc>
          <w:tcPr>
            <w:tcW w:w="2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5,325</w:t>
            </w:r>
          </w:p>
        </w:tc>
        <w:tc>
          <w:tcPr>
            <w:tcW w:w="2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5,568</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Arial" w:cs="Arial" w:eastAsia="Arial" w:hAnsi="Arial"/>
                <w:sz w:val="14"/>
                <w:szCs w:val="14"/>
                <w:b w:val="1"/>
                <w:bCs w:val="1"/>
                <w:color w:val="auto"/>
              </w:rPr>
              <w:t>Non-cash transaction</w:t>
            </w:r>
          </w:p>
        </w:tc>
        <w:tc>
          <w:tcPr>
            <w:tcW w:w="1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60" w:type="dxa"/>
            <w:vAlign w:val="bottom"/>
            <w:vMerge w:val="continue"/>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6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Conversion of 5% convertible notes to common stock</w:t>
            </w:r>
          </w:p>
        </w:tc>
        <w:tc>
          <w:tcPr>
            <w:tcW w:w="1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91,375</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6960" w:type="dxa"/>
            <w:vAlign w:val="bottom"/>
          </w:tcPr>
          <w:p>
            <w:pPr>
              <w:spacing w:after="0"/>
              <w:rPr>
                <w:sz w:val="20"/>
                <w:szCs w:val="20"/>
                <w:color w:val="auto"/>
              </w:rPr>
            </w:pPr>
            <w:r>
              <w:rPr>
                <w:rFonts w:ascii="Arial" w:cs="Arial" w:eastAsia="Arial" w:hAnsi="Arial"/>
                <w:sz w:val="14"/>
                <w:szCs w:val="14"/>
                <w:color w:val="auto"/>
              </w:rPr>
              <w:t>Deferred gain on sale-leaseback</w:t>
            </w: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29,308</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CASUAL MALE RETAIL GROUP, INC.</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FEBRUARY 2, 2008</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Summary of Significant Accounting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Nature of Business</w:t>
      </w:r>
    </w:p>
    <w:p>
      <w:pPr>
        <w:spacing w:after="0" w:line="15" w:lineRule="exact"/>
        <w:rPr>
          <w:sz w:val="20"/>
          <w:szCs w:val="20"/>
          <w:color w:val="auto"/>
        </w:rPr>
      </w:pPr>
    </w:p>
    <w:p>
      <w:pPr>
        <w:jc w:val="both"/>
        <w:ind w:right="140" w:firstLine="456"/>
        <w:spacing w:after="0" w:line="253" w:lineRule="auto"/>
        <w:rPr>
          <w:sz w:val="20"/>
          <w:szCs w:val="20"/>
          <w:color w:val="auto"/>
        </w:rPr>
      </w:pPr>
      <w:r>
        <w:rPr>
          <w:rFonts w:ascii="Arial" w:cs="Arial" w:eastAsia="Arial" w:hAnsi="Arial"/>
          <w:sz w:val="18"/>
          <w:szCs w:val="18"/>
          <w:color w:val="auto"/>
        </w:rPr>
        <w:t>Casual Male Retail Group, Inc. (“Company”) is the largest specialty retailer of big &amp; tall men’s apparel. The Company operates under the trade names of Casual Male XL, Casual Male XL Outlets, Rochester Big &amp; Tall Clothing, B &amp; T Factory Direct, Shoes XL and Living XL. At February 2, 2008, the Company operated 462 Casual Male XL retail and outlet stores located throughout the United States, 26 Rochester Big &amp; Tall stores located in major U.S. cities and one store in London, England. The Company also operates a direct business which includes several catalogs and e-commerce sites to support its brands and product extensions.</w:t>
      </w:r>
    </w:p>
    <w:p>
      <w:pPr>
        <w:spacing w:after="0" w:line="22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subsidiaries. All significant intercompany accounts, transactions and profits are eliminated.</w:t>
      </w:r>
    </w:p>
    <w:p>
      <w:pPr>
        <w:spacing w:after="0" w:line="13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accompanying financial statements have been prepared in accordance with accounting principles generally accepted in the United States. The preparation of financial statements in conformity with generally accepted accounting principles requires management to make estimates and assumptions that affect the reported amounts of assets and liabilities and disclosures of contingent liabilities as of the date of the financial statements and the reported amounts of revenue and expenses during the reporting period. Actual results could differ from estimates.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amounts for fiscal 2006 have been reclassified to conform to the current year presentation as a result of discontinued operations, see Note J.</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90"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Company reports its operations as one reportable segment, Big &amp; Tall Men’s Apparel, which consists of its two operating segments—Casual Male and Rochester. The Company considers its operating segments to be similar in terms of economic characteristic, production processes and operations, and have therefore aggregated them into a single reporting segment. The operating results and assets of the Company’s new direct business, Living XL, is immaterial.</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Fiscal Year</w:t>
      </w:r>
    </w:p>
    <w:p>
      <w:pPr>
        <w:spacing w:after="0" w:line="90" w:lineRule="exact"/>
        <w:rPr>
          <w:sz w:val="20"/>
          <w:szCs w:val="20"/>
          <w:color w:val="auto"/>
        </w:rPr>
      </w:pPr>
    </w:p>
    <w:p>
      <w:pPr>
        <w:ind w:right="440" w:firstLine="456"/>
        <w:spacing w:after="0" w:line="370" w:lineRule="auto"/>
        <w:rPr>
          <w:sz w:val="20"/>
          <w:szCs w:val="20"/>
          <w:color w:val="auto"/>
        </w:rPr>
      </w:pPr>
      <w:r>
        <w:rPr>
          <w:rFonts w:ascii="Arial" w:cs="Arial" w:eastAsia="Arial" w:hAnsi="Arial"/>
          <w:sz w:val="15"/>
          <w:szCs w:val="15"/>
          <w:color w:val="auto"/>
        </w:rPr>
        <w:t>The Company’s fiscal year is a 52-week or 53-week period ending on the Saturday closest to January 31. Fiscal years 2007, 2006 and 2005 ended on February 2, 2008, February 3, 2007 and January 28, 2006, respectively. Fiscal 2006 was a 53-week period. Fiscal 2007 and 2005 were 52-week periods.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Short-term investments, which have a maturity of ninety days or less when acquired, are considered cash equivalents.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 xml:space="preserve">Statement of Financial Accounting Standards (“SFAS”) No. 107, </w:t>
      </w:r>
      <w:r>
        <w:rPr>
          <w:rFonts w:ascii="Arial" w:cs="Arial" w:eastAsia="Arial" w:hAnsi="Arial"/>
          <w:sz w:val="18"/>
          <w:szCs w:val="18"/>
          <w:i w:val="1"/>
          <w:iCs w:val="1"/>
          <w:color w:val="auto"/>
        </w:rPr>
        <w:t>Disclosure About Fair Value of Financial Instruments,</w:t>
      </w:r>
      <w:r>
        <w:rPr>
          <w:rFonts w:ascii="Arial" w:cs="Arial" w:eastAsia="Arial" w:hAnsi="Arial"/>
          <w:sz w:val="18"/>
          <w:szCs w:val="18"/>
          <w:color w:val="auto"/>
        </w:rPr>
        <w:t xml:space="preserve"> requires disclosure of the fair value of certain financial instruments. The carrying amounts for the Company’s long-term debt approximate fair value as the interest rates and terms are substantially similar to those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60"/>
          </w:cols>
          <w:pgMar w:left="240" w:top="459" w:right="2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that could be obtained currently for similar instruments. The carrying amounts of cash and cash equivalents, accounts receivable, accounts payable, accrued expenses and short-term borrowings approximate fair value because of the short maturity of these instruments.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During the second quarter of fiscal 2006, the Company changed its inventory valuation method. Previously, inventory was principally valued at the lower of cost or market on a first in, first out (“FIFO”) basis, under the retail inventory method. Inventory for the Company’s catalog and e-commerce businesses were accounted for using the average cost method, which approximated the retail method. Commencing in the second quarter of fiscal 2006, all inventories have been valued at the lower of cost or market, using a weighted-average cost method.</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revaluation of inventory using the weighted-average cost method approximated the Company’s inventory valuation under the previous FIFO retail method; accordingly, the impact of the change was not material to the financial statements for fiscal 2006. Subsequent to fiscal 2006, the Company identified an inventory valuation difference which was deemed immaterial to the prior periods presented and which was recorded in the fourth quarter of fiscal 2007 as part of the total inventory charge of $6.1 million discussed in Note 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Property and equipment are stated at cost. Major additions and improvements are capitalized while repairs and maintenance are charged to expense as incurred. Upon retirement or other disposition, the cost and related depreciation of the assets are removed from the accounts and the resulting gain or loss, if any, is reflected in income. Depreciation is computed on the straight-line method over the assets’ estimated useful lives as follows:</w:t>
      </w:r>
    </w:p>
    <w:p>
      <w:pPr>
        <w:sectPr>
          <w:pgSz w:w="11900" w:h="16838" w:orient="portrait"/>
          <w:cols w:equalWidth="0" w:num="1">
            <w:col w:w="11420"/>
          </w:cols>
          <w:pgMar w:left="240" w:top="459" w:right="239" w:bottom="1440" w:gutter="0" w:footer="0" w:header="0"/>
        </w:sectPr>
      </w:pP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Furniture and fixtures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Equipment</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Leasehold improvements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Hardware and software</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Five to ten years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Five to ten years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Lesser of useful lives or related lease term</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Three to seven years</w:t>
      </w:r>
    </w:p>
    <w:p>
      <w:pPr>
        <w:spacing w:after="0" w:line="200" w:lineRule="exact"/>
        <w:rPr>
          <w:sz w:val="20"/>
          <w:szCs w:val="20"/>
          <w:color w:val="auto"/>
        </w:rPr>
      </w:pPr>
    </w:p>
    <w:p>
      <w:pPr>
        <w:sectPr>
          <w:pgSz w:w="11900" w:h="16838" w:orient="portrait"/>
          <w:cols w:equalWidth="0" w:num="2">
            <w:col w:w="5340" w:space="720"/>
            <w:col w:w="5360"/>
          </w:cols>
          <w:pgMar w:left="240" w:top="459" w:right="239" w:bottom="1440" w:gutter="0" w:footer="0" w:header="0"/>
          <w:type w:val="continuous"/>
        </w:sectPr>
      </w:pP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and Intangibles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SFAS No. 141,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requires that all business combinations be accounted for under the purchase method. The statement further requires separate recognition of intangible assets that meet one of two criteria set forth in the statement. Under SFAS No.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xml:space="preserve"> goodwill and intangible assets with indefinite lives are no longer amortized but are tested at least annually for impairment. Separable intangible assets with defined lives will continue to be amortized over their useful lives.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Below is a table showing the changes in the carrying value of the Company’s goodwill and intangible assets from February 3, 2007 to February 2, 2008: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w w:val="88"/>
              </w:rPr>
              <w:t>February 3, 2007</w:t>
            </w:r>
          </w:p>
        </w:tc>
        <w:tc>
          <w:tcPr>
            <w:tcW w:w="700" w:type="dxa"/>
            <w:vAlign w:val="bottom"/>
          </w:tcPr>
          <w:p>
            <w:pPr>
              <w:spacing w:after="0"/>
              <w:rPr>
                <w:sz w:val="14"/>
                <w:szCs w:val="14"/>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Additions</w:t>
            </w: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w w:val="88"/>
              </w:rPr>
              <w:t>February 2, 2008</w:t>
            </w:r>
          </w:p>
        </w:tc>
      </w:tr>
      <w:tr>
        <w:trPr>
          <w:trHeight w:val="142"/>
        </w:trPr>
        <w:tc>
          <w:tcPr>
            <w:tcW w:w="34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2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52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60,636</w:t>
            </w:r>
          </w:p>
        </w:tc>
        <w:tc>
          <w:tcPr>
            <w:tcW w:w="9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24(1)</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60,660</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Trademarks</w:t>
            </w: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33,200</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33,200</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intangibles</w:t>
            </w:r>
          </w:p>
        </w:tc>
        <w:tc>
          <w:tcPr>
            <w:tcW w:w="2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(343)</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center"/>
        <w:ind w:left="5620" w:right="20" w:hanging="5612"/>
        <w:spacing w:after="0" w:line="440" w:lineRule="auto"/>
        <w:tabs>
          <w:tab w:leader="none" w:pos="4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an adjustment to the initial goodwill recognized as part of the Company’s acquisition during the third quarter of fiscal 2006 of SuperSize World. 50</w:t>
      </w:r>
    </w:p>
    <w:p>
      <w:pPr>
        <w:sectPr>
          <w:pgSz w:w="11900" w:h="16838" w:orient="portrait"/>
          <w:cols w:equalWidth="0" w:num="1">
            <w:col w:w="11420"/>
          </w:cols>
          <w:pgMar w:left="240" w:top="459" w:right="23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At least annually, during the fourth quarter, the Company evaluates goodwill, based on two separate operating segments, its Casual Male business and its Rochester business, by comparing the current carrying value of goodwill with the fair value of the net assets of the Company. The goodwill assigned to each operating segment represents the initial purchase price allocation to goodwill as a result of their respective acquisitions. The Company also performs an impairment analysis and records an impairment charge for any intangible assets with a carrying value in excess of its fair value. The Company will write off the amount of any goodwill or intangible in excess of its fair value. At February 2, 2008, the Company determined that there was no impairment of goodwill.</w:t>
      </w:r>
    </w:p>
    <w:p>
      <w:pPr>
        <w:spacing w:after="0" w:line="1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Other intangibles, which include customer lists and non-compete agreements, are the only intangible assets with defined lives, which range from 3 to 16 years based on each asset’s estimated economic useful life.</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Accumulated amortization was $1.3 million at February 2, 2008 and $1.0 million at February 3, 2007. Amortization expense for other intangible assets for the next five fiscal years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FISCAL YEAR</w:t>
            </w:r>
          </w:p>
        </w:tc>
        <w:tc>
          <w:tcPr>
            <w:tcW w:w="962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96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2008</w:t>
            </w:r>
          </w:p>
        </w:tc>
        <w:tc>
          <w:tcPr>
            <w:tcW w:w="9940" w:type="dxa"/>
            <w:vAlign w:val="bottom"/>
            <w:gridSpan w:val="2"/>
            <w:shd w:val="clear" w:color="auto" w:fill="CCEEFF"/>
          </w:tcPr>
          <w:p>
            <w:pPr>
              <w:ind w:left="96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2009</w:t>
            </w:r>
          </w:p>
        </w:tc>
        <w:tc>
          <w:tcPr>
            <w:tcW w:w="9940" w:type="dxa"/>
            <w:vAlign w:val="bottom"/>
            <w:gridSpan w:val="2"/>
          </w:tcPr>
          <w:p>
            <w:pPr>
              <w:ind w:left="96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2010</w:t>
            </w:r>
          </w:p>
        </w:tc>
        <w:tc>
          <w:tcPr>
            <w:tcW w:w="9940" w:type="dxa"/>
            <w:vAlign w:val="bottom"/>
            <w:gridSpan w:val="2"/>
            <w:shd w:val="clear" w:color="auto" w:fill="CCEEFF"/>
          </w:tcPr>
          <w:p>
            <w:pPr>
              <w:ind w:left="96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2011</w:t>
            </w:r>
          </w:p>
        </w:tc>
        <w:tc>
          <w:tcPr>
            <w:tcW w:w="9940" w:type="dxa"/>
            <w:vAlign w:val="bottom"/>
            <w:gridSpan w:val="2"/>
          </w:tcPr>
          <w:p>
            <w:pPr>
              <w:ind w:left="96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2012</w:t>
            </w:r>
          </w:p>
        </w:tc>
        <w:tc>
          <w:tcPr>
            <w:tcW w:w="9940" w:type="dxa"/>
            <w:vAlign w:val="bottom"/>
            <w:gridSpan w:val="2"/>
            <w:shd w:val="clear" w:color="auto" w:fill="CCEEFF"/>
          </w:tcPr>
          <w:p>
            <w:pPr>
              <w:ind w:left="96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Pre-opening Costs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accordance with Statement of Position 98-5, “Reporting on the Costs of Start-Up Activities,” the Company expenses all pre-opening costs for its stores as incurred.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Company expenses in-store advertising costs as incurred. Direct response advertising costs, which consist of catalog production and postage costs, are deferred and amortized over the period of expected direct marketing revenues, which is less than one year. Direct response costs which were deferred at February 2, 2008 and February 3, 2007 were $2.9 million and $2.0 million, respectively. Advertising expense, which is included in selling, general and administrative expenses, was $34.4 million, $30.9 million and $28.6 million for fiscal 2007, 2006 and 2005, respectively.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Revenue from the Company’s retail store operation is recorded upon purchase of merchandise by customers, net of an allowance for sales returns and allowances. Revenue from the Company’s catalog and e-commerce operations is recognized at the time a customer order is shipped.</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At February 2, 2008, the Company operates a direct business with Sears Canada and one Rochester Big &amp; Tall Clothing store located in London, England. During fiscal 2007, the Company also operated 12 Sears Canada stores which were all closed by the end of fiscal 2007. Assets and liabilities of these stores are translated into U.S. dollars at the exchange rates in effect at each balance sheet date. Stockholders’ equity is translated at applicable historical exchange rates. Income, expense and cash flow items are translated at average exchange rates during the period. Resulting translation adjustments are reported as a separate component of stockholders’ equity.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Shipping and handling costs are included in cost of sales for all periods presented.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Deferred income taxes are provided to recognize the effect of temporary differences between tax and financial statement reporting. Such taxes are provided for using enacted tax rates expected to be in place when such temporary differences are realized. A valuation allowance is recorded to reduce deferred tax assets if it is determined that it is more likely than not that the full deferred tax asset would not be realized. If it is subsequently determined that a deferred tax asset will more likely than not be realized, a credit to earnings is recorded to reduce the allowance.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Income Per Share</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SFAS No. 128,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requires the computation of basic and diluted earnings per share. Basic earnings per share are computed by dividing net income by the weighted average number of shares of common stock outstanding during the respective period. Diluted earnings per share is determined by giving effect to the exercise of stock options and warrants using the treasury stock method and convertible notes using the “if-converted” method. The “if-converted” method assumes conversion of the convertible notes if the impact of the conversion is more dilutive to earnings after considering the impact of reversing interest expense and increasing the common stock outstanding. The following table provides a reconciliation of the number of shares outstanding for basic and diluted earnings per share: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4"/>
          </w:tcPr>
          <w:p>
            <w:pPr>
              <w:ind w:left="880"/>
              <w:spacing w:after="0"/>
              <w:rPr>
                <w:sz w:val="20"/>
                <w:szCs w:val="20"/>
                <w:color w:val="auto"/>
              </w:rPr>
            </w:pPr>
            <w:r>
              <w:rPr>
                <w:rFonts w:ascii="Arial" w:cs="Arial" w:eastAsia="Arial" w:hAnsi="Arial"/>
                <w:sz w:val="14"/>
                <w:szCs w:val="14"/>
                <w:b w:val="1"/>
                <w:bCs w:val="1"/>
                <w:color w:val="auto"/>
              </w:rPr>
              <w:t>Fiscal Years Ended</w:t>
            </w: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8"/>
              </w:rPr>
              <w:t>February 2, 2008</w:t>
            </w:r>
          </w:p>
        </w:tc>
        <w:tc>
          <w:tcPr>
            <w:tcW w:w="940" w:type="dxa"/>
            <w:vAlign w:val="bottom"/>
          </w:tcPr>
          <w:p>
            <w:pPr>
              <w:spacing w:after="0"/>
              <w:rPr>
                <w:sz w:val="12"/>
                <w:szCs w:val="12"/>
                <w:color w:val="auto"/>
              </w:rPr>
            </w:pPr>
          </w:p>
        </w:tc>
        <w:tc>
          <w:tcPr>
            <w:tcW w:w="19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February 3, 2007</w:t>
            </w:r>
          </w:p>
        </w:tc>
        <w:tc>
          <w:tcPr>
            <w:tcW w:w="10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January 28, 2006</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9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Net Income:</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ind w:left="420"/>
              <w:spacing w:after="0"/>
              <w:rPr>
                <w:sz w:val="20"/>
                <w:szCs w:val="20"/>
                <w:color w:val="auto"/>
              </w:rPr>
            </w:pPr>
            <w:r>
              <w:rPr>
                <w:rFonts w:ascii="Arial" w:cs="Arial" w:eastAsia="Arial" w:hAnsi="Arial"/>
                <w:sz w:val="18"/>
                <w:szCs w:val="18"/>
                <w:color w:val="auto"/>
              </w:rPr>
              <w:t>Net Income—Basic</w:t>
            </w:r>
          </w:p>
        </w:tc>
        <w:tc>
          <w:tcPr>
            <w:tcW w:w="8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414</w:t>
            </w:r>
          </w:p>
        </w:tc>
        <w:tc>
          <w:tcPr>
            <w:tcW w:w="1020" w:type="dxa"/>
            <w:vAlign w:val="bottom"/>
            <w:gridSpan w:val="2"/>
          </w:tcPr>
          <w:p>
            <w:pPr>
              <w:ind w:left="94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42,632</w:t>
            </w:r>
          </w:p>
        </w:tc>
        <w:tc>
          <w:tcPr>
            <w:tcW w:w="94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10,760</w:t>
            </w: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 back interest costs, tax effected, assuming Conversion of</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9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convertible notes(1)</w:t>
            </w:r>
          </w:p>
        </w:tc>
        <w:tc>
          <w:tcPr>
            <w:tcW w:w="5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9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960" w:type="dxa"/>
            <w:vAlign w:val="bottom"/>
            <w:gridSpan w:val="2"/>
          </w:tcPr>
          <w:p>
            <w:pPr>
              <w:ind w:left="420"/>
              <w:spacing w:after="0"/>
              <w:rPr>
                <w:sz w:val="20"/>
                <w:szCs w:val="20"/>
                <w:color w:val="auto"/>
              </w:rPr>
            </w:pPr>
            <w:r>
              <w:rPr>
                <w:rFonts w:ascii="Arial" w:cs="Arial" w:eastAsia="Arial" w:hAnsi="Arial"/>
                <w:sz w:val="18"/>
                <w:szCs w:val="18"/>
                <w:color w:val="auto"/>
              </w:rPr>
              <w:t>Net income—Diluted</w:t>
            </w:r>
          </w:p>
        </w:tc>
        <w:tc>
          <w:tcPr>
            <w:tcW w:w="8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414</w:t>
            </w:r>
          </w:p>
        </w:tc>
        <w:tc>
          <w:tcPr>
            <w:tcW w:w="1020" w:type="dxa"/>
            <w:vAlign w:val="bottom"/>
            <w:gridSpan w:val="2"/>
          </w:tcPr>
          <w:p>
            <w:pPr>
              <w:ind w:left="94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45,401</w:t>
            </w: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10,760</w:t>
            </w: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Weighted Average Shares Outstanding</w:t>
            </w: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ind w:left="420"/>
              <w:spacing w:after="0"/>
              <w:rPr>
                <w:sz w:val="20"/>
                <w:szCs w:val="20"/>
                <w:color w:val="auto"/>
              </w:rPr>
            </w:pPr>
            <w:r>
              <w:rPr>
                <w:rFonts w:ascii="Arial" w:cs="Arial" w:eastAsia="Arial" w:hAnsi="Arial"/>
                <w:sz w:val="18"/>
                <w:szCs w:val="18"/>
                <w:color w:val="auto"/>
              </w:rPr>
              <w:t>Basic weighted-average common shares outstanding</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41,707</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35,276</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34,306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Stock options and warrants</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60" w:type="dxa"/>
            <w:vAlign w:val="bottom"/>
            <w:gridSpan w:val="2"/>
          </w:tcPr>
          <w:p>
            <w:pPr>
              <w:ind w:left="420"/>
              <w:spacing w:after="0"/>
              <w:rPr>
                <w:sz w:val="20"/>
                <w:szCs w:val="20"/>
                <w:color w:val="auto"/>
              </w:rPr>
            </w:pPr>
            <w:r>
              <w:rPr>
                <w:rFonts w:ascii="Arial" w:cs="Arial" w:eastAsia="Arial" w:hAnsi="Arial"/>
                <w:sz w:val="18"/>
                <w:szCs w:val="18"/>
                <w:color w:val="auto"/>
                <w:w w:val="96"/>
              </w:rPr>
              <w:t>Shares issued upon conversion of convertible notes at $10.65 per share</w:t>
            </w:r>
          </w:p>
        </w:tc>
        <w:tc>
          <w:tcPr>
            <w:tcW w:w="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8,639</w:t>
            </w:r>
          </w:p>
        </w:tc>
        <w:tc>
          <w:tcPr>
            <w:tcW w:w="9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 weighted-average shares outstanding</w:t>
            </w:r>
          </w:p>
        </w:tc>
        <w:tc>
          <w:tcPr>
            <w:tcW w:w="5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43,229</w:t>
            </w:r>
          </w:p>
        </w:tc>
        <w:tc>
          <w:tcPr>
            <w:tcW w:w="9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46,457</w:t>
            </w:r>
          </w:p>
        </w:tc>
        <w:tc>
          <w:tcPr>
            <w:tcW w:w="9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35,860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right="80" w:hanging="452"/>
        <w:spacing w:after="0" w:line="332"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Shares issuable upon the conversion of the convertible notes of 9.4 million for fiscal 2005 were excluded from the calculation of diluted earnings per share because they were anti-dilutive to earnings using the “if-converted” method. The convertible notes were fully converted during fiscal 2006.</w:t>
      </w:r>
    </w:p>
    <w:p>
      <w:pPr>
        <w:spacing w:after="0" w:line="85"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The following potential common stock equivalents were excluded from the computation of diluted earnings per share in each year because the exercise price of such options and warrants was greater than the average market price per share of common stock for the respective periods or the impact of FAS 123R primarily related to unearned compensation. Convertible notes for fiscal 2005 were also excluded as discussed above in note 1 to the table: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Fiscal Years Ended</w:t>
            </w: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53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6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w w:val="99"/>
              </w:rPr>
              <w:t>February 2, 2008</w:t>
            </w:r>
          </w:p>
        </w:tc>
        <w:tc>
          <w:tcPr>
            <w:tcW w:w="340" w:type="dxa"/>
            <w:vAlign w:val="bottom"/>
          </w:tcPr>
          <w:p>
            <w:pPr>
              <w:spacing w:after="0"/>
              <w:rPr>
                <w:sz w:val="12"/>
                <w:szCs w:val="12"/>
                <w:color w:val="auto"/>
              </w:rPr>
            </w:pPr>
          </w:p>
        </w:tc>
        <w:tc>
          <w:tcPr>
            <w:tcW w:w="12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February 3, 2007</w:t>
            </w:r>
          </w:p>
        </w:tc>
        <w:tc>
          <w:tcPr>
            <w:tcW w:w="3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7"/>
              </w:rPr>
              <w:t>January 28, 2006</w:t>
            </w:r>
          </w:p>
        </w:tc>
        <w:tc>
          <w:tcPr>
            <w:tcW w:w="20" w:type="dxa"/>
            <w:vAlign w:val="bottom"/>
          </w:tcPr>
          <w:p>
            <w:pPr>
              <w:spacing w:after="0"/>
              <w:rPr>
                <w:sz w:val="12"/>
                <w:szCs w:val="12"/>
                <w:color w:val="auto"/>
              </w:rPr>
            </w:pPr>
          </w:p>
        </w:tc>
      </w:tr>
      <w:tr>
        <w:trPr>
          <w:trHeight w:val="142"/>
        </w:trPr>
        <w:tc>
          <w:tcPr>
            <w:tcW w:w="53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320" w:type="dxa"/>
            <w:vAlign w:val="bottom"/>
            <w:gridSpan w:val="5"/>
          </w:tcPr>
          <w:p>
            <w:pPr>
              <w:jc w:val="center"/>
              <w:ind w:left="1062"/>
              <w:spacing w:after="0" w:line="142" w:lineRule="exact"/>
              <w:rPr>
                <w:sz w:val="20"/>
                <w:szCs w:val="20"/>
                <w:color w:val="auto"/>
              </w:rPr>
            </w:pPr>
            <w:r>
              <w:rPr>
                <w:rFonts w:ascii="Arial" w:cs="Arial" w:eastAsia="Arial" w:hAnsi="Arial"/>
                <w:sz w:val="14"/>
                <w:szCs w:val="14"/>
                <w:b w:val="1"/>
                <w:bCs w:val="1"/>
                <w:color w:val="auto"/>
                <w:w w:val="84"/>
              </w:rPr>
              <w:t>(in thousands, except exercise prices)</w:t>
            </w: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160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w w:val="86"/>
              </w:rPr>
              <w:t>735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20" w:type="dxa"/>
            <w:vAlign w:val="bottom"/>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Warrants</w:t>
            </w:r>
          </w:p>
        </w:tc>
        <w:tc>
          <w:tcPr>
            <w:tcW w:w="158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1,888</w:t>
            </w:r>
          </w:p>
        </w:tc>
        <w:tc>
          <w:tcPr>
            <w:tcW w:w="2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at $10.65/share</w:t>
            </w:r>
          </w:p>
        </w:tc>
        <w:tc>
          <w:tcPr>
            <w:tcW w:w="1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8,897</w:t>
            </w:r>
          </w:p>
        </w:tc>
        <w:tc>
          <w:tcPr>
            <w:tcW w:w="20" w:type="dxa"/>
            <w:vAlign w:val="bottom"/>
          </w:tcPr>
          <w:p>
            <w:pPr>
              <w:spacing w:after="0"/>
              <w:rPr>
                <w:sz w:val="18"/>
                <w:szCs w:val="18"/>
                <w:color w:val="auto"/>
              </w:rPr>
            </w:pPr>
          </w:p>
        </w:tc>
      </w:tr>
      <w:tr>
        <w:trPr>
          <w:trHeight w:val="222"/>
        </w:trPr>
        <w:tc>
          <w:tcPr>
            <w:tcW w:w="5380" w:type="dxa"/>
            <w:vAlign w:val="bottom"/>
          </w:tcPr>
          <w:p>
            <w:pPr>
              <w:spacing w:after="0"/>
              <w:rPr>
                <w:sz w:val="20"/>
                <w:szCs w:val="20"/>
                <w:color w:val="auto"/>
              </w:rPr>
            </w:pPr>
            <w:r>
              <w:rPr>
                <w:rFonts w:ascii="Arial" w:cs="Arial" w:eastAsia="Arial" w:hAnsi="Arial"/>
                <w:sz w:val="18"/>
                <w:szCs w:val="18"/>
                <w:color w:val="auto"/>
                <w:w w:val="91"/>
              </w:rPr>
              <w:t>Ranges of exercise prices of such options, warrants and convertible notes</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  7.52 – $12.35</w:t>
            </w:r>
          </w:p>
        </w:tc>
        <w:tc>
          <w:tcPr>
            <w:tcW w:w="1600" w:type="dxa"/>
            <w:vAlign w:val="bottom"/>
            <w:gridSpan w:val="2"/>
          </w:tcPr>
          <w:p>
            <w:pPr>
              <w:jc w:val="center"/>
              <w:ind w:left="252"/>
              <w:spacing w:after="0"/>
              <w:rPr>
                <w:sz w:val="20"/>
                <w:szCs w:val="20"/>
                <w:color w:val="auto"/>
              </w:rPr>
            </w:pPr>
            <w:r>
              <w:rPr>
                <w:rFonts w:ascii="Arial" w:cs="Arial" w:eastAsia="Arial" w:hAnsi="Arial"/>
                <w:sz w:val="18"/>
                <w:szCs w:val="18"/>
                <w:color w:val="auto"/>
                <w:w w:val="96"/>
              </w:rPr>
              <w:t>$  9.27 – $11.15</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6.66 – $10.65</w:t>
            </w:r>
          </w:p>
        </w:tc>
        <w:tc>
          <w:tcPr>
            <w:tcW w:w="20" w:type="dxa"/>
            <w:vAlign w:val="bottom"/>
          </w:tcPr>
          <w:p>
            <w:pPr>
              <w:spacing w:after="0"/>
              <w:rPr>
                <w:sz w:val="19"/>
                <w:szCs w:val="19"/>
                <w:color w:val="auto"/>
              </w:rPr>
            </w:pPr>
          </w:p>
        </w:tc>
      </w:tr>
      <w:tr>
        <w:trPr>
          <w:trHeight w:val="356"/>
        </w:trPr>
        <w:tc>
          <w:tcPr>
            <w:tcW w:w="5380" w:type="dxa"/>
            <w:vAlign w:val="bottom"/>
          </w:tcPr>
          <w:p>
            <w:pPr>
              <w:spacing w:after="0"/>
              <w:rPr>
                <w:sz w:val="24"/>
                <w:szCs w:val="24"/>
                <w:color w:val="auto"/>
              </w:rPr>
            </w:pPr>
          </w:p>
        </w:tc>
        <w:tc>
          <w:tcPr>
            <w:tcW w:w="1580" w:type="dxa"/>
            <w:vAlign w:val="bottom"/>
          </w:tcPr>
          <w:p>
            <w:pPr>
              <w:jc w:val="right"/>
              <w:ind w:right="1072"/>
              <w:spacing w:after="0"/>
              <w:rPr>
                <w:sz w:val="20"/>
                <w:szCs w:val="20"/>
                <w:color w:val="auto"/>
              </w:rPr>
            </w:pPr>
            <w:r>
              <w:rPr>
                <w:rFonts w:ascii="Arial" w:cs="Arial" w:eastAsia="Arial" w:hAnsi="Arial"/>
                <w:sz w:val="18"/>
                <w:szCs w:val="18"/>
                <w:color w:val="auto"/>
              </w:rPr>
              <w:t>52</w:t>
            </w: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 adopted Statement of Financial Accounting Standards No. 123 (revised 2004), “Share-Based Payment” (“SFAS 123R”) in fiscal 2006, using the modified prospective method which requires measurement of compensation cost for all stock awards at fair value on date of grant and recognition of compensation over the service period for awards expected to vest. The fair value of stock options is determined using the Black-Scholes valuation model, which is consistent with the Company’s valuation techniques previously utilized for options in footnote disclosures required under SFAS 123, “Accounting for Stock-Based Compensation” (“SFAS 123”), as amended by SFAS 148 “Accounting for Stock-Based Compensation—Transition and Disclosure” (“SFAS 148”),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As required under the accounting rules, the Company reviews its valuation assumptions at each grant date and, as a result, is likely to change its valuation assumptions used to value employee stock-based awards granted in future periods. The values derived from using the Black-Scholes model are recognized as expense over the vesting period, net of estimated forfeitures. The estimation of stock awards that will ultimately vest requires significant judgment. Actual results, and future changes in estimates, may differ from the Company’s current estimates. Prior periods have not been restated to incorporate the stock-based compensation charge.</w:t>
      </w:r>
    </w:p>
    <w:p>
      <w:pPr>
        <w:spacing w:after="0" w:line="12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For fiscal 2007, the Company recognized total compensation expense of $2.1 million, or approximately $1.2 million after tax. Of the total compensation expense of $2.1 million, approximately $0.3 million is reflected in discontinued operations. The total compensation cost related to non-vested awards not yet recognized is approximately $2.9 million which will be expensed over a weighted average remaining life of 20 months. For fiscal 2006, the Company recognized total compensation expense of $0.8 million, or approximately $0.5 million after tax.</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Disclosures- Prior to SFAS 123R adoption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Had compensation costs for fiscal 2005 related to the Company’s grants for stock-based compensation been determined consistent with SFAS No. 123,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Company’s net income and net income per share would have been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6"/>
              </w:rPr>
              <w:t>(in thousands, except</w:t>
            </w:r>
          </w:p>
        </w:tc>
      </w:t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3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0"/>
              </w:rPr>
              <w:t>per share amounts)</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income—as reported</w:t>
            </w:r>
          </w:p>
        </w:tc>
        <w:tc>
          <w:tcPr>
            <w:tcW w:w="5720" w:type="dxa"/>
            <w:vAlign w:val="bottom"/>
            <w:gridSpan w:val="2"/>
            <w:shd w:val="clear" w:color="auto" w:fill="CCEEFF"/>
          </w:tcPr>
          <w:p>
            <w:pPr>
              <w:jc w:val="right"/>
              <w:ind w:right="286"/>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Reversal of acceleration charge under APB 25</w:t>
            </w:r>
          </w:p>
        </w:tc>
        <w:tc>
          <w:tcPr>
            <w:tcW w:w="5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expense</w:t>
            </w:r>
          </w:p>
        </w:tc>
        <w:tc>
          <w:tcPr>
            <w:tcW w:w="5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(821)</w:t>
            </w:r>
          </w:p>
        </w:tc>
      </w:tr>
      <w:tr>
        <w:trPr>
          <w:trHeight w:val="223"/>
        </w:trPr>
        <w:tc>
          <w:tcPr>
            <w:tcW w:w="20" w:type="dxa"/>
            <w:vAlign w:val="bottom"/>
          </w:tcPr>
          <w:p>
            <w:pPr>
              <w:spacing w:after="0"/>
              <w:rPr>
                <w:sz w:val="19"/>
                <w:szCs w:val="19"/>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Charge for acceleration of options using fair value</w:t>
            </w:r>
          </w:p>
        </w:tc>
        <w:tc>
          <w:tcPr>
            <w:tcW w:w="5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(2,863)</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income—pro forma</w:t>
            </w:r>
          </w:p>
        </w:tc>
        <w:tc>
          <w:tcPr>
            <w:tcW w:w="52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8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7,106</w:t>
            </w:r>
          </w:p>
        </w:tc>
        <w:tc>
          <w:tcPr>
            <w:tcW w:w="60" w:type="dxa"/>
            <w:vAlign w:val="bottom"/>
            <w:shd w:val="clear" w:color="auto" w:fill="CCEEFF"/>
          </w:tcPr>
          <w:p>
            <w:pPr>
              <w:spacing w:after="0"/>
              <w:rPr>
                <w:sz w:val="18"/>
                <w:szCs w:val="18"/>
                <w:color w:val="auto"/>
              </w:rPr>
            </w:pPr>
          </w:p>
        </w:tc>
      </w:tr>
      <w:tr>
        <w:trPr>
          <w:trHeight w:val="322"/>
        </w:trPr>
        <w:tc>
          <w:tcPr>
            <w:tcW w:w="4800" w:type="dxa"/>
            <w:vAlign w:val="bottom"/>
            <w:gridSpan w:val="2"/>
          </w:tcPr>
          <w:p>
            <w:pPr>
              <w:spacing w:after="0"/>
              <w:rPr>
                <w:sz w:val="20"/>
                <w:szCs w:val="20"/>
                <w:color w:val="auto"/>
              </w:rPr>
            </w:pPr>
            <w:r>
              <w:rPr>
                <w:rFonts w:ascii="Arial" w:cs="Arial" w:eastAsia="Arial" w:hAnsi="Arial"/>
                <w:sz w:val="18"/>
                <w:szCs w:val="18"/>
                <w:color w:val="auto"/>
              </w:rPr>
              <w:t>Net income per share—basic as reported</w:t>
            </w:r>
          </w:p>
        </w:tc>
        <w:tc>
          <w:tcPr>
            <w:tcW w:w="5720" w:type="dxa"/>
            <w:vAlign w:val="bottom"/>
            <w:gridSpan w:val="2"/>
          </w:tcPr>
          <w:p>
            <w:pPr>
              <w:jc w:val="right"/>
              <w:ind w:right="286"/>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0.31</w:t>
            </w:r>
          </w:p>
        </w:tc>
        <w:tc>
          <w:tcPr>
            <w:tcW w:w="6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share—basic pro-forma</w:t>
            </w:r>
          </w:p>
        </w:tc>
        <w:tc>
          <w:tcPr>
            <w:tcW w:w="5720" w:type="dxa"/>
            <w:vAlign w:val="bottom"/>
            <w:gridSpan w:val="2"/>
            <w:shd w:val="clear" w:color="auto" w:fill="CCEEFF"/>
          </w:tcPr>
          <w:p>
            <w:pPr>
              <w:jc w:val="right"/>
              <w:ind w:right="286"/>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60" w:type="dxa"/>
            <w:vAlign w:val="bottom"/>
            <w:shd w:val="clear" w:color="auto" w:fill="CCEEFF"/>
          </w:tcPr>
          <w:p>
            <w:pPr>
              <w:spacing w:after="0"/>
              <w:rPr>
                <w:sz w:val="18"/>
                <w:szCs w:val="18"/>
                <w:color w:val="auto"/>
              </w:rPr>
            </w:pPr>
          </w:p>
        </w:tc>
      </w:tr>
      <w:tr>
        <w:trPr>
          <w:trHeight w:val="322"/>
        </w:trPr>
        <w:tc>
          <w:tcPr>
            <w:tcW w:w="4800" w:type="dxa"/>
            <w:vAlign w:val="bottom"/>
            <w:gridSpan w:val="2"/>
          </w:tcPr>
          <w:p>
            <w:pPr>
              <w:spacing w:after="0"/>
              <w:rPr>
                <w:sz w:val="20"/>
                <w:szCs w:val="20"/>
                <w:color w:val="auto"/>
              </w:rPr>
            </w:pPr>
            <w:r>
              <w:rPr>
                <w:rFonts w:ascii="Arial" w:cs="Arial" w:eastAsia="Arial" w:hAnsi="Arial"/>
                <w:sz w:val="18"/>
                <w:szCs w:val="18"/>
                <w:color w:val="auto"/>
              </w:rPr>
              <w:t>Net income per share—diluted as reported</w:t>
            </w:r>
          </w:p>
        </w:tc>
        <w:tc>
          <w:tcPr>
            <w:tcW w:w="5720" w:type="dxa"/>
            <w:vAlign w:val="bottom"/>
            <w:gridSpan w:val="2"/>
          </w:tcPr>
          <w:p>
            <w:pPr>
              <w:jc w:val="right"/>
              <w:ind w:right="286"/>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0.30</w:t>
            </w:r>
          </w:p>
        </w:tc>
        <w:tc>
          <w:tcPr>
            <w:tcW w:w="6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share—diluted pro-forma</w:t>
            </w:r>
          </w:p>
        </w:tc>
        <w:tc>
          <w:tcPr>
            <w:tcW w:w="5720" w:type="dxa"/>
            <w:vAlign w:val="bottom"/>
            <w:gridSpan w:val="2"/>
            <w:shd w:val="clear" w:color="auto" w:fill="CCEEFF"/>
          </w:tcPr>
          <w:p>
            <w:pPr>
              <w:jc w:val="right"/>
              <w:ind w:right="286"/>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60" w:type="dxa"/>
            <w:vAlign w:val="bottom"/>
            <w:shd w:val="clear" w:color="auto" w:fill="CCEEFF"/>
          </w:tcPr>
          <w:p>
            <w:pPr>
              <w:spacing w:after="0"/>
              <w:rPr>
                <w:sz w:val="18"/>
                <w:szCs w:val="18"/>
                <w:color w:val="auto"/>
              </w:rPr>
            </w:pPr>
          </w:p>
        </w:tc>
      </w:tr>
      <w:tr>
        <w:trPr>
          <w:trHeight w:val="363"/>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5260" w:type="dxa"/>
            <w:vAlign w:val="bottom"/>
          </w:tcPr>
          <w:p>
            <w:pPr>
              <w:jc w:val="right"/>
              <w:ind w:right="4172"/>
              <w:spacing w:after="0"/>
              <w:rPr>
                <w:sz w:val="20"/>
                <w:szCs w:val="20"/>
                <w:color w:val="auto"/>
              </w:rPr>
            </w:pPr>
            <w:r>
              <w:rPr>
                <w:rFonts w:ascii="Arial" w:cs="Arial" w:eastAsia="Arial" w:hAnsi="Arial"/>
                <w:sz w:val="18"/>
                <w:szCs w:val="18"/>
                <w:color w:val="auto"/>
              </w:rPr>
              <w:t>53</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Valuation Assumptions for Stock Options</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option-pricing model with the following weighted-average assumptions used for grants in fiscal 2007, 2006 and 2005:</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Fiscal Years Ended</w:t>
            </w:r>
          </w:p>
        </w:tc>
        <w:tc>
          <w:tcPr>
            <w:tcW w:w="1000" w:type="dxa"/>
            <w:vAlign w:val="bottom"/>
            <w:tcBorders>
              <w:bottom w:val="single" w:sz="8" w:color="auto"/>
            </w:tcBorders>
          </w:tcPr>
          <w:p>
            <w:pPr>
              <w:spacing w:after="0"/>
              <w:rPr>
                <w:sz w:val="14"/>
                <w:szCs w:val="14"/>
                <w:color w:val="auto"/>
              </w:rPr>
            </w:pPr>
          </w:p>
        </w:tc>
      </w:tr>
      <w:tr>
        <w:trPr>
          <w:trHeight w:val="142"/>
        </w:trPr>
        <w:tc>
          <w:tcPr>
            <w:tcW w:w="7320" w:type="dxa"/>
            <w:vAlign w:val="bottom"/>
          </w:tcPr>
          <w:p>
            <w:pPr>
              <w:spacing w:after="0"/>
              <w:rPr>
                <w:sz w:val="12"/>
                <w:szCs w:val="12"/>
                <w:color w:val="auto"/>
              </w:rPr>
            </w:pPr>
          </w:p>
        </w:tc>
        <w:tc>
          <w:tcPr>
            <w:tcW w:w="1000" w:type="dxa"/>
            <w:vAlign w:val="bottom"/>
          </w:tcPr>
          <w:p>
            <w:pPr>
              <w:spacing w:after="0" w:line="142" w:lineRule="exact"/>
              <w:rPr>
                <w:sz w:val="20"/>
                <w:szCs w:val="20"/>
                <w:color w:val="auto"/>
              </w:rPr>
            </w:pPr>
            <w:r>
              <w:rPr>
                <w:rFonts w:ascii="Arial" w:cs="Arial" w:eastAsia="Arial" w:hAnsi="Arial"/>
                <w:sz w:val="14"/>
                <w:szCs w:val="14"/>
                <w:b w:val="1"/>
                <w:bCs w:val="1"/>
                <w:color w:val="auto"/>
                <w:w w:val="88"/>
              </w:rPr>
              <w:t>February 2, 2008</w:t>
            </w:r>
          </w:p>
        </w:tc>
        <w:tc>
          <w:tcPr>
            <w:tcW w:w="540" w:type="dxa"/>
            <w:vAlign w:val="bottom"/>
          </w:tcPr>
          <w:p>
            <w:pPr>
              <w:spacing w:after="0"/>
              <w:rPr>
                <w:sz w:val="12"/>
                <w:szCs w:val="12"/>
                <w:color w:val="auto"/>
              </w:rPr>
            </w:pPr>
          </w:p>
        </w:tc>
        <w:tc>
          <w:tcPr>
            <w:tcW w:w="1560" w:type="dxa"/>
            <w:vAlign w:val="bottom"/>
            <w:gridSpan w:val="2"/>
          </w:tcPr>
          <w:p>
            <w:pPr>
              <w:jc w:val="center"/>
              <w:ind w:right="540"/>
              <w:spacing w:after="0" w:line="142" w:lineRule="exact"/>
              <w:rPr>
                <w:sz w:val="20"/>
                <w:szCs w:val="20"/>
                <w:color w:val="auto"/>
              </w:rPr>
            </w:pPr>
            <w:r>
              <w:rPr>
                <w:rFonts w:ascii="Arial" w:cs="Arial" w:eastAsia="Arial" w:hAnsi="Arial"/>
                <w:sz w:val="14"/>
                <w:szCs w:val="14"/>
                <w:b w:val="1"/>
                <w:bCs w:val="1"/>
                <w:color w:val="auto"/>
                <w:w w:val="88"/>
              </w:rPr>
              <w:t>February 3, 2007</w:t>
            </w:r>
          </w:p>
        </w:tc>
        <w:tc>
          <w:tcPr>
            <w:tcW w:w="1000" w:type="dxa"/>
            <w:vAlign w:val="bottom"/>
          </w:tcPr>
          <w:p>
            <w:pPr>
              <w:spacing w:after="0" w:line="142" w:lineRule="exact"/>
              <w:rPr>
                <w:sz w:val="20"/>
                <w:szCs w:val="20"/>
                <w:color w:val="auto"/>
              </w:rPr>
            </w:pPr>
            <w:r>
              <w:rPr>
                <w:rFonts w:ascii="Arial" w:cs="Arial" w:eastAsia="Arial" w:hAnsi="Arial"/>
                <w:sz w:val="14"/>
                <w:szCs w:val="14"/>
                <w:b w:val="1"/>
                <w:bCs w:val="1"/>
                <w:color w:val="auto"/>
                <w:w w:val="87"/>
              </w:rPr>
              <w:t>January 28, 2006</w:t>
            </w: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40.0%</w:t>
            </w:r>
          </w:p>
        </w:tc>
        <w:tc>
          <w:tcPr>
            <w:tcW w:w="54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45.0%</w:t>
            </w:r>
          </w:p>
        </w:tc>
        <w:tc>
          <w:tcPr>
            <w:tcW w:w="5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65.0%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4.07%-4.85%</w:t>
            </w:r>
          </w:p>
        </w:tc>
        <w:tc>
          <w:tcPr>
            <w:tcW w:w="1540" w:type="dxa"/>
            <w:vAlign w:val="bottom"/>
            <w:gridSpan w:val="2"/>
          </w:tcPr>
          <w:p>
            <w:pPr>
              <w:jc w:val="center"/>
              <w:ind w:left="457"/>
              <w:spacing w:after="0"/>
              <w:rPr>
                <w:sz w:val="20"/>
                <w:szCs w:val="20"/>
                <w:color w:val="auto"/>
              </w:rPr>
            </w:pPr>
            <w:r>
              <w:rPr>
                <w:rFonts w:ascii="Arial" w:cs="Arial" w:eastAsia="Arial" w:hAnsi="Arial"/>
                <w:sz w:val="18"/>
                <w:szCs w:val="18"/>
                <w:color w:val="auto"/>
                <w:w w:val="88"/>
              </w:rPr>
              <w:t>4.48%-5.02%</w:t>
            </w:r>
          </w:p>
        </w:tc>
        <w:tc>
          <w:tcPr>
            <w:tcW w:w="5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3.88%-4.48%</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2.0-4.5</w:t>
            </w:r>
          </w:p>
        </w:tc>
        <w:tc>
          <w:tcPr>
            <w:tcW w:w="1540" w:type="dxa"/>
            <w:vAlign w:val="bottom"/>
            <w:gridSpan w:val="2"/>
            <w:shd w:val="clear" w:color="auto" w:fill="CCEEFF"/>
          </w:tcPr>
          <w:p>
            <w:pPr>
              <w:jc w:val="center"/>
              <w:ind w:left="477"/>
              <w:spacing w:after="0"/>
              <w:rPr>
                <w:sz w:val="20"/>
                <w:szCs w:val="20"/>
                <w:color w:val="auto"/>
              </w:rPr>
            </w:pPr>
            <w:r>
              <w:rPr>
                <w:rFonts w:ascii="Arial" w:cs="Arial" w:eastAsia="Arial" w:hAnsi="Arial"/>
                <w:sz w:val="18"/>
                <w:szCs w:val="18"/>
                <w:color w:val="auto"/>
                <w:w w:val="89"/>
              </w:rPr>
              <w:t>3.0-4.5</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4.5</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Dividend rate</w:t>
            </w:r>
          </w:p>
        </w:tc>
        <w:tc>
          <w:tcPr>
            <w:tcW w:w="1000" w:type="dxa"/>
            <w:vAlign w:val="bottom"/>
          </w:tcPr>
          <w:p>
            <w:pPr>
              <w:ind w:left="3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0" w:type="dxa"/>
            <w:vAlign w:val="bottom"/>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 of options granted</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$3.62</w:t>
            </w:r>
          </w:p>
        </w:tc>
        <w:tc>
          <w:tcPr>
            <w:tcW w:w="1540" w:type="dxa"/>
            <w:vAlign w:val="bottom"/>
            <w:gridSpan w:val="2"/>
            <w:shd w:val="clear" w:color="auto" w:fill="CCEEFF"/>
          </w:tcPr>
          <w:p>
            <w:pPr>
              <w:jc w:val="center"/>
              <w:ind w:left="457"/>
              <w:spacing w:after="0"/>
              <w:rPr>
                <w:sz w:val="20"/>
                <w:szCs w:val="20"/>
                <w:color w:val="auto"/>
              </w:rPr>
            </w:pPr>
            <w:r>
              <w:rPr>
                <w:rFonts w:ascii="Arial" w:cs="Arial" w:eastAsia="Arial" w:hAnsi="Arial"/>
                <w:sz w:val="18"/>
                <w:szCs w:val="18"/>
                <w:color w:val="auto"/>
                <w:w w:val="88"/>
              </w:rPr>
              <w:t>$3.82</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$3.76</w:t>
            </w:r>
          </w:p>
        </w:tc>
      </w:tr>
    </w:tbl>
    <w:p>
      <w:pPr>
        <w:spacing w:after="0" w:line="15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Expected volatilities are based on historical volatilities of the Company’s common stock; the expected life represents the weighted average period of time that options granted are expected to be outstanding giving consideration to vesting schedules and historical exercise patterns; and the risk-free rate is based on the U.S. Treasury yield curve in effect at the time of grant for periods corresponding with the expected life of the option.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Impairment of Long-Lived Assets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Company reviews its long-lived assets for events or changes in circumstances that might indicate the carrying amount of the assets may not be recoverable. The Company assesses the recoverability of the assets by determining whether the carrying value of such assets over their respective remaining lives can be recovered through projected undiscounted future cash flows. The amount of impairment, if any, is measured based on projected discounted future cash flows using a discount rate reflecting the Company’s average cost of funds.</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During the third quarter of fiscal 2007, the Company recorded an impairment charge of $1.4 million related to the Company’s decision to exit its Jared M. operations. The charge of $1.4 million is included as part of discontinued operations for fiscal 2007. No impairment charge was recorded in fiscal 2006 and the recorded impairment for fiscal 2005 was immaterial.</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 Accounting Pronouncements</w:t>
      </w:r>
    </w:p>
    <w:p>
      <w:pPr>
        <w:spacing w:after="0" w:line="90"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 xml:space="preserve">In September 2006, the FASB issued FASB No.157,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(“FAS 157”). The purpose of FAS 157 is to define fair value, establish a framework for measuring fair value and enhance disclosures about fair value measurements. The measurement and disclosure requirements are effective beginning in the first quarter of fiscal 2008. The Company is currently assessing whether adoption of FAS 157 will have an impact on its financial statements.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In February 2007, the FASB issued FAS No. 159, </w:t>
      </w:r>
      <w:r>
        <w:rPr>
          <w:rFonts w:ascii="Arial" w:cs="Arial" w:eastAsia="Arial" w:hAnsi="Arial"/>
          <w:sz w:val="18"/>
          <w:szCs w:val="18"/>
          <w:i w:val="1"/>
          <w:iCs w:val="1"/>
          <w:color w:val="auto"/>
        </w:rPr>
        <w:t>The Fair Value Option for Financial Assets and Financial Liabilities—including an amendment to FASB</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No. 115</w:t>
      </w:r>
      <w:r>
        <w:rPr>
          <w:rFonts w:ascii="Arial" w:cs="Arial" w:eastAsia="Arial" w:hAnsi="Arial"/>
          <w:sz w:val="18"/>
          <w:szCs w:val="18"/>
          <w:color w:val="auto"/>
        </w:rPr>
        <w:t>, (“FAS 159”), which permits entities to choose to measure many financial instruments and certain other items at fair value that are not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be measured at fair value. SFAS 159 is effective January 1, 2008. The Company has evaluated the impact of FAS 159 and believes it will not significantly impact the consolidated financial statements.</w:t>
      </w:r>
    </w:p>
    <w:p>
      <w:pPr>
        <w:spacing w:after="0" w:line="14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 xml:space="preserve">In December 2007, the FASB issued FAS No. 141 (revised 2007), </w:t>
      </w:r>
      <w:r>
        <w:rPr>
          <w:rFonts w:ascii="Arial" w:cs="Arial" w:eastAsia="Arial" w:hAnsi="Arial"/>
          <w:sz w:val="16"/>
          <w:szCs w:val="16"/>
          <w:i w:val="1"/>
          <w:iCs w:val="1"/>
          <w:color w:val="auto"/>
        </w:rPr>
        <w:t>Business Combinations</w:t>
      </w:r>
      <w:r>
        <w:rPr>
          <w:rFonts w:ascii="Arial" w:cs="Arial" w:eastAsia="Arial" w:hAnsi="Arial"/>
          <w:sz w:val="16"/>
          <w:szCs w:val="16"/>
          <w:color w:val="auto"/>
        </w:rPr>
        <w:t>, (“FAS 141R”), which changes how business combinations are accounted for and will impact financial statements both on the acquisition date and in subsequent periods. FAS 141R is effective January 1, 2009, and will be applied prospectively. The impact of adopting FAS 141R will depend on the nature and terms of future acquisitions.</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In December 2007, the FASB issued FAS No. 160, </w:t>
      </w:r>
      <w:r>
        <w:rPr>
          <w:rFonts w:ascii="Arial" w:cs="Arial" w:eastAsia="Arial" w:hAnsi="Arial"/>
          <w:sz w:val="18"/>
          <w:szCs w:val="18"/>
          <w:i w:val="1"/>
          <w:iCs w:val="1"/>
          <w:color w:val="auto"/>
        </w:rPr>
        <w:t>Noncontrolling Interests in Consolidated Financial Statements</w:t>
      </w:r>
      <w:r>
        <w:rPr>
          <w:rFonts w:ascii="Arial" w:cs="Arial" w:eastAsia="Arial" w:hAnsi="Arial"/>
          <w:sz w:val="18"/>
          <w:szCs w:val="18"/>
          <w:color w:val="auto"/>
        </w:rPr>
        <w:t xml:space="preserve"> (“FAS 160”), which changes the accounting and reporting standards for the noncontrolling interests in a subsidiary in consolidated financial statements. FAS 160 recharacterizes minority interests as noncontrolling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interests and requires noncontrolling interests to be classified as a component of shareholders’ equity. FAS 160 is effective January 1, 2009 and requires retroactive adoption of the presentation and disclosure requirements for existing minority interests. The Company is currently evaluating the impact of FAS 160 on its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Property and Equipment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consisted of the following at the dates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February 2, 2008</w:t>
            </w:r>
          </w:p>
        </w:tc>
        <w:tc>
          <w:tcPr>
            <w:tcW w:w="94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89"/>
              </w:rPr>
              <w:t>(in thousands)</w:t>
            </w: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February 3, 2007</w:t>
            </w:r>
          </w:p>
        </w:tc>
        <w:tc>
          <w:tcPr>
            <w:tcW w:w="0" w:type="dxa"/>
            <w:vAlign w:val="bottom"/>
          </w:tcPr>
          <w:p>
            <w:pPr>
              <w:spacing w:after="0"/>
              <w:rPr>
                <w:sz w:val="1"/>
                <w:szCs w:val="1"/>
                <w:color w:val="auto"/>
              </w:rPr>
            </w:pPr>
          </w:p>
        </w:tc>
      </w:tr>
      <w:tr>
        <w:trPr>
          <w:trHeight w:val="142"/>
        </w:trPr>
        <w:tc>
          <w:tcPr>
            <w:tcW w:w="8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37,659</w:t>
            </w: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36,919</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Equipment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12,121</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5,698</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24,682</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20,611</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Hardware and software</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32,445</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29,376</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9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r>
        <w:trPr>
          <w:trHeight w:val="221"/>
        </w:trPr>
        <w:tc>
          <w:tcPr>
            <w:tcW w:w="8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108,911</w:t>
            </w: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95,108</w:t>
            </w:r>
          </w:p>
        </w:tc>
        <w:tc>
          <w:tcPr>
            <w:tcW w:w="0" w:type="dxa"/>
            <w:vAlign w:val="bottom"/>
          </w:tcPr>
          <w:p>
            <w:pPr>
              <w:spacing w:after="0"/>
              <w:rPr>
                <w:sz w:val="1"/>
                <w:szCs w:val="1"/>
                <w:color w:val="auto"/>
              </w:rPr>
            </w:pPr>
          </w:p>
        </w:tc>
      </w:tr>
      <w:tr>
        <w:trPr>
          <w:trHeight w:val="218"/>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46,755</w:t>
            </w:r>
          </w:p>
        </w:tc>
        <w:tc>
          <w:tcPr>
            <w:tcW w:w="9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36,045</w:t>
            </w:r>
          </w:p>
        </w:tc>
        <w:tc>
          <w:tcPr>
            <w:tcW w:w="0" w:type="dxa"/>
            <w:vAlign w:val="bottom"/>
          </w:tcPr>
          <w:p>
            <w:pPr>
              <w:spacing w:after="0"/>
              <w:rPr>
                <w:sz w:val="1"/>
                <w:szCs w:val="1"/>
                <w:color w:val="auto"/>
              </w:rPr>
            </w:pPr>
          </w:p>
        </w:tc>
      </w:tr>
      <w:tr>
        <w:trPr>
          <w:trHeight w:val="222"/>
        </w:trPr>
        <w:tc>
          <w:tcPr>
            <w:tcW w:w="8480" w:type="dxa"/>
            <w:vAlign w:val="bottom"/>
          </w:tcPr>
          <w:p>
            <w:pPr>
              <w:spacing w:after="0"/>
              <w:rPr>
                <w:sz w:val="20"/>
                <w:szCs w:val="20"/>
                <w:color w:val="auto"/>
              </w:rPr>
            </w:pPr>
            <w:r>
              <w:rPr>
                <w:rFonts w:ascii="Arial" w:cs="Arial" w:eastAsia="Arial" w:hAnsi="Arial"/>
                <w:sz w:val="18"/>
                <w:szCs w:val="18"/>
                <w:color w:val="auto"/>
              </w:rPr>
              <w:t>Total property and equipment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62,156</w:t>
            </w: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59,063</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Depreciation expense related to continuing operations for fiscal 2007, 2006 and 2005 was $16.9 million, $14.4 million and $11.7 million, respectively. Depreciation expense for fiscal 2007 excludes depreciation expense recorded in discontinued operations of $0.2 million. The depreciation expense recorded in discontinued operations for fiscal 2006 was de minimis.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Debt Obligations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Agreement with Bank of America, N.A.</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 December 20, 2007, the Company amended its credit facility (the “Credit Facility”) with Bank of America, N.A. by executing the Third Amendment to Fifth Amended and Restated Loan and Security Agreement (the “Third Amendment”). The Third Amendment extends the Company’s current Last Out Advance Percentage, as defined in the Third Amendment, of 10% through, but excluding, December 28, 2008. On and after December 28, 2008, the Last Out Advance Percentage will be 5 %. The Third Amendment also permits the formation of new wholly-owned subsidiaries, which will directly or indirectly own 100% membership in CMRG Apparel, LLC.</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Credit Facility provides for a total commitment of $110 million comprised of (i) a $100 million revolving credit facility which includes a sublimit of $20 million for commercial and standby letter of credits and a sublimit of up to $15 million for SwingLine Loans and (ii) a $10 million “Last Out” revolving credit facility, which will be subordinate to the $100 million revolving credit facility. If at any time our Excess Availability Ratio, as defined in the Credit Facility, is less than 50%, the Company’s borrowings must first be made from the “Last Out” revolving credit facility before borrowing from the $100 million revolving credit facility. Borrowings under the Credit Facility bear interest at variable rates based on Bank of America’s prime rate or the London Interbank Offering Rate (“LIBOR”) and vary depending on our levels of excess availability. The maturity date of the Credit Facility is October 29, 2011.</w:t>
      </w:r>
    </w:p>
    <w:p>
      <w:pPr>
        <w:spacing w:after="0" w:line="12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Company’s obligations under the Credit Facility are secured by a lien on all of its assets. The Credit Facility includes certain covenants and events of default customary for credit facilities of this nature, including change of control provisions and limitations on payment of dividends by the Company. The Company was in compliance with all debt covenants under the Credit Facility at February 2, 2008.</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At February 2, 2008, the Company had borrowings outstanding under the Credit Facility of $41.0 million and outstanding standby letters of credit of $2.7 million and documentary letters of credit of $1.9 million. Average borrowings outstanding under this facility during fiscal 2007 were approximately $50.6 million, resulting in an average unused excess availability of approximately $44.6 million. The Company’s ability to borrow under the Credit Facility is determined using an availability formula based on eligible assets, with increased advance rates based on seasonality.</w:t>
      </w:r>
    </w:p>
    <w:p>
      <w:pPr>
        <w:spacing w:after="0" w:line="113"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fair value of amounts outstanding under the Credit Facility approximates the carrying value at February 2, 2008 and February 3, 2007. At the Company’s option, any portion of the outstanding borrowings can be converted to LIBOR-based contracts; the remainder bears interest based on prime. At February 2, 2008, the prime-based borrowings interest rate was 6.00%. The Company had outstanding LIBOR contracts for approximately $33.0 million of the $41.0 million outstanding with interest rates ranging from 4.30% - 6.01%.</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Long-Term Debt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Components of long-term debt are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February 2, 2008</w:t>
            </w: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February 3, 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Secured Notes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17,324</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5% senior subordinated notes due 2007</w:t>
            </w:r>
          </w:p>
        </w:tc>
        <w:tc>
          <w:tcPr>
            <w:tcW w:w="30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w w:val="86"/>
              </w:rPr>
              <w:t>688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17,324</w:t>
            </w: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6"/>
              </w:rPr>
              <w:t>688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8"/>
                <w:szCs w:val="18"/>
                <w:color w:val="auto"/>
              </w:rPr>
              <w:t>Less: current portion of long-term debt</w:t>
            </w: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0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(4,874)</w:t>
            </w: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gridSpan w:val="2"/>
          </w:tcPr>
          <w:p>
            <w:pPr>
              <w:ind w:left="300"/>
              <w:spacing w:after="0"/>
              <w:rPr>
                <w:sz w:val="20"/>
                <w:szCs w:val="20"/>
                <w:color w:val="auto"/>
              </w:rPr>
            </w:pPr>
            <w:r>
              <w:rPr>
                <w:rFonts w:ascii="Arial" w:cs="Arial" w:eastAsia="Arial" w:hAnsi="Arial"/>
                <w:sz w:val="18"/>
                <w:szCs w:val="18"/>
                <w:color w:val="auto"/>
                <w:w w:val="85"/>
              </w:rPr>
              <w:t>(688)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12,450</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Master Loan and Security Agreement with Banc of America Leasing &amp; Capital, LLC</w:t>
      </w:r>
    </w:p>
    <w:p>
      <w:pPr>
        <w:spacing w:after="0" w:line="90"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On July 20, 2007, the Company entered into a Master Loan and Security Agreement (the “Master Agreement”) with Banc of America Leasing &amp; Capital, LLC (“BALC”) for equipment financing. In conjunction with the Master Agreement, the Company entered into an Equipment Security Note (the “First Secured Note”), whereby it borrowed an aggregate of $17.4 million from BALC. The First Secured Note is due July 20, 2011.</w:t>
      </w:r>
    </w:p>
    <w:p>
      <w:pPr>
        <w:spacing w:after="0" w:line="10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On January 16, 2008, the Company entered into a second Equipment Security Note (the “Second Secured Note”) pursuant to the same terms and provisions of the Master Agreement, whereby it borrowed an additional $2.1 million. The Second Secured Note is due January 16, 2012.</w:t>
      </w:r>
    </w:p>
    <w:p>
      <w:pPr>
        <w:spacing w:after="0" w:line="8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Both secured notes accrue interest at a per annum rate of 1.75% plus the rate of interest equal to the 30-day published LIBOR rate. Principal and interest, in arrears, are payable monthly, commencing one month after issuance of such note. The Company is subject to a prepayment penalty on both secured notes equal to 1% of the prepaid principal until the first anniversary of the respective secured note, 0.5% of the prepaid principal from the first day after the first anniversary through the end of the second anniversary and no prepayment penalty thereafter. At February 2, 2008, the outstanding balance of the secured notes was $17.3 million.</w:t>
      </w:r>
    </w:p>
    <w:p>
      <w:pPr>
        <w:spacing w:after="0" w:line="14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Both notes are secured by a security interest in all of the Company’s rights, title and interest in and to certain equipment. The Master Agreement includes certain debt covenants similar to, and no more restrictive than, those under the Company’s Credit Facility with Bank of America, N.A. The Company was in compliance with all debt covenants under the Master Agreement at February 2, 2008.</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5% senior subordinated notes due 2007</w:t>
      </w:r>
    </w:p>
    <w:p>
      <w:pPr>
        <w:spacing w:after="0" w:line="9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During the first quarter of fiscal 2007, the Company made its last principal payment in the amount of $687,500 on its 5% senior subordinated notes due 2007 outstanding. These notes were issued in May 2002 through a private placement with the Kellwood Company, with whom the Company also has a product sourcing agreement.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Long-term debt maturities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Annual maturities of long-term debt for the next five fiscal years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572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Fiscal 2008</w:t>
            </w:r>
          </w:p>
        </w:tc>
        <w:tc>
          <w:tcPr>
            <w:tcW w:w="516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4,874</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Fiscal 2009</w:t>
            </w:r>
          </w:p>
        </w:tc>
        <w:tc>
          <w:tcPr>
            <w:tcW w:w="5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4,874</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Fiscal 2010</w:t>
            </w:r>
          </w:p>
        </w:tc>
        <w:tc>
          <w:tcPr>
            <w:tcW w:w="5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4,874</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Fiscal 2011</w:t>
            </w:r>
          </w:p>
        </w:tc>
        <w:tc>
          <w:tcPr>
            <w:tcW w:w="5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2,702</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Fiscal 2012</w:t>
            </w:r>
          </w:p>
        </w:tc>
        <w:tc>
          <w:tcPr>
            <w:tcW w:w="5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Company paid interest and fees on all the above described debt obligations totaling $4.8 million, $6.1 million and $9.6 million for fiscal 2007, fiscal 2006 and 2005,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Income Taxes</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 xml:space="preserve">The Company accounts for income taxes in accordance with SFAS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Under SFAS No. 109, deferred tax assets and liabilities are recognized based on temporary differences between the financial statement and tax basis of assets and liabilities using enacted tax rates in effect in the years in which the differences are expected to reverse. SFAS No. 109 requires current recognition of net deferred tax assets to the extent that it is more likely than not that such net assets will be realized. To the extent that the Company believes that its net deferred tax assets will not be realized, a valuation allowance must be recorded against those assets.</w:t>
      </w:r>
    </w:p>
    <w:p>
      <w:pPr>
        <w:spacing w:after="0" w:line="143" w:lineRule="exact"/>
        <w:rPr>
          <w:sz w:val="20"/>
          <w:szCs w:val="20"/>
          <w:color w:val="auto"/>
        </w:rPr>
      </w:pPr>
    </w:p>
    <w:p>
      <w:pPr>
        <w:ind w:right="360" w:firstLine="456"/>
        <w:spacing w:after="0" w:line="294" w:lineRule="auto"/>
        <w:rPr>
          <w:sz w:val="20"/>
          <w:szCs w:val="20"/>
          <w:color w:val="auto"/>
        </w:rPr>
      </w:pPr>
      <w:r>
        <w:rPr>
          <w:rFonts w:ascii="Arial" w:cs="Arial" w:eastAsia="Arial" w:hAnsi="Arial"/>
          <w:sz w:val="16"/>
          <w:szCs w:val="16"/>
          <w:color w:val="auto"/>
        </w:rPr>
        <w:t>As of February 2, 2008, the Company has net operating loss carryforwards of $56.5 million for federal income tax purposes and $45.5 million for state income tax purposes that are available to offset future taxable income, subject to certain annual usage limitations, through fiscal year 2025. As a result of the Casual Male acquisition and the issuance of additional equity in fiscal 2002, the utilization of approximately $19.9 million of the $56.5 million in federal net operating losses is subject to an annual limitation of approximately $4.8 million per year. Additionally, the Company has alternative minimum tax credit carryforwards of $2.3 million, which are available to further reduce income taxes over an indefinite period.</w:t>
      </w:r>
    </w:p>
    <w:p>
      <w:pPr>
        <w:spacing w:after="0" w:line="1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Included in the net operating loss carryforwards for both federal and state income tax is approximately $4.2 million relating to disqualifying dispositions of incentive stock options, the tax benefit from which, if realized, will be credited to additional paid in capital.</w:t>
      </w:r>
    </w:p>
    <w:p>
      <w:pPr>
        <w:spacing w:after="0" w:line="132" w:lineRule="exact"/>
        <w:rPr>
          <w:sz w:val="20"/>
          <w:szCs w:val="20"/>
          <w:color w:val="auto"/>
        </w:rPr>
      </w:pPr>
    </w:p>
    <w:p>
      <w:pPr>
        <w:ind w:right="140" w:firstLine="456"/>
        <w:spacing w:after="0" w:line="294" w:lineRule="auto"/>
        <w:rPr>
          <w:sz w:val="20"/>
          <w:szCs w:val="20"/>
          <w:color w:val="auto"/>
        </w:rPr>
      </w:pPr>
      <w:r>
        <w:rPr>
          <w:rFonts w:ascii="Arial" w:cs="Arial" w:eastAsia="Arial" w:hAnsi="Arial"/>
          <w:sz w:val="15"/>
          <w:szCs w:val="15"/>
          <w:color w:val="auto"/>
        </w:rPr>
        <w:t>Realization of the Company’s deferred tax assets, which relate principally to federal net operating loss carryforwards, which expire from 2019 through 2025, is dependent on generating sufficient taxable income in the near term. In fiscal years 2001 and 2002, the Company established a full valuation allowance against its deferred tax assets due to the uncertainty at that time of generating future taxable income, based on its historical losses in those years. Since that time,</w:t>
      </w:r>
    </w:p>
    <w:p>
      <w:pPr>
        <w:spacing w:after="0" w:line="1"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color w:val="auto"/>
        </w:rPr>
        <w:t>the Company has transformed itself, through acquisitions and divestures, from an operator of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to the market leader of men’s big &amp; tall apparel. Since the Company acquired Casual Male in fiscal 2002, its big &amp; tall business has been profitable from an operating perspective. Further, with the acquisition of Rochester Big &amp; Tall Clothing in October 2004, which was immediately accretive to the Company’s business, the Company has gained another market tier of the industry now attracting the higher end target customers.</w:t>
      </w:r>
    </w:p>
    <w:p>
      <w:pPr>
        <w:spacing w:after="0" w:line="18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During the fourth quarter of fiscal 2005, the Company reversed $3.1 million of its deferred tax valuation allowance and recorded a benefit to income tax expense.</w:t>
      </w:r>
    </w:p>
    <w:p>
      <w:pPr>
        <w:spacing w:after="0" w:line="132"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Throughout fiscal 2006, the Company reviewed the realizability of the remaining deferred tax assets and in the fourth quarter determined that it was more likely than not that the Company would be able to realize substantially all of its deferred tax assets. In reaching this determination, the Company considered the positive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evidence of thirteen consecutive quarters of positive comparable store sales, its continued improvement in pre-tax income over the past five years, its expectations regarding the generation of future taxable income, and its current market position and expected growth of the big &amp; tall industry.</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Accordingly, in fiscal 2006, the Company reversed $31.0 million of the deferred tax valuation allowance and recorded an income tax benefit of $30.5 million. The remaining $0.5 million of the reversal was credited to additional paid-in capital as it related to previous benefits realized in connection with stock options. The income tax benefit of $30.5 million was partially offset by $8.9 million of income tax provisions of current year earnings. Fiscal 2005 included a net benefit of $2.7 million, which consisted of a benefit of $3.1 million for the reversal of a portion of the valuation allowance offset by $342,000 of taxes related to foreign taxes and income tax audit adjustments. At February 2, 2008, the Company has a valuation allowance of $1.3 million for losses associated with its Canada operations and certain state net operating losses, the benefit of which may not be recognized due to short carryforward periods.</w:t>
      </w:r>
    </w:p>
    <w:p>
      <w:pPr>
        <w:spacing w:after="0" w:line="12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Company adopted FASB Interpretation 48, “Accounting for Uncertainty in Income Taxes” (“FIN 48”), as of February 4, 2007. 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 The charge for taxation is based on the results for the year as adjusted for items that are non-assessable or disallowed. The charge is calculated using tax rates that have been enacted or substantively enacted by the balance sheet date. Deferred taxes are accounted for using the balance sheet liability method with respect to temporary differences arising from differences between the carrying amount of assets and liabilities in the financial statements and the corresponding tax basis used in the computation of assessable tax profit. In principle, deferred tax liabilities are recognized for all taxable temporary differences, and deferred tax assets are recognized to the extent that it is probable that taxable profit will be available against which deductible temporary differences can be utilized. Deferred taxes are calculated at the tax rates that are expected to apply to the period when the asset is realized or the liability is settled. Deferred taxes are charged or credited in the income statement, except when related items are credited or charged directly to equity, in which case the deferred taxes are also dealt with in equity.</w:t>
      </w:r>
    </w:p>
    <w:p>
      <w:pPr>
        <w:spacing w:after="0" w:line="12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Pursuant to FIN 48, the Company will recognize the benefit from a tax position only if it is more likely than not that the position would be sustained upon audit based solely on the technical merits of the tax position. At February 2, 2008 and February 3, 2007, the Company had no material unrecognized tax benefits based on the provisions of FIN 48.</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is subject to U.S. federal income tax as well as income tax of multiple state and foreign jurisdictions. The Company has concluded all U.S.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federal income tax matters for years through fiscal 1997, with remaining fiscal years subject to income tax examination by federal tax authorities.</w:t>
      </w:r>
    </w:p>
    <w:p>
      <w:pPr>
        <w:spacing w:after="0" w:line="18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Company’s policy is to recognize accrued interest and penalties related to unrecognized tax benefits in its income tax provision. The Company has not accrued or paid interest or penalties which were material to its results of operations for fiscal 2007.</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the net deferred tax assets as of February 2, 2008 and February 3, 2007 are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February 2, 2008</w:t>
            </w:r>
          </w:p>
        </w:tc>
        <w:tc>
          <w:tcPr>
            <w:tcW w:w="46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w w:val="94"/>
              </w:rPr>
              <w:t>February 3, 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assets—current:</w:t>
            </w: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420"/>
              <w:spacing w:after="0"/>
              <w:rPr>
                <w:sz w:val="20"/>
                <w:szCs w:val="20"/>
                <w:color w:val="auto"/>
              </w:rPr>
            </w:pPr>
            <w:r>
              <w:rPr>
                <w:rFonts w:ascii="Arial" w:cs="Arial" w:eastAsia="Arial" w:hAnsi="Arial"/>
                <w:sz w:val="18"/>
                <w:szCs w:val="18"/>
                <w:color w:val="auto"/>
              </w:rPr>
              <w:t>Inventory reserves</w:t>
            </w: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gridSpan w:val="2"/>
          </w:tcPr>
          <w:p>
            <w:pPr>
              <w:ind w:left="48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5,420</w:t>
            </w:r>
          </w:p>
        </w:tc>
        <w:tc>
          <w:tcPr>
            <w:tcW w:w="520" w:type="dxa"/>
            <w:vAlign w:val="bottom"/>
          </w:tcPr>
          <w:p>
            <w:pPr>
              <w:spacing w:after="0"/>
              <w:rPr>
                <w:sz w:val="18"/>
                <w:szCs w:val="18"/>
                <w:color w:val="auto"/>
              </w:rPr>
            </w:pPr>
          </w:p>
        </w:tc>
        <w:tc>
          <w:tcPr>
            <w:tcW w:w="7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4,460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sale-leaseback</w:t>
            </w: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2,886</w:t>
            </w: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assets—current</w:t>
            </w: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8,885</w:t>
            </w:r>
          </w:p>
        </w:tc>
        <w:tc>
          <w:tcPr>
            <w:tcW w:w="5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40" w:type="dxa"/>
            <w:vAlign w:val="bottom"/>
            <w:gridSpan w:val="2"/>
          </w:tcPr>
          <w:p>
            <w:pPr>
              <w:spacing w:after="0"/>
              <w:rPr>
                <w:sz w:val="20"/>
                <w:szCs w:val="20"/>
                <w:color w:val="auto"/>
              </w:rPr>
            </w:pPr>
            <w:r>
              <w:rPr>
                <w:rFonts w:ascii="Arial" w:cs="Arial" w:eastAsia="Arial" w:hAnsi="Arial"/>
                <w:sz w:val="18"/>
                <w:szCs w:val="18"/>
                <w:color w:val="auto"/>
              </w:rPr>
              <w:t>Deferred tax assets—non current:</w:t>
            </w: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sale-leaseback</w:t>
            </w: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9,841</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420"/>
              <w:spacing w:after="0"/>
              <w:rPr>
                <w:sz w:val="20"/>
                <w:szCs w:val="20"/>
                <w:color w:val="auto"/>
              </w:rPr>
            </w:pPr>
            <w:r>
              <w:rPr>
                <w:rFonts w:ascii="Arial" w:cs="Arial" w:eastAsia="Arial" w:hAnsi="Arial"/>
                <w:sz w:val="18"/>
                <w:szCs w:val="18"/>
                <w:color w:val="auto"/>
              </w:rPr>
              <w:t>Gain on sale of LPI</w:t>
            </w: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357</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Rabbi trust</w:t>
            </w: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420"/>
              <w:spacing w:after="0"/>
              <w:rPr>
                <w:sz w:val="20"/>
                <w:szCs w:val="20"/>
                <w:color w:val="auto"/>
              </w:rPr>
            </w:pPr>
            <w:r>
              <w:rPr>
                <w:rFonts w:ascii="Arial" w:cs="Arial" w:eastAsia="Arial" w:hAnsi="Arial"/>
                <w:sz w:val="18"/>
                <w:szCs w:val="18"/>
                <w:color w:val="auto"/>
              </w:rPr>
              <w:t>Lease accruals</w:t>
            </w: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2,145</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operating loss carryforward</w:t>
            </w: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21,123</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420"/>
              <w:spacing w:after="0"/>
              <w:rPr>
                <w:sz w:val="20"/>
                <w:szCs w:val="20"/>
                <w:color w:val="auto"/>
              </w:rPr>
            </w:pPr>
            <w:r>
              <w:rPr>
                <w:rFonts w:ascii="Arial" w:cs="Arial" w:eastAsia="Arial" w:hAnsi="Arial"/>
                <w:sz w:val="18"/>
                <w:szCs w:val="18"/>
                <w:color w:val="auto"/>
              </w:rPr>
              <w:t>Foreign tax credit carryforward</w:t>
            </w: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303</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Amounts included in accumulated other comprehensive loss</w:t>
            </w: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Pr>
          <w:p>
            <w:pPr>
              <w:ind w:left="420"/>
              <w:spacing w:after="0"/>
              <w:rPr>
                <w:sz w:val="20"/>
                <w:szCs w:val="20"/>
                <w:color w:val="auto"/>
              </w:rPr>
            </w:pPr>
            <w:r>
              <w:rPr>
                <w:rFonts w:ascii="Arial" w:cs="Arial" w:eastAsia="Arial" w:hAnsi="Arial"/>
                <w:sz w:val="18"/>
                <w:szCs w:val="18"/>
                <w:color w:val="auto"/>
              </w:rPr>
              <w:t>Alternative minimum tax credit Carryforward</w:t>
            </w: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2,269</w:t>
            </w: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Subtotal</w:t>
            </w: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37,397</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Deferred tax liabilities—non current</w:t>
            </w: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of tax over book depreciation/amortization</w:t>
            </w: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(1,279)</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420"/>
              <w:spacing w:after="0"/>
              <w:rPr>
                <w:sz w:val="20"/>
                <w:szCs w:val="20"/>
                <w:color w:val="auto"/>
              </w:rPr>
            </w:pPr>
            <w:r>
              <w:rPr>
                <w:rFonts w:ascii="Arial" w:cs="Arial" w:eastAsia="Arial" w:hAnsi="Arial"/>
                <w:sz w:val="18"/>
                <w:szCs w:val="18"/>
                <w:color w:val="auto"/>
              </w:rPr>
              <w:t>Tax-deductible goodwill</w:t>
            </w: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8"/>
                <w:szCs w:val="18"/>
                <w:color w:val="auto"/>
              </w:rPr>
              <w:t>(15,119)</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(12,924)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Subtotal</w:t>
            </w: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(16,398)</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(14,895)</w:t>
            </w:r>
          </w:p>
        </w:tc>
        <w:tc>
          <w:tcPr>
            <w:tcW w:w="0" w:type="dxa"/>
            <w:vAlign w:val="bottom"/>
          </w:tcPr>
          <w:p>
            <w:pPr>
              <w:spacing w:after="0"/>
              <w:rPr>
                <w:sz w:val="1"/>
                <w:szCs w:val="1"/>
                <w:color w:val="auto"/>
              </w:rPr>
            </w:pPr>
          </w:p>
        </w:tc>
      </w:t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rPr>
              <w:t>Net deferred tax asset—non current</w:t>
            </w:r>
          </w:p>
        </w:tc>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20,999</w:t>
            </w: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22,672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assets</w:t>
            </w: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29,884</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Valuation allowance</w:t>
            </w: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8"/>
                <w:szCs w:val="18"/>
                <w:color w:val="auto"/>
              </w:rPr>
              <w:t>(1,267)</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28,617</w:t>
            </w:r>
          </w:p>
        </w:tc>
        <w:tc>
          <w:tcPr>
            <w:tcW w:w="5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gridSpan w:val="5"/>
            <w:vMerge w:val="restart"/>
          </w:tcPr>
          <w:p>
            <w:pPr>
              <w:ind w:left="440"/>
              <w:spacing w:after="0"/>
              <w:rPr>
                <w:sz w:val="20"/>
                <w:szCs w:val="20"/>
                <w:color w:val="auto"/>
              </w:rPr>
            </w:pPr>
            <w:r>
              <w:rPr>
                <w:rFonts w:ascii="Arial" w:cs="Arial" w:eastAsia="Arial" w:hAnsi="Arial"/>
                <w:sz w:val="18"/>
                <w:szCs w:val="18"/>
                <w:color w:val="auto"/>
              </w:rPr>
              <w:t>The provision (benefit) for income taxes from continuing operations consists of the following:</w:t>
            </w: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7880" w:type="dxa"/>
            <w:vAlign w:val="bottom"/>
            <w:gridSpan w:val="5"/>
            <w:vMerge w:val="continue"/>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rPr>
              <w:t>Fiscal Years Ended</w:t>
            </w:r>
          </w:p>
        </w:tc>
        <w:tc>
          <w:tcPr>
            <w:tcW w:w="4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5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February 2, 2008</w:t>
            </w:r>
          </w:p>
        </w:tc>
        <w:tc>
          <w:tcPr>
            <w:tcW w:w="480" w:type="dxa"/>
            <w:vAlign w:val="bottom"/>
          </w:tcPr>
          <w:p>
            <w:pPr>
              <w:spacing w:after="0"/>
              <w:rPr>
                <w:sz w:val="12"/>
                <w:szCs w:val="12"/>
                <w:color w:val="auto"/>
              </w:rPr>
            </w:pPr>
          </w:p>
        </w:tc>
        <w:tc>
          <w:tcPr>
            <w:tcW w:w="15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February 3, 2007</w:t>
            </w:r>
          </w:p>
        </w:tc>
        <w:tc>
          <w:tcPr>
            <w:tcW w:w="460" w:type="dxa"/>
            <w:vAlign w:val="bottom"/>
          </w:tcPr>
          <w:p>
            <w:pPr>
              <w:spacing w:after="0"/>
              <w:rPr>
                <w:sz w:val="12"/>
                <w:szCs w:val="12"/>
                <w:color w:val="auto"/>
              </w:rPr>
            </w:pPr>
          </w:p>
        </w:tc>
        <w:tc>
          <w:tcPr>
            <w:tcW w:w="10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January 28, 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420"/>
              <w:spacing w:after="0"/>
              <w:rPr>
                <w:sz w:val="20"/>
                <w:szCs w:val="20"/>
                <w:color w:val="auto"/>
              </w:rPr>
            </w:pPr>
            <w:r>
              <w:rPr>
                <w:rFonts w:ascii="Arial" w:cs="Arial" w:eastAsia="Arial" w:hAnsi="Arial"/>
                <w:sz w:val="18"/>
                <w:szCs w:val="18"/>
                <w:color w:val="auto"/>
              </w:rPr>
              <w:t>Federal and state</w:t>
            </w:r>
          </w:p>
        </w:tc>
        <w:tc>
          <w:tcPr>
            <w:tcW w:w="162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806</w:t>
            </w:r>
          </w:p>
        </w:tc>
        <w:tc>
          <w:tcPr>
            <w:tcW w:w="560" w:type="dxa"/>
            <w:vAlign w:val="bottom"/>
            <w:gridSpan w:val="2"/>
          </w:tcPr>
          <w:p>
            <w:pPr>
              <w:ind w:left="48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2,303</w:t>
            </w:r>
          </w:p>
        </w:tc>
        <w:tc>
          <w:tcPr>
            <w:tcW w:w="520" w:type="dxa"/>
            <w:vAlign w:val="bottom"/>
          </w:tcPr>
          <w:p>
            <w:pPr>
              <w:spacing w:after="0"/>
              <w:rPr>
                <w:sz w:val="18"/>
                <w:szCs w:val="18"/>
                <w:color w:val="auto"/>
              </w:rPr>
            </w:pPr>
          </w:p>
        </w:tc>
        <w:tc>
          <w:tcPr>
            <w:tcW w:w="7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111</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917</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2,411</w:t>
            </w: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26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420"/>
              <w:spacing w:after="0"/>
              <w:rPr>
                <w:sz w:val="20"/>
                <w:szCs w:val="20"/>
                <w:color w:val="auto"/>
              </w:rPr>
            </w:pPr>
            <w:r>
              <w:rPr>
                <w:rFonts w:ascii="Arial" w:cs="Arial" w:eastAsia="Arial" w:hAnsi="Arial"/>
                <w:sz w:val="18"/>
                <w:szCs w:val="18"/>
                <w:color w:val="auto"/>
              </w:rPr>
              <w:t>Federal and state</w:t>
            </w: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2,078</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8"/>
                <w:szCs w:val="18"/>
                <w:color w:val="auto"/>
              </w:rPr>
              <w:t>(23,511)</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(223)</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1,855</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8"/>
                <w:szCs w:val="18"/>
                <w:color w:val="auto"/>
              </w:rPr>
              <w:t>(23,511)</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(3,071)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w:t>
            </w: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2,772</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(21,100)</w:t>
            </w: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260" w:type="dxa"/>
            <w:vAlign w:val="bottom"/>
            <w:vMerge w:val="restart"/>
          </w:tcPr>
          <w:p>
            <w:pPr>
              <w:jc w:val="right"/>
              <w:ind w:right="512"/>
              <w:spacing w:after="0"/>
              <w:rPr>
                <w:sz w:val="20"/>
                <w:szCs w:val="20"/>
                <w:color w:val="auto"/>
              </w:rPr>
            </w:pPr>
            <w:r>
              <w:rPr>
                <w:rFonts w:ascii="Arial" w:cs="Arial" w:eastAsia="Arial" w:hAnsi="Arial"/>
                <w:sz w:val="18"/>
                <w:szCs w:val="18"/>
                <w:color w:val="auto"/>
              </w:rPr>
              <w:t>59</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reconciliation between the statutory and effective income tax rates in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5"/>
              </w:rPr>
              <w:t>Fiscal Years Ended</w:t>
            </w:r>
          </w:p>
        </w:tc>
        <w:tc>
          <w:tcPr>
            <w:tcW w:w="4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00" w:type="dxa"/>
            <w:vAlign w:val="bottom"/>
          </w:tcPr>
          <w:p>
            <w:pPr>
              <w:spacing w:after="0"/>
              <w:rPr>
                <w:sz w:val="12"/>
                <w:szCs w:val="12"/>
                <w:color w:val="auto"/>
              </w:rPr>
            </w:pPr>
          </w:p>
        </w:tc>
        <w:tc>
          <w:tcPr>
            <w:tcW w:w="146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February 2, 2008</w:t>
            </w:r>
          </w:p>
        </w:tc>
        <w:tc>
          <w:tcPr>
            <w:tcW w:w="460" w:type="dxa"/>
            <w:vAlign w:val="bottom"/>
          </w:tcPr>
          <w:p>
            <w:pPr>
              <w:spacing w:after="0"/>
              <w:rPr>
                <w:sz w:val="12"/>
                <w:szCs w:val="12"/>
                <w:color w:val="auto"/>
              </w:rPr>
            </w:pPr>
          </w:p>
        </w:tc>
        <w:tc>
          <w:tcPr>
            <w:tcW w:w="15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February 3, 2007</w:t>
            </w:r>
          </w:p>
        </w:tc>
        <w:tc>
          <w:tcPr>
            <w:tcW w:w="440" w:type="dxa"/>
            <w:vAlign w:val="bottom"/>
          </w:tcPr>
          <w:p>
            <w:pPr>
              <w:spacing w:after="0"/>
              <w:rPr>
                <w:sz w:val="12"/>
                <w:szCs w:val="12"/>
                <w:color w:val="auto"/>
              </w:rPr>
            </w:pPr>
          </w:p>
        </w:tc>
        <w:tc>
          <w:tcPr>
            <w:tcW w:w="10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January 28, 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Federal income tax at the statutory rate</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4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7,771</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State income and other taxes, net of federal tax benefit</w:t>
            </w:r>
          </w:p>
        </w:tc>
        <w:tc>
          <w:tcPr>
            <w:tcW w:w="3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1,205</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Permanent items</w:t>
            </w: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78</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340" w:type="dxa"/>
            <w:vAlign w:val="bottom"/>
          </w:tcPr>
          <w:p>
            <w:pPr>
              <w:spacing w:after="0"/>
              <w:rPr>
                <w:sz w:val="18"/>
                <w:szCs w:val="18"/>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(30,501)</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(6,108)</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347</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8"/>
                <w:szCs w:val="18"/>
                <w:color w:val="auto"/>
              </w:rPr>
              <w:t>Provision (benefit) for income tax from continuing operations</w:t>
            </w: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00" w:type="dxa"/>
            <w:vAlign w:val="bottom"/>
            <w:vMerge w:val="continue"/>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2,772</w:t>
            </w:r>
          </w:p>
        </w:tc>
        <w:tc>
          <w:tcPr>
            <w:tcW w:w="460" w:type="dxa"/>
            <w:vAlign w:val="bottom"/>
          </w:tcPr>
          <w:p>
            <w:pPr>
              <w:spacing w:after="0"/>
              <w:rPr>
                <w:sz w:val="19"/>
                <w:szCs w:val="19"/>
                <w:color w:val="auto"/>
              </w:rPr>
            </w:pP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(21,100)</w:t>
            </w:r>
          </w:p>
        </w:tc>
        <w:tc>
          <w:tcPr>
            <w:tcW w:w="7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(2,729)</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made tax payments of $2.1 million, $2.2 million and $471,000 for fiscal years 2007, 2006 and 2005, 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Commitments And Contingencies</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At February 2, 2008, the Company was obligated under operating leases covering store and office space, automobiles and certain equipment for future minimum rentals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Fiscal Year</w:t>
            </w:r>
          </w:p>
        </w:tc>
        <w:tc>
          <w:tcPr>
            <w:tcW w:w="16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9"/>
        </w:trPr>
        <w:tc>
          <w:tcPr>
            <w:tcW w:w="10600" w:type="dxa"/>
            <w:vAlign w:val="bottom"/>
            <w:gridSpan w:val="3"/>
            <w:vMerge w:val="continue"/>
          </w:tcPr>
          <w:p>
            <w:pPr>
              <w:spacing w:after="0"/>
              <w:rPr>
                <w:sz w:val="11"/>
                <w:szCs w:val="11"/>
                <w:color w:val="auto"/>
              </w:rPr>
            </w:pP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2"/>
              </w:rPr>
              <w:t>(in thousands)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2008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gridSpan w:val="2"/>
          </w:tcPr>
          <w:p>
            <w:pPr>
              <w:ind w:left="420"/>
              <w:spacing w:after="0"/>
              <w:rPr>
                <w:sz w:val="20"/>
                <w:szCs w:val="20"/>
                <w:color w:val="auto"/>
              </w:rPr>
            </w:pPr>
            <w:r>
              <w:rPr>
                <w:rFonts w:ascii="Arial" w:cs="Arial" w:eastAsia="Arial" w:hAnsi="Arial"/>
                <w:sz w:val="18"/>
                <w:szCs w:val="18"/>
                <w:color w:val="auto"/>
              </w:rPr>
              <w:t>2009</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42,741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2010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gridSpan w:val="2"/>
          </w:tcPr>
          <w:p>
            <w:pPr>
              <w:ind w:left="420"/>
              <w:spacing w:after="0"/>
              <w:rPr>
                <w:sz w:val="20"/>
                <w:szCs w:val="20"/>
                <w:color w:val="auto"/>
              </w:rPr>
            </w:pPr>
            <w:r>
              <w:rPr>
                <w:rFonts w:ascii="Arial" w:cs="Arial" w:eastAsia="Arial" w:hAnsi="Arial"/>
                <w:sz w:val="18"/>
                <w:szCs w:val="18"/>
                <w:color w:val="auto"/>
              </w:rPr>
              <w:t>2011</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30,929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2012</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580" w:type="dxa"/>
            <w:vAlign w:val="bottom"/>
            <w:gridSpan w:val="2"/>
          </w:tcPr>
          <w:p>
            <w:pPr>
              <w:ind w:left="4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116,130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9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299,504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addition to future minimum rental payments, many of the store leases include provisions for common area maintenance, mall charges, escalation clauses and additional rents based on a percentage of store sales above designated levels.</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Amounts charged to operations for all occupancy costs, automobile and leased equipment expense were $53.0 million, $50.8 million and $46.9 million for fiscal 2007, fiscal 2006 and fiscal 2005, respectively.</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During the first quarter of fiscal 2006, as part of a sale-leaseback transaction with a subsidiary of Spirit Finance Corp. (“Spirit”), the Company entered into a twenty-year lease agreement for its corporate headquarters and distribution center whereby the Company agreed to lease the property it sold to Spirit back for an annual rent of $4.6 million. The Company realized a gain of approximately $29.3 million on the sale of this property, which has been deferred and is being amortized over the initial 20 years of the related lease agreement. At the end of the initial term, the Company will have the opportunity to extend the Lease Agreement for six additional successive periods of five years. In addition, on February 1, 2011, the fifth anniversary of the Lease Agreement, and for every fifth anniversary thereafter, the base rent will be subject to a rent increase not to exceed the lesser of 7% or a percentage based on changes in the Consumer Price Index. Accordingly, the Company’s annual rent of $4.6 million will be offset each lease year by $1.5 million related to the amortization of this deferred gain. This lease commitment, excluding the impact of the gain, is included in the above table of expected future minimum rentals obligations.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Equity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Issuance of Warrants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activity of the Company’s outstanding warrants for fiscal 2007: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2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3"/>
              </w:rPr>
              <w:t>average</w:t>
            </w:r>
          </w:p>
        </w:tc>
        <w:tc>
          <w:tcPr>
            <w:tcW w:w="14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Weighted-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2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3"/>
              </w:rPr>
              <w:t>Exercise</w:t>
            </w:r>
          </w:p>
        </w:tc>
        <w:tc>
          <w:tcPr>
            <w:tcW w:w="14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average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Aggregate</w:t>
            </w: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56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w w:val="97"/>
              </w:rPr>
              <w:t>Number of</w:t>
            </w:r>
          </w:p>
        </w:tc>
        <w:tc>
          <w:tcPr>
            <w:tcW w:w="132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7"/>
              </w:rPr>
              <w:t>price per</w:t>
            </w:r>
          </w:p>
        </w:tc>
        <w:tc>
          <w:tcPr>
            <w:tcW w:w="14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Remaining</w:t>
            </w:r>
          </w:p>
        </w:tc>
        <w:tc>
          <w:tcPr>
            <w:tcW w:w="36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Intrinsic Value</w:t>
            </w:r>
          </w:p>
        </w:tc>
      </w:t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780" w:type="dxa"/>
            <w:vAlign w:val="bottom"/>
          </w:tcPr>
          <w:p>
            <w:pPr>
              <w:jc w:val="right"/>
              <w:ind w:right="117"/>
              <w:spacing w:after="0"/>
              <w:rPr>
                <w:sz w:val="20"/>
                <w:szCs w:val="20"/>
                <w:color w:val="auto"/>
              </w:rPr>
            </w:pPr>
            <w:r>
              <w:rPr>
                <w:rFonts w:ascii="Arial" w:cs="Arial" w:eastAsia="Arial" w:hAnsi="Arial"/>
                <w:sz w:val="14"/>
                <w:szCs w:val="14"/>
                <w:b w:val="1"/>
                <w:bCs w:val="1"/>
                <w:color w:val="auto"/>
              </w:rPr>
              <w:t>Shares</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center"/>
              <w:ind w:right="15"/>
              <w:spacing w:after="0"/>
              <w:rPr>
                <w:sz w:val="20"/>
                <w:szCs w:val="20"/>
                <w:color w:val="auto"/>
              </w:rPr>
            </w:pPr>
            <w:r>
              <w:rPr>
                <w:rFonts w:ascii="Arial" w:cs="Arial" w:eastAsia="Arial" w:hAnsi="Arial"/>
                <w:sz w:val="14"/>
                <w:szCs w:val="14"/>
                <w:b w:val="1"/>
                <w:bCs w:val="1"/>
                <w:color w:val="auto"/>
                <w:w w:val="88"/>
              </w:rPr>
              <w:t>Option</w:t>
            </w:r>
          </w:p>
        </w:tc>
        <w:tc>
          <w:tcPr>
            <w:tcW w:w="720" w:type="dxa"/>
            <w:vAlign w:val="bottom"/>
          </w:tcPr>
          <w:p>
            <w:pPr>
              <w:spacing w:after="0"/>
              <w:rPr>
                <w:sz w:val="14"/>
                <w:szCs w:val="14"/>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7"/>
              </w:rPr>
              <w:t>Contractual Term</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20"/>
              <w:spacing w:after="0"/>
              <w:rPr>
                <w:sz w:val="20"/>
                <w:szCs w:val="20"/>
                <w:color w:val="auto"/>
              </w:rPr>
            </w:pPr>
            <w:r>
              <w:rPr>
                <w:rFonts w:ascii="Arial" w:cs="Arial" w:eastAsia="Arial" w:hAnsi="Arial"/>
                <w:sz w:val="14"/>
                <w:szCs w:val="14"/>
                <w:b w:val="1"/>
                <w:bCs w:val="1"/>
                <w:color w:val="auto"/>
                <w:w w:val="88"/>
              </w:rPr>
              <w:t>(in 000’s)</w:t>
            </w: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Warrants outstanding at beginning of year</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2,087,412</w:t>
            </w:r>
          </w:p>
        </w:tc>
        <w:tc>
          <w:tcPr>
            <w:tcW w:w="7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72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Warrants issued</w:t>
            </w:r>
          </w:p>
        </w:tc>
        <w:tc>
          <w:tcPr>
            <w:tcW w:w="156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Warrants canceled</w:t>
            </w:r>
          </w:p>
        </w:tc>
        <w:tc>
          <w:tcPr>
            <w:tcW w:w="15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Warrants exercised</w:t>
            </w: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w w:val="89"/>
              </w:rPr>
              <w:t>(1,029,412)</w:t>
            </w:r>
          </w:p>
        </w:tc>
        <w:tc>
          <w:tcPr>
            <w:tcW w:w="100" w:type="dxa"/>
            <w:vAlign w:val="bottom"/>
          </w:tcPr>
          <w:p>
            <w:pPr>
              <w:spacing w:after="0"/>
              <w:rPr>
                <w:sz w:val="19"/>
                <w:szCs w:val="19"/>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8.50</w:t>
            </w: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Warrants outstanding at end of year</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1,058,000</w:t>
            </w:r>
          </w:p>
        </w:tc>
        <w:tc>
          <w:tcPr>
            <w:tcW w:w="7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7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 years</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Vested and expected to vest at end of year</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1,058,000</w:t>
            </w:r>
          </w:p>
        </w:tc>
        <w:tc>
          <w:tcPr>
            <w:tcW w:w="7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6.36</w:t>
            </w: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2.8 years</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Warrants exercisable at end of year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1,058,000</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6.36</w:t>
            </w: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 years</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total intrinsic value of warrants exercised was $3.4 million, $8.2 million and $16,000 for fiscal 2007, fiscal 2006 and fiscal 2005, respectively.</w:t>
      </w:r>
    </w:p>
    <w:p>
      <w:pPr>
        <w:spacing w:after="0" w:line="194" w:lineRule="exact"/>
        <w:rPr>
          <w:sz w:val="20"/>
          <w:szCs w:val="20"/>
          <w:color w:val="auto"/>
        </w:rPr>
      </w:pPr>
    </w:p>
    <w:p>
      <w:pPr>
        <w:jc w:val="both"/>
        <w:ind w:right="500" w:firstLine="456"/>
        <w:spacing w:after="0" w:line="298" w:lineRule="auto"/>
        <w:rPr>
          <w:sz w:val="20"/>
          <w:szCs w:val="20"/>
          <w:color w:val="auto"/>
        </w:rPr>
      </w:pPr>
      <w:r>
        <w:rPr>
          <w:rFonts w:ascii="Arial" w:cs="Arial" w:eastAsia="Arial" w:hAnsi="Arial"/>
          <w:sz w:val="16"/>
          <w:szCs w:val="16"/>
          <w:color w:val="auto"/>
        </w:rPr>
        <w:t>The above warrants were issued in connection with two separate private placements of subordinated notes in fiscal 2002 and fiscal 2003. In total, the Company issued 4,073,871 warrants with a total fair value of $15.2 million at the respective dates of grant. The fair value was reflected as a component of stockholders’ equity as a discount on the debt and was initially amortized over the term of the corresponding debt until the Company prepaid both series of subordinated notes in fiscal 2003 and fiscal 2004, at which time the unamortized value of the warrants was written off.</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fiscal 2006, the Company’s Board of Directors adopted a $75 million stock repurchase program, which was scheduled to terminate 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2007. On January 9, 2008, the Board of Directors extended this repurchase program authorizing the Company to continue to repurchase the $24.1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remaining under the program. The repurchases may be made through open market and privately negotiated transactions pursuant to Rule 10b-18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Exchange Act. The stock repurchase program will expire on December 31, 2008 but may be terminated earlier at any time without prior notice. Through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February 2, 2008, the Company has repurchased approximately 4.3 million shares for an aggregate price of $50.9 million pursuant to this program.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Approximately 4.1 million of these shares were purchased during fiscal 2007 at an aggregate cost of $48.8 million.</w:t>
      </w:r>
    </w:p>
    <w:p>
      <w:pPr>
        <w:spacing w:after="0" w:line="165"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During the second quarter of fiscal 2007, the Company received from an employee 47,617 shares of its common stock with a value of $0.6 million as payment upon stock options exercises.</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At February 2, 2008, the Company has a total of 10.9 million shares of repurchased stock at an aggregate cost of $88.0 million which is reported by the Company as treasury stock and is reflected as a reduction in stockholders’ equity.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Stock Options</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Through July 31, 2006, the Company had one share-based compensation plan, the 1992 Stock Incentive Plan (the “1992 Plan”). At the Company’s 2006 Annual Meeting of Stockholders held on July 31, 2006, the Company’s stockholders approved the adoption of the 2006 Incentive Compensation Plan (the “2006 Plan”). As a result of such approval, no further grants could be made under the 1992 Plan. The terms of the 2006 Plan provide for grants of stock options, stock appreciation rights, or SARs, restricted stock, deferred stock, other stock-related awards and performance awards that may be settled in cash, stock or other property.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Under the terms of the 2006 Plan, 2,500,000 shares of common stock are available for the granting of awards; provided, however, that the maximum number of shares available for the granting of awards other than stock options and SARs cannot exceed 1,250,000 shares.</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2006 Plan is administered by the Compensation Committee, all of the members of which are non-employee directors who qualify as independent under the listing standards of the Nasdaq Global Select Market. The Compensation Committee makes all determinations with respect to amounts and conditions covering awards. Options are not granted at a price less than fair value on the date of the grant. Options granted to employees and executives typically vest over three years and options granted to non-employee directors vest over two years. Options expire ten years from the date of grant.</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Stock Option Activity-2006 Plan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stock option activity under the 2006 Plan for fiscal 2007: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2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3"/>
              </w:rPr>
              <w:t>average</w:t>
            </w:r>
          </w:p>
        </w:tc>
        <w:tc>
          <w:tcPr>
            <w:tcW w:w="14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Weighted-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2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3"/>
              </w:rPr>
              <w:t>Exercise</w:t>
            </w:r>
          </w:p>
        </w:tc>
        <w:tc>
          <w:tcPr>
            <w:tcW w:w="14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average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Aggregate</w:t>
            </w: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Number of</w:t>
            </w:r>
          </w:p>
        </w:tc>
        <w:tc>
          <w:tcPr>
            <w:tcW w:w="720" w:type="dxa"/>
            <w:vAlign w:val="bottom"/>
          </w:tcPr>
          <w:p>
            <w:pPr>
              <w:spacing w:after="0"/>
              <w:rPr>
                <w:sz w:val="12"/>
                <w:szCs w:val="12"/>
                <w:color w:val="auto"/>
              </w:rPr>
            </w:pPr>
          </w:p>
        </w:tc>
        <w:tc>
          <w:tcPr>
            <w:tcW w:w="132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7"/>
              </w:rPr>
              <w:t>price per</w:t>
            </w:r>
          </w:p>
        </w:tc>
        <w:tc>
          <w:tcPr>
            <w:tcW w:w="14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Remaining</w:t>
            </w:r>
          </w:p>
        </w:tc>
        <w:tc>
          <w:tcPr>
            <w:tcW w:w="36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Intrinsic Value</w:t>
            </w:r>
          </w:p>
        </w:tc>
      </w:t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640" w:type="dxa"/>
            <w:vAlign w:val="bottom"/>
          </w:tcPr>
          <w:p>
            <w:pPr>
              <w:jc w:val="right"/>
              <w:ind w:right="37"/>
              <w:spacing w:after="0"/>
              <w:rPr>
                <w:sz w:val="20"/>
                <w:szCs w:val="20"/>
                <w:color w:val="auto"/>
              </w:rPr>
            </w:pPr>
            <w:r>
              <w:rPr>
                <w:rFonts w:ascii="Arial" w:cs="Arial" w:eastAsia="Arial" w:hAnsi="Arial"/>
                <w:sz w:val="14"/>
                <w:szCs w:val="14"/>
                <w:b w:val="1"/>
                <w:bCs w:val="1"/>
                <w:color w:val="auto"/>
              </w:rPr>
              <w:t>Shares</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center"/>
              <w:ind w:right="15"/>
              <w:spacing w:after="0"/>
              <w:rPr>
                <w:sz w:val="20"/>
                <w:szCs w:val="20"/>
                <w:color w:val="auto"/>
              </w:rPr>
            </w:pPr>
            <w:r>
              <w:rPr>
                <w:rFonts w:ascii="Arial" w:cs="Arial" w:eastAsia="Arial" w:hAnsi="Arial"/>
                <w:sz w:val="14"/>
                <w:szCs w:val="14"/>
                <w:b w:val="1"/>
                <w:bCs w:val="1"/>
                <w:color w:val="auto"/>
                <w:w w:val="88"/>
              </w:rPr>
              <w:t>Option</w:t>
            </w:r>
          </w:p>
        </w:tc>
        <w:tc>
          <w:tcPr>
            <w:tcW w:w="720" w:type="dxa"/>
            <w:vAlign w:val="bottom"/>
          </w:tcPr>
          <w:p>
            <w:pPr>
              <w:spacing w:after="0"/>
              <w:rPr>
                <w:sz w:val="14"/>
                <w:szCs w:val="14"/>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7"/>
              </w:rPr>
              <w:t>Contractual Term</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20"/>
              <w:spacing w:after="0"/>
              <w:rPr>
                <w:sz w:val="20"/>
                <w:szCs w:val="20"/>
                <w:color w:val="auto"/>
              </w:rPr>
            </w:pPr>
            <w:r>
              <w:rPr>
                <w:rFonts w:ascii="Arial" w:cs="Arial" w:eastAsia="Arial" w:hAnsi="Arial"/>
                <w:sz w:val="14"/>
                <w:szCs w:val="14"/>
                <w:b w:val="1"/>
                <w:bCs w:val="1"/>
                <w:color w:val="auto"/>
                <w:w w:val="88"/>
              </w:rPr>
              <w:t>(in 000’s)</w:t>
            </w: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115,000</w:t>
            </w:r>
          </w:p>
        </w:tc>
        <w:tc>
          <w:tcPr>
            <w:tcW w:w="7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72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Options granted</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766,004</w:t>
            </w:r>
          </w:p>
        </w:tc>
        <w:tc>
          <w:tcPr>
            <w:tcW w:w="820" w:type="dxa"/>
            <w:vAlign w:val="bottom"/>
            <w:gridSpan w:val="2"/>
          </w:tcPr>
          <w:p>
            <w:pPr>
              <w:ind w:left="72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11.10</w:t>
            </w: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Options canceled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7.52</w:t>
            </w: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Options exercised</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871,004</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11.15</w:t>
            </w: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 years</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Vested and expected to vest at end of year</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865,604</w:t>
            </w:r>
          </w:p>
        </w:tc>
        <w:tc>
          <w:tcPr>
            <w:tcW w:w="820" w:type="dxa"/>
            <w:vAlign w:val="bottom"/>
            <w:gridSpan w:val="2"/>
          </w:tcPr>
          <w:p>
            <w:pPr>
              <w:ind w:left="72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11.15</w:t>
            </w: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8.9 years</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end of year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147,143</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11.00</w:t>
            </w: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 years</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Excluded from the above table are 18,677 unrestricted shares which were issued from the 2006 Plan to non-employee directors as payment for director fees totaling $152,929 during fiscal 2007.</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Stock Option Activity-1992 Plan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stock option activity under the 1992 Plan for fiscal 2007: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2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3"/>
              </w:rPr>
              <w:t>average</w:t>
            </w:r>
          </w:p>
        </w:tc>
        <w:tc>
          <w:tcPr>
            <w:tcW w:w="14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Weighted-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2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3"/>
              </w:rPr>
              <w:t>Exercise</w:t>
            </w:r>
          </w:p>
        </w:tc>
        <w:tc>
          <w:tcPr>
            <w:tcW w:w="14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average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50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91"/>
              </w:rPr>
              <w:t>Number of</w:t>
            </w:r>
          </w:p>
        </w:tc>
        <w:tc>
          <w:tcPr>
            <w:tcW w:w="132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7"/>
              </w:rPr>
              <w:t>price per</w:t>
            </w:r>
          </w:p>
        </w:tc>
        <w:tc>
          <w:tcPr>
            <w:tcW w:w="14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Remaining</w:t>
            </w:r>
          </w:p>
        </w:tc>
        <w:tc>
          <w:tcPr>
            <w:tcW w:w="36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Intrinsic 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00" w:type="dxa"/>
            <w:vAlign w:val="bottom"/>
          </w:tcPr>
          <w:p>
            <w:pPr>
              <w:jc w:val="right"/>
              <w:ind w:right="79"/>
              <w:spacing w:after="0"/>
              <w:rPr>
                <w:sz w:val="20"/>
                <w:szCs w:val="20"/>
                <w:color w:val="auto"/>
              </w:rPr>
            </w:pPr>
            <w:r>
              <w:rPr>
                <w:rFonts w:ascii="Arial" w:cs="Arial" w:eastAsia="Arial" w:hAnsi="Arial"/>
                <w:sz w:val="14"/>
                <w:szCs w:val="14"/>
                <w:b w:val="1"/>
                <w:bCs w:val="1"/>
                <w:color w:val="auto"/>
              </w:rPr>
              <w:t>Shares</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center"/>
              <w:ind w:right="15"/>
              <w:spacing w:after="0"/>
              <w:rPr>
                <w:sz w:val="20"/>
                <w:szCs w:val="20"/>
                <w:color w:val="auto"/>
              </w:rPr>
            </w:pPr>
            <w:r>
              <w:rPr>
                <w:rFonts w:ascii="Arial" w:cs="Arial" w:eastAsia="Arial" w:hAnsi="Arial"/>
                <w:sz w:val="14"/>
                <w:szCs w:val="14"/>
                <w:b w:val="1"/>
                <w:bCs w:val="1"/>
                <w:color w:val="auto"/>
                <w:w w:val="88"/>
              </w:rPr>
              <w:t>Option</w:t>
            </w:r>
          </w:p>
        </w:tc>
        <w:tc>
          <w:tcPr>
            <w:tcW w:w="720" w:type="dxa"/>
            <w:vAlign w:val="bottom"/>
          </w:tcPr>
          <w:p>
            <w:pPr>
              <w:spacing w:after="0"/>
              <w:rPr>
                <w:sz w:val="14"/>
                <w:szCs w:val="14"/>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7"/>
              </w:rPr>
              <w:t>Contractual Term</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(in 000’s)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5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84"/>
              </w:rPr>
              <w:t>3,794,024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6.43</w:t>
            </w: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Options granted</w:t>
            </w:r>
          </w:p>
        </w:tc>
        <w:tc>
          <w:tcPr>
            <w:tcW w:w="1500" w:type="dxa"/>
            <w:vAlign w:val="bottom"/>
          </w:tcPr>
          <w:p>
            <w:pPr>
              <w:spacing w:after="0"/>
              <w:rPr>
                <w:sz w:val="18"/>
                <w:szCs w:val="18"/>
                <w:color w:val="auto"/>
              </w:rPr>
            </w:pPr>
          </w:p>
        </w:tc>
        <w:tc>
          <w:tcPr>
            <w:tcW w:w="150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Options canceled</w:t>
            </w:r>
          </w:p>
        </w:tc>
        <w:tc>
          <w:tcPr>
            <w:tcW w:w="300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(53,666)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6.95</w:t>
            </w: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Options exercised</w:t>
            </w:r>
          </w:p>
        </w:tc>
        <w:tc>
          <w:tcPr>
            <w:tcW w:w="150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w w:val="95"/>
              </w:rPr>
              <w:t>(320,800)</w:t>
            </w:r>
          </w:p>
        </w:tc>
        <w:tc>
          <w:tcPr>
            <w:tcW w:w="10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5.44</w:t>
            </w: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15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84"/>
              </w:rPr>
              <w:t>3,419,558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6.51</w:t>
            </w: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 years</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Vested and expected to vest at end of year</w:t>
            </w:r>
          </w:p>
        </w:tc>
        <w:tc>
          <w:tcPr>
            <w:tcW w:w="3000" w:type="dxa"/>
            <w:vAlign w:val="bottom"/>
            <w:gridSpan w:val="3"/>
          </w:tcPr>
          <w:p>
            <w:pPr>
              <w:jc w:val="right"/>
              <w:ind w:right="800"/>
              <w:spacing w:after="0"/>
              <w:rPr>
                <w:sz w:val="20"/>
                <w:szCs w:val="20"/>
                <w:color w:val="auto"/>
              </w:rPr>
            </w:pPr>
            <w:r>
              <w:rPr>
                <w:rFonts w:ascii="Arial" w:cs="Arial" w:eastAsia="Arial" w:hAnsi="Arial"/>
                <w:sz w:val="18"/>
                <w:szCs w:val="18"/>
                <w:color w:val="auto"/>
              </w:rPr>
              <w:t>3,417,558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6.51</w:t>
            </w: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6.2 years</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end of year</w:t>
            </w:r>
          </w:p>
        </w:tc>
        <w:tc>
          <w:tcPr>
            <w:tcW w:w="300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2,984,560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6.12</w:t>
            </w: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 years</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total intrinsic value of options exercised was $1.7 million, $5.3 million and $0.4 million for fiscal 2007, 2006 and 2005, respectively.</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Options granted outside of the Company’s 1992 Plan and 2006 Plan</w:t>
      </w:r>
    </w:p>
    <w:p>
      <w:pPr>
        <w:spacing w:after="0" w:line="9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Below is a summary of options granted outside of the Company’s 1992 Plan and 2006 Plan. These outstanding options represent options which have been granted to consultants of the Company prior to August 2003 and options granted to its executives in excess of the 1992 Plan’s annual maximum grant which was 500,000 as of August 7, 2003.</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2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3"/>
              </w:rPr>
              <w:t>average</w:t>
            </w:r>
          </w:p>
        </w:tc>
        <w:tc>
          <w:tcPr>
            <w:tcW w:w="14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Weighted-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2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3"/>
              </w:rPr>
              <w:t>Exercise</w:t>
            </w:r>
          </w:p>
        </w:tc>
        <w:tc>
          <w:tcPr>
            <w:tcW w:w="14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average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50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91"/>
              </w:rPr>
              <w:t>Number of</w:t>
            </w:r>
          </w:p>
        </w:tc>
        <w:tc>
          <w:tcPr>
            <w:tcW w:w="132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7"/>
              </w:rPr>
              <w:t>price per</w:t>
            </w:r>
          </w:p>
        </w:tc>
        <w:tc>
          <w:tcPr>
            <w:tcW w:w="14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Remaining</w:t>
            </w:r>
          </w:p>
        </w:tc>
        <w:tc>
          <w:tcPr>
            <w:tcW w:w="36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Intrinsic 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00" w:type="dxa"/>
            <w:vAlign w:val="bottom"/>
          </w:tcPr>
          <w:p>
            <w:pPr>
              <w:jc w:val="right"/>
              <w:ind w:right="78"/>
              <w:spacing w:after="0"/>
              <w:rPr>
                <w:sz w:val="20"/>
                <w:szCs w:val="20"/>
                <w:color w:val="auto"/>
              </w:rPr>
            </w:pPr>
            <w:r>
              <w:rPr>
                <w:rFonts w:ascii="Arial" w:cs="Arial" w:eastAsia="Arial" w:hAnsi="Arial"/>
                <w:sz w:val="14"/>
                <w:szCs w:val="14"/>
                <w:b w:val="1"/>
                <w:bCs w:val="1"/>
                <w:color w:val="auto"/>
              </w:rPr>
              <w:t>Shares</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center"/>
              <w:ind w:right="15"/>
              <w:spacing w:after="0"/>
              <w:rPr>
                <w:sz w:val="20"/>
                <w:szCs w:val="20"/>
                <w:color w:val="auto"/>
              </w:rPr>
            </w:pPr>
            <w:r>
              <w:rPr>
                <w:rFonts w:ascii="Arial" w:cs="Arial" w:eastAsia="Arial" w:hAnsi="Arial"/>
                <w:sz w:val="14"/>
                <w:szCs w:val="14"/>
                <w:b w:val="1"/>
                <w:bCs w:val="1"/>
                <w:color w:val="auto"/>
                <w:w w:val="88"/>
              </w:rPr>
              <w:t>Option</w:t>
            </w:r>
          </w:p>
        </w:tc>
        <w:tc>
          <w:tcPr>
            <w:tcW w:w="720" w:type="dxa"/>
            <w:vAlign w:val="bottom"/>
          </w:tcPr>
          <w:p>
            <w:pPr>
              <w:spacing w:after="0"/>
              <w:rPr>
                <w:sz w:val="14"/>
                <w:szCs w:val="14"/>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7"/>
              </w:rPr>
              <w:t>Contractual Term</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(in 000’s)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5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84"/>
              </w:rPr>
              <w:t>1,012,814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2.99</w:t>
            </w: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Options granted</w:t>
            </w:r>
          </w:p>
        </w:tc>
        <w:tc>
          <w:tcPr>
            <w:tcW w:w="1500" w:type="dxa"/>
            <w:vAlign w:val="bottom"/>
          </w:tcPr>
          <w:p>
            <w:pPr>
              <w:spacing w:after="0"/>
              <w:rPr>
                <w:sz w:val="18"/>
                <w:szCs w:val="18"/>
                <w:color w:val="auto"/>
              </w:rPr>
            </w:pPr>
          </w:p>
        </w:tc>
        <w:tc>
          <w:tcPr>
            <w:tcW w:w="150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Options canceled</w:t>
            </w:r>
          </w:p>
        </w:tc>
        <w:tc>
          <w:tcPr>
            <w:tcW w:w="15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Options exercised</w:t>
            </w:r>
          </w:p>
        </w:tc>
        <w:tc>
          <w:tcPr>
            <w:tcW w:w="150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(1,688)</w:t>
            </w:r>
          </w:p>
        </w:tc>
        <w:tc>
          <w:tcPr>
            <w:tcW w:w="10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1.44</w:t>
            </w: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15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84"/>
              </w:rPr>
              <w:t>1,011,126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2.99</w:t>
            </w: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 years</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Vested and expected to vest at end of year</w:t>
            </w:r>
          </w:p>
        </w:tc>
        <w:tc>
          <w:tcPr>
            <w:tcW w:w="3000" w:type="dxa"/>
            <w:vAlign w:val="bottom"/>
            <w:gridSpan w:val="3"/>
          </w:tcPr>
          <w:p>
            <w:pPr>
              <w:jc w:val="right"/>
              <w:ind w:right="800"/>
              <w:spacing w:after="0"/>
              <w:rPr>
                <w:sz w:val="20"/>
                <w:szCs w:val="20"/>
                <w:color w:val="auto"/>
              </w:rPr>
            </w:pPr>
            <w:r>
              <w:rPr>
                <w:rFonts w:ascii="Arial" w:cs="Arial" w:eastAsia="Arial" w:hAnsi="Arial"/>
                <w:sz w:val="18"/>
                <w:szCs w:val="18"/>
                <w:color w:val="auto"/>
              </w:rPr>
              <w:t>1,011,126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2.99</w:t>
            </w: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3.5 years</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end of year</w:t>
            </w:r>
          </w:p>
        </w:tc>
        <w:tc>
          <w:tcPr>
            <w:tcW w:w="300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1,011,126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2.99</w:t>
            </w: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 years</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total intrinsic value of options exercised outside of the Company’s 1992 Plan and 2006 Plan was $19,000 and $0.8 million for fiscal 2007 and fiscal 2006, respectively. There were no such exercises during fiscal 2005.</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Long-Term Performance Share Bonus Plan</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fiscal 2005, the Company adopted a Long-Term Performance Share Bonus Plan pursuant to which certain key members of senior management were eligible to participate. Pursuant to the plan, if the Company achieved certain operating income targets by the end of fiscal 2007, each participant in the plan would be entitled to receive restricted shares of the Company’s common stock, valued at 75% to 120%, depending of the target level achieved, of the participant’s cumulative salary during the incentive period of fiscal 2005-2007 (discounted at a rate of 30%, 70% or 90% depending on the participant’s respective tier level). The Company did not achieve the operating income targets set in fiscal 2005 and accordingly, no shares of restricted stock were issued.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RELATED PARTIES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Seymour Holtzman and Jewelcor Management, Inc.</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Seymour Holtzman, the Chairman of the Board of Directors of the Company, is compensated by the Company both directly (as an executive officer of the Company) and indirectly (as the president and chief executive officer and, together with his wife, indirect majority shareholders of Jewelcor Management Inc. (“JMI”)). Since October 1999, the Company has had an ongoing consulting agreement with JMI to provide the Company with services as may be agreed upon between JMI and the Company. Mr. Holtzman, who has been the Company’s Chairman of the Board since April 11, 2000, is the beneficial holder of approximately 12.5% of the outstanding common stock of the Company.</w:t>
      </w:r>
    </w:p>
    <w:p>
      <w:pPr>
        <w:spacing w:after="0" w:line="11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Pursuant to the consulting agreement, which was most recently amended in May 2007, Mr. Holtzman, both directly and indirectly through JMI, receives in aggregate annual consulting and employment compensation of $575,000, payable in cash, with no further stock options awards or participation in the Company’s performance-based cash incentive programs. The consulting agreement is for a fixed two-year term which will expire on April 28, 2009.</w:t>
      </w:r>
    </w:p>
    <w:p>
      <w:pPr>
        <w:spacing w:after="0" w:line="10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February 2007, the Compensation Committee of the Board of Directors granted to Mr. Holtzman an option to purchase 136,427 shares of our common stock at an exercise price of $12.35, the closing price of our common stock on the date of grant. The grant date fair value of the award was $594,822 and the options vest ratably over three years with the first one-third vesting on the first anniversary of the date of grant.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EMPLOYEE BENEFIT PLANS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September 2006, the FASB issued FASB Statement No. 158, “Employers’ Accounting for Defined Benefit Pension and Other Postretirement Plans” (an amendment of FASB Statements No. 87, 88, 106, and 132R) (“FAS 158”), which requires an employer to: (a) recognize in its statement of financial position an asset for a plan’s over-funded status or a liability for a plan’s under-funded status; (b) measure a plan’s assets and its obligations that determine its funded status as of the end of the employer’s fiscal year (with limited exceptions); and (c) recognize changes in the funded status of a defined benefit postretirement plan in the year in which the changes occur. The Company adopted FAS 158 in fiscal 2006 and accordingly is required to report changes in its funded status in comprehensive income on its Statement of Stockholders’ Equity.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Noncontributory Pension Plan</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In connection with the Casual Male acquisition, the Company assumed the assets and liabilities of the Casual Male Noncontributory Pension Plan “Casual Male Corp. Retirement Plan”, which was previously known as the J. Baker, Inc. Qualified Plan, (the “Pension Plan”). Casual Male Corp. froze all future benefits under this plan on May 1, 1997.</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Pension Plan’s funded status at February 2, 2008 and February 3, 2007: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February 2, 2008</w:t>
            </w:r>
          </w:p>
        </w:tc>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93"/>
              </w:rPr>
              <w:t>(in thousands)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w w:val="94"/>
              </w:rPr>
              <w:t>February 3, 2007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Change in benefit obligation:</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Balance at beginning of period</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14,972</w:t>
            </w:r>
          </w:p>
        </w:tc>
        <w:tc>
          <w:tcPr>
            <w:tcW w:w="80" w:type="dxa"/>
            <w:vAlign w:val="bottom"/>
          </w:tcPr>
          <w:p>
            <w:pPr>
              <w:spacing w:after="0"/>
              <w:rPr>
                <w:sz w:val="18"/>
                <w:szCs w:val="18"/>
                <w:color w:val="auto"/>
              </w:rPr>
            </w:pPr>
          </w:p>
        </w:tc>
        <w:tc>
          <w:tcPr>
            <w:tcW w:w="12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17,895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Benefits and expenses paid</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(521)</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Service and interest costs</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789</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Settlements</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(2,405)</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Actuarial (gain) loss</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839</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at end of year</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13,674</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color w:val="auto"/>
              </w:rPr>
              <w:t>Change in fair value of plan assets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36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at beginning of period</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16,355</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Actual return on plan assets</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403</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Employer contributions</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Settlements</w:t>
            </w:r>
          </w:p>
        </w:tc>
        <w:tc>
          <w:tcPr>
            <w:tcW w:w="3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(2,405)</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Benefits and expenses paid</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(521)</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vMerge w:val="restart"/>
          </w:tcPr>
          <w:p>
            <w:pPr>
              <w:ind w:left="420"/>
              <w:spacing w:after="0"/>
              <w:rPr>
                <w:sz w:val="20"/>
                <w:szCs w:val="20"/>
                <w:color w:val="auto"/>
              </w:rPr>
            </w:pPr>
            <w:r>
              <w:rPr>
                <w:rFonts w:ascii="Arial" w:cs="Arial" w:eastAsia="Arial" w:hAnsi="Arial"/>
                <w:sz w:val="18"/>
                <w:szCs w:val="18"/>
                <w:color w:val="auto"/>
              </w:rPr>
              <w:t>Balance at end of period</w:t>
            </w: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340" w:type="dxa"/>
            <w:vAlign w:val="bottom"/>
            <w:vMerge w:val="continue"/>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13,832</w:t>
            </w:r>
          </w:p>
        </w:tc>
        <w:tc>
          <w:tcPr>
            <w:tcW w:w="80" w:type="dxa"/>
            <w:vAlign w:val="bottom"/>
          </w:tcPr>
          <w:p>
            <w:pPr>
              <w:spacing w:after="0"/>
              <w:rPr>
                <w:sz w:val="19"/>
                <w:szCs w:val="19"/>
                <w:color w:val="auto"/>
              </w:rPr>
            </w:pPr>
          </w:p>
        </w:tc>
        <w:tc>
          <w:tcPr>
            <w:tcW w:w="12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16,355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Funded Status</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Projected benefit obligation</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13,674</w:t>
            </w:r>
          </w:p>
        </w:tc>
        <w:tc>
          <w:tcPr>
            <w:tcW w:w="80" w:type="dxa"/>
            <w:vAlign w:val="bottom"/>
          </w:tcPr>
          <w:p>
            <w:pPr>
              <w:spacing w:after="0"/>
              <w:rPr>
                <w:sz w:val="18"/>
                <w:szCs w:val="18"/>
                <w:color w:val="auto"/>
              </w:rPr>
            </w:pPr>
          </w:p>
        </w:tc>
        <w:tc>
          <w:tcPr>
            <w:tcW w:w="12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14,972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Fair value of plan assets</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13,832</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Funded Status</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Unrecognized actuarial loss</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Net amount recognized at year end</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19"/>
                <w:szCs w:val="19"/>
                <w:color w:val="auto"/>
              </w:rPr>
            </w:pPr>
          </w:p>
        </w:tc>
        <w:tc>
          <w:tcPr>
            <w:tcW w:w="12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Total plan expense and other amounts recognized in accumulated other comprehensive loss for the year ended February 2, 2008 and February 3, 2007 include the following components: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7"/>
              </w:rPr>
              <w:t>February 2, 2008</w:t>
            </w:r>
          </w:p>
        </w:tc>
        <w:tc>
          <w:tcPr>
            <w:tcW w:w="102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9"/>
              </w:rPr>
              <w:t>(in thousands)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w w:val="94"/>
              </w:rPr>
              <w:t>February 3, 2007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Interest cost on projected benefit obligation</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w:t>
            </w: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6"/>
              </w:rPr>
              <w:t>906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(1,192)</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ind w:left="240"/>
              <w:spacing w:after="0"/>
              <w:rPr>
                <w:sz w:val="20"/>
                <w:szCs w:val="20"/>
                <w:color w:val="auto"/>
              </w:rPr>
            </w:pPr>
            <w:r>
              <w:rPr>
                <w:rFonts w:ascii="Arial" w:cs="Arial" w:eastAsia="Arial" w:hAnsi="Arial"/>
                <w:sz w:val="18"/>
                <w:szCs w:val="18"/>
                <w:color w:val="auto"/>
                <w:w w:val="87"/>
              </w:rPr>
              <w:t>(1,318)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Unrecognized loss</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6"/>
              </w:rPr>
              <w:t>412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Recognized actuarial (gain) loss</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Net pension benefit</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Arial" w:cs="Arial" w:eastAsia="Arial" w:hAnsi="Arial"/>
                <w:sz w:val="18"/>
                <w:szCs w:val="18"/>
                <w:color w:val="auto"/>
              </w:rPr>
              <w:t>Other changes in plan assets and benefit obligations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2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jc w:val="right"/>
              <w:ind w:right="4052"/>
              <w:spacing w:after="0"/>
              <w:rPr>
                <w:sz w:val="20"/>
                <w:szCs w:val="20"/>
                <w:color w:val="auto"/>
              </w:rPr>
            </w:pPr>
            <w:r>
              <w:rPr>
                <w:rFonts w:ascii="Arial" w:cs="Arial" w:eastAsia="Arial" w:hAnsi="Arial"/>
                <w:sz w:val="18"/>
                <w:szCs w:val="18"/>
                <w:color w:val="auto"/>
                <w:w w:val="92"/>
              </w:rPr>
              <w:t xml:space="preserve">recognized in other comprehensive loss </w:t>
            </w:r>
            <w:r>
              <w:rPr>
                <w:rFonts w:ascii="Arial" w:cs="Arial" w:eastAsia="Arial" w:hAnsi="Arial"/>
                <w:sz w:val="18"/>
                <w:szCs w:val="18"/>
                <w:i w:val="1"/>
                <w:iCs w:val="1"/>
                <w:color w:val="auto"/>
                <w:w w:val="92"/>
              </w:rPr>
              <w:t>(in thousands)</w:t>
            </w:r>
            <w:r>
              <w:rPr>
                <w:rFonts w:ascii="Arial" w:cs="Arial" w:eastAsia="Arial" w:hAnsi="Arial"/>
                <w:sz w:val="18"/>
                <w:szCs w:val="18"/>
                <w:color w:val="auto"/>
                <w:w w:val="92"/>
              </w:rPr>
              <w:t>:</w:t>
            </w: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20" w:type="dxa"/>
            <w:vAlign w:val="bottom"/>
            <w:shd w:val="clear" w:color="auto" w:fill="CCEEFF"/>
          </w:tcPr>
          <w:p>
            <w:pPr>
              <w:jc w:val="right"/>
              <w:ind w:right="1112"/>
              <w:spacing w:after="0"/>
              <w:rPr>
                <w:sz w:val="20"/>
                <w:szCs w:val="20"/>
                <w:color w:val="auto"/>
              </w:rPr>
            </w:pPr>
            <w:r>
              <w:rPr>
                <w:rFonts w:ascii="Arial" w:cs="Arial" w:eastAsia="Arial" w:hAnsi="Arial"/>
                <w:sz w:val="18"/>
                <w:szCs w:val="18"/>
                <w:color w:val="auto"/>
                <w:w w:val="92"/>
              </w:rPr>
              <w:t>–Increase in accumulated other comprehensive loss (before taxes of $484) to reflect change in</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20" w:type="dxa"/>
            <w:vAlign w:val="bottom"/>
            <w:shd w:val="clear" w:color="auto" w:fill="CCEEFF"/>
          </w:tcPr>
          <w:p>
            <w:pPr>
              <w:jc w:val="right"/>
              <w:ind w:right="3452"/>
              <w:spacing w:after="0"/>
              <w:rPr>
                <w:sz w:val="20"/>
                <w:szCs w:val="20"/>
                <w:color w:val="auto"/>
              </w:rPr>
            </w:pPr>
            <w:r>
              <w:rPr>
                <w:rFonts w:ascii="Arial" w:cs="Arial" w:eastAsia="Arial" w:hAnsi="Arial"/>
                <w:sz w:val="18"/>
                <w:szCs w:val="18"/>
                <w:color w:val="auto"/>
              </w:rPr>
              <w:t>funded status, which consists entirely of net actuarial loss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1,225</w:t>
            </w: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63"/>
        </w:trPr>
        <w:tc>
          <w:tcPr>
            <w:tcW w:w="8240" w:type="dxa"/>
            <w:vAlign w:val="bottom"/>
            <w:gridSpan w:val="2"/>
          </w:tcPr>
          <w:p>
            <w:pPr>
              <w:jc w:val="right"/>
              <w:ind w:right="2352"/>
              <w:spacing w:after="0"/>
              <w:rPr>
                <w:sz w:val="20"/>
                <w:szCs w:val="20"/>
                <w:color w:val="auto"/>
              </w:rPr>
            </w:pPr>
            <w:r>
              <w:rPr>
                <w:rFonts w:ascii="Arial" w:cs="Arial" w:eastAsia="Arial" w:hAnsi="Arial"/>
                <w:sz w:val="18"/>
                <w:szCs w:val="18"/>
                <w:color w:val="auto"/>
              </w:rPr>
              <w:t>64</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Assumptions used to determine the benefit obligations as of February 2, 2008 and February 3, 2007 include a discount rate of 5.75% for both fiscal 2007 and fiscal 2006. Assumptions used to determine the net periodic benefit cost for the years ended February 2, 2008 and February 3, 2007 included a discount rate of 5.75% for both fiscal 2007 and fiscal 2006.</w:t>
      </w:r>
    </w:p>
    <w:p>
      <w:pPr>
        <w:spacing w:after="0" w:line="14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expected long term rate of return for both the benefit obligation and the net periodic benefit cost was assumed to be 8.00% for fiscal 2007 and fiscal 2006. The expected long-term rate of return assumption was developed considering historical and future expectations for returns for each asset class.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Estimated Future Benefit Payments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estimated future benefits for the next ten fiscal years are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760" w:type="dxa"/>
            <w:vAlign w:val="bottom"/>
            <w:gridSpan w:val="2"/>
          </w:tcPr>
          <w:p>
            <w:pPr>
              <w:spacing w:after="0"/>
              <w:rPr>
                <w:sz w:val="20"/>
                <w:szCs w:val="20"/>
                <w:color w:val="auto"/>
              </w:rPr>
            </w:pPr>
            <w:r>
              <w:rPr>
                <w:rFonts w:ascii="Arial" w:cs="Arial" w:eastAsia="Arial" w:hAnsi="Arial"/>
                <w:sz w:val="14"/>
                <w:szCs w:val="14"/>
                <w:b w:val="1"/>
                <w:bCs w:val="1"/>
                <w:color w:val="auto"/>
              </w:rPr>
              <w:t>Fiscal Year</w:t>
            </w: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2"/>
              </w:rPr>
              <w:t>(in thousands)</w:t>
            </w:r>
          </w:p>
        </w:tc>
      </w:tr>
      <w:tr>
        <w:trPr>
          <w:trHeight w:val="210"/>
        </w:trPr>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2008</w:t>
            </w:r>
          </w:p>
        </w:tc>
        <w:tc>
          <w:tcPr>
            <w:tcW w:w="80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2009</w:t>
            </w:r>
          </w:p>
        </w:tc>
        <w:tc>
          <w:tcPr>
            <w:tcW w:w="8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522</w:t>
            </w:r>
          </w:p>
        </w:tc>
      </w:tr>
      <w:tr>
        <w:trPr>
          <w:trHeight w:val="216"/>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8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2011</w:t>
            </w:r>
          </w:p>
        </w:tc>
        <w:tc>
          <w:tcPr>
            <w:tcW w:w="8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590</w:t>
            </w:r>
          </w:p>
        </w:tc>
      </w:tr>
      <w:tr>
        <w:trPr>
          <w:trHeight w:val="216"/>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8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r>
      <w:tr>
        <w:trPr>
          <w:trHeight w:val="222"/>
        </w:trPr>
        <w:tc>
          <w:tcPr>
            <w:tcW w:w="8760" w:type="dxa"/>
            <w:vAlign w:val="bottom"/>
            <w:gridSpan w:val="2"/>
          </w:tcPr>
          <w:p>
            <w:pPr>
              <w:spacing w:after="0"/>
              <w:rPr>
                <w:sz w:val="20"/>
                <w:szCs w:val="20"/>
                <w:color w:val="auto"/>
              </w:rPr>
            </w:pPr>
            <w:r>
              <w:rPr>
                <w:rFonts w:ascii="Arial" w:cs="Arial" w:eastAsia="Arial" w:hAnsi="Arial"/>
                <w:sz w:val="18"/>
                <w:szCs w:val="18"/>
                <w:color w:val="auto"/>
              </w:rPr>
              <w:t>2013-2018</w:t>
            </w: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4,010</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The Company’s target asset allocation for fiscal 2008 and its asset allocation at February 2, 2008 and February 3, 2007 were as follows, by asset category: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04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85"/>
              </w:rPr>
              <w:t>Target allocation</w:t>
            </w:r>
          </w:p>
        </w:tc>
        <w:tc>
          <w:tcPr>
            <w:tcW w:w="318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Percentage of plan assets at</w:t>
            </w:r>
          </w:p>
        </w:tc>
        <w:tc>
          <w:tcPr>
            <w:tcW w:w="0" w:type="dxa"/>
            <w:vAlign w:val="bottom"/>
          </w:tcPr>
          <w:p>
            <w:pPr>
              <w:spacing w:after="0"/>
              <w:rPr>
                <w:sz w:val="1"/>
                <w:szCs w:val="1"/>
                <w:color w:val="auto"/>
              </w:rPr>
            </w:pPr>
          </w:p>
        </w:tc>
      </w:tr>
      <w:tr>
        <w:trPr>
          <w:trHeight w:val="142"/>
        </w:trPr>
        <w:tc>
          <w:tcPr>
            <w:tcW w:w="6200" w:type="dxa"/>
            <w:vAlign w:val="bottom"/>
            <w:gridSpan w:val="3"/>
            <w:vMerge w:val="continue"/>
          </w:tcPr>
          <w:p>
            <w:pPr>
              <w:spacing w:after="0"/>
              <w:rPr>
                <w:sz w:val="12"/>
                <w:szCs w:val="12"/>
                <w:color w:val="auto"/>
              </w:rPr>
            </w:pPr>
          </w:p>
        </w:tc>
        <w:tc>
          <w:tcPr>
            <w:tcW w:w="10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Fiscal 2008</w:t>
            </w:r>
          </w:p>
        </w:tc>
        <w:tc>
          <w:tcPr>
            <w:tcW w:w="1040" w:type="dxa"/>
            <w:vAlign w:val="bottom"/>
          </w:tcPr>
          <w:p>
            <w:pPr>
              <w:spacing w:after="0"/>
              <w:rPr>
                <w:sz w:val="12"/>
                <w:szCs w:val="12"/>
                <w:color w:val="auto"/>
              </w:rPr>
            </w:pPr>
          </w:p>
        </w:tc>
        <w:tc>
          <w:tcPr>
            <w:tcW w:w="2040" w:type="dxa"/>
            <w:vAlign w:val="bottom"/>
            <w:tcBorders>
              <w:top w:val="single" w:sz="8" w:color="auto"/>
            </w:tcBorders>
            <w:gridSpan w:val="2"/>
          </w:tcPr>
          <w:p>
            <w:pPr>
              <w:jc w:val="right"/>
              <w:ind w:right="1060"/>
              <w:spacing w:after="0" w:line="142" w:lineRule="exact"/>
              <w:rPr>
                <w:sz w:val="20"/>
                <w:szCs w:val="20"/>
                <w:color w:val="auto"/>
              </w:rPr>
            </w:pPr>
            <w:r>
              <w:rPr>
                <w:rFonts w:ascii="Arial" w:cs="Arial" w:eastAsia="Arial" w:hAnsi="Arial"/>
                <w:sz w:val="14"/>
                <w:szCs w:val="14"/>
                <w:b w:val="1"/>
                <w:bCs w:val="1"/>
                <w:color w:val="auto"/>
                <w:w w:val="86"/>
              </w:rPr>
              <w:t>February 2, 2008</w:t>
            </w:r>
          </w:p>
        </w:tc>
        <w:tc>
          <w:tcPr>
            <w:tcW w:w="10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February 3, 2007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0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70.00%</w:t>
            </w:r>
          </w:p>
        </w:tc>
        <w:tc>
          <w:tcPr>
            <w:tcW w:w="20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49.27%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Debt securities</w:t>
            </w:r>
          </w:p>
        </w:tc>
        <w:tc>
          <w:tcPr>
            <w:tcW w:w="2040" w:type="dxa"/>
            <w:vAlign w:val="bottom"/>
            <w:gridSpan w:val="2"/>
          </w:tcPr>
          <w:p>
            <w:pPr>
              <w:jc w:val="right"/>
              <w:ind w:right="900"/>
              <w:spacing w:after="0"/>
              <w:rPr>
                <w:sz w:val="20"/>
                <w:szCs w:val="20"/>
                <w:color w:val="auto"/>
              </w:rPr>
            </w:pPr>
            <w:r>
              <w:rPr>
                <w:rFonts w:ascii="Arial" w:cs="Arial" w:eastAsia="Arial" w:hAnsi="Arial"/>
                <w:sz w:val="18"/>
                <w:szCs w:val="18"/>
                <w:color w:val="auto"/>
              </w:rPr>
              <w:t>20.00%</w:t>
            </w:r>
          </w:p>
        </w:tc>
        <w:tc>
          <w:tcPr>
            <w:tcW w:w="2040" w:type="dxa"/>
            <w:vAlign w:val="bottom"/>
            <w:gridSpan w:val="2"/>
          </w:tcPr>
          <w:p>
            <w:pPr>
              <w:jc w:val="right"/>
              <w:ind w:right="900"/>
              <w:spacing w:after="0"/>
              <w:rPr>
                <w:sz w:val="20"/>
                <w:szCs w:val="20"/>
                <w:color w:val="auto"/>
              </w:rPr>
            </w:pPr>
            <w:r>
              <w:rPr>
                <w:rFonts w:ascii="Arial" w:cs="Arial" w:eastAsia="Arial" w:hAnsi="Arial"/>
                <w:sz w:val="18"/>
                <w:szCs w:val="18"/>
                <w:color w:val="auto"/>
              </w:rPr>
              <w:t>38.86%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 contracts</w:t>
            </w:r>
          </w:p>
        </w:tc>
        <w:tc>
          <w:tcPr>
            <w:tcW w:w="20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10.00%</w:t>
            </w:r>
          </w:p>
        </w:tc>
        <w:tc>
          <w:tcPr>
            <w:tcW w:w="20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11.87%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0"/>
        </w:trPr>
        <w:tc>
          <w:tcPr>
            <w:tcW w:w="620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00" w:type="dxa"/>
            <w:vAlign w:val="bottom"/>
            <w:gridSpan w:val="3"/>
            <w:vMerge w:val="continue"/>
          </w:tcPr>
          <w:p>
            <w:pPr>
              <w:spacing w:after="0"/>
              <w:rPr>
                <w:sz w:val="19"/>
                <w:szCs w:val="19"/>
                <w:color w:val="auto"/>
              </w:rPr>
            </w:pPr>
          </w:p>
        </w:tc>
        <w:tc>
          <w:tcPr>
            <w:tcW w:w="2040" w:type="dxa"/>
            <w:vAlign w:val="bottom"/>
            <w:gridSpan w:val="2"/>
          </w:tcPr>
          <w:p>
            <w:pPr>
              <w:jc w:val="right"/>
              <w:ind w:right="900"/>
              <w:spacing w:after="0"/>
              <w:rPr>
                <w:sz w:val="20"/>
                <w:szCs w:val="20"/>
                <w:color w:val="auto"/>
              </w:rPr>
            </w:pPr>
            <w:r>
              <w:rPr>
                <w:rFonts w:ascii="Arial" w:cs="Arial" w:eastAsia="Arial" w:hAnsi="Arial"/>
                <w:sz w:val="18"/>
                <w:szCs w:val="18"/>
                <w:color w:val="auto"/>
              </w:rPr>
              <w:t>100.00%</w:t>
            </w:r>
          </w:p>
        </w:tc>
        <w:tc>
          <w:tcPr>
            <w:tcW w:w="2040" w:type="dxa"/>
            <w:vAlign w:val="bottom"/>
            <w:gridSpan w:val="2"/>
          </w:tcPr>
          <w:p>
            <w:pPr>
              <w:jc w:val="right"/>
              <w:ind w:right="900"/>
              <w:spacing w:after="0"/>
              <w:rPr>
                <w:sz w:val="20"/>
                <w:szCs w:val="20"/>
                <w:color w:val="auto"/>
              </w:rPr>
            </w:pPr>
            <w:r>
              <w:rPr>
                <w:rFonts w:ascii="Arial" w:cs="Arial" w:eastAsia="Arial" w:hAnsi="Arial"/>
                <w:sz w:val="18"/>
                <w:szCs w:val="18"/>
                <w:color w:val="auto"/>
              </w:rPr>
              <w:t>100.00%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target policy is set to maximize returns with consideration to the long-term nature of the obligations and maintaining a lower level of overall volatility through the allocation of fixed income. The asset allocation is reviewed throughout the year for adherence to the target policy and is rebalanced periodically towards the target weights.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Supplemental Retirement Plan</w:t>
      </w:r>
    </w:p>
    <w:p>
      <w:pPr>
        <w:spacing w:after="0" w:line="90"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In connection with the Casual Male acquisition, the Company also assumed the liability of the Casual Male Supplemental Retirement Plan (the “Supplemental Plan”).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Supplemental Plan’s funded status at February 2, 2008 and February 3, 2007: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7"/>
              </w:rPr>
              <w:t>February 2, 2008</w:t>
            </w:r>
          </w:p>
        </w:tc>
        <w:tc>
          <w:tcPr>
            <w:tcW w:w="102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9"/>
              </w:rPr>
              <w:t>(in thousands)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w w:val="94"/>
              </w:rPr>
              <w:t>February 3, 2007</w:t>
            </w:r>
          </w:p>
        </w:tc>
        <w:tc>
          <w:tcPr>
            <w:tcW w:w="0" w:type="dxa"/>
            <w:vAlign w:val="bottom"/>
          </w:tcPr>
          <w:p>
            <w:pPr>
              <w:spacing w:after="0"/>
              <w:rPr>
                <w:sz w:val="1"/>
                <w:szCs w:val="1"/>
                <w:color w:val="auto"/>
              </w:rPr>
            </w:pPr>
          </w:p>
        </w:tc>
      </w:tr>
      <w:tr>
        <w:trPr>
          <w:trHeight w:val="142"/>
        </w:trPr>
        <w:tc>
          <w:tcPr>
            <w:tcW w:w="82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Change in benefit obligation:</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440"/>
              <w:spacing w:after="0"/>
              <w:rPr>
                <w:sz w:val="20"/>
                <w:szCs w:val="20"/>
                <w:color w:val="auto"/>
              </w:rPr>
            </w:pPr>
            <w:r>
              <w:rPr>
                <w:rFonts w:ascii="Arial" w:cs="Arial" w:eastAsia="Arial" w:hAnsi="Arial"/>
                <w:sz w:val="18"/>
                <w:szCs w:val="18"/>
                <w:color w:val="auto"/>
              </w:rPr>
              <w:t>Balance at beginning of period</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540</w:t>
            </w: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Benefits and expenses paid</w:t>
            </w: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8240" w:type="dxa"/>
            <w:vAlign w:val="bottom"/>
          </w:tcPr>
          <w:p>
            <w:pPr>
              <w:ind w:left="440"/>
              <w:spacing w:after="0"/>
              <w:rPr>
                <w:sz w:val="20"/>
                <w:szCs w:val="20"/>
                <w:color w:val="auto"/>
              </w:rPr>
            </w:pPr>
            <w:r>
              <w:rPr>
                <w:rFonts w:ascii="Arial" w:cs="Arial" w:eastAsia="Arial" w:hAnsi="Arial"/>
                <w:sz w:val="18"/>
                <w:szCs w:val="18"/>
                <w:color w:val="auto"/>
              </w:rPr>
              <w:t>Actuarial loss</w:t>
            </w:r>
          </w:p>
        </w:tc>
        <w:tc>
          <w:tcPr>
            <w:tcW w:w="3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Service and interest costs</w:t>
            </w:r>
          </w:p>
        </w:tc>
        <w:tc>
          <w:tcPr>
            <w:tcW w:w="3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40" w:type="dxa"/>
            <w:vAlign w:val="bottom"/>
          </w:tcPr>
          <w:p>
            <w:pPr>
              <w:ind w:left="440"/>
              <w:spacing w:after="0"/>
              <w:rPr>
                <w:sz w:val="20"/>
                <w:szCs w:val="20"/>
                <w:color w:val="auto"/>
              </w:rPr>
            </w:pPr>
            <w:r>
              <w:rPr>
                <w:rFonts w:ascii="Arial" w:cs="Arial" w:eastAsia="Arial" w:hAnsi="Arial"/>
                <w:sz w:val="18"/>
                <w:szCs w:val="18"/>
                <w:color w:val="auto"/>
              </w:rPr>
              <w:t>Balance at end of year</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551</w:t>
            </w: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plan assets</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440"/>
              <w:spacing w:after="0"/>
              <w:rPr>
                <w:sz w:val="20"/>
                <w:szCs w:val="20"/>
                <w:color w:val="auto"/>
              </w:rPr>
            </w:pPr>
            <w:r>
              <w:rPr>
                <w:rFonts w:ascii="Arial" w:cs="Arial" w:eastAsia="Arial" w:hAnsi="Arial"/>
                <w:sz w:val="18"/>
                <w:szCs w:val="18"/>
                <w:color w:val="auto"/>
              </w:rPr>
              <w:t>Balance at beginning of period</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Employer contributions</w:t>
            </w: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40" w:type="dxa"/>
            <w:vAlign w:val="bottom"/>
          </w:tcPr>
          <w:p>
            <w:pPr>
              <w:ind w:left="440"/>
              <w:spacing w:after="0"/>
              <w:rPr>
                <w:sz w:val="20"/>
                <w:szCs w:val="20"/>
                <w:color w:val="auto"/>
              </w:rPr>
            </w:pPr>
            <w:r>
              <w:rPr>
                <w:rFonts w:ascii="Arial" w:cs="Arial" w:eastAsia="Arial" w:hAnsi="Arial"/>
                <w:sz w:val="18"/>
                <w:szCs w:val="18"/>
                <w:color w:val="auto"/>
              </w:rPr>
              <w:t>Benefits and expenses paid</w:t>
            </w:r>
          </w:p>
        </w:tc>
        <w:tc>
          <w:tcPr>
            <w:tcW w:w="3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at end of year</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40" w:type="dxa"/>
            <w:vAlign w:val="bottom"/>
          </w:tcPr>
          <w:p>
            <w:pPr>
              <w:ind w:left="440"/>
              <w:spacing w:after="0"/>
              <w:rPr>
                <w:sz w:val="20"/>
                <w:szCs w:val="20"/>
                <w:color w:val="auto"/>
              </w:rPr>
            </w:pPr>
            <w:r>
              <w:rPr>
                <w:rFonts w:ascii="Arial" w:cs="Arial" w:eastAsia="Arial" w:hAnsi="Arial"/>
                <w:sz w:val="18"/>
                <w:szCs w:val="18"/>
                <w:color w:val="auto"/>
              </w:rPr>
              <w:t>Projected benefit obligation</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551</w:t>
            </w: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Funded Status</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440"/>
              <w:spacing w:after="0"/>
              <w:rPr>
                <w:sz w:val="20"/>
                <w:szCs w:val="20"/>
                <w:color w:val="auto"/>
              </w:rPr>
            </w:pPr>
            <w:r>
              <w:rPr>
                <w:rFonts w:ascii="Arial" w:cs="Arial" w:eastAsia="Arial" w:hAnsi="Arial"/>
                <w:sz w:val="18"/>
                <w:szCs w:val="18"/>
                <w:color w:val="auto"/>
              </w:rPr>
              <w:t>Projected benefit obligation</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551</w:t>
            </w: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Unrecognized loss</w:t>
            </w: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40" w:type="dxa"/>
            <w:vAlign w:val="bottom"/>
          </w:tcPr>
          <w:p>
            <w:pPr>
              <w:ind w:left="440"/>
              <w:spacing w:after="0"/>
              <w:rPr>
                <w:sz w:val="20"/>
                <w:szCs w:val="20"/>
                <w:color w:val="auto"/>
              </w:rPr>
            </w:pPr>
            <w:r>
              <w:rPr>
                <w:rFonts w:ascii="Arial" w:cs="Arial" w:eastAsia="Arial" w:hAnsi="Arial"/>
                <w:sz w:val="18"/>
                <w:szCs w:val="18"/>
                <w:color w:val="auto"/>
              </w:rPr>
              <w:t>Fair value of plan assets</w:t>
            </w:r>
          </w:p>
        </w:tc>
        <w:tc>
          <w:tcPr>
            <w:tcW w:w="3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Underfunded Status</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(551)</w:t>
            </w: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Assumptions used to determine the benefit obligations as of February 2, 2008 and February 3, 2007 included a discount rate of 5.75% for both fiscal 2007 and fiscal 2006. Assumptions used to determine the net periodic benefit cost for the years ended February 2, 2008 and February 3, 2007 included a discount rate of 5.75% for fiscal 2007 and fiscal 2006.</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90"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The Casual Male 401(k) plan covers all eligible employees who have completed six months of service. Under this plan, the Company may provide matching contributions up to a stipulated percentage of employee contributions. The expenses of the plan are fully funded by the Company; and the matching contribution, if any, is established each year by the Board of Directors. For fiscal 2007, the matching contribution by the Company was set at 50% of contributions by eligible employees up to a maximum of 6% of salary.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Non-Qualified Deferred Compensation Plan</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has a Non-Qualified Deferred Compensation Plan which was started in fiscal 2006 for the primary purpose of providing deferred compensation for a select group of management or highly compensated employees of the Company (the “Participants”). Participants may defer up to 80% of their compensation. Participants will be 100% vested in all of the amounts they defer as well as in the earnings attributable to each participant’s deferred account. The Company has established a Rabbi Trust to provide funding for benefits payable under this plan.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recognized $904,908, $933,941 and $938,424 of expense under these plans in fiscal 2007, 2006 and 2005, respectively.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Discontinued Operations</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During the fourth quarter of fiscal 2007, the Company exited its Jared M. operations. The Company purchased Jared M. in May 2006 in an effort to expand upon the custom clothing business and develop a direct sales capability within its Rochester business, which would cater to a very discriminating and select customer base. At the same time, the Company planned to expand the Jared M. direct sales force to further penetrate Jared’s existing business which catered to professional athletes and other high-profile clients. As a result, the Company decided to exit its Jared M. operations.</w:t>
      </w:r>
    </w:p>
    <w:p>
      <w:pPr>
        <w:spacing w:after="0" w:line="11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a result of this decision, during the third and fourth quarters of fiscal 2007, the Company recorded a total non-cash charge of $2.6 million relating to the impairment of fixed assets, the write-down of inventory and the write-off of certain other asset accounts. Of the $2.6 million charge, approximately $1.1 million related to the write-down of inventory and is included in discontinued operations as a reduction of gross margin for fiscal 2007. The remaining $1.5 million related to the impairment of long-lived assets, accounts receivables and other assets is included in discontinued operations as a “provision for impairment of assets” for fiscal 2007.</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Subsequent to the end of fiscal 2007, on February 19, 2008, the Company sold its Jared M. business to a third party for a cash purchase price of $250,000.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expect to recognize any material gain or loss.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results from discontinued operations from the Jared M. business for fiscal 2007 and fiscal 2006: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3"/>
              </w:rPr>
              <w:t>Fiscal 2007</w:t>
            </w:r>
          </w:p>
        </w:tc>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3"/>
              </w:rPr>
              <w:t>Fiscal 2006</w:t>
            </w:r>
          </w:p>
        </w:tc>
        <w:tc>
          <w:tcPr>
            <w:tcW w:w="0" w:type="dxa"/>
            <w:vAlign w:val="bottom"/>
          </w:tcPr>
          <w:p>
            <w:pPr>
              <w:spacing w:after="0"/>
              <w:rPr>
                <w:sz w:val="1"/>
                <w:szCs w:val="1"/>
                <w:color w:val="auto"/>
              </w:rPr>
            </w:pPr>
          </w:p>
        </w:tc>
      </w:tr>
      <w:tr>
        <w:trPr>
          <w:trHeight w:val="142"/>
        </w:trPr>
        <w:tc>
          <w:tcPr>
            <w:tcW w:w="92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Gross margin</w:t>
            </w: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Provision for impairment of assets</w:t>
            </w:r>
          </w:p>
        </w:tc>
        <w:tc>
          <w:tcPr>
            <w:tcW w:w="2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Benefit from income taxes</w:t>
            </w:r>
          </w:p>
        </w:tc>
        <w:tc>
          <w:tcPr>
            <w:tcW w:w="2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4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9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9800" w:hanging="452"/>
        <w:spacing w:after="0" w:line="391" w:lineRule="auto"/>
        <w:tabs>
          <w:tab w:leader="none" w:pos="228"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Acquisitions </w:t>
      </w:r>
      <w:r>
        <w:rPr>
          <w:rFonts w:ascii="Arial" w:cs="Arial" w:eastAsia="Arial" w:hAnsi="Arial"/>
          <w:sz w:val="16"/>
          <w:szCs w:val="16"/>
          <w:u w:val="single" w:color="auto"/>
          <w:color w:val="auto"/>
        </w:rPr>
        <w:t>SuperSizeWorld</w:t>
      </w:r>
    </w:p>
    <w:p>
      <w:pPr>
        <w:spacing w:after="0" w:line="1"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During the third quarter of fiscal 2006, the Company acquired SuperSizeWorld, a direct-to-consumer business specializing in the selling of select unique, high quality products which help larger people maintain a more comfortable lifestyle. The types of products sold by SuperSizeWorld, at its website www.SuperSizeWorld.com, include bathroom accessories, health and beauty items, medical products, sports and outdoor accessories, patio furniture, travel accessories and other household items. The Company paid a purchase price of approximately $400,000 and recognized goodwill of $322,000. During the first quarter of fiscal 2007, we changed the name to Living XL and launched the newly designed and updated website www.livingXL.com, and in the second quarter we launched the Living XL catalog.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 Sale of LP Innovations, Inc.</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During the first quarter of fiscal 2006, the Company sold its loss prevention subsidiary, LP Innovations, Inc. (“LPI”), to a private equity group for a purchase price of $5.2 million. The Company received $3.0 million of the purchase price in cash at the closing and entered into a note for the remaining purchase price of $2.2 million.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note requires LPI to make quarterly payments to the Company commencing on the first anniversary of the note. The Company recognized an initial gain on the sale of LPI in the amount of $1.5 million which was recognized as “other income” for fiscal 2006. Due to the uncertainty regarding the collection of the note, the Company fully reserved the balance of the note on the Consolidated Balance Sheet and recognizes income on the note when realizability is assured. For fiscal 2007, the Company recognized $0.5 million as “other income.”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Provision for Termination of Employment Contracts</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the third quarter of fiscal 2006, the Company terminated certain employment agreements with Rochester management as part of its plan to integrate the remaining San Francisco-based Rochester operations into its headquarters in Canton, Massachusetts. In connection with this decision to terminate these agreements, the Company incurred a charge of $1.2 million in the third quarter of fiscal 2006 to accrue its remaining obligations pursuant to these employees’ employment agreements. At February 2, 2008, approximately $175,000 remains outstanding. Below is a table showing the changes in the reserve balance from February 3, 2007 to February 2, 2008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4"/>
          </w:tcPr>
          <w:p>
            <w:pPr>
              <w:ind w:left="80"/>
              <w:spacing w:after="0"/>
              <w:rPr>
                <w:sz w:val="20"/>
                <w:szCs w:val="20"/>
                <w:color w:val="auto"/>
              </w:rPr>
            </w:pPr>
            <w:r>
              <w:rPr>
                <w:rFonts w:ascii="Arial" w:cs="Arial" w:eastAsia="Arial" w:hAnsi="Arial"/>
                <w:sz w:val="14"/>
                <w:szCs w:val="14"/>
                <w:b w:val="1"/>
                <w:bCs w:val="1"/>
                <w:color w:val="auto"/>
              </w:rPr>
              <w:t>Balance at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Net</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6"/>
              </w:rPr>
              <w:t>Charges/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Balance</w:t>
            </w:r>
          </w:p>
        </w:tc>
      </w:tr>
      <w:tr>
        <w:trPr>
          <w:trHeight w:val="149"/>
        </w:trPr>
        <w:tc>
          <w:tcPr>
            <w:tcW w:w="4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Beginning 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Provision</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Write-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At End</w:t>
            </w:r>
          </w:p>
        </w:tc>
      </w:tr>
      <w:tr>
        <w:trPr>
          <w:trHeight w:val="161"/>
        </w:trPr>
        <w:tc>
          <w:tcPr>
            <w:tcW w:w="4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Year</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87"/>
              </w:rPr>
              <w:t>(Benefit)</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77"/>
              </w:rPr>
              <w:t>offs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Year</w:t>
            </w:r>
          </w:p>
        </w:tc>
        <w:tc>
          <w:tcPr>
            <w:tcW w:w="20" w:type="dxa"/>
            <w:vAlign w:val="bottom"/>
          </w:tcPr>
          <w:p>
            <w:pPr>
              <w:spacing w:after="0"/>
              <w:rPr>
                <w:sz w:val="14"/>
                <w:szCs w:val="14"/>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severance</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(995)</w:t>
            </w: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center"/>
              <w:ind w:left="95"/>
              <w:spacing w:after="0"/>
              <w:rPr>
                <w:sz w:val="20"/>
                <w:szCs w:val="20"/>
                <w:color w:val="auto"/>
              </w:rPr>
            </w:pPr>
            <w:r>
              <w:rPr>
                <w:rFonts w:ascii="Arial" w:cs="Arial" w:eastAsia="Arial" w:hAnsi="Arial"/>
                <w:sz w:val="18"/>
                <w:szCs w:val="18"/>
                <w:color w:val="auto"/>
              </w:rPr>
              <w:t>$ 175</w:t>
            </w:r>
          </w:p>
        </w:tc>
        <w:tc>
          <w:tcPr>
            <w:tcW w:w="20" w:type="dxa"/>
            <w:vAlign w:val="bottom"/>
          </w:tcPr>
          <w:p>
            <w:pPr>
              <w:spacing w:after="0"/>
              <w:rPr>
                <w:sz w:val="18"/>
                <w:szCs w:val="18"/>
                <w:color w:val="auto"/>
              </w:rPr>
            </w:pPr>
          </w:p>
        </w:tc>
      </w:tr>
      <w:tr>
        <w:trPr>
          <w:trHeight w:val="457"/>
        </w:trPr>
        <w:tc>
          <w:tcPr>
            <w:tcW w:w="4900" w:type="dxa"/>
            <w:vAlign w:val="bottom"/>
          </w:tcPr>
          <w:p>
            <w:pPr>
              <w:spacing w:after="0"/>
              <w:rPr>
                <w:sz w:val="20"/>
                <w:szCs w:val="20"/>
                <w:color w:val="auto"/>
              </w:rPr>
            </w:pPr>
            <w:r>
              <w:rPr>
                <w:rFonts w:ascii="Arial" w:cs="Arial" w:eastAsia="Arial" w:hAnsi="Arial"/>
                <w:sz w:val="18"/>
                <w:szCs w:val="18"/>
                <w:b w:val="1"/>
                <w:bCs w:val="1"/>
                <w:color w:val="auto"/>
              </w:rPr>
              <w:t>N. Selected Quarterly Data (Unaudited)</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0"/>
        </w:trPr>
        <w:tc>
          <w:tcPr>
            <w:tcW w:w="49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FIRST</w:t>
            </w:r>
          </w:p>
        </w:tc>
        <w:tc>
          <w:tcPr>
            <w:tcW w:w="40" w:type="dxa"/>
            <w:vAlign w:val="bottom"/>
          </w:tcPr>
          <w:p>
            <w:pPr>
              <w:spacing w:after="0"/>
              <w:rPr>
                <w:sz w:val="24"/>
                <w:szCs w:val="24"/>
                <w:color w:val="auto"/>
              </w:rPr>
            </w:pPr>
          </w:p>
        </w:tc>
        <w:tc>
          <w:tcPr>
            <w:tcW w:w="1040" w:type="dxa"/>
            <w:vAlign w:val="bottom"/>
            <w:gridSpan w:val="4"/>
          </w:tcPr>
          <w:p>
            <w:pPr>
              <w:ind w:left="20"/>
              <w:spacing w:after="0"/>
              <w:rPr>
                <w:sz w:val="20"/>
                <w:szCs w:val="20"/>
                <w:color w:val="auto"/>
              </w:rPr>
            </w:pPr>
            <w:r>
              <w:rPr>
                <w:rFonts w:ascii="Arial" w:cs="Arial" w:eastAsia="Arial" w:hAnsi="Arial"/>
                <w:sz w:val="14"/>
                <w:szCs w:val="14"/>
                <w:b w:val="1"/>
                <w:bCs w:val="1"/>
                <w:color w:val="auto"/>
              </w:rPr>
              <w:t>SECOND</w:t>
            </w:r>
          </w:p>
        </w:tc>
        <w:tc>
          <w:tcPr>
            <w:tcW w:w="100" w:type="dxa"/>
            <w:vAlign w:val="bottom"/>
          </w:tcPr>
          <w:p>
            <w:pPr>
              <w:spacing w:after="0"/>
              <w:rPr>
                <w:sz w:val="24"/>
                <w:szCs w:val="24"/>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THIRD</w:t>
            </w:r>
          </w:p>
        </w:tc>
        <w:tc>
          <w:tcPr>
            <w:tcW w:w="280" w:type="dxa"/>
            <w:vAlign w:val="bottom"/>
          </w:tcPr>
          <w:p>
            <w:pPr>
              <w:spacing w:after="0"/>
              <w:rPr>
                <w:sz w:val="24"/>
                <w:szCs w:val="24"/>
                <w:color w:val="auto"/>
              </w:rPr>
            </w:pPr>
          </w:p>
        </w:tc>
        <w:tc>
          <w:tcPr>
            <w:tcW w:w="1080" w:type="dxa"/>
            <w:vAlign w:val="bottom"/>
            <w:gridSpan w:val="5"/>
          </w:tcPr>
          <w:p>
            <w:pPr>
              <w:ind w:left="40"/>
              <w:spacing w:after="0"/>
              <w:rPr>
                <w:sz w:val="20"/>
                <w:szCs w:val="20"/>
                <w:color w:val="auto"/>
              </w:rPr>
            </w:pPr>
            <w:r>
              <w:rPr>
                <w:rFonts w:ascii="Arial" w:cs="Arial" w:eastAsia="Arial" w:hAnsi="Arial"/>
                <w:sz w:val="14"/>
                <w:szCs w:val="14"/>
                <w:b w:val="1"/>
                <w:bCs w:val="1"/>
                <w:color w:val="auto"/>
              </w:rPr>
              <w:t>FOURTH</w:t>
            </w:r>
          </w:p>
        </w:tc>
        <w:tc>
          <w:tcPr>
            <w:tcW w:w="100" w:type="dxa"/>
            <w:vAlign w:val="bottom"/>
          </w:tcPr>
          <w:p>
            <w:pPr>
              <w:spacing w:after="0"/>
              <w:rPr>
                <w:sz w:val="24"/>
                <w:szCs w:val="24"/>
                <w:color w:val="auto"/>
              </w:rPr>
            </w:pPr>
          </w:p>
        </w:tc>
        <w:tc>
          <w:tcPr>
            <w:tcW w:w="660" w:type="dxa"/>
            <w:vAlign w:val="bottom"/>
            <w:gridSpan w:val="3"/>
          </w:tcPr>
          <w:p>
            <w:pPr>
              <w:ind w:left="60"/>
              <w:spacing w:after="0"/>
              <w:rPr>
                <w:sz w:val="20"/>
                <w:szCs w:val="20"/>
                <w:color w:val="auto"/>
              </w:rPr>
            </w:pPr>
            <w:r>
              <w:rPr>
                <w:rFonts w:ascii="Arial" w:cs="Arial" w:eastAsia="Arial" w:hAnsi="Arial"/>
                <w:sz w:val="14"/>
                <w:szCs w:val="14"/>
                <w:b w:val="1"/>
                <w:bCs w:val="1"/>
                <w:color w:val="auto"/>
              </w:rPr>
              <w:t>FULL</w:t>
            </w:r>
          </w:p>
        </w:tc>
      </w:tr>
      <w:tr>
        <w:trPr>
          <w:trHeight w:val="161"/>
        </w:trPr>
        <w:tc>
          <w:tcPr>
            <w:tcW w:w="4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5"/>
              </w:rPr>
              <w:t>QUARTER</w:t>
            </w:r>
          </w:p>
        </w:tc>
        <w:tc>
          <w:tcPr>
            <w:tcW w:w="400" w:type="dxa"/>
            <w:vAlign w:val="bottom"/>
          </w:tcPr>
          <w:p>
            <w:pPr>
              <w:spacing w:after="0"/>
              <w:rPr>
                <w:sz w:val="14"/>
                <w:szCs w:val="14"/>
                <w:color w:val="auto"/>
              </w:rPr>
            </w:pPr>
          </w:p>
        </w:tc>
        <w:tc>
          <w:tcPr>
            <w:tcW w:w="6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5"/>
              </w:rPr>
              <w:t>QUARTER</w:t>
            </w:r>
          </w:p>
        </w:tc>
        <w:tc>
          <w:tcPr>
            <w:tcW w:w="400" w:type="dxa"/>
            <w:vAlign w:val="bottom"/>
            <w:gridSpan w:val="2"/>
          </w:tcPr>
          <w:p>
            <w:pPr>
              <w:spacing w:after="0"/>
              <w:rPr>
                <w:sz w:val="14"/>
                <w:szCs w:val="14"/>
                <w:color w:val="auto"/>
              </w:rPr>
            </w:pPr>
          </w:p>
        </w:tc>
        <w:tc>
          <w:tcPr>
            <w:tcW w:w="6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5"/>
              </w:rPr>
              <w:t>QUARTER</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5"/>
              </w:rPr>
              <w:t>QUARTER</w:t>
            </w:r>
          </w:p>
        </w:tc>
        <w:tc>
          <w:tcPr>
            <w:tcW w:w="400" w:type="dxa"/>
            <w:vAlign w:val="bottom"/>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4"/>
                <w:szCs w:val="14"/>
                <w:b w:val="1"/>
                <w:bCs w:val="1"/>
                <w:color w:val="auto"/>
              </w:rPr>
              <w:t>YEAR</w:t>
            </w:r>
          </w:p>
        </w:tc>
        <w:tc>
          <w:tcPr>
            <w:tcW w:w="20" w:type="dxa"/>
            <w:vAlign w:val="bottom"/>
          </w:tcPr>
          <w:p>
            <w:pPr>
              <w:spacing w:after="0"/>
              <w:rPr>
                <w:sz w:val="14"/>
                <w:szCs w:val="14"/>
                <w:color w:val="auto"/>
              </w:rPr>
            </w:pPr>
          </w:p>
        </w:tc>
      </w:tr>
      <w:tr>
        <w:trPr>
          <w:trHeight w:val="142"/>
        </w:trPr>
        <w:tc>
          <w:tcPr>
            <w:tcW w:w="4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80" w:type="dxa"/>
            <w:vAlign w:val="bottom"/>
            <w:gridSpan w:val="13"/>
          </w:tcPr>
          <w:p>
            <w:pPr>
              <w:ind w:left="120"/>
              <w:spacing w:after="0" w:line="142" w:lineRule="exact"/>
              <w:rPr>
                <w:sz w:val="20"/>
                <w:szCs w:val="20"/>
                <w:color w:val="auto"/>
              </w:rPr>
            </w:pPr>
            <w:r>
              <w:rPr>
                <w:rFonts w:ascii="Arial" w:cs="Arial" w:eastAsia="Arial" w:hAnsi="Arial"/>
                <w:sz w:val="14"/>
                <w:szCs w:val="14"/>
                <w:b w:val="1"/>
                <w:bCs w:val="1"/>
                <w:color w:val="auto"/>
              </w:rPr>
              <w:t>(In Thousands, Except Per Share Data)</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2007</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Sales</w:t>
            </w:r>
          </w:p>
        </w:tc>
        <w:tc>
          <w:tcPr>
            <w:tcW w:w="1560" w:type="dxa"/>
            <w:vAlign w:val="bottom"/>
            <w:gridSpan w:val="2"/>
          </w:tcPr>
          <w:p>
            <w:pPr>
              <w:ind w:left="146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110,631</w:t>
            </w:r>
          </w:p>
        </w:tc>
        <w:tc>
          <w:tcPr>
            <w:tcW w:w="800" w:type="dxa"/>
            <w:vAlign w:val="bottom"/>
            <w:gridSpan w:val="4"/>
          </w:tcPr>
          <w:p>
            <w:pPr>
              <w:jc w:val="right"/>
              <w:ind w:right="120"/>
              <w:spacing w:after="0"/>
              <w:rPr>
                <w:sz w:val="20"/>
                <w:szCs w:val="20"/>
                <w:color w:val="auto"/>
              </w:rPr>
            </w:pPr>
            <w:r>
              <w:rPr>
                <w:rFonts w:ascii="Arial" w:cs="Arial" w:eastAsia="Arial" w:hAnsi="Arial"/>
                <w:sz w:val="18"/>
                <w:szCs w:val="18"/>
                <w:color w:val="auto"/>
                <w:w w:val="82"/>
              </w:rPr>
              <w:t>$ 113,529</w:t>
            </w:r>
          </w:p>
        </w:tc>
        <w:tc>
          <w:tcPr>
            <w:tcW w:w="2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w w:val="86"/>
              </w:rPr>
              <w:t>106,097</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$133,871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w w:val="87"/>
              </w:rPr>
              <w:t>$464,128</w:t>
            </w:r>
          </w:p>
        </w:tc>
        <w:tc>
          <w:tcPr>
            <w:tcW w:w="2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50,624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52,830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46,530</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55,989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205,973</w:t>
            </w:r>
          </w:p>
        </w:tc>
        <w:tc>
          <w:tcPr>
            <w:tcW w:w="20" w:type="dxa"/>
            <w:vAlign w:val="bottom"/>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Operating income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3,258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5,761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(1,942)</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3,433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10,510</w:t>
            </w:r>
          </w:p>
        </w:tc>
        <w:tc>
          <w:tcPr>
            <w:tcW w:w="2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1,553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2,898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(1,858)</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3,926</w:t>
            </w:r>
          </w:p>
        </w:tc>
        <w:tc>
          <w:tcPr>
            <w:tcW w:w="20" w:type="dxa"/>
            <w:vAlign w:val="bottom"/>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Loss from discontinuing operations, net of tax(1)</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(429)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(425)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(1,963)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(695)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(3,512)</w:t>
            </w:r>
          </w:p>
        </w:tc>
        <w:tc>
          <w:tcPr>
            <w:tcW w:w="2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(loss)(2)</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1,124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2,473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(3,821)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20" w:type="dxa"/>
            <w:vAlign w:val="bottom"/>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Earnings per share—basic</w:t>
            </w:r>
          </w:p>
        </w:tc>
        <w:tc>
          <w:tcPr>
            <w:tcW w:w="1560" w:type="dxa"/>
            <w:vAlign w:val="bottom"/>
            <w:gridSpan w:val="2"/>
          </w:tcPr>
          <w:p>
            <w:pPr>
              <w:ind w:left="146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0.03</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0.06</w:t>
            </w:r>
          </w:p>
        </w:tc>
        <w:tc>
          <w:tcPr>
            <w:tcW w:w="2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(0.09)</w:t>
            </w:r>
          </w:p>
        </w:tc>
        <w:tc>
          <w:tcPr>
            <w:tcW w:w="5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0.02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share—diluted</w:t>
            </w:r>
          </w:p>
        </w:tc>
        <w:tc>
          <w:tcPr>
            <w:tcW w:w="156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0.03</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(0.09)</w:t>
            </w: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0.02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8"/>
                <w:szCs w:val="18"/>
                <w:color w:val="auto"/>
              </w:rPr>
            </w:pPr>
          </w:p>
        </w:tc>
      </w:tr>
      <w:tr>
        <w:trPr>
          <w:trHeight w:val="322"/>
        </w:trPr>
        <w:tc>
          <w:tcPr>
            <w:tcW w:w="4900" w:type="dxa"/>
            <w:vAlign w:val="bottom"/>
          </w:tcPr>
          <w:p>
            <w:pPr>
              <w:spacing w:after="0"/>
              <w:rPr>
                <w:sz w:val="20"/>
                <w:szCs w:val="20"/>
                <w:color w:val="auto"/>
              </w:rPr>
            </w:pPr>
            <w:r>
              <w:rPr>
                <w:rFonts w:ascii="Arial" w:cs="Arial" w:eastAsia="Arial" w:hAnsi="Arial"/>
                <w:sz w:val="18"/>
                <w:szCs w:val="18"/>
                <w:b w:val="1"/>
                <w:bCs w:val="1"/>
                <w:color w:val="auto"/>
              </w:rPr>
              <w:t>FISCAL YEAR 2006</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56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102,864</w:t>
            </w:r>
          </w:p>
        </w:tc>
        <w:tc>
          <w:tcPr>
            <w:tcW w:w="8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82"/>
              </w:rPr>
              <w:t>$ 111,393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6"/>
              </w:rPr>
              <w:t>106,430</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$144,706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$465,393</w:t>
            </w:r>
          </w:p>
        </w:tc>
        <w:tc>
          <w:tcPr>
            <w:tcW w:w="20" w:type="dxa"/>
            <w:vAlign w:val="bottom"/>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Gross margin</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45,004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50,412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46,874</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69,347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6"/>
              </w:rPr>
              <w:t>211,637</w:t>
            </w:r>
          </w:p>
        </w:tc>
        <w:tc>
          <w:tcPr>
            <w:tcW w:w="2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2,395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7,144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714</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16,303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26,556</w:t>
            </w:r>
          </w:p>
        </w:tc>
        <w:tc>
          <w:tcPr>
            <w:tcW w:w="20" w:type="dxa"/>
            <w:vAlign w:val="bottom"/>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1,387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3,519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(498)</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38,894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43,302</w:t>
            </w:r>
          </w:p>
        </w:tc>
        <w:tc>
          <w:tcPr>
            <w:tcW w:w="2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tax(1)</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(206)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20" w:type="dxa"/>
            <w:vAlign w:val="bottom"/>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Net income (loss)(3)</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1,387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3,401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(844)</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38,688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42,632</w:t>
            </w:r>
          </w:p>
        </w:tc>
        <w:tc>
          <w:tcPr>
            <w:tcW w:w="2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share—basic</w:t>
            </w:r>
          </w:p>
        </w:tc>
        <w:tc>
          <w:tcPr>
            <w:tcW w:w="156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0.04</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(0.02)</w:t>
            </w: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8"/>
                <w:szCs w:val="18"/>
                <w:color w:val="auto"/>
              </w:rPr>
            </w:pPr>
          </w:p>
        </w:tc>
      </w:tr>
      <w:tr>
        <w:trPr>
          <w:trHeight w:val="222"/>
        </w:trPr>
        <w:tc>
          <w:tcPr>
            <w:tcW w:w="4900" w:type="dxa"/>
            <w:vAlign w:val="bottom"/>
          </w:tcPr>
          <w:p>
            <w:pPr>
              <w:spacing w:after="0"/>
              <w:rPr>
                <w:sz w:val="20"/>
                <w:szCs w:val="20"/>
                <w:color w:val="auto"/>
              </w:rPr>
            </w:pPr>
            <w:r>
              <w:rPr>
                <w:rFonts w:ascii="Arial" w:cs="Arial" w:eastAsia="Arial" w:hAnsi="Arial"/>
                <w:sz w:val="18"/>
                <w:szCs w:val="18"/>
                <w:color w:val="auto"/>
              </w:rPr>
              <w:t>Earnings per share—diluted(4)</w:t>
            </w:r>
          </w:p>
        </w:tc>
        <w:tc>
          <w:tcPr>
            <w:tcW w:w="1560" w:type="dxa"/>
            <w:vAlign w:val="bottom"/>
            <w:gridSpan w:val="2"/>
          </w:tcPr>
          <w:p>
            <w:pPr>
              <w:ind w:left="146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0.04</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0.09</w:t>
            </w:r>
          </w:p>
        </w:tc>
        <w:tc>
          <w:tcPr>
            <w:tcW w:w="2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(0.02)</w:t>
            </w:r>
          </w:p>
        </w:tc>
        <w:tc>
          <w:tcPr>
            <w:tcW w:w="5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0.83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0.98</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jc w:val="both"/>
        <w:ind w:left="460" w:right="60" w:hanging="452"/>
        <w:spacing w:after="0" w:line="253"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During the fourth quarter of fiscal 2007, the Company exited its Jared M. operations and recorded a charge of $2.6 million during the fourth quarter related to inventory and impairment charges. The operating results of Jared M. for fiscal 2007 and fiscal 2006 have been reclassed to discontinued operations. See Note J- Discontinued Operations for a full discussion of discontinued operations.</w:t>
      </w:r>
    </w:p>
    <w:p>
      <w:pPr>
        <w:ind w:left="460" w:right="280" w:hanging="452"/>
        <w:spacing w:after="0" w:line="255"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Results for the fourth quarter of fiscal 2007 include a charge to gross margin for the write-down of inventory of approximately $6.1 million, of which approximately $2.7 million relates to excess merchandise with the remaining amount related to the correction of freight and other inventory adjustments which were deemed immaterial to the prior periods presented.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83"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Results for the first quarter of fiscal 2006 include other income (expense) of $1.1 million related to the initial gain on the sale of LPI of $1.5 million offset partially by $0.4 million of unrelated non-operating expenses, primarily related to legal costs. Results for the third quarter of fiscal 2006 include a charge of $1.2 million related to the costs incurred for the early termination of certain employment contracts. Results for the fourth quarter of fiscal 2006 include an income tax benefit of $30.5 million related to the reversal of the Company’s income tax valuation allowance. See Note D- Taxes.</w:t>
      </w:r>
    </w:p>
    <w:p>
      <w:pPr>
        <w:spacing w:after="0" w:line="2" w:lineRule="exact"/>
        <w:rPr>
          <w:rFonts w:ascii="Arial" w:cs="Arial" w:eastAsia="Arial" w:hAnsi="Arial"/>
          <w:sz w:val="16"/>
          <w:szCs w:val="16"/>
          <w:color w:val="auto"/>
        </w:rPr>
      </w:pPr>
    </w:p>
    <w:p>
      <w:pPr>
        <w:ind w:left="460" w:hanging="452"/>
        <w:spacing w:after="0" w:line="255"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Diluted earnings per share for the fourth quarter and fiscal year 2006 include the impact of the Company’s convertible notes. Such notes had an anti-dilutive effect for the first three quarters of fiscal 2006. The convertible notes were fully redeemed and converted into shares of common stock during fiscal 2006.</w:t>
      </w:r>
    </w:p>
    <w:p>
      <w:pPr>
        <w:spacing w:after="0" w:line="14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Consistent with the retail apparel industry, the Company’s business is seasonal with the largest volume of its sales generated during the Father’s Day selling season in June and the Christmas selling season in December. As a result of the impact of the Christmas selling season, the majority of the Company’s operating income is generated in the fourth quarter.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Management’s Conclusions Regarding the Effectiveness of Disclosure Controls and Procedures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required by Rule 13a-15 under the Securities Exchange Act of 1934, as amended (the “Exchange Act”), our management, under the supervision and with the participation of our Chief Executive Officer and Chief Financial Officer, evaluated the effectiveness of our disclosure controls and procedures (as defined in Rules 13a-15(e) and 15d-15(e) under the Exchange Act) as of February 2, 2008. Based on this evaluation, our Chief Executive Officer and Chief Financial Officer concluded that, as of February 2, 2008, our disclosure controls and procedures were effective, in that they provide reasonable assurance that information required to be disclosed by us in the reports that we file or submit under the Exchange Act is recorded, processed, summarized and reported within the time periods specified in the SEC’s rules and forms.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9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under the Exchange Act. Our internal control over financial reporting is a process designed under the supervision of our Chief Executive Officer and Chief Financial Officer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w:t>
      </w:r>
    </w:p>
    <w:p>
      <w:pPr>
        <w:spacing w:after="0" w:line="32" w:lineRule="exact"/>
        <w:rPr>
          <w:sz w:val="20"/>
          <w:szCs w:val="20"/>
          <w:color w:val="auto"/>
        </w:rPr>
      </w:pPr>
    </w:p>
    <w:p>
      <w:pPr>
        <w:ind w:left="1120" w:hanging="217"/>
        <w:spacing w:after="0"/>
        <w:tabs>
          <w:tab w:leader="none" w:pos="11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113" w:lineRule="exact"/>
        <w:rPr>
          <w:rFonts w:ascii="Arial" w:cs="Arial" w:eastAsia="Arial" w:hAnsi="Arial"/>
          <w:sz w:val="16"/>
          <w:szCs w:val="16"/>
          <w:color w:val="auto"/>
        </w:rPr>
      </w:pPr>
    </w:p>
    <w:p>
      <w:pPr>
        <w:ind w:left="460" w:right="40" w:firstLine="443"/>
        <w:spacing w:after="0" w:line="259" w:lineRule="auto"/>
        <w:tabs>
          <w:tab w:leader="none" w:pos="1157"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59" w:lineRule="exact"/>
        <w:rPr>
          <w:rFonts w:ascii="Arial" w:cs="Arial" w:eastAsia="Arial" w:hAnsi="Arial"/>
          <w:sz w:val="18"/>
          <w:szCs w:val="18"/>
          <w:color w:val="auto"/>
        </w:rPr>
      </w:pPr>
    </w:p>
    <w:p>
      <w:pPr>
        <w:ind w:left="460" w:right="100" w:firstLine="443"/>
        <w:spacing w:after="0" w:line="268" w:lineRule="auto"/>
        <w:tabs>
          <w:tab w:leader="none" w:pos="1205"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assets that could have a material effect on the financial statements.</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There are inherent limitations in the effectiveness of any internal control, including the possibility of human error and the circumvention or overriding of controls. Accordingly, even effective internal controls can provide only reasonable assurances with respect to financial statement preparation.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Management assessed the design and effectiveness of our internal control over financial reporting as of February 2, 2008. In making this assessment, management used the criteria set forth by the Committee of Sponsoring Organizations of the Treadway Commission (COSO) in Internal Control- Integrated Framework.</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Based on management’s assessment and those criteria, management determined that we maintained effective internal control over financial reporting as of February 2, 2008.</w:t>
      </w:r>
    </w:p>
    <w:p>
      <w:pPr>
        <w:spacing w:after="0" w:line="132"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As indicated in its Attestation Report included below, Ernst &amp; Young LLP, the independent registered public accounting firm that audited the financial statements included in this report, has attested to the effectiveness of our internal control over financial reporting as of February 2, 2008.</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 w:right="2680" w:firstLine="2695"/>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Stockholders of Casual Male Retail Group, Inc.</w:t>
      </w:r>
    </w:p>
    <w:p>
      <w:pPr>
        <w:spacing w:after="0" w:line="2"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have audited Casual Male Retail Group Inc.’s internal control over financial reporting as of February 2, 2008, based on criteria established in Internal Control—Integrated Framework issued by the Committee of Sponsoring Organizations of the Treadway Commission (the COSO criteria). Casual Male Retail Group, Inc.’s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our opinion, Casual Male Retail Group, Inc. maintained, in all material respects, effective internal control over financial reporting as of February 2, 2008, based on the COSO criteria</w:t>
      </w:r>
      <w:r>
        <w:rPr>
          <w:rFonts w:ascii="Arial" w:cs="Arial" w:eastAsia="Arial" w:hAnsi="Arial"/>
          <w:sz w:val="18"/>
          <w:szCs w:val="18"/>
          <w:b w:val="1"/>
          <w:bCs w:val="1"/>
          <w:color w:val="auto"/>
        </w:rPr>
        <w:t>.</w:t>
      </w:r>
    </w:p>
    <w:p>
      <w:pPr>
        <w:spacing w:after="0" w:line="132"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Casual Male Retail Group Inc. as of February 2, 2008 and February 3, 2007, and the related consolidated statements of operations, changes in stockholders’ equity, and cash flows for each of the three years in the period ended February 2, 2008 of Casual Male Retail Group, Inc. and our report dated March 24, 2008 expressed an unqualified opinion thereon.</w:t>
      </w:r>
    </w:p>
    <w:p>
      <w:pPr>
        <w:spacing w:after="0" w:line="143" w:lineRule="exact"/>
        <w:rPr>
          <w:sz w:val="20"/>
          <w:szCs w:val="20"/>
          <w:color w:val="auto"/>
        </w:rPr>
      </w:pPr>
    </w:p>
    <w:p>
      <w:pPr>
        <w:ind w:left="6060"/>
        <w:spacing w:after="0"/>
        <w:tabs>
          <w:tab w:leader="none" w:pos="63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24, 2008</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fiscal quarter ended February 2, 2008 that has materially affected, or is reasonably likely to materially affect, our internal control over financial reporting.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r>
        <w:rPr>
          <w:rFonts w:ascii="Arial" w:cs="Arial" w:eastAsia="Arial" w:hAnsi="Arial"/>
          <w:sz w:val="18"/>
          <w:szCs w:val="18"/>
          <w:i w:val="1"/>
          <w:i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00"/>
          </w:cols>
          <w:pgMar w:left="240" w:top="459" w:right="3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17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Pursuant to Paragraph G(3) of the General Instructions to Form 10-K, the information required by Part III (Items 10, 11, 12, 13 and 14) is being incorporated by reference herein from our definitive proxy statement (or an amendment to this Annual Report on Form 10-K) to be filed with the Securities and Exchange Commission within 120 days of the end of the fiscal year ended February 2, 2008 in connection with our 2008 Annual Meeting of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Commission within 120 days of the end of the fiscal year ended February 2,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Commission within 120 days of the end of the fiscal year ended February 2,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Commission within 120 days of the end of the fiscal year ended February 2,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Commission within 120 days of the end of the fiscal year ended February 2,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Commission within 120 days of the end of the fiscal year ended February 2, 2008.</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45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15(a)(1) Financial Statements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list of consolidated financial statements and notes required by this Item 15(a)(1) is set forth in the “Index to Consolidated Financial Statements” on page 43 of this Annual Report.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15(a)(2) Financial Statement Schedules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All schedules have been omitted because the required information is not applicable or is not present in amounts sufficient to require submission of the schedules, or because the information required is included in the financial statements or notes thereto.</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15(a)(3) Exhibits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list of exhibits required by this Item 15(a)(3) is set forth in the “Index to Exhibits” beginning on page 75 of this Annual Report.</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00"/>
          </w:cols>
          <w:pgMar w:left="240" w:top="459" w:right="5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10900" w:type="dxa"/>
            <w:vAlign w:val="bottom"/>
          </w:tcPr>
          <w:p>
            <w:pPr>
              <w:ind w:left="432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53"/>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Exhibits</w:t>
            </w:r>
          </w:p>
        </w:tc>
        <w:tc>
          <w:tcPr>
            <w:tcW w:w="10900" w:type="dxa"/>
            <w:vAlign w:val="bottom"/>
            <w:vMerge w:val="restart"/>
          </w:tcPr>
          <w:p>
            <w:pPr>
              <w:ind w:left="780"/>
              <w:spacing w:after="0"/>
              <w:rPr>
                <w:sz w:val="20"/>
                <w:szCs w:val="20"/>
                <w:color w:val="auto"/>
              </w:rPr>
            </w:pPr>
            <w:r>
              <w:rPr>
                <w:rFonts w:ascii="Arial" w:cs="Arial" w:eastAsia="Arial" w:hAnsi="Arial"/>
                <w:sz w:val="18"/>
                <w:szCs w:val="18"/>
                <w:color w:val="auto"/>
                <w:w w:val="88"/>
              </w:rPr>
              <w:t>Restated Certificate of Incorporation of the Company, as amended (included as Exhibit 3.1 to Amendment No. 3 of the Company’s Registration</w:t>
            </w:r>
          </w:p>
        </w:tc>
        <w:tc>
          <w:tcPr>
            <w:tcW w:w="0" w:type="dxa"/>
            <w:vAlign w:val="bottom"/>
          </w:tcPr>
          <w:p>
            <w:pPr>
              <w:spacing w:after="0"/>
              <w:rPr>
                <w:sz w:val="1"/>
                <w:szCs w:val="1"/>
                <w:color w:val="auto"/>
              </w:rPr>
            </w:pPr>
          </w:p>
        </w:tc>
      </w:tr>
      <w:tr>
        <w:trPr>
          <w:trHeight w:val="201"/>
        </w:trPr>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3.1</w:t>
            </w:r>
          </w:p>
        </w:tc>
        <w:tc>
          <w:tcPr>
            <w:tcW w:w="10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780"/>
              <w:spacing w:after="0"/>
              <w:rPr>
                <w:sz w:val="20"/>
                <w:szCs w:val="20"/>
                <w:color w:val="auto"/>
              </w:rPr>
            </w:pPr>
            <w:r>
              <w:rPr>
                <w:rFonts w:ascii="Arial" w:cs="Arial" w:eastAsia="Arial" w:hAnsi="Arial"/>
                <w:sz w:val="18"/>
                <w:szCs w:val="18"/>
                <w:color w:val="auto"/>
              </w:rPr>
              <w:t>Statement on Form S-1 (No. 33-13402), and incorporated herein by reference).*</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10900" w:type="dxa"/>
            <w:vAlign w:val="bottom"/>
          </w:tcPr>
          <w:p>
            <w:pPr>
              <w:ind w:left="780"/>
              <w:spacing w:after="0"/>
              <w:rPr>
                <w:sz w:val="20"/>
                <w:szCs w:val="20"/>
                <w:color w:val="auto"/>
              </w:rPr>
            </w:pPr>
            <w:r>
              <w:rPr>
                <w:rFonts w:ascii="Arial" w:cs="Arial" w:eastAsia="Arial" w:hAnsi="Arial"/>
                <w:sz w:val="18"/>
                <w:szCs w:val="18"/>
                <w:color w:val="auto"/>
                <w:w w:val="88"/>
              </w:rPr>
              <w:t>Certificate of Amendment to Restated Certificate of Incorporation, as amended, dated June 22, 1993 (included as Exhibit 3.2 to the Company’s</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780"/>
              <w:spacing w:after="0"/>
              <w:rPr>
                <w:sz w:val="20"/>
                <w:szCs w:val="20"/>
                <w:color w:val="auto"/>
              </w:rPr>
            </w:pPr>
            <w:r>
              <w:rPr>
                <w:rFonts w:ascii="Arial" w:cs="Arial" w:eastAsia="Arial" w:hAnsi="Arial"/>
                <w:sz w:val="18"/>
                <w:szCs w:val="18"/>
                <w:color w:val="auto"/>
              </w:rPr>
              <w:t>Quarterly Report on Form 10-Q filed on June 18, 1996, and incorporated herein by reference).*</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3.3</w:t>
            </w:r>
          </w:p>
        </w:tc>
        <w:tc>
          <w:tcPr>
            <w:tcW w:w="10900" w:type="dxa"/>
            <w:vAlign w:val="bottom"/>
          </w:tcPr>
          <w:p>
            <w:pPr>
              <w:ind w:left="780"/>
              <w:spacing w:after="0"/>
              <w:rPr>
                <w:sz w:val="20"/>
                <w:szCs w:val="20"/>
                <w:color w:val="auto"/>
              </w:rPr>
            </w:pPr>
            <w:r>
              <w:rPr>
                <w:rFonts w:ascii="Arial" w:cs="Arial" w:eastAsia="Arial" w:hAnsi="Arial"/>
                <w:sz w:val="18"/>
                <w:szCs w:val="18"/>
                <w:color w:val="auto"/>
                <w:w w:val="96"/>
              </w:rPr>
              <w:t>Certificate of Amendment to Restated Certificate of Incorporation, as amended, dated August 8, 2002 (included as Exhibit 3.3 to the</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780"/>
              <w:spacing w:after="0"/>
              <w:rPr>
                <w:sz w:val="20"/>
                <w:szCs w:val="20"/>
                <w:color w:val="auto"/>
              </w:rPr>
            </w:pPr>
            <w:r>
              <w:rPr>
                <w:rFonts w:ascii="Arial" w:cs="Arial" w:eastAsia="Arial" w:hAnsi="Arial"/>
                <w:sz w:val="18"/>
                <w:szCs w:val="18"/>
                <w:color w:val="auto"/>
              </w:rPr>
              <w:t>Company’s Quarterly Report on Form 10-Q filed on September 17, 2002, and incorporated herein by reference).*</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3.4</w:t>
            </w:r>
          </w:p>
        </w:tc>
        <w:tc>
          <w:tcPr>
            <w:tcW w:w="10900" w:type="dxa"/>
            <w:vAlign w:val="bottom"/>
          </w:tcPr>
          <w:p>
            <w:pPr>
              <w:ind w:left="780"/>
              <w:spacing w:after="0"/>
              <w:rPr>
                <w:sz w:val="20"/>
                <w:szCs w:val="20"/>
                <w:color w:val="auto"/>
              </w:rPr>
            </w:pPr>
            <w:r>
              <w:rPr>
                <w:rFonts w:ascii="Arial" w:cs="Arial" w:eastAsia="Arial" w:hAnsi="Arial"/>
                <w:sz w:val="18"/>
                <w:szCs w:val="18"/>
                <w:color w:val="auto"/>
                <w:w w:val="90"/>
              </w:rPr>
              <w:t>Certificate of Designations, Preferences and Rights of a Series of Preferred Stock of the Company establishing Series A Junior Participating</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tcPr>
          <w:p>
            <w:pPr>
              <w:ind w:left="780"/>
              <w:spacing w:after="0"/>
              <w:rPr>
                <w:sz w:val="20"/>
                <w:szCs w:val="20"/>
                <w:color w:val="auto"/>
              </w:rPr>
            </w:pPr>
            <w:r>
              <w:rPr>
                <w:rFonts w:ascii="Arial" w:cs="Arial" w:eastAsia="Arial" w:hAnsi="Arial"/>
                <w:sz w:val="18"/>
                <w:szCs w:val="18"/>
                <w:color w:val="auto"/>
                <w:w w:val="90"/>
              </w:rPr>
              <w:t>Cumulative Preferred Stock dated May 1, 1995 (included as Exhibit 3.2 to the Company’s Annual Report on Form 10-K filed on May 3, 1996,</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780"/>
              <w:spacing w:after="0"/>
              <w:rPr>
                <w:sz w:val="20"/>
                <w:szCs w:val="20"/>
                <w:color w:val="auto"/>
              </w:rPr>
            </w:pPr>
            <w:r>
              <w:rPr>
                <w:rFonts w:ascii="Arial" w:cs="Arial" w:eastAsia="Arial" w:hAnsi="Arial"/>
                <w:sz w:val="18"/>
                <w:szCs w:val="18"/>
                <w:color w:val="auto"/>
              </w:rPr>
              <w:t>and incorporated herein by reference).*</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3.5</w:t>
            </w:r>
          </w:p>
        </w:tc>
        <w:tc>
          <w:tcPr>
            <w:tcW w:w="10900" w:type="dxa"/>
            <w:vAlign w:val="bottom"/>
          </w:tcPr>
          <w:p>
            <w:pPr>
              <w:ind w:left="780"/>
              <w:spacing w:after="0"/>
              <w:rPr>
                <w:sz w:val="20"/>
                <w:szCs w:val="20"/>
                <w:color w:val="auto"/>
              </w:rPr>
            </w:pPr>
            <w:r>
              <w:rPr>
                <w:rFonts w:ascii="Arial" w:cs="Arial" w:eastAsia="Arial" w:hAnsi="Arial"/>
                <w:sz w:val="18"/>
                <w:szCs w:val="18"/>
                <w:color w:val="auto"/>
                <w:w w:val="92"/>
              </w:rPr>
              <w:t>Certificate of Designations, Preferences and Relative, Participating, Optional and Other Special Rights and Qualifications, Limitations and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tcPr>
          <w:p>
            <w:pPr>
              <w:ind w:left="780"/>
              <w:spacing w:after="0"/>
              <w:rPr>
                <w:sz w:val="20"/>
                <w:szCs w:val="20"/>
                <w:color w:val="auto"/>
              </w:rPr>
            </w:pPr>
            <w:r>
              <w:rPr>
                <w:rFonts w:ascii="Arial" w:cs="Arial" w:eastAsia="Arial" w:hAnsi="Arial"/>
                <w:sz w:val="18"/>
                <w:szCs w:val="18"/>
                <w:color w:val="auto"/>
                <w:w w:val="89"/>
              </w:rPr>
              <w:t>Restrictions of Series B Convertible Preferred Stock dated May 14, 2002 (included as Exhibit 3.1 to the Company’s Form 8-K filed on May 23,</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780"/>
              <w:spacing w:after="0"/>
              <w:rPr>
                <w:sz w:val="20"/>
                <w:szCs w:val="20"/>
                <w:color w:val="auto"/>
              </w:rPr>
            </w:pPr>
            <w:r>
              <w:rPr>
                <w:rFonts w:ascii="Arial" w:cs="Arial" w:eastAsia="Arial" w:hAnsi="Arial"/>
                <w:sz w:val="18"/>
                <w:szCs w:val="18"/>
                <w:color w:val="auto"/>
              </w:rPr>
              <w:t>2002, and incorporated herein by reference).*</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3.6</w:t>
            </w:r>
          </w:p>
        </w:tc>
        <w:tc>
          <w:tcPr>
            <w:tcW w:w="10900" w:type="dxa"/>
            <w:vAlign w:val="bottom"/>
          </w:tcPr>
          <w:p>
            <w:pPr>
              <w:ind w:left="780"/>
              <w:spacing w:after="0"/>
              <w:rPr>
                <w:sz w:val="20"/>
                <w:szCs w:val="20"/>
                <w:color w:val="auto"/>
              </w:rPr>
            </w:pPr>
            <w:r>
              <w:rPr>
                <w:rFonts w:ascii="Arial" w:cs="Arial" w:eastAsia="Arial" w:hAnsi="Arial"/>
                <w:sz w:val="18"/>
                <w:szCs w:val="18"/>
                <w:color w:val="auto"/>
                <w:w w:val="89"/>
              </w:rPr>
              <w:t>By-Laws of the Company, as amended (included as Exhibit 3.4 to the Company’s Quarterly Report on Form 10-Q filed on December 12, 2000,</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780"/>
              <w:spacing w:after="0"/>
              <w:rPr>
                <w:sz w:val="20"/>
                <w:szCs w:val="20"/>
                <w:color w:val="auto"/>
              </w:rPr>
            </w:pPr>
            <w:r>
              <w:rPr>
                <w:rFonts w:ascii="Arial" w:cs="Arial" w:eastAsia="Arial" w:hAnsi="Arial"/>
                <w:sz w:val="18"/>
                <w:szCs w:val="18"/>
                <w:color w:val="auto"/>
              </w:rPr>
              <w:t>and incorporated herein by reference).*</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4.1</w:t>
            </w:r>
          </w:p>
        </w:tc>
        <w:tc>
          <w:tcPr>
            <w:tcW w:w="10900" w:type="dxa"/>
            <w:vAlign w:val="bottom"/>
          </w:tcPr>
          <w:p>
            <w:pPr>
              <w:ind w:left="780"/>
              <w:spacing w:after="0"/>
              <w:rPr>
                <w:sz w:val="20"/>
                <w:szCs w:val="20"/>
                <w:color w:val="auto"/>
              </w:rPr>
            </w:pPr>
            <w:r>
              <w:rPr>
                <w:rFonts w:ascii="Arial" w:cs="Arial" w:eastAsia="Arial" w:hAnsi="Arial"/>
                <w:sz w:val="18"/>
                <w:szCs w:val="18"/>
                <w:color w:val="auto"/>
                <w:w w:val="89"/>
              </w:rPr>
              <w:t>Indenture, dated as of November 18, 2003, between the Company and U.S. Bank National Association, as Trustee (included as Exhibit 4.1 to</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780"/>
              <w:spacing w:after="0"/>
              <w:rPr>
                <w:sz w:val="20"/>
                <w:szCs w:val="20"/>
                <w:color w:val="auto"/>
              </w:rPr>
            </w:pPr>
            <w:r>
              <w:rPr>
                <w:rFonts w:ascii="Arial" w:cs="Arial" w:eastAsia="Arial" w:hAnsi="Arial"/>
                <w:sz w:val="18"/>
                <w:szCs w:val="18"/>
                <w:color w:val="auto"/>
              </w:rPr>
              <w:t>the Company’s Quarterly Report on Form 10-Q filed on December 9, 2003, and incorporated herein by reference).*</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10.1</w:t>
            </w:r>
          </w:p>
        </w:tc>
        <w:tc>
          <w:tcPr>
            <w:tcW w:w="10900" w:type="dxa"/>
            <w:vAlign w:val="bottom"/>
          </w:tcPr>
          <w:p>
            <w:pPr>
              <w:ind w:left="780"/>
              <w:spacing w:after="0"/>
              <w:rPr>
                <w:sz w:val="20"/>
                <w:szCs w:val="20"/>
                <w:color w:val="auto"/>
              </w:rPr>
            </w:pPr>
            <w:r>
              <w:rPr>
                <w:rFonts w:ascii="Arial" w:cs="Arial" w:eastAsia="Arial" w:hAnsi="Arial"/>
                <w:sz w:val="18"/>
                <w:szCs w:val="18"/>
                <w:color w:val="auto"/>
                <w:w w:val="88"/>
              </w:rPr>
              <w:t>1992 Stock Incentive Plan, as amended (included as Exhibit 10.1 to the Company’s Quarterly Report on Form 10-Q filed on December 9, 2003,</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780"/>
              <w:spacing w:after="0"/>
              <w:rPr>
                <w:sz w:val="20"/>
                <w:szCs w:val="20"/>
                <w:color w:val="auto"/>
              </w:rPr>
            </w:pPr>
            <w:r>
              <w:rPr>
                <w:rFonts w:ascii="Arial" w:cs="Arial" w:eastAsia="Arial" w:hAnsi="Arial"/>
                <w:sz w:val="18"/>
                <w:szCs w:val="18"/>
                <w:color w:val="auto"/>
              </w:rPr>
              <w:t>and incorporated herein by reference).*</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10.2</w:t>
            </w:r>
          </w:p>
        </w:tc>
        <w:tc>
          <w:tcPr>
            <w:tcW w:w="10900" w:type="dxa"/>
            <w:vAlign w:val="bottom"/>
          </w:tcPr>
          <w:p>
            <w:pPr>
              <w:ind w:left="780"/>
              <w:spacing w:after="0"/>
              <w:rPr>
                <w:sz w:val="20"/>
                <w:szCs w:val="20"/>
                <w:color w:val="auto"/>
              </w:rPr>
            </w:pPr>
            <w:r>
              <w:rPr>
                <w:rFonts w:ascii="Arial" w:cs="Arial" w:eastAsia="Arial" w:hAnsi="Arial"/>
                <w:sz w:val="18"/>
                <w:szCs w:val="18"/>
                <w:color w:val="auto"/>
                <w:w w:val="89"/>
              </w:rPr>
              <w:t>Casual Male Retail Group, Inc. 2006 Incentive Compensation Plan (included as Exhibit 10.1 to the Company’s Quarterly Report on Form 10-Q</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780"/>
              <w:spacing w:after="0"/>
              <w:rPr>
                <w:sz w:val="20"/>
                <w:szCs w:val="20"/>
                <w:color w:val="auto"/>
              </w:rPr>
            </w:pPr>
            <w:r>
              <w:rPr>
                <w:rFonts w:ascii="Arial" w:cs="Arial" w:eastAsia="Arial" w:hAnsi="Arial"/>
                <w:sz w:val="18"/>
                <w:szCs w:val="18"/>
                <w:color w:val="auto"/>
              </w:rPr>
              <w:t>filed on August 18, 2006, and incorporated herein by reference).*</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10.3</w:t>
            </w:r>
          </w:p>
        </w:tc>
        <w:tc>
          <w:tcPr>
            <w:tcW w:w="10900" w:type="dxa"/>
            <w:vAlign w:val="bottom"/>
          </w:tcPr>
          <w:p>
            <w:pPr>
              <w:ind w:left="780"/>
              <w:spacing w:after="0"/>
              <w:rPr>
                <w:sz w:val="20"/>
                <w:szCs w:val="20"/>
                <w:color w:val="auto"/>
              </w:rPr>
            </w:pPr>
            <w:r>
              <w:rPr>
                <w:rFonts w:ascii="Arial" w:cs="Arial" w:eastAsia="Arial" w:hAnsi="Arial"/>
                <w:sz w:val="18"/>
                <w:szCs w:val="18"/>
                <w:color w:val="auto"/>
                <w:w w:val="93"/>
              </w:rPr>
              <w:t>Form of Non-Qualified Option Agreement for the Chairman and Executive Officers (included as Exhibit 10.2 to the Company’s Quarterly</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780"/>
              <w:spacing w:after="0"/>
              <w:rPr>
                <w:sz w:val="20"/>
                <w:szCs w:val="20"/>
                <w:color w:val="auto"/>
              </w:rPr>
            </w:pPr>
            <w:r>
              <w:rPr>
                <w:rFonts w:ascii="Arial" w:cs="Arial" w:eastAsia="Arial" w:hAnsi="Arial"/>
                <w:sz w:val="18"/>
                <w:szCs w:val="18"/>
                <w:color w:val="auto"/>
              </w:rPr>
              <w:t>Report on Form 10-Q filed on August 18, 2006, and incorporated herein by reference).*</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10.4</w:t>
            </w:r>
          </w:p>
        </w:tc>
        <w:tc>
          <w:tcPr>
            <w:tcW w:w="10900" w:type="dxa"/>
            <w:vAlign w:val="bottom"/>
          </w:tcPr>
          <w:p>
            <w:pPr>
              <w:ind w:left="780"/>
              <w:spacing w:after="0"/>
              <w:rPr>
                <w:sz w:val="20"/>
                <w:szCs w:val="20"/>
                <w:color w:val="auto"/>
              </w:rPr>
            </w:pPr>
            <w:r>
              <w:rPr>
                <w:rFonts w:ascii="Arial" w:cs="Arial" w:eastAsia="Arial" w:hAnsi="Arial"/>
                <w:sz w:val="18"/>
                <w:szCs w:val="18"/>
                <w:color w:val="auto"/>
                <w:w w:val="92"/>
              </w:rPr>
              <w:t>Form of Incentive Stock Option Agreement for the Chairman and Executive Officers (included as Exhibit 10.3 to the Company’s Quarterly</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780"/>
              <w:spacing w:after="0"/>
              <w:rPr>
                <w:sz w:val="20"/>
                <w:szCs w:val="20"/>
                <w:color w:val="auto"/>
              </w:rPr>
            </w:pPr>
            <w:r>
              <w:rPr>
                <w:rFonts w:ascii="Arial" w:cs="Arial" w:eastAsia="Arial" w:hAnsi="Arial"/>
                <w:sz w:val="18"/>
                <w:szCs w:val="18"/>
                <w:color w:val="auto"/>
              </w:rPr>
              <w:t>Report on Form 10-Q filed on August 18, 2006, and incorporated herein by reference).*</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10.5</w:t>
            </w:r>
          </w:p>
        </w:tc>
        <w:tc>
          <w:tcPr>
            <w:tcW w:w="10900" w:type="dxa"/>
            <w:vAlign w:val="bottom"/>
          </w:tcPr>
          <w:p>
            <w:pPr>
              <w:ind w:left="780"/>
              <w:spacing w:after="0"/>
              <w:rPr>
                <w:sz w:val="20"/>
                <w:szCs w:val="20"/>
                <w:color w:val="auto"/>
              </w:rPr>
            </w:pPr>
            <w:r>
              <w:rPr>
                <w:rFonts w:ascii="Arial" w:cs="Arial" w:eastAsia="Arial" w:hAnsi="Arial"/>
                <w:sz w:val="18"/>
                <w:szCs w:val="18"/>
                <w:color w:val="auto"/>
                <w:w w:val="90"/>
              </w:rPr>
              <w:t>Form of Non-Qualified Option Agreement for Non-Employee Directors (included as Exhibit 10.4 to the Company’s Quarterly Report on Form</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780"/>
              <w:spacing w:after="0"/>
              <w:rPr>
                <w:sz w:val="20"/>
                <w:szCs w:val="20"/>
                <w:color w:val="auto"/>
              </w:rPr>
            </w:pPr>
            <w:r>
              <w:rPr>
                <w:rFonts w:ascii="Arial" w:cs="Arial" w:eastAsia="Arial" w:hAnsi="Arial"/>
                <w:sz w:val="18"/>
                <w:szCs w:val="18"/>
                <w:color w:val="auto"/>
              </w:rPr>
              <w:t>10-Q filed on August 18, 2006, and incorporated herein by reference).*</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10.6</w:t>
            </w:r>
          </w:p>
        </w:tc>
        <w:tc>
          <w:tcPr>
            <w:tcW w:w="10900" w:type="dxa"/>
            <w:vAlign w:val="bottom"/>
          </w:tcPr>
          <w:p>
            <w:pPr>
              <w:ind w:left="780"/>
              <w:spacing w:after="0"/>
              <w:rPr>
                <w:sz w:val="20"/>
                <w:szCs w:val="20"/>
                <w:color w:val="auto"/>
              </w:rPr>
            </w:pPr>
            <w:r>
              <w:rPr>
                <w:rFonts w:ascii="Arial" w:cs="Arial" w:eastAsia="Arial" w:hAnsi="Arial"/>
                <w:sz w:val="18"/>
                <w:szCs w:val="18"/>
                <w:color w:val="auto"/>
                <w:w w:val="93"/>
              </w:rPr>
              <w:t>Casual Male Retail Group, Inc. Non-Qualified Deferred Compensation Plan -Memorandum of Understanding between the Company and</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780"/>
              <w:spacing w:after="0"/>
              <w:rPr>
                <w:sz w:val="20"/>
                <w:szCs w:val="20"/>
                <w:color w:val="auto"/>
              </w:rPr>
            </w:pPr>
            <w:r>
              <w:rPr>
                <w:rFonts w:ascii="Arial" w:cs="Arial" w:eastAsia="Arial" w:hAnsi="Arial"/>
                <w:sz w:val="18"/>
                <w:szCs w:val="18"/>
                <w:color w:val="auto"/>
              </w:rPr>
              <w:t>certain of its top paid executives effective November 1, 2006 as amended.</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10.7</w:t>
            </w:r>
          </w:p>
        </w:tc>
        <w:tc>
          <w:tcPr>
            <w:tcW w:w="10900" w:type="dxa"/>
            <w:vAlign w:val="bottom"/>
          </w:tcPr>
          <w:p>
            <w:pPr>
              <w:ind w:left="780"/>
              <w:spacing w:after="0"/>
              <w:rPr>
                <w:sz w:val="20"/>
                <w:szCs w:val="20"/>
                <w:color w:val="auto"/>
              </w:rPr>
            </w:pPr>
            <w:r>
              <w:rPr>
                <w:rFonts w:ascii="Arial" w:cs="Arial" w:eastAsia="Arial" w:hAnsi="Arial"/>
                <w:sz w:val="18"/>
                <w:szCs w:val="18"/>
                <w:color w:val="auto"/>
                <w:w w:val="88"/>
              </w:rPr>
              <w:t>Fifth Amended and Restated Loan and Security Agreement dated December 28, 2006, by and among Bank of America, N.A., as Administrative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tcPr>
          <w:p>
            <w:pPr>
              <w:ind w:left="780"/>
              <w:spacing w:after="0"/>
              <w:rPr>
                <w:sz w:val="20"/>
                <w:szCs w:val="20"/>
                <w:color w:val="auto"/>
              </w:rPr>
            </w:pPr>
            <w:r>
              <w:rPr>
                <w:rFonts w:ascii="Arial" w:cs="Arial" w:eastAsia="Arial" w:hAnsi="Arial"/>
                <w:sz w:val="18"/>
                <w:szCs w:val="18"/>
                <w:color w:val="auto"/>
                <w:w w:val="88"/>
              </w:rPr>
              <w:t>Agent and Collateral Agent, the Lenders identified therein, the Company, as Borrowers’ Representative, and the Company and CMRG Apparel,</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tcPr>
          <w:p>
            <w:pPr>
              <w:ind w:left="780"/>
              <w:spacing w:after="0"/>
              <w:rPr>
                <w:sz w:val="20"/>
                <w:szCs w:val="20"/>
                <w:color w:val="auto"/>
              </w:rPr>
            </w:pPr>
            <w:r>
              <w:rPr>
                <w:rFonts w:ascii="Arial" w:cs="Arial" w:eastAsia="Arial" w:hAnsi="Arial"/>
                <w:sz w:val="18"/>
                <w:szCs w:val="18"/>
                <w:color w:val="auto"/>
                <w:w w:val="95"/>
              </w:rPr>
              <w:t>LLC. (formerly Designs Apparel, Inc.), as Borrowers (included as Exhibit 10.7 to the Company’s Annual Report on Form 10-K filed on</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900" w:type="dxa"/>
            <w:vAlign w:val="bottom"/>
          </w:tcPr>
          <w:p>
            <w:pPr>
              <w:ind w:left="780"/>
              <w:spacing w:after="0"/>
              <w:rPr>
                <w:sz w:val="20"/>
                <w:szCs w:val="20"/>
                <w:color w:val="auto"/>
              </w:rPr>
            </w:pPr>
            <w:r>
              <w:rPr>
                <w:rFonts w:ascii="Arial" w:cs="Arial" w:eastAsia="Arial" w:hAnsi="Arial"/>
                <w:sz w:val="18"/>
                <w:szCs w:val="18"/>
                <w:color w:val="auto"/>
              </w:rPr>
              <w:t>April 2, 2007, and incorporated herein by reference).*</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10900" w:type="dxa"/>
            <w:vAlign w:val="bottom"/>
          </w:tcPr>
          <w:p>
            <w:pPr>
              <w:ind w:left="5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Exhibits</w:t>
            </w:r>
          </w:p>
        </w:tc>
        <w:tc>
          <w:tcPr>
            <w:tcW w:w="10860" w:type="dxa"/>
            <w:vAlign w:val="bottom"/>
            <w:vMerge w:val="restart"/>
          </w:tcPr>
          <w:p>
            <w:pPr>
              <w:ind w:left="660"/>
              <w:spacing w:after="0"/>
              <w:rPr>
                <w:sz w:val="20"/>
                <w:szCs w:val="20"/>
                <w:color w:val="auto"/>
              </w:rPr>
            </w:pPr>
            <w:r>
              <w:rPr>
                <w:rFonts w:ascii="Arial" w:cs="Arial" w:eastAsia="Arial" w:hAnsi="Arial"/>
                <w:sz w:val="18"/>
                <w:szCs w:val="18"/>
                <w:color w:val="auto"/>
                <w:w w:val="90"/>
              </w:rPr>
              <w:t>First Amendment to Fifth Amended and Restated Loan and Security Agreement dated July 11, 2007 by and among the Company and Bank of</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00" w:type="dxa"/>
            <w:vAlign w:val="bottom"/>
          </w:tcPr>
          <w:p>
            <w:pPr>
              <w:jc w:val="right"/>
              <w:spacing w:after="0" w:line="201" w:lineRule="exact"/>
              <w:rPr>
                <w:sz w:val="20"/>
                <w:szCs w:val="20"/>
                <w:color w:val="auto"/>
              </w:rPr>
            </w:pPr>
            <w:r>
              <w:rPr>
                <w:rFonts w:ascii="Arial" w:cs="Arial" w:eastAsia="Arial" w:hAnsi="Arial"/>
                <w:sz w:val="18"/>
                <w:szCs w:val="18"/>
                <w:color w:val="auto"/>
              </w:rPr>
              <w:t>10.8</w:t>
            </w:r>
          </w:p>
        </w:tc>
        <w:tc>
          <w:tcPr>
            <w:tcW w:w="10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60" w:type="dxa"/>
            <w:vAlign w:val="bottom"/>
          </w:tcPr>
          <w:p>
            <w:pPr>
              <w:ind w:left="660"/>
              <w:spacing w:after="0"/>
              <w:rPr>
                <w:sz w:val="20"/>
                <w:szCs w:val="20"/>
                <w:color w:val="auto"/>
              </w:rPr>
            </w:pPr>
            <w:r>
              <w:rPr>
                <w:rFonts w:ascii="Arial" w:cs="Arial" w:eastAsia="Arial" w:hAnsi="Arial"/>
                <w:sz w:val="18"/>
                <w:szCs w:val="18"/>
                <w:color w:val="auto"/>
                <w:w w:val="93"/>
              </w:rPr>
              <w:t>America, N.A. (included as Exhibit 10.3 to the Company’s Current Report on Form 8-K filed on July 23, 2007, and incorporated herein by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60" w:type="dxa"/>
            <w:vAlign w:val="bottom"/>
          </w:tcPr>
          <w:p>
            <w:pPr>
              <w:ind w:left="660"/>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318"/>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10860" w:type="dxa"/>
            <w:vAlign w:val="bottom"/>
          </w:tcPr>
          <w:p>
            <w:pPr>
              <w:ind w:left="660"/>
              <w:spacing w:after="0"/>
              <w:rPr>
                <w:sz w:val="20"/>
                <w:szCs w:val="20"/>
                <w:color w:val="auto"/>
              </w:rPr>
            </w:pPr>
            <w:r>
              <w:rPr>
                <w:rFonts w:ascii="Arial" w:cs="Arial" w:eastAsia="Arial" w:hAnsi="Arial"/>
                <w:sz w:val="18"/>
                <w:szCs w:val="18"/>
                <w:color w:val="auto"/>
                <w:w w:val="88"/>
              </w:rPr>
              <w:t>Second Amendment to Fifth Amended and Restated Loan and Security Agreement dated July 20, 2007 by and among the Company and Bank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60" w:type="dxa"/>
            <w:vAlign w:val="bottom"/>
          </w:tcPr>
          <w:p>
            <w:pPr>
              <w:ind w:left="660"/>
              <w:spacing w:after="0"/>
              <w:rPr>
                <w:sz w:val="20"/>
                <w:szCs w:val="20"/>
                <w:color w:val="auto"/>
              </w:rPr>
            </w:pPr>
            <w:r>
              <w:rPr>
                <w:rFonts w:ascii="Arial" w:cs="Arial" w:eastAsia="Arial" w:hAnsi="Arial"/>
                <w:sz w:val="18"/>
                <w:szCs w:val="18"/>
                <w:color w:val="auto"/>
                <w:w w:val="93"/>
              </w:rPr>
              <w:t>America, N.A. (included as Exhibit 10.4 to the Company’s Current Report on Form 8-K filed on July 23, 2007, and incorporated herein by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60" w:type="dxa"/>
            <w:vAlign w:val="bottom"/>
          </w:tcPr>
          <w:p>
            <w:pPr>
              <w:ind w:left="660"/>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318"/>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10.10</w:t>
            </w:r>
          </w:p>
        </w:tc>
        <w:tc>
          <w:tcPr>
            <w:tcW w:w="10860" w:type="dxa"/>
            <w:vAlign w:val="bottom"/>
          </w:tcPr>
          <w:p>
            <w:pPr>
              <w:ind w:left="660"/>
              <w:spacing w:after="0"/>
              <w:rPr>
                <w:sz w:val="20"/>
                <w:szCs w:val="20"/>
                <w:color w:val="auto"/>
              </w:rPr>
            </w:pPr>
            <w:r>
              <w:rPr>
                <w:rFonts w:ascii="Arial" w:cs="Arial" w:eastAsia="Arial" w:hAnsi="Arial"/>
                <w:sz w:val="18"/>
                <w:szCs w:val="18"/>
                <w:color w:val="auto"/>
                <w:w w:val="90"/>
              </w:rPr>
              <w:t>Third Amendment to Fifth Amended and Restated Loan and Security Agreement dated December 20, 2007 by and among the Company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60" w:type="dxa"/>
            <w:vAlign w:val="bottom"/>
          </w:tcPr>
          <w:p>
            <w:pPr>
              <w:ind w:left="660"/>
              <w:spacing w:after="0"/>
              <w:rPr>
                <w:sz w:val="20"/>
                <w:szCs w:val="20"/>
                <w:color w:val="auto"/>
              </w:rPr>
            </w:pPr>
            <w:r>
              <w:rPr>
                <w:rFonts w:ascii="Arial" w:cs="Arial" w:eastAsia="Arial" w:hAnsi="Arial"/>
                <w:sz w:val="18"/>
                <w:szCs w:val="18"/>
                <w:color w:val="auto"/>
                <w:w w:val="90"/>
              </w:rPr>
              <w:t>Bank of America, N.A. (included as Exhibit 10.1 to the Company’s Current Report on Form 8-K filed on December 24, 2007, and incorporated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60" w:type="dxa"/>
            <w:vAlign w:val="bottom"/>
          </w:tcPr>
          <w:p>
            <w:pPr>
              <w:ind w:left="660"/>
              <w:spacing w:after="0"/>
              <w:rPr>
                <w:sz w:val="20"/>
                <w:szCs w:val="20"/>
                <w:color w:val="auto"/>
              </w:rPr>
            </w:pPr>
            <w:r>
              <w:rPr>
                <w:rFonts w:ascii="Arial" w:cs="Arial" w:eastAsia="Arial" w:hAnsi="Arial"/>
                <w:sz w:val="18"/>
                <w:szCs w:val="18"/>
                <w:color w:val="auto"/>
              </w:rPr>
              <w:t>herein by reference).*</w:t>
            </w:r>
          </w:p>
        </w:tc>
        <w:tc>
          <w:tcPr>
            <w:tcW w:w="0" w:type="dxa"/>
            <w:vAlign w:val="bottom"/>
          </w:tcPr>
          <w:p>
            <w:pPr>
              <w:spacing w:after="0"/>
              <w:rPr>
                <w:sz w:val="1"/>
                <w:szCs w:val="1"/>
                <w:color w:val="auto"/>
              </w:rPr>
            </w:pPr>
          </w:p>
        </w:tc>
      </w:tr>
      <w:tr>
        <w:trPr>
          <w:trHeight w:val="318"/>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10.11</w:t>
            </w:r>
          </w:p>
        </w:tc>
        <w:tc>
          <w:tcPr>
            <w:tcW w:w="10860" w:type="dxa"/>
            <w:vAlign w:val="bottom"/>
          </w:tcPr>
          <w:p>
            <w:pPr>
              <w:ind w:left="660"/>
              <w:spacing w:after="0"/>
              <w:rPr>
                <w:sz w:val="20"/>
                <w:szCs w:val="20"/>
                <w:color w:val="auto"/>
              </w:rPr>
            </w:pPr>
            <w:r>
              <w:rPr>
                <w:rFonts w:ascii="Arial" w:cs="Arial" w:eastAsia="Arial" w:hAnsi="Arial"/>
                <w:sz w:val="18"/>
                <w:szCs w:val="18"/>
                <w:color w:val="auto"/>
                <w:w w:val="91"/>
              </w:rPr>
              <w:t>Master Loan and Security Agreement dated July 20, 2007 between the Company and Banc of America Leasing &amp; Capital, LLC (included as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60" w:type="dxa"/>
            <w:vAlign w:val="bottom"/>
          </w:tcPr>
          <w:p>
            <w:pPr>
              <w:ind w:left="660"/>
              <w:spacing w:after="0"/>
              <w:rPr>
                <w:sz w:val="20"/>
                <w:szCs w:val="20"/>
                <w:color w:val="auto"/>
              </w:rPr>
            </w:pPr>
            <w:r>
              <w:rPr>
                <w:rFonts w:ascii="Arial" w:cs="Arial" w:eastAsia="Arial" w:hAnsi="Arial"/>
                <w:sz w:val="18"/>
                <w:szCs w:val="18"/>
                <w:color w:val="auto"/>
              </w:rPr>
              <w:t>Exhibit 10.1 to the Company’s Current Report on Form 8-K filed on July 23, 2007, and incorporated herein by reference).*</w:t>
            </w:r>
          </w:p>
        </w:tc>
        <w:tc>
          <w:tcPr>
            <w:tcW w:w="0" w:type="dxa"/>
            <w:vAlign w:val="bottom"/>
          </w:tcPr>
          <w:p>
            <w:pPr>
              <w:spacing w:after="0"/>
              <w:rPr>
                <w:sz w:val="1"/>
                <w:szCs w:val="1"/>
                <w:color w:val="auto"/>
              </w:rPr>
            </w:pPr>
          </w:p>
        </w:tc>
      </w:tr>
      <w:tr>
        <w:trPr>
          <w:trHeight w:val="318"/>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10.12</w:t>
            </w:r>
          </w:p>
        </w:tc>
        <w:tc>
          <w:tcPr>
            <w:tcW w:w="10860" w:type="dxa"/>
            <w:vAlign w:val="bottom"/>
          </w:tcPr>
          <w:p>
            <w:pPr>
              <w:ind w:left="660"/>
              <w:spacing w:after="0"/>
              <w:rPr>
                <w:sz w:val="20"/>
                <w:szCs w:val="20"/>
                <w:color w:val="auto"/>
              </w:rPr>
            </w:pPr>
            <w:r>
              <w:rPr>
                <w:rFonts w:ascii="Arial" w:cs="Arial" w:eastAsia="Arial" w:hAnsi="Arial"/>
                <w:sz w:val="18"/>
                <w:szCs w:val="18"/>
                <w:color w:val="auto"/>
                <w:w w:val="91"/>
              </w:rPr>
              <w:t>Equipment Security Note Number 17608-70001 to the Master Loan and Security Agreement dated July 20, 2007 between the Company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60" w:type="dxa"/>
            <w:vAlign w:val="bottom"/>
          </w:tcPr>
          <w:p>
            <w:pPr>
              <w:ind w:left="660"/>
              <w:spacing w:after="0"/>
              <w:rPr>
                <w:sz w:val="20"/>
                <w:szCs w:val="20"/>
                <w:color w:val="auto"/>
              </w:rPr>
            </w:pPr>
            <w:r>
              <w:rPr>
                <w:rFonts w:ascii="Arial" w:cs="Arial" w:eastAsia="Arial" w:hAnsi="Arial"/>
                <w:sz w:val="18"/>
                <w:szCs w:val="18"/>
                <w:color w:val="auto"/>
                <w:w w:val="91"/>
              </w:rPr>
              <w:t>Banc of America Leasing &amp; Capital, LLC (included as Exhibit 10.2 to the Company’s Current Report on Form 8-K filed on July 23, 2007, and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60" w:type="dxa"/>
            <w:vAlign w:val="bottom"/>
          </w:tcPr>
          <w:p>
            <w:pPr>
              <w:ind w:left="66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18"/>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10.13</w:t>
            </w:r>
          </w:p>
        </w:tc>
        <w:tc>
          <w:tcPr>
            <w:tcW w:w="10860" w:type="dxa"/>
            <w:vAlign w:val="bottom"/>
          </w:tcPr>
          <w:p>
            <w:pPr>
              <w:ind w:left="660"/>
              <w:spacing w:after="0"/>
              <w:rPr>
                <w:sz w:val="20"/>
                <w:szCs w:val="20"/>
                <w:color w:val="auto"/>
              </w:rPr>
            </w:pPr>
            <w:r>
              <w:rPr>
                <w:rFonts w:ascii="Arial" w:cs="Arial" w:eastAsia="Arial" w:hAnsi="Arial"/>
                <w:sz w:val="18"/>
                <w:szCs w:val="18"/>
                <w:color w:val="auto"/>
                <w:w w:val="88"/>
              </w:rPr>
              <w:t>Equipment Security Note Number 17608-70002 to the Master Loan and Security Agreement dated January 16, 2008 between the Company and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60" w:type="dxa"/>
            <w:vAlign w:val="bottom"/>
          </w:tcPr>
          <w:p>
            <w:pPr>
              <w:ind w:left="660"/>
              <w:spacing w:after="0"/>
              <w:rPr>
                <w:sz w:val="20"/>
                <w:szCs w:val="20"/>
                <w:color w:val="auto"/>
              </w:rPr>
            </w:pPr>
            <w:r>
              <w:rPr>
                <w:rFonts w:ascii="Arial" w:cs="Arial" w:eastAsia="Arial" w:hAnsi="Arial"/>
                <w:sz w:val="18"/>
                <w:szCs w:val="18"/>
                <w:color w:val="auto"/>
              </w:rPr>
              <w:t>Banc of America Leasing &amp; Capital, LLC</w:t>
            </w:r>
          </w:p>
        </w:tc>
        <w:tc>
          <w:tcPr>
            <w:tcW w:w="0" w:type="dxa"/>
            <w:vAlign w:val="bottom"/>
          </w:tcPr>
          <w:p>
            <w:pPr>
              <w:spacing w:after="0"/>
              <w:rPr>
                <w:sz w:val="1"/>
                <w:szCs w:val="1"/>
                <w:color w:val="auto"/>
              </w:rPr>
            </w:pPr>
          </w:p>
        </w:tc>
      </w:tr>
      <w:tr>
        <w:trPr>
          <w:trHeight w:val="318"/>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10.14</w:t>
            </w:r>
          </w:p>
        </w:tc>
        <w:tc>
          <w:tcPr>
            <w:tcW w:w="10860" w:type="dxa"/>
            <w:vAlign w:val="bottom"/>
          </w:tcPr>
          <w:p>
            <w:pPr>
              <w:ind w:left="660"/>
              <w:spacing w:after="0"/>
              <w:rPr>
                <w:sz w:val="20"/>
                <w:szCs w:val="20"/>
                <w:color w:val="auto"/>
              </w:rPr>
            </w:pPr>
            <w:r>
              <w:rPr>
                <w:rFonts w:ascii="Arial" w:cs="Arial" w:eastAsia="Arial" w:hAnsi="Arial"/>
                <w:sz w:val="18"/>
                <w:szCs w:val="18"/>
                <w:color w:val="auto"/>
                <w:w w:val="91"/>
              </w:rPr>
              <w:t>Form of Warrant issued to the Initial Purchasers under the Note Agreement (included as Exhibit 10.6 to the Company’s Quarterly Report 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60" w:type="dxa"/>
            <w:vAlign w:val="bottom"/>
          </w:tcPr>
          <w:p>
            <w:pPr>
              <w:ind w:left="660"/>
              <w:spacing w:after="0"/>
              <w:rPr>
                <w:sz w:val="20"/>
                <w:szCs w:val="20"/>
                <w:color w:val="auto"/>
              </w:rPr>
            </w:pPr>
            <w:r>
              <w:rPr>
                <w:rFonts w:ascii="Arial" w:cs="Arial" w:eastAsia="Arial" w:hAnsi="Arial"/>
                <w:sz w:val="18"/>
                <w:szCs w:val="18"/>
                <w:color w:val="auto"/>
              </w:rPr>
              <w:t>Form 10-Q filed on September 16, 2003, and incorporated herein by reference).*</w:t>
            </w:r>
          </w:p>
        </w:tc>
        <w:tc>
          <w:tcPr>
            <w:tcW w:w="0" w:type="dxa"/>
            <w:vAlign w:val="bottom"/>
          </w:tcPr>
          <w:p>
            <w:pPr>
              <w:spacing w:after="0"/>
              <w:rPr>
                <w:sz w:val="1"/>
                <w:szCs w:val="1"/>
                <w:color w:val="auto"/>
              </w:rPr>
            </w:pPr>
          </w:p>
        </w:tc>
      </w:tr>
      <w:tr>
        <w:trPr>
          <w:trHeight w:val="318"/>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10.15</w:t>
            </w:r>
          </w:p>
        </w:tc>
        <w:tc>
          <w:tcPr>
            <w:tcW w:w="10860" w:type="dxa"/>
            <w:vAlign w:val="bottom"/>
          </w:tcPr>
          <w:p>
            <w:pPr>
              <w:ind w:left="660"/>
              <w:spacing w:after="0"/>
              <w:rPr>
                <w:sz w:val="20"/>
                <w:szCs w:val="20"/>
                <w:color w:val="auto"/>
              </w:rPr>
            </w:pPr>
            <w:r>
              <w:rPr>
                <w:rFonts w:ascii="Arial" w:cs="Arial" w:eastAsia="Arial" w:hAnsi="Arial"/>
                <w:sz w:val="18"/>
                <w:szCs w:val="18"/>
                <w:color w:val="auto"/>
                <w:w w:val="90"/>
              </w:rPr>
              <w:t>Consulting Agreement dated as of October 28, 1999 between the Company and Jewelcor Management, Inc. (included as Exhibit 10.20 to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60" w:type="dxa"/>
            <w:vAlign w:val="bottom"/>
          </w:tcPr>
          <w:p>
            <w:pPr>
              <w:ind w:left="660"/>
              <w:spacing w:after="0"/>
              <w:rPr>
                <w:sz w:val="20"/>
                <w:szCs w:val="20"/>
                <w:color w:val="auto"/>
              </w:rPr>
            </w:pPr>
            <w:r>
              <w:rPr>
                <w:rFonts w:ascii="Arial" w:cs="Arial" w:eastAsia="Arial" w:hAnsi="Arial"/>
                <w:sz w:val="18"/>
                <w:szCs w:val="18"/>
                <w:color w:val="auto"/>
              </w:rPr>
              <w:t>Company’s Annual Report on Form 10-K filed on April 28, 2000, and incorporated herein by reference).*</w:t>
            </w:r>
          </w:p>
        </w:tc>
        <w:tc>
          <w:tcPr>
            <w:tcW w:w="0" w:type="dxa"/>
            <w:vAlign w:val="bottom"/>
          </w:tcPr>
          <w:p>
            <w:pPr>
              <w:spacing w:after="0"/>
              <w:rPr>
                <w:sz w:val="1"/>
                <w:szCs w:val="1"/>
                <w:color w:val="auto"/>
              </w:rPr>
            </w:pPr>
          </w:p>
        </w:tc>
      </w:tr>
      <w:tr>
        <w:trPr>
          <w:trHeight w:val="318"/>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10.16</w:t>
            </w:r>
          </w:p>
        </w:tc>
        <w:tc>
          <w:tcPr>
            <w:tcW w:w="10860" w:type="dxa"/>
            <w:vAlign w:val="bottom"/>
          </w:tcPr>
          <w:p>
            <w:pPr>
              <w:ind w:left="660"/>
              <w:spacing w:after="0"/>
              <w:rPr>
                <w:sz w:val="20"/>
                <w:szCs w:val="20"/>
                <w:color w:val="auto"/>
              </w:rPr>
            </w:pPr>
            <w:r>
              <w:rPr>
                <w:rFonts w:ascii="Arial" w:cs="Arial" w:eastAsia="Arial" w:hAnsi="Arial"/>
                <w:sz w:val="18"/>
                <w:szCs w:val="18"/>
                <w:color w:val="auto"/>
                <w:w w:val="89"/>
              </w:rPr>
              <w:t>Consulting Agreement, dated April 29, 2000 between the Company and Jewelcor Management, Inc. (included as Exhibit 10.2 to the Company’s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60" w:type="dxa"/>
            <w:vAlign w:val="bottom"/>
          </w:tcPr>
          <w:p>
            <w:pPr>
              <w:ind w:left="660"/>
              <w:spacing w:after="0"/>
              <w:rPr>
                <w:sz w:val="20"/>
                <w:szCs w:val="20"/>
                <w:color w:val="auto"/>
              </w:rPr>
            </w:pPr>
            <w:r>
              <w:rPr>
                <w:rFonts w:ascii="Arial" w:cs="Arial" w:eastAsia="Arial" w:hAnsi="Arial"/>
                <w:sz w:val="18"/>
                <w:szCs w:val="18"/>
                <w:color w:val="auto"/>
              </w:rPr>
              <w:t>Current Report on Form 8-K filed on May 31, 2007, and incorporated herein by reference).*</w:t>
            </w:r>
          </w:p>
        </w:tc>
        <w:tc>
          <w:tcPr>
            <w:tcW w:w="0" w:type="dxa"/>
            <w:vAlign w:val="bottom"/>
          </w:tcPr>
          <w:p>
            <w:pPr>
              <w:spacing w:after="0"/>
              <w:rPr>
                <w:sz w:val="1"/>
                <w:szCs w:val="1"/>
                <w:color w:val="auto"/>
              </w:rPr>
            </w:pPr>
          </w:p>
        </w:tc>
      </w:tr>
      <w:tr>
        <w:trPr>
          <w:trHeight w:val="318"/>
        </w:trPr>
        <w:tc>
          <w:tcPr>
            <w:tcW w:w="520" w:type="dxa"/>
            <w:vAlign w:val="bottom"/>
            <w:gridSpan w:val="2"/>
          </w:tcPr>
          <w:p>
            <w:pPr>
              <w:jc w:val="right"/>
              <w:spacing w:after="0"/>
              <w:rPr>
                <w:sz w:val="20"/>
                <w:szCs w:val="20"/>
                <w:color w:val="auto"/>
              </w:rPr>
            </w:pPr>
            <w:r>
              <w:rPr>
                <w:rFonts w:ascii="Arial" w:cs="Arial" w:eastAsia="Arial" w:hAnsi="Arial"/>
                <w:sz w:val="18"/>
                <w:szCs w:val="18"/>
                <w:color w:val="auto"/>
              </w:rPr>
              <w:t>10.17</w:t>
            </w:r>
          </w:p>
        </w:tc>
        <w:tc>
          <w:tcPr>
            <w:tcW w:w="10860" w:type="dxa"/>
            <w:vAlign w:val="bottom"/>
          </w:tcPr>
          <w:p>
            <w:pPr>
              <w:ind w:left="660"/>
              <w:spacing w:after="0"/>
              <w:rPr>
                <w:sz w:val="20"/>
                <w:szCs w:val="20"/>
                <w:color w:val="auto"/>
              </w:rPr>
            </w:pPr>
            <w:r>
              <w:rPr>
                <w:rFonts w:ascii="Arial" w:cs="Arial" w:eastAsia="Arial" w:hAnsi="Arial"/>
                <w:sz w:val="18"/>
                <w:szCs w:val="18"/>
                <w:color w:val="auto"/>
                <w:w w:val="91"/>
              </w:rPr>
              <w:t>Extension to Consulting Agreement, dated as of April 28, 2001, between the Company and Jewelcor Management, Inc. (included as Exhibit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60" w:type="dxa"/>
            <w:vAlign w:val="bottom"/>
          </w:tcPr>
          <w:p>
            <w:pPr>
              <w:ind w:left="660"/>
              <w:spacing w:after="0"/>
              <w:rPr>
                <w:sz w:val="20"/>
                <w:szCs w:val="20"/>
                <w:color w:val="auto"/>
              </w:rPr>
            </w:pPr>
            <w:r>
              <w:rPr>
                <w:rFonts w:ascii="Arial" w:cs="Arial" w:eastAsia="Arial" w:hAnsi="Arial"/>
                <w:sz w:val="18"/>
                <w:szCs w:val="18"/>
                <w:color w:val="auto"/>
              </w:rPr>
              <w:t>10.15 to the Company’s Quarterly Report on Form 10-Q filed on September 18, 2001, and incorporated herein by reference).*</w:t>
            </w:r>
          </w:p>
        </w:tc>
        <w:tc>
          <w:tcPr>
            <w:tcW w:w="0" w:type="dxa"/>
            <w:vAlign w:val="bottom"/>
          </w:tcPr>
          <w:p>
            <w:pPr>
              <w:spacing w:after="0"/>
              <w:rPr>
                <w:sz w:val="1"/>
                <w:szCs w:val="1"/>
                <w:color w:val="auto"/>
              </w:rPr>
            </w:pPr>
          </w:p>
        </w:tc>
      </w:tr>
      <w:tr>
        <w:trPr>
          <w:trHeight w:val="318"/>
        </w:trPr>
        <w:tc>
          <w:tcPr>
            <w:tcW w:w="520" w:type="dxa"/>
            <w:vAlign w:val="bottom"/>
            <w:gridSpan w:val="2"/>
          </w:tcPr>
          <w:p>
            <w:pPr>
              <w:jc w:val="right"/>
              <w:ind w:right="42"/>
              <w:spacing w:after="0"/>
              <w:rPr>
                <w:sz w:val="20"/>
                <w:szCs w:val="20"/>
                <w:color w:val="auto"/>
              </w:rPr>
            </w:pPr>
            <w:r>
              <w:rPr>
                <w:rFonts w:ascii="Arial" w:cs="Arial" w:eastAsia="Arial" w:hAnsi="Arial"/>
                <w:sz w:val="18"/>
                <w:szCs w:val="18"/>
                <w:color w:val="auto"/>
                <w:w w:val="84"/>
              </w:rPr>
              <w:t>10.18</w:t>
            </w:r>
          </w:p>
        </w:tc>
        <w:tc>
          <w:tcPr>
            <w:tcW w:w="10860" w:type="dxa"/>
            <w:vAlign w:val="bottom"/>
          </w:tcPr>
          <w:p>
            <w:pPr>
              <w:ind w:left="660"/>
              <w:spacing w:after="0"/>
              <w:rPr>
                <w:sz w:val="20"/>
                <w:szCs w:val="20"/>
                <w:color w:val="auto"/>
              </w:rPr>
            </w:pPr>
            <w:r>
              <w:rPr>
                <w:rFonts w:ascii="Arial" w:cs="Arial" w:eastAsia="Arial" w:hAnsi="Arial"/>
                <w:sz w:val="18"/>
                <w:szCs w:val="18"/>
                <w:color w:val="auto"/>
                <w:w w:val="91"/>
              </w:rPr>
              <w:t>Extension to Consulting Agreement, dated as of April 28, 2002, between the Company and Jewelcor Management, Inc. (included as Exhibit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60" w:type="dxa"/>
            <w:vAlign w:val="bottom"/>
          </w:tcPr>
          <w:p>
            <w:pPr>
              <w:ind w:left="660"/>
              <w:spacing w:after="0"/>
              <w:rPr>
                <w:sz w:val="20"/>
                <w:szCs w:val="20"/>
                <w:color w:val="auto"/>
              </w:rPr>
            </w:pPr>
            <w:r>
              <w:rPr>
                <w:rFonts w:ascii="Arial" w:cs="Arial" w:eastAsia="Arial" w:hAnsi="Arial"/>
                <w:sz w:val="18"/>
                <w:szCs w:val="18"/>
                <w:color w:val="auto"/>
              </w:rPr>
              <w:t>10.30 to the Company’s Quarterly Report on Form 10-Q filed on June 18, 2002, and incorporated herein by reference).*</w:t>
            </w:r>
          </w:p>
        </w:tc>
        <w:tc>
          <w:tcPr>
            <w:tcW w:w="0" w:type="dxa"/>
            <w:vAlign w:val="bottom"/>
          </w:tcPr>
          <w:p>
            <w:pPr>
              <w:spacing w:after="0"/>
              <w:rPr>
                <w:sz w:val="1"/>
                <w:szCs w:val="1"/>
                <w:color w:val="auto"/>
              </w:rPr>
            </w:pPr>
          </w:p>
        </w:tc>
      </w:tr>
      <w:tr>
        <w:trPr>
          <w:trHeight w:val="318"/>
        </w:trPr>
        <w:tc>
          <w:tcPr>
            <w:tcW w:w="520" w:type="dxa"/>
            <w:vAlign w:val="bottom"/>
            <w:gridSpan w:val="2"/>
          </w:tcPr>
          <w:p>
            <w:pPr>
              <w:jc w:val="right"/>
              <w:ind w:right="42"/>
              <w:spacing w:after="0"/>
              <w:rPr>
                <w:sz w:val="20"/>
                <w:szCs w:val="20"/>
                <w:color w:val="auto"/>
              </w:rPr>
            </w:pPr>
            <w:r>
              <w:rPr>
                <w:rFonts w:ascii="Arial" w:cs="Arial" w:eastAsia="Arial" w:hAnsi="Arial"/>
                <w:sz w:val="18"/>
                <w:szCs w:val="18"/>
                <w:color w:val="auto"/>
                <w:w w:val="84"/>
              </w:rPr>
              <w:t>10.19</w:t>
            </w:r>
          </w:p>
        </w:tc>
        <w:tc>
          <w:tcPr>
            <w:tcW w:w="10860" w:type="dxa"/>
            <w:vAlign w:val="bottom"/>
          </w:tcPr>
          <w:p>
            <w:pPr>
              <w:ind w:left="660"/>
              <w:spacing w:after="0"/>
              <w:rPr>
                <w:sz w:val="20"/>
                <w:szCs w:val="20"/>
                <w:color w:val="auto"/>
              </w:rPr>
            </w:pPr>
            <w:r>
              <w:rPr>
                <w:rFonts w:ascii="Arial" w:cs="Arial" w:eastAsia="Arial" w:hAnsi="Arial"/>
                <w:sz w:val="18"/>
                <w:szCs w:val="18"/>
                <w:color w:val="auto"/>
                <w:w w:val="88"/>
              </w:rPr>
              <w:t>Extension to Consulting Agreement, dated as of April 29, 2003, between the Company and Jewelcor Management, Inc. (included as Exhibit 10.7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60" w:type="dxa"/>
            <w:vAlign w:val="bottom"/>
          </w:tcPr>
          <w:p>
            <w:pPr>
              <w:ind w:left="660"/>
              <w:spacing w:after="0"/>
              <w:rPr>
                <w:sz w:val="20"/>
                <w:szCs w:val="20"/>
                <w:color w:val="auto"/>
              </w:rPr>
            </w:pPr>
            <w:r>
              <w:rPr>
                <w:rFonts w:ascii="Arial" w:cs="Arial" w:eastAsia="Arial" w:hAnsi="Arial"/>
                <w:sz w:val="18"/>
                <w:szCs w:val="18"/>
                <w:color w:val="auto"/>
              </w:rPr>
              <w:t>to the Company’s Annual Report on Form 10-K filed on May 5, 2003, and incorporated herein by reference).*</w:t>
            </w:r>
          </w:p>
        </w:tc>
        <w:tc>
          <w:tcPr>
            <w:tcW w:w="0" w:type="dxa"/>
            <w:vAlign w:val="bottom"/>
          </w:tcPr>
          <w:p>
            <w:pPr>
              <w:spacing w:after="0"/>
              <w:rPr>
                <w:sz w:val="1"/>
                <w:szCs w:val="1"/>
                <w:color w:val="auto"/>
              </w:rPr>
            </w:pPr>
          </w:p>
        </w:tc>
      </w:tr>
      <w:tr>
        <w:trPr>
          <w:trHeight w:val="318"/>
        </w:trPr>
        <w:tc>
          <w:tcPr>
            <w:tcW w:w="520" w:type="dxa"/>
            <w:vAlign w:val="bottom"/>
            <w:gridSpan w:val="2"/>
          </w:tcPr>
          <w:p>
            <w:pPr>
              <w:jc w:val="right"/>
              <w:ind w:right="42"/>
              <w:spacing w:after="0"/>
              <w:rPr>
                <w:sz w:val="20"/>
                <w:szCs w:val="20"/>
                <w:color w:val="auto"/>
              </w:rPr>
            </w:pPr>
            <w:r>
              <w:rPr>
                <w:rFonts w:ascii="Arial" w:cs="Arial" w:eastAsia="Arial" w:hAnsi="Arial"/>
                <w:sz w:val="18"/>
                <w:szCs w:val="18"/>
                <w:color w:val="auto"/>
                <w:w w:val="84"/>
              </w:rPr>
              <w:t>10.20</w:t>
            </w:r>
          </w:p>
        </w:tc>
        <w:tc>
          <w:tcPr>
            <w:tcW w:w="10860" w:type="dxa"/>
            <w:vAlign w:val="bottom"/>
          </w:tcPr>
          <w:p>
            <w:pPr>
              <w:ind w:left="660"/>
              <w:spacing w:after="0"/>
              <w:rPr>
                <w:sz w:val="20"/>
                <w:szCs w:val="20"/>
                <w:color w:val="auto"/>
              </w:rPr>
            </w:pPr>
            <w:r>
              <w:rPr>
                <w:rFonts w:ascii="Arial" w:cs="Arial" w:eastAsia="Arial" w:hAnsi="Arial"/>
                <w:sz w:val="18"/>
                <w:szCs w:val="18"/>
                <w:color w:val="auto"/>
                <w:w w:val="89"/>
              </w:rPr>
              <w:t>Amendment to Consulting Agreement, effective as of May 1, 2003, between the Company and Jewelcor Management, Inc. (included as Exhibit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60" w:type="dxa"/>
            <w:vAlign w:val="bottom"/>
          </w:tcPr>
          <w:p>
            <w:pPr>
              <w:ind w:left="660"/>
              <w:spacing w:after="0"/>
              <w:rPr>
                <w:sz w:val="20"/>
                <w:szCs w:val="20"/>
                <w:color w:val="auto"/>
              </w:rPr>
            </w:pPr>
            <w:r>
              <w:rPr>
                <w:rFonts w:ascii="Arial" w:cs="Arial" w:eastAsia="Arial" w:hAnsi="Arial"/>
                <w:sz w:val="18"/>
                <w:szCs w:val="18"/>
                <w:color w:val="auto"/>
              </w:rPr>
              <w:t>10.1 to the Company’s Quarterly Report on Form 10-Q filed on September 16, 2003, and incorporated herein by reference).*</w:t>
            </w:r>
          </w:p>
        </w:tc>
        <w:tc>
          <w:tcPr>
            <w:tcW w:w="0" w:type="dxa"/>
            <w:vAlign w:val="bottom"/>
          </w:tcPr>
          <w:p>
            <w:pPr>
              <w:spacing w:after="0"/>
              <w:rPr>
                <w:sz w:val="1"/>
                <w:szCs w:val="1"/>
                <w:color w:val="auto"/>
              </w:rPr>
            </w:pPr>
          </w:p>
        </w:tc>
      </w:tr>
      <w:tr>
        <w:trPr>
          <w:trHeight w:val="318"/>
        </w:trPr>
        <w:tc>
          <w:tcPr>
            <w:tcW w:w="520" w:type="dxa"/>
            <w:vAlign w:val="bottom"/>
            <w:gridSpan w:val="2"/>
          </w:tcPr>
          <w:p>
            <w:pPr>
              <w:jc w:val="right"/>
              <w:ind w:right="42"/>
              <w:spacing w:after="0"/>
              <w:rPr>
                <w:sz w:val="20"/>
                <w:szCs w:val="20"/>
                <w:color w:val="auto"/>
              </w:rPr>
            </w:pPr>
            <w:r>
              <w:rPr>
                <w:rFonts w:ascii="Arial" w:cs="Arial" w:eastAsia="Arial" w:hAnsi="Arial"/>
                <w:sz w:val="18"/>
                <w:szCs w:val="18"/>
                <w:color w:val="auto"/>
                <w:w w:val="84"/>
              </w:rPr>
              <w:t>10.21</w:t>
            </w:r>
          </w:p>
        </w:tc>
        <w:tc>
          <w:tcPr>
            <w:tcW w:w="10860" w:type="dxa"/>
            <w:vAlign w:val="bottom"/>
          </w:tcPr>
          <w:p>
            <w:pPr>
              <w:ind w:left="660"/>
              <w:spacing w:after="0"/>
              <w:rPr>
                <w:sz w:val="20"/>
                <w:szCs w:val="20"/>
                <w:color w:val="auto"/>
              </w:rPr>
            </w:pPr>
            <w:r>
              <w:rPr>
                <w:rFonts w:ascii="Arial" w:cs="Arial" w:eastAsia="Arial" w:hAnsi="Arial"/>
                <w:sz w:val="18"/>
                <w:szCs w:val="18"/>
                <w:color w:val="auto"/>
                <w:w w:val="88"/>
              </w:rPr>
              <w:t>Amendment to Consulting Agreement, dated as of August 26, 2004, between the Company and Jewelcor Management, Inc. (included as Exhibit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60" w:type="dxa"/>
            <w:vAlign w:val="bottom"/>
          </w:tcPr>
          <w:p>
            <w:pPr>
              <w:ind w:left="660"/>
              <w:spacing w:after="0"/>
              <w:rPr>
                <w:sz w:val="20"/>
                <w:szCs w:val="20"/>
                <w:color w:val="auto"/>
              </w:rPr>
            </w:pPr>
            <w:r>
              <w:rPr>
                <w:rFonts w:ascii="Arial" w:cs="Arial" w:eastAsia="Arial" w:hAnsi="Arial"/>
                <w:sz w:val="18"/>
                <w:szCs w:val="18"/>
                <w:color w:val="auto"/>
              </w:rPr>
              <w:t>10.5 to the Company’s Quarterly Report on Form 10-Q filed on December 9, 2004, and incorporated herein by reference).*</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60" w:type="dxa"/>
            <w:vAlign w:val="bottom"/>
          </w:tcPr>
          <w:p>
            <w:pPr>
              <w:ind w:left="5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Exhibits</w:t>
            </w:r>
          </w:p>
        </w:tc>
        <w:tc>
          <w:tcPr>
            <w:tcW w:w="10880" w:type="dxa"/>
            <w:vAlign w:val="bottom"/>
            <w:vMerge w:val="restart"/>
          </w:tcPr>
          <w:p>
            <w:pPr>
              <w:ind w:left="660"/>
              <w:spacing w:after="0"/>
              <w:rPr>
                <w:sz w:val="20"/>
                <w:szCs w:val="20"/>
                <w:color w:val="auto"/>
              </w:rPr>
            </w:pPr>
            <w:r>
              <w:rPr>
                <w:rFonts w:ascii="Arial" w:cs="Arial" w:eastAsia="Arial" w:hAnsi="Arial"/>
                <w:sz w:val="18"/>
                <w:szCs w:val="18"/>
                <w:color w:val="auto"/>
                <w:w w:val="90"/>
              </w:rPr>
              <w:t>Amendment to Consulting Agreement, effective May 9, 2005, between the Company and Jewelcor Management, Inc. (included as Exhibit 10.1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00" w:type="dxa"/>
            <w:vAlign w:val="bottom"/>
          </w:tcPr>
          <w:p>
            <w:pPr>
              <w:spacing w:after="0" w:line="201" w:lineRule="exact"/>
              <w:rPr>
                <w:sz w:val="20"/>
                <w:szCs w:val="20"/>
                <w:color w:val="auto"/>
              </w:rPr>
            </w:pPr>
            <w:r>
              <w:rPr>
                <w:rFonts w:ascii="Arial" w:cs="Arial" w:eastAsia="Arial" w:hAnsi="Arial"/>
                <w:sz w:val="18"/>
                <w:szCs w:val="18"/>
                <w:color w:val="auto"/>
              </w:rPr>
              <w:t>10.22</w:t>
            </w:r>
          </w:p>
        </w:tc>
        <w:tc>
          <w:tcPr>
            <w:tcW w:w="10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to the Company’s Current Report on Form 8-K filed June 20, 2005, and incorporated herein by reference).*</w:t>
            </w:r>
          </w:p>
        </w:tc>
        <w:tc>
          <w:tcPr>
            <w:tcW w:w="0" w:type="dxa"/>
            <w:vAlign w:val="bottom"/>
          </w:tcPr>
          <w:p>
            <w:pPr>
              <w:spacing w:after="0"/>
              <w:rPr>
                <w:sz w:val="1"/>
                <w:szCs w:val="1"/>
                <w:color w:val="auto"/>
              </w:rPr>
            </w:pP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10.23</w:t>
            </w:r>
          </w:p>
        </w:tc>
        <w:tc>
          <w:tcPr>
            <w:tcW w:w="10880" w:type="dxa"/>
            <w:vAlign w:val="bottom"/>
          </w:tcPr>
          <w:p>
            <w:pPr>
              <w:ind w:left="660"/>
              <w:spacing w:after="0"/>
              <w:rPr>
                <w:sz w:val="20"/>
                <w:szCs w:val="20"/>
                <w:color w:val="auto"/>
              </w:rPr>
            </w:pPr>
            <w:r>
              <w:rPr>
                <w:rFonts w:ascii="Arial" w:cs="Arial" w:eastAsia="Arial" w:hAnsi="Arial"/>
                <w:sz w:val="18"/>
                <w:szCs w:val="18"/>
                <w:color w:val="auto"/>
                <w:w w:val="93"/>
              </w:rPr>
              <w:t>Letter Agreement dated May 26, 2006 between the Company and Jewelcor Management, Inc. (included as Exhibit 10.3 to the Company’s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Quarterly Report on Form 10-Q filed on May 30, 2006, and incorporated herein by reference).*</w:t>
            </w:r>
          </w:p>
        </w:tc>
        <w:tc>
          <w:tcPr>
            <w:tcW w:w="0" w:type="dxa"/>
            <w:vAlign w:val="bottom"/>
          </w:tcPr>
          <w:p>
            <w:pPr>
              <w:spacing w:after="0"/>
              <w:rPr>
                <w:sz w:val="1"/>
                <w:szCs w:val="1"/>
                <w:color w:val="auto"/>
              </w:rPr>
            </w:pP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10.24</w:t>
            </w:r>
          </w:p>
        </w:tc>
        <w:tc>
          <w:tcPr>
            <w:tcW w:w="10880" w:type="dxa"/>
            <w:vAlign w:val="bottom"/>
          </w:tcPr>
          <w:p>
            <w:pPr>
              <w:ind w:left="660"/>
              <w:spacing w:after="0"/>
              <w:rPr>
                <w:sz w:val="20"/>
                <w:szCs w:val="20"/>
                <w:color w:val="auto"/>
              </w:rPr>
            </w:pPr>
            <w:r>
              <w:rPr>
                <w:rFonts w:ascii="Arial" w:cs="Arial" w:eastAsia="Arial" w:hAnsi="Arial"/>
                <w:sz w:val="18"/>
                <w:szCs w:val="18"/>
                <w:color w:val="auto"/>
                <w:w w:val="88"/>
              </w:rPr>
              <w:t>Amendment to Consulting Agreement dated as of May 30, 2007, effective April 29, 2007, between the Company and Jewelcor Management, Inc.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w w:val="95"/>
              </w:rPr>
              <w:t>(included as Exhibit 10.1 to the Company’s Current Report on Form 8-K filed on May 31, 2007, and incorporated herein by reference).*</w:t>
            </w:r>
          </w:p>
        </w:tc>
        <w:tc>
          <w:tcPr>
            <w:tcW w:w="0" w:type="dxa"/>
            <w:vAlign w:val="bottom"/>
          </w:tcPr>
          <w:p>
            <w:pPr>
              <w:spacing w:after="0"/>
              <w:rPr>
                <w:sz w:val="1"/>
                <w:szCs w:val="1"/>
                <w:color w:val="auto"/>
              </w:rPr>
            </w:pP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10.25</w:t>
            </w:r>
          </w:p>
        </w:tc>
        <w:tc>
          <w:tcPr>
            <w:tcW w:w="10880" w:type="dxa"/>
            <w:vAlign w:val="bottom"/>
          </w:tcPr>
          <w:p>
            <w:pPr>
              <w:ind w:left="660"/>
              <w:spacing w:after="0"/>
              <w:rPr>
                <w:sz w:val="20"/>
                <w:szCs w:val="20"/>
                <w:color w:val="auto"/>
              </w:rPr>
            </w:pPr>
            <w:r>
              <w:rPr>
                <w:rFonts w:ascii="Arial" w:cs="Arial" w:eastAsia="Arial" w:hAnsi="Arial"/>
                <w:sz w:val="18"/>
                <w:szCs w:val="18"/>
                <w:color w:val="auto"/>
                <w:w w:val="91"/>
              </w:rPr>
              <w:t>Employment Agreement dated as of March 31, 2000 between the Company and David A. Levin (included as Exhibit 10.27 to the Company’s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Annual Report on Form 10-K filed on April 28, 2000, and incorporated herein by reference).*</w:t>
            </w:r>
          </w:p>
        </w:tc>
        <w:tc>
          <w:tcPr>
            <w:tcW w:w="0" w:type="dxa"/>
            <w:vAlign w:val="bottom"/>
          </w:tcPr>
          <w:p>
            <w:pPr>
              <w:spacing w:after="0"/>
              <w:rPr>
                <w:sz w:val="1"/>
                <w:szCs w:val="1"/>
                <w:color w:val="auto"/>
              </w:rPr>
            </w:pP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10.26</w:t>
            </w:r>
          </w:p>
        </w:tc>
        <w:tc>
          <w:tcPr>
            <w:tcW w:w="10880" w:type="dxa"/>
            <w:vAlign w:val="bottom"/>
          </w:tcPr>
          <w:p>
            <w:pPr>
              <w:ind w:left="660"/>
              <w:spacing w:after="0"/>
              <w:rPr>
                <w:sz w:val="20"/>
                <w:szCs w:val="20"/>
                <w:color w:val="auto"/>
              </w:rPr>
            </w:pPr>
            <w:r>
              <w:rPr>
                <w:rFonts w:ascii="Arial" w:cs="Arial" w:eastAsia="Arial" w:hAnsi="Arial"/>
                <w:sz w:val="18"/>
                <w:szCs w:val="18"/>
                <w:color w:val="auto"/>
                <w:w w:val="90"/>
              </w:rPr>
              <w:t>First Amendment to Employment Agreement dated April 10, 2001 between the Company and David A. Levin (included as Exhibit 10.19 to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Company’s Quarterly Report on Form 10-Q filed on June 19, 2001, and incorporated herein by reference).*</w:t>
            </w:r>
          </w:p>
        </w:tc>
        <w:tc>
          <w:tcPr>
            <w:tcW w:w="0" w:type="dxa"/>
            <w:vAlign w:val="bottom"/>
          </w:tcPr>
          <w:p>
            <w:pPr>
              <w:spacing w:after="0"/>
              <w:rPr>
                <w:sz w:val="1"/>
                <w:szCs w:val="1"/>
                <w:color w:val="auto"/>
              </w:rPr>
            </w:pP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10.27</w:t>
            </w:r>
          </w:p>
        </w:tc>
        <w:tc>
          <w:tcPr>
            <w:tcW w:w="10880" w:type="dxa"/>
            <w:vAlign w:val="bottom"/>
          </w:tcPr>
          <w:p>
            <w:pPr>
              <w:ind w:left="660"/>
              <w:spacing w:after="0"/>
              <w:rPr>
                <w:sz w:val="20"/>
                <w:szCs w:val="20"/>
                <w:color w:val="auto"/>
              </w:rPr>
            </w:pPr>
            <w:r>
              <w:rPr>
                <w:rFonts w:ascii="Arial" w:cs="Arial" w:eastAsia="Arial" w:hAnsi="Arial"/>
                <w:sz w:val="18"/>
                <w:szCs w:val="18"/>
                <w:color w:val="auto"/>
                <w:w w:val="90"/>
              </w:rPr>
              <w:t>Second Amendment to Employment Agreement dated as of January 10, 2003 between the Company and David A. Levin (included as Exhibit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10.10 to the Company’s Annual Report on Form 10-K filed on May 5, 2003, and incorporated herein by reference).*</w:t>
            </w:r>
          </w:p>
        </w:tc>
        <w:tc>
          <w:tcPr>
            <w:tcW w:w="0" w:type="dxa"/>
            <w:vAlign w:val="bottom"/>
          </w:tcPr>
          <w:p>
            <w:pPr>
              <w:spacing w:after="0"/>
              <w:rPr>
                <w:sz w:val="1"/>
                <w:szCs w:val="1"/>
                <w:color w:val="auto"/>
              </w:rPr>
            </w:pP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10.28</w:t>
            </w:r>
          </w:p>
        </w:tc>
        <w:tc>
          <w:tcPr>
            <w:tcW w:w="10880" w:type="dxa"/>
            <w:vAlign w:val="bottom"/>
          </w:tcPr>
          <w:p>
            <w:pPr>
              <w:ind w:left="660"/>
              <w:spacing w:after="0"/>
              <w:rPr>
                <w:sz w:val="20"/>
                <w:szCs w:val="20"/>
                <w:color w:val="auto"/>
              </w:rPr>
            </w:pPr>
            <w:r>
              <w:rPr>
                <w:rFonts w:ascii="Arial" w:cs="Arial" w:eastAsia="Arial" w:hAnsi="Arial"/>
                <w:sz w:val="18"/>
                <w:szCs w:val="18"/>
                <w:color w:val="auto"/>
                <w:w w:val="90"/>
              </w:rPr>
              <w:t>Third Amendment to Employment Agreement, dated as of July 9, 2003, between the Company and David A. Levin (included as Exhibit 10.2 to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the Company’s Quarterly Report on Form 10-Q filed on September 16, 2003, and incorporated herein by reference).*</w:t>
            </w:r>
          </w:p>
        </w:tc>
        <w:tc>
          <w:tcPr>
            <w:tcW w:w="0" w:type="dxa"/>
            <w:vAlign w:val="bottom"/>
          </w:tcPr>
          <w:p>
            <w:pPr>
              <w:spacing w:after="0"/>
              <w:rPr>
                <w:sz w:val="1"/>
                <w:szCs w:val="1"/>
                <w:color w:val="auto"/>
              </w:rPr>
            </w:pP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10.29</w:t>
            </w:r>
          </w:p>
        </w:tc>
        <w:tc>
          <w:tcPr>
            <w:tcW w:w="10880" w:type="dxa"/>
            <w:vAlign w:val="bottom"/>
          </w:tcPr>
          <w:p>
            <w:pPr>
              <w:ind w:left="660"/>
              <w:spacing w:after="0"/>
              <w:rPr>
                <w:sz w:val="20"/>
                <w:szCs w:val="20"/>
                <w:color w:val="auto"/>
              </w:rPr>
            </w:pPr>
            <w:r>
              <w:rPr>
                <w:rFonts w:ascii="Arial" w:cs="Arial" w:eastAsia="Arial" w:hAnsi="Arial"/>
                <w:sz w:val="18"/>
                <w:szCs w:val="18"/>
                <w:color w:val="auto"/>
                <w:w w:val="89"/>
              </w:rPr>
              <w:t>Fourth Amendment to Employment Agreement dated as of June 29, 2004 between the Company and David A. Levin (included as Exhibit 10.17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to the Company’s Annual Report on Form 10-K filed on April 11, 2005, and incorporated herein by reference).*</w:t>
            </w:r>
          </w:p>
        </w:tc>
        <w:tc>
          <w:tcPr>
            <w:tcW w:w="0" w:type="dxa"/>
            <w:vAlign w:val="bottom"/>
          </w:tcPr>
          <w:p>
            <w:pPr>
              <w:spacing w:after="0"/>
              <w:rPr>
                <w:sz w:val="1"/>
                <w:szCs w:val="1"/>
                <w:color w:val="auto"/>
              </w:rPr>
            </w:pPr>
          </w:p>
        </w:tc>
      </w:tr>
      <w:tr>
        <w:trPr>
          <w:trHeight w:val="318"/>
        </w:trPr>
        <w:tc>
          <w:tcPr>
            <w:tcW w:w="520" w:type="dxa"/>
            <w:vAlign w:val="bottom"/>
            <w:gridSpan w:val="2"/>
          </w:tcPr>
          <w:p>
            <w:pPr>
              <w:ind w:left="120"/>
              <w:spacing w:after="0"/>
              <w:rPr>
                <w:sz w:val="20"/>
                <w:szCs w:val="20"/>
                <w:color w:val="auto"/>
              </w:rPr>
            </w:pPr>
            <w:r>
              <w:rPr>
                <w:rFonts w:ascii="Arial" w:cs="Arial" w:eastAsia="Arial" w:hAnsi="Arial"/>
                <w:sz w:val="18"/>
                <w:szCs w:val="18"/>
                <w:color w:val="auto"/>
                <w:w w:val="84"/>
              </w:rPr>
              <w:t>10.30</w:t>
            </w:r>
          </w:p>
        </w:tc>
        <w:tc>
          <w:tcPr>
            <w:tcW w:w="10880" w:type="dxa"/>
            <w:vAlign w:val="bottom"/>
          </w:tcPr>
          <w:p>
            <w:pPr>
              <w:ind w:left="660"/>
              <w:spacing w:after="0"/>
              <w:rPr>
                <w:sz w:val="20"/>
                <w:szCs w:val="20"/>
                <w:color w:val="auto"/>
              </w:rPr>
            </w:pPr>
            <w:r>
              <w:rPr>
                <w:rFonts w:ascii="Arial" w:cs="Arial" w:eastAsia="Arial" w:hAnsi="Arial"/>
                <w:sz w:val="18"/>
                <w:szCs w:val="18"/>
                <w:color w:val="auto"/>
                <w:w w:val="90"/>
              </w:rPr>
              <w:t>Letter Agreement dated May 26, 2006 between the Company and David A. Levin (included as Exhibit 10.1 to the Company’s Quarterly Report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on Form 10-Q filed on May 30, 2006, and incorporated herein by reference).*</w:t>
            </w:r>
          </w:p>
        </w:tc>
        <w:tc>
          <w:tcPr>
            <w:tcW w:w="0" w:type="dxa"/>
            <w:vAlign w:val="bottom"/>
          </w:tcPr>
          <w:p>
            <w:pPr>
              <w:spacing w:after="0"/>
              <w:rPr>
                <w:sz w:val="1"/>
                <w:szCs w:val="1"/>
                <w:color w:val="auto"/>
              </w:rPr>
            </w:pP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10.31</w:t>
            </w:r>
          </w:p>
        </w:tc>
        <w:tc>
          <w:tcPr>
            <w:tcW w:w="10880" w:type="dxa"/>
            <w:vAlign w:val="bottom"/>
          </w:tcPr>
          <w:p>
            <w:pPr>
              <w:ind w:left="660"/>
              <w:spacing w:after="0"/>
              <w:rPr>
                <w:sz w:val="20"/>
                <w:szCs w:val="20"/>
                <w:color w:val="auto"/>
              </w:rPr>
            </w:pPr>
            <w:r>
              <w:rPr>
                <w:rFonts w:ascii="Arial" w:cs="Arial" w:eastAsia="Arial" w:hAnsi="Arial"/>
                <w:sz w:val="18"/>
                <w:szCs w:val="18"/>
                <w:color w:val="auto"/>
                <w:w w:val="89"/>
              </w:rPr>
              <w:t>Sixth Amendment to Employment Agreement, dated May 29, 2007, and effective as of May 1, 2007, between the Company and David A. Levin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w w:val="95"/>
              </w:rPr>
              <w:t>(included as Exhibit 10.3 to the Company’s Current Report on Form 8-K filed on May 31, 2007, and incorporated herein by reference).*</w:t>
            </w:r>
          </w:p>
        </w:tc>
        <w:tc>
          <w:tcPr>
            <w:tcW w:w="0" w:type="dxa"/>
            <w:vAlign w:val="bottom"/>
          </w:tcPr>
          <w:p>
            <w:pPr>
              <w:spacing w:after="0"/>
              <w:rPr>
                <w:sz w:val="1"/>
                <w:szCs w:val="1"/>
                <w:color w:val="auto"/>
              </w:rPr>
            </w:pP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10.32</w:t>
            </w:r>
          </w:p>
        </w:tc>
        <w:tc>
          <w:tcPr>
            <w:tcW w:w="10880" w:type="dxa"/>
            <w:vAlign w:val="bottom"/>
          </w:tcPr>
          <w:p>
            <w:pPr>
              <w:ind w:left="660"/>
              <w:spacing w:after="0"/>
              <w:rPr>
                <w:sz w:val="20"/>
                <w:szCs w:val="20"/>
                <w:color w:val="auto"/>
              </w:rPr>
            </w:pPr>
            <w:r>
              <w:rPr>
                <w:rFonts w:ascii="Arial" w:cs="Arial" w:eastAsia="Arial" w:hAnsi="Arial"/>
                <w:sz w:val="18"/>
                <w:szCs w:val="18"/>
                <w:color w:val="auto"/>
                <w:w w:val="95"/>
              </w:rPr>
              <w:t>Employment Agreement dated as of August 14, 2000 between the Company and Dennis R. Hernreich (included as Exhibit 10.30 to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Company’s Quarterly Report on Form 10-Q filed on September 12, 2000, and incorporated herein by reference).*</w:t>
            </w:r>
          </w:p>
        </w:tc>
        <w:tc>
          <w:tcPr>
            <w:tcW w:w="0" w:type="dxa"/>
            <w:vAlign w:val="bottom"/>
          </w:tcPr>
          <w:p>
            <w:pPr>
              <w:spacing w:after="0"/>
              <w:rPr>
                <w:sz w:val="1"/>
                <w:szCs w:val="1"/>
                <w:color w:val="auto"/>
              </w:rPr>
            </w:pP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10.33</w:t>
            </w:r>
          </w:p>
        </w:tc>
        <w:tc>
          <w:tcPr>
            <w:tcW w:w="10880" w:type="dxa"/>
            <w:vAlign w:val="bottom"/>
          </w:tcPr>
          <w:p>
            <w:pPr>
              <w:ind w:left="660"/>
              <w:spacing w:after="0"/>
              <w:rPr>
                <w:sz w:val="20"/>
                <w:szCs w:val="20"/>
                <w:color w:val="auto"/>
              </w:rPr>
            </w:pPr>
            <w:r>
              <w:rPr>
                <w:rFonts w:ascii="Arial" w:cs="Arial" w:eastAsia="Arial" w:hAnsi="Arial"/>
                <w:sz w:val="18"/>
                <w:szCs w:val="18"/>
                <w:color w:val="auto"/>
                <w:w w:val="89"/>
              </w:rPr>
              <w:t>First Amendment to Employment Agreement dated April 25, 2001 between the Company and Dennis R. Hernreich (included as Exhibit 10.23 to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the Company’s Quarterly Report on Form 10-Q filed on June 19, 2001, and incorporated herein by reference).*</w:t>
            </w:r>
          </w:p>
        </w:tc>
        <w:tc>
          <w:tcPr>
            <w:tcW w:w="0" w:type="dxa"/>
            <w:vAlign w:val="bottom"/>
          </w:tcPr>
          <w:p>
            <w:pPr>
              <w:spacing w:after="0"/>
              <w:rPr>
                <w:sz w:val="1"/>
                <w:szCs w:val="1"/>
                <w:color w:val="auto"/>
              </w:rPr>
            </w:pP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10.34</w:t>
            </w:r>
          </w:p>
        </w:tc>
        <w:tc>
          <w:tcPr>
            <w:tcW w:w="10880" w:type="dxa"/>
            <w:vAlign w:val="bottom"/>
          </w:tcPr>
          <w:p>
            <w:pPr>
              <w:ind w:left="660"/>
              <w:spacing w:after="0"/>
              <w:rPr>
                <w:sz w:val="20"/>
                <w:szCs w:val="20"/>
                <w:color w:val="auto"/>
              </w:rPr>
            </w:pPr>
            <w:r>
              <w:rPr>
                <w:rFonts w:ascii="Arial" w:cs="Arial" w:eastAsia="Arial" w:hAnsi="Arial"/>
                <w:sz w:val="18"/>
                <w:szCs w:val="18"/>
                <w:color w:val="auto"/>
                <w:w w:val="92"/>
              </w:rPr>
              <w:t>Second Amendment to Employment Agreement dated as of January 10, 2003 between the Company and Dennis R. Hernreich (included as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Exhibit 10.15 to the Company’s Annual Report on Form 10-K filed on May 5, 2003, and incorporated herein by reference).*</w:t>
            </w:r>
          </w:p>
        </w:tc>
        <w:tc>
          <w:tcPr>
            <w:tcW w:w="0" w:type="dxa"/>
            <w:vAlign w:val="bottom"/>
          </w:tcPr>
          <w:p>
            <w:pPr>
              <w:spacing w:after="0"/>
              <w:rPr>
                <w:sz w:val="1"/>
                <w:szCs w:val="1"/>
                <w:color w:val="auto"/>
              </w:rPr>
            </w:pP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10.35</w:t>
            </w:r>
          </w:p>
        </w:tc>
        <w:tc>
          <w:tcPr>
            <w:tcW w:w="10880" w:type="dxa"/>
            <w:vAlign w:val="bottom"/>
          </w:tcPr>
          <w:p>
            <w:pPr>
              <w:ind w:left="660"/>
              <w:spacing w:after="0"/>
              <w:rPr>
                <w:sz w:val="20"/>
                <w:szCs w:val="20"/>
                <w:color w:val="auto"/>
              </w:rPr>
            </w:pPr>
            <w:r>
              <w:rPr>
                <w:rFonts w:ascii="Arial" w:cs="Arial" w:eastAsia="Arial" w:hAnsi="Arial"/>
                <w:sz w:val="18"/>
                <w:szCs w:val="18"/>
                <w:color w:val="auto"/>
                <w:w w:val="91"/>
              </w:rPr>
              <w:t>Third Amendment to Employment Agreement, dated as of July 9, 2003, between the Company and Dennis R. Hernreich (included as Exhibit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10.3 to the Company’s Quarterly Report on Form 10-Q filed on September 16, 2003, and incorporated herein by reference).*</w:t>
            </w:r>
          </w:p>
        </w:tc>
        <w:tc>
          <w:tcPr>
            <w:tcW w:w="0" w:type="dxa"/>
            <w:vAlign w:val="bottom"/>
          </w:tcPr>
          <w:p>
            <w:pPr>
              <w:spacing w:after="0"/>
              <w:rPr>
                <w:sz w:val="1"/>
                <w:szCs w:val="1"/>
                <w:color w:val="auto"/>
              </w:rPr>
            </w:pP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10.36</w:t>
            </w:r>
          </w:p>
        </w:tc>
        <w:tc>
          <w:tcPr>
            <w:tcW w:w="10880" w:type="dxa"/>
            <w:vAlign w:val="bottom"/>
          </w:tcPr>
          <w:p>
            <w:pPr>
              <w:ind w:left="660"/>
              <w:spacing w:after="0"/>
              <w:rPr>
                <w:sz w:val="20"/>
                <w:szCs w:val="20"/>
                <w:color w:val="auto"/>
              </w:rPr>
            </w:pPr>
            <w:r>
              <w:rPr>
                <w:rFonts w:ascii="Arial" w:cs="Arial" w:eastAsia="Arial" w:hAnsi="Arial"/>
                <w:sz w:val="18"/>
                <w:szCs w:val="18"/>
                <w:color w:val="auto"/>
                <w:w w:val="89"/>
              </w:rPr>
              <w:t>Fourth Amendment to Employment Agreement, dated as of June 29, 2004, between the Company and Dennis R. Hernreich (included as Exhibit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10.22 to the Company’s Annual Report on Form 10-K filed on April 11, 2005, and incorporated herein by reference).*</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80" w:type="dxa"/>
            <w:vAlign w:val="bottom"/>
          </w:tcPr>
          <w:p>
            <w:pPr>
              <w:ind w:left="5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Exhibits</w:t>
            </w:r>
          </w:p>
        </w:tc>
        <w:tc>
          <w:tcPr>
            <w:tcW w:w="10880" w:type="dxa"/>
            <w:vAlign w:val="bottom"/>
            <w:vMerge w:val="restart"/>
          </w:tcPr>
          <w:p>
            <w:pPr>
              <w:ind w:left="660"/>
              <w:spacing w:after="0"/>
              <w:rPr>
                <w:sz w:val="20"/>
                <w:szCs w:val="20"/>
                <w:color w:val="auto"/>
              </w:rPr>
            </w:pPr>
            <w:r>
              <w:rPr>
                <w:rFonts w:ascii="Arial" w:cs="Arial" w:eastAsia="Arial" w:hAnsi="Arial"/>
                <w:sz w:val="18"/>
                <w:szCs w:val="18"/>
                <w:color w:val="auto"/>
                <w:w w:val="91"/>
              </w:rPr>
              <w:t>Letter Agreement dated May 26, 2006 between the Company and Dennis R. Hernreich (included as Exhibit 10.2 to the Company’s Quarterly</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00" w:type="dxa"/>
            <w:vAlign w:val="bottom"/>
          </w:tcPr>
          <w:p>
            <w:pPr>
              <w:spacing w:after="0" w:line="201" w:lineRule="exact"/>
              <w:rPr>
                <w:sz w:val="20"/>
                <w:szCs w:val="20"/>
                <w:color w:val="auto"/>
              </w:rPr>
            </w:pPr>
            <w:r>
              <w:rPr>
                <w:rFonts w:ascii="Arial" w:cs="Arial" w:eastAsia="Arial" w:hAnsi="Arial"/>
                <w:sz w:val="18"/>
                <w:szCs w:val="18"/>
                <w:color w:val="auto"/>
              </w:rPr>
              <w:t>10.37</w:t>
            </w:r>
          </w:p>
        </w:tc>
        <w:tc>
          <w:tcPr>
            <w:tcW w:w="10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Report on Form 10-Q filed on May 30, 2006, and incorporated herein by reference).*</w:t>
            </w:r>
          </w:p>
        </w:tc>
        <w:tc>
          <w:tcPr>
            <w:tcW w:w="0" w:type="dxa"/>
            <w:vAlign w:val="bottom"/>
          </w:tcPr>
          <w:p>
            <w:pPr>
              <w:spacing w:after="0"/>
              <w:rPr>
                <w:sz w:val="1"/>
                <w:szCs w:val="1"/>
                <w:color w:val="auto"/>
              </w:rPr>
            </w:pP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10.38</w:t>
            </w:r>
          </w:p>
        </w:tc>
        <w:tc>
          <w:tcPr>
            <w:tcW w:w="10880" w:type="dxa"/>
            <w:vAlign w:val="bottom"/>
          </w:tcPr>
          <w:p>
            <w:pPr>
              <w:ind w:left="660"/>
              <w:spacing w:after="0"/>
              <w:rPr>
                <w:sz w:val="20"/>
                <w:szCs w:val="20"/>
                <w:color w:val="auto"/>
              </w:rPr>
            </w:pPr>
            <w:r>
              <w:rPr>
                <w:rFonts w:ascii="Arial" w:cs="Arial" w:eastAsia="Arial" w:hAnsi="Arial"/>
                <w:sz w:val="18"/>
                <w:szCs w:val="18"/>
                <w:color w:val="auto"/>
                <w:w w:val="92"/>
              </w:rPr>
              <w:t>Sixth Amendment to Employment Agreement, dated May 29, 2007, and effective as of May 1, 2007, between the Company and Dennis 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w w:val="96"/>
              </w:rPr>
              <w:t>Hernreich (included as Exhibit 10.4 to the Company’s Current Report on Form 8-K filed on May 31, 2007, and incorporated herein by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10.39</w:t>
            </w:r>
          </w:p>
        </w:tc>
        <w:tc>
          <w:tcPr>
            <w:tcW w:w="10880" w:type="dxa"/>
            <w:vAlign w:val="bottom"/>
          </w:tcPr>
          <w:p>
            <w:pPr>
              <w:ind w:left="660"/>
              <w:spacing w:after="0"/>
              <w:rPr>
                <w:sz w:val="20"/>
                <w:szCs w:val="20"/>
                <w:color w:val="auto"/>
              </w:rPr>
            </w:pPr>
            <w:r>
              <w:rPr>
                <w:rFonts w:ascii="Arial" w:cs="Arial" w:eastAsia="Arial" w:hAnsi="Arial"/>
                <w:sz w:val="18"/>
                <w:szCs w:val="18"/>
                <w:color w:val="auto"/>
                <w:w w:val="92"/>
              </w:rPr>
              <w:t>Employment Agreement between the Company and Ric Della Bernarda dated January 1, 2006 (included as Exhibit 10.2 to the Company’s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Quarterly Report on Form 10-Q filed on August 24, 2007, and incorporated herein by reference).*</w:t>
            </w:r>
          </w:p>
        </w:tc>
        <w:tc>
          <w:tcPr>
            <w:tcW w:w="0" w:type="dxa"/>
            <w:vAlign w:val="bottom"/>
          </w:tcPr>
          <w:p>
            <w:pPr>
              <w:spacing w:after="0"/>
              <w:rPr>
                <w:sz w:val="1"/>
                <w:szCs w:val="1"/>
                <w:color w:val="auto"/>
              </w:rPr>
            </w:pP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10.40</w:t>
            </w:r>
          </w:p>
        </w:tc>
        <w:tc>
          <w:tcPr>
            <w:tcW w:w="10880" w:type="dxa"/>
            <w:vAlign w:val="bottom"/>
          </w:tcPr>
          <w:p>
            <w:pPr>
              <w:ind w:left="660"/>
              <w:spacing w:after="0"/>
              <w:rPr>
                <w:sz w:val="20"/>
                <w:szCs w:val="20"/>
                <w:color w:val="auto"/>
              </w:rPr>
            </w:pPr>
            <w:r>
              <w:rPr>
                <w:rFonts w:ascii="Arial" w:cs="Arial" w:eastAsia="Arial" w:hAnsi="Arial"/>
                <w:sz w:val="18"/>
                <w:szCs w:val="18"/>
                <w:color w:val="auto"/>
                <w:w w:val="89"/>
              </w:rPr>
              <w:t>Employment Agreement between the Company and Wayne Diller dated January 30, 2006 (included as Exhibit 10.1 to the Company’s Quarterly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Report on Form 10-Q filed on August 24, 2007, and incorporated herein by reference).*</w:t>
            </w:r>
          </w:p>
        </w:tc>
        <w:tc>
          <w:tcPr>
            <w:tcW w:w="0" w:type="dxa"/>
            <w:vAlign w:val="bottom"/>
          </w:tcPr>
          <w:p>
            <w:pPr>
              <w:spacing w:after="0"/>
              <w:rPr>
                <w:sz w:val="1"/>
                <w:szCs w:val="1"/>
                <w:color w:val="auto"/>
              </w:rPr>
            </w:pP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10.41</w:t>
            </w:r>
          </w:p>
        </w:tc>
        <w:tc>
          <w:tcPr>
            <w:tcW w:w="10880" w:type="dxa"/>
            <w:vAlign w:val="bottom"/>
          </w:tcPr>
          <w:p>
            <w:pPr>
              <w:ind w:left="660"/>
              <w:spacing w:after="0"/>
              <w:rPr>
                <w:sz w:val="20"/>
                <w:szCs w:val="20"/>
                <w:color w:val="auto"/>
              </w:rPr>
            </w:pPr>
            <w:r>
              <w:rPr>
                <w:rFonts w:ascii="Arial" w:cs="Arial" w:eastAsia="Arial" w:hAnsi="Arial"/>
                <w:sz w:val="18"/>
                <w:szCs w:val="18"/>
                <w:color w:val="auto"/>
                <w:w w:val="92"/>
              </w:rPr>
              <w:t>Employment Agreement between the Company and Walter E. Sprague dated August 22, 2007 (included as Exhibit 10.3 to the Company’s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Quarterly Report on Form 10-Q filed on August 24, 2007, and incorporated herein by reference).*</w:t>
            </w:r>
          </w:p>
        </w:tc>
        <w:tc>
          <w:tcPr>
            <w:tcW w:w="0" w:type="dxa"/>
            <w:vAlign w:val="bottom"/>
          </w:tcPr>
          <w:p>
            <w:pPr>
              <w:spacing w:after="0"/>
              <w:rPr>
                <w:sz w:val="1"/>
                <w:szCs w:val="1"/>
                <w:color w:val="auto"/>
              </w:rPr>
            </w:pP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10.42</w:t>
            </w:r>
          </w:p>
        </w:tc>
        <w:tc>
          <w:tcPr>
            <w:tcW w:w="10880" w:type="dxa"/>
            <w:vAlign w:val="bottom"/>
          </w:tcPr>
          <w:p>
            <w:pPr>
              <w:ind w:left="660"/>
              <w:spacing w:after="0"/>
              <w:rPr>
                <w:sz w:val="20"/>
                <w:szCs w:val="20"/>
                <w:color w:val="auto"/>
              </w:rPr>
            </w:pPr>
            <w:r>
              <w:rPr>
                <w:rFonts w:ascii="Arial" w:cs="Arial" w:eastAsia="Arial" w:hAnsi="Arial"/>
                <w:sz w:val="18"/>
                <w:szCs w:val="18"/>
                <w:color w:val="auto"/>
                <w:w w:val="90"/>
              </w:rPr>
              <w:t>Employment Agreement between the Company and Jack R. McKinney dated September 14, 2007 (included as Exhibit 10.1 to the Company’s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Current Report on Form 8-K filed on September 17, 2007, and incorporated herein by reference).*</w:t>
            </w:r>
          </w:p>
        </w:tc>
        <w:tc>
          <w:tcPr>
            <w:tcW w:w="0" w:type="dxa"/>
            <w:vAlign w:val="bottom"/>
          </w:tcPr>
          <w:p>
            <w:pPr>
              <w:spacing w:after="0"/>
              <w:rPr>
                <w:sz w:val="1"/>
                <w:szCs w:val="1"/>
                <w:color w:val="auto"/>
              </w:rPr>
            </w:pP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10.43</w:t>
            </w:r>
          </w:p>
        </w:tc>
        <w:tc>
          <w:tcPr>
            <w:tcW w:w="10880" w:type="dxa"/>
            <w:vAlign w:val="bottom"/>
          </w:tcPr>
          <w:p>
            <w:pPr>
              <w:ind w:left="660"/>
              <w:spacing w:after="0"/>
              <w:rPr>
                <w:sz w:val="20"/>
                <w:szCs w:val="20"/>
                <w:color w:val="auto"/>
              </w:rPr>
            </w:pPr>
            <w:r>
              <w:rPr>
                <w:rFonts w:ascii="Arial" w:cs="Arial" w:eastAsia="Arial" w:hAnsi="Arial"/>
                <w:sz w:val="18"/>
                <w:szCs w:val="18"/>
                <w:color w:val="auto"/>
              </w:rPr>
              <w:t>Employment Agreement between the Company and Sheri A. Knight dated March 21, 2008.</w:t>
            </w:r>
          </w:p>
        </w:tc>
        <w:tc>
          <w:tcPr>
            <w:tcW w:w="0" w:type="dxa"/>
            <w:vAlign w:val="bottom"/>
          </w:tcPr>
          <w:p>
            <w:pPr>
              <w:spacing w:after="0"/>
              <w:rPr>
                <w:sz w:val="1"/>
                <w:szCs w:val="1"/>
                <w:color w:val="auto"/>
              </w:rPr>
            </w:pPr>
          </w:p>
        </w:tc>
      </w:tr>
      <w:tr>
        <w:trPr>
          <w:trHeight w:val="318"/>
        </w:trPr>
        <w:tc>
          <w:tcPr>
            <w:tcW w:w="520" w:type="dxa"/>
            <w:vAlign w:val="bottom"/>
            <w:gridSpan w:val="2"/>
          </w:tcPr>
          <w:p>
            <w:pPr>
              <w:ind w:left="120"/>
              <w:spacing w:after="0"/>
              <w:rPr>
                <w:sz w:val="20"/>
                <w:szCs w:val="20"/>
                <w:color w:val="auto"/>
              </w:rPr>
            </w:pPr>
            <w:r>
              <w:rPr>
                <w:rFonts w:ascii="Arial" w:cs="Arial" w:eastAsia="Arial" w:hAnsi="Arial"/>
                <w:sz w:val="18"/>
                <w:szCs w:val="18"/>
                <w:color w:val="auto"/>
                <w:w w:val="84"/>
              </w:rPr>
              <w:t>10.44</w:t>
            </w:r>
          </w:p>
        </w:tc>
        <w:tc>
          <w:tcPr>
            <w:tcW w:w="10880" w:type="dxa"/>
            <w:vAlign w:val="bottom"/>
          </w:tcPr>
          <w:p>
            <w:pPr>
              <w:ind w:left="660"/>
              <w:spacing w:after="0"/>
              <w:rPr>
                <w:sz w:val="20"/>
                <w:szCs w:val="20"/>
                <w:color w:val="auto"/>
              </w:rPr>
            </w:pPr>
            <w:r>
              <w:rPr>
                <w:rFonts w:ascii="Arial" w:cs="Arial" w:eastAsia="Arial" w:hAnsi="Arial"/>
                <w:sz w:val="18"/>
                <w:szCs w:val="18"/>
                <w:color w:val="auto"/>
                <w:w w:val="89"/>
              </w:rPr>
              <w:t>Senior Executive Performance – Based Cash Bonus Plan for Fiscal 2007 between the Company and Mr. McKinney (included as Exhibit 10.6 to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the Company’s Current Report on Form 8-K filed on May 31, 2007, and incorporated herein by reference).*</w:t>
            </w:r>
          </w:p>
        </w:tc>
        <w:tc>
          <w:tcPr>
            <w:tcW w:w="0" w:type="dxa"/>
            <w:vAlign w:val="bottom"/>
          </w:tcPr>
          <w:p>
            <w:pPr>
              <w:spacing w:after="0"/>
              <w:rPr>
                <w:sz w:val="1"/>
                <w:szCs w:val="1"/>
                <w:color w:val="auto"/>
              </w:rPr>
            </w:pP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10.45</w:t>
            </w:r>
          </w:p>
        </w:tc>
        <w:tc>
          <w:tcPr>
            <w:tcW w:w="10880" w:type="dxa"/>
            <w:vAlign w:val="bottom"/>
          </w:tcPr>
          <w:p>
            <w:pPr>
              <w:ind w:left="660"/>
              <w:spacing w:after="0"/>
              <w:rPr>
                <w:sz w:val="20"/>
                <w:szCs w:val="20"/>
                <w:color w:val="auto"/>
              </w:rPr>
            </w:pPr>
            <w:r>
              <w:rPr>
                <w:rFonts w:ascii="Arial" w:cs="Arial" w:eastAsia="Arial" w:hAnsi="Arial"/>
                <w:sz w:val="18"/>
                <w:szCs w:val="18"/>
                <w:color w:val="auto"/>
                <w:w w:val="88"/>
              </w:rPr>
              <w:t>Senior Executive Performance – Based Cash Bonus Plan for Fiscal 2007 between the Company and Mr. Sprague (included as Exhibit 10.7 to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Company’s Current Report on Form 8-K filed on May 31, 2007, and incorporated herein by reference).*</w:t>
            </w:r>
          </w:p>
        </w:tc>
        <w:tc>
          <w:tcPr>
            <w:tcW w:w="0" w:type="dxa"/>
            <w:vAlign w:val="bottom"/>
          </w:tcPr>
          <w:p>
            <w:pPr>
              <w:spacing w:after="0"/>
              <w:rPr>
                <w:sz w:val="1"/>
                <w:szCs w:val="1"/>
                <w:color w:val="auto"/>
              </w:rPr>
            </w:pP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10.46</w:t>
            </w:r>
          </w:p>
        </w:tc>
        <w:tc>
          <w:tcPr>
            <w:tcW w:w="10880" w:type="dxa"/>
            <w:vAlign w:val="bottom"/>
          </w:tcPr>
          <w:p>
            <w:pPr>
              <w:ind w:left="660"/>
              <w:spacing w:after="0"/>
              <w:rPr>
                <w:sz w:val="20"/>
                <w:szCs w:val="20"/>
                <w:color w:val="auto"/>
              </w:rPr>
            </w:pPr>
            <w:r>
              <w:rPr>
                <w:rFonts w:ascii="Arial" w:cs="Arial" w:eastAsia="Arial" w:hAnsi="Arial"/>
                <w:sz w:val="18"/>
                <w:szCs w:val="18"/>
                <w:color w:val="auto"/>
                <w:w w:val="87"/>
              </w:rPr>
              <w:t>Asset Purchase Agreement entered into as of May 2, 2002, by and among the Company and Casual Male Corp. and certain subsidiaries (included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as Exhibit 10.1 to the Company’s Current Report on Form 8-K filed on May 23, 2002, and incorporated herein by reference).*</w:t>
            </w:r>
          </w:p>
        </w:tc>
        <w:tc>
          <w:tcPr>
            <w:tcW w:w="0" w:type="dxa"/>
            <w:vAlign w:val="bottom"/>
          </w:tcPr>
          <w:p>
            <w:pPr>
              <w:spacing w:after="0"/>
              <w:rPr>
                <w:sz w:val="1"/>
                <w:szCs w:val="1"/>
                <w:color w:val="auto"/>
              </w:rPr>
            </w:pP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10.47</w:t>
            </w:r>
          </w:p>
        </w:tc>
        <w:tc>
          <w:tcPr>
            <w:tcW w:w="10880" w:type="dxa"/>
            <w:vAlign w:val="bottom"/>
          </w:tcPr>
          <w:p>
            <w:pPr>
              <w:ind w:left="660"/>
              <w:spacing w:after="0"/>
              <w:rPr>
                <w:sz w:val="20"/>
                <w:szCs w:val="20"/>
                <w:color w:val="auto"/>
              </w:rPr>
            </w:pPr>
            <w:r>
              <w:rPr>
                <w:rFonts w:ascii="Arial" w:cs="Arial" w:eastAsia="Arial" w:hAnsi="Arial"/>
                <w:sz w:val="18"/>
                <w:szCs w:val="18"/>
                <w:color w:val="auto"/>
                <w:w w:val="87"/>
              </w:rPr>
              <w:t>Amended and Restated Note Agreement, dated as of April 26, 2002, and amended and restated as of May 14, 2002, among the Company, certain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w w:val="89"/>
              </w:rPr>
              <w:t>subsidiaries of the Company and the purchasers identified therein (included as Exhibit 10.2 to the Company’s Current Report on Form 8-K filed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on May 23, 2002, and incorporated herein by reference).*</w:t>
            </w:r>
          </w:p>
        </w:tc>
        <w:tc>
          <w:tcPr>
            <w:tcW w:w="0" w:type="dxa"/>
            <w:vAlign w:val="bottom"/>
          </w:tcPr>
          <w:p>
            <w:pPr>
              <w:spacing w:after="0"/>
              <w:rPr>
                <w:sz w:val="1"/>
                <w:szCs w:val="1"/>
                <w:color w:val="auto"/>
              </w:rPr>
            </w:pP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10.48</w:t>
            </w:r>
          </w:p>
        </w:tc>
        <w:tc>
          <w:tcPr>
            <w:tcW w:w="10880" w:type="dxa"/>
            <w:vAlign w:val="bottom"/>
          </w:tcPr>
          <w:p>
            <w:pPr>
              <w:ind w:left="660"/>
              <w:spacing w:after="0"/>
              <w:rPr>
                <w:sz w:val="20"/>
                <w:szCs w:val="20"/>
                <w:color w:val="auto"/>
              </w:rPr>
            </w:pPr>
            <w:r>
              <w:rPr>
                <w:rFonts w:ascii="Arial" w:cs="Arial" w:eastAsia="Arial" w:hAnsi="Arial"/>
                <w:sz w:val="18"/>
                <w:szCs w:val="18"/>
                <w:color w:val="auto"/>
                <w:w w:val="88"/>
              </w:rPr>
              <w:t>Form of Warrant to Purchase Shares of Common Stock (aggregating 787,500 shares) (included as Exhibit 10.5 to the Company’s Current Report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on Form 8-K filed on May 23, 2002, and incorporated herein by reference).*</w:t>
            </w:r>
          </w:p>
        </w:tc>
        <w:tc>
          <w:tcPr>
            <w:tcW w:w="0" w:type="dxa"/>
            <w:vAlign w:val="bottom"/>
          </w:tcPr>
          <w:p>
            <w:pPr>
              <w:spacing w:after="0"/>
              <w:rPr>
                <w:sz w:val="1"/>
                <w:szCs w:val="1"/>
                <w:color w:val="auto"/>
              </w:rPr>
            </w:pP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10.49</w:t>
            </w:r>
          </w:p>
        </w:tc>
        <w:tc>
          <w:tcPr>
            <w:tcW w:w="10880" w:type="dxa"/>
            <w:vAlign w:val="bottom"/>
          </w:tcPr>
          <w:p>
            <w:pPr>
              <w:ind w:left="660"/>
              <w:spacing w:after="0"/>
              <w:rPr>
                <w:sz w:val="20"/>
                <w:szCs w:val="20"/>
                <w:color w:val="auto"/>
              </w:rPr>
            </w:pPr>
            <w:r>
              <w:rPr>
                <w:rFonts w:ascii="Arial" w:cs="Arial" w:eastAsia="Arial" w:hAnsi="Arial"/>
                <w:sz w:val="18"/>
                <w:szCs w:val="18"/>
                <w:color w:val="auto"/>
                <w:w w:val="88"/>
              </w:rPr>
              <w:t>Form of Warrant to Purchase Shares of Common Stock (aggregating 927,500 shares) (included as Exhibit 10.6 to the Company’s Current Report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on Form 8-K filed on May 23, 2002, and incorporated herein by reference).*</w:t>
            </w:r>
          </w:p>
        </w:tc>
        <w:tc>
          <w:tcPr>
            <w:tcW w:w="0" w:type="dxa"/>
            <w:vAlign w:val="bottom"/>
          </w:tcPr>
          <w:p>
            <w:pPr>
              <w:spacing w:after="0"/>
              <w:rPr>
                <w:sz w:val="1"/>
                <w:szCs w:val="1"/>
                <w:color w:val="auto"/>
              </w:rPr>
            </w:pP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10.50</w:t>
            </w:r>
          </w:p>
        </w:tc>
        <w:tc>
          <w:tcPr>
            <w:tcW w:w="10880" w:type="dxa"/>
            <w:vAlign w:val="bottom"/>
          </w:tcPr>
          <w:p>
            <w:pPr>
              <w:ind w:left="660"/>
              <w:spacing w:after="0"/>
              <w:rPr>
                <w:sz w:val="20"/>
                <w:szCs w:val="20"/>
                <w:color w:val="auto"/>
              </w:rPr>
            </w:pPr>
            <w:r>
              <w:rPr>
                <w:rFonts w:ascii="Arial" w:cs="Arial" w:eastAsia="Arial" w:hAnsi="Arial"/>
                <w:sz w:val="18"/>
                <w:szCs w:val="18"/>
                <w:color w:val="auto"/>
                <w:w w:val="91"/>
              </w:rPr>
              <w:t>Form of Warrant to Purchase Shares of Common Stock (aggregating 1,176,471 shares) (included as Exhibit 10.7 to the Company’s Current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Report on Form 8-K filed on May 23, 2002, and incorporated herein by reference).*</w:t>
            </w:r>
          </w:p>
        </w:tc>
        <w:tc>
          <w:tcPr>
            <w:tcW w:w="0" w:type="dxa"/>
            <w:vAlign w:val="bottom"/>
          </w:tcPr>
          <w:p>
            <w:pPr>
              <w:spacing w:after="0"/>
              <w:rPr>
                <w:sz w:val="1"/>
                <w:szCs w:val="1"/>
                <w:color w:val="auto"/>
              </w:rPr>
            </w:pP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10.51</w:t>
            </w:r>
          </w:p>
        </w:tc>
        <w:tc>
          <w:tcPr>
            <w:tcW w:w="10880" w:type="dxa"/>
            <w:vAlign w:val="bottom"/>
          </w:tcPr>
          <w:p>
            <w:pPr>
              <w:ind w:left="660"/>
              <w:spacing w:after="0"/>
              <w:rPr>
                <w:sz w:val="20"/>
                <w:szCs w:val="20"/>
                <w:color w:val="auto"/>
              </w:rPr>
            </w:pPr>
            <w:r>
              <w:rPr>
                <w:rFonts w:ascii="Arial" w:cs="Arial" w:eastAsia="Arial" w:hAnsi="Arial"/>
                <w:sz w:val="18"/>
                <w:szCs w:val="18"/>
                <w:color w:val="auto"/>
                <w:w w:val="90"/>
              </w:rPr>
              <w:t>Registration Rights Agreement entered into as of April 26, 2002, by and between the Company and the persons identified therein (included as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80" w:type="dxa"/>
            <w:vAlign w:val="bottom"/>
          </w:tcPr>
          <w:p>
            <w:pPr>
              <w:ind w:left="660"/>
              <w:spacing w:after="0"/>
              <w:rPr>
                <w:sz w:val="20"/>
                <w:szCs w:val="20"/>
                <w:color w:val="auto"/>
              </w:rPr>
            </w:pPr>
            <w:r>
              <w:rPr>
                <w:rFonts w:ascii="Arial" w:cs="Arial" w:eastAsia="Arial" w:hAnsi="Arial"/>
                <w:sz w:val="18"/>
                <w:szCs w:val="18"/>
                <w:color w:val="auto"/>
              </w:rPr>
              <w:t>Exhibit 10.8 to the Company’s Current Report on Form 8-K filed on May 23, 2002, and incorporated herein by reference).*</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80" w:type="dxa"/>
            <w:vAlign w:val="bottom"/>
          </w:tcPr>
          <w:p>
            <w:pPr>
              <w:ind w:left="5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Exhibits</w:t>
            </w:r>
          </w:p>
        </w:tc>
        <w:tc>
          <w:tcPr>
            <w:tcW w:w="10840" w:type="dxa"/>
            <w:vAlign w:val="bottom"/>
            <w:vMerge w:val="restart"/>
          </w:tcPr>
          <w:p>
            <w:pPr>
              <w:ind w:left="660"/>
              <w:spacing w:after="0"/>
              <w:rPr>
                <w:sz w:val="20"/>
                <w:szCs w:val="20"/>
                <w:color w:val="auto"/>
              </w:rPr>
            </w:pPr>
            <w:r>
              <w:rPr>
                <w:rFonts w:ascii="Arial" w:cs="Arial" w:eastAsia="Arial" w:hAnsi="Arial"/>
                <w:sz w:val="18"/>
                <w:szCs w:val="18"/>
                <w:color w:val="auto"/>
                <w:w w:val="88"/>
              </w:rPr>
              <w:t>Purchase Agreement dated November 12, 2003 by and between the Company and Thomas Weisel Partners LLC (included as Exhibit 10.3 to the</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00" w:type="dxa"/>
            <w:vAlign w:val="bottom"/>
          </w:tcPr>
          <w:p>
            <w:pPr>
              <w:spacing w:after="0" w:line="201" w:lineRule="exact"/>
              <w:rPr>
                <w:sz w:val="20"/>
                <w:szCs w:val="20"/>
                <w:color w:val="auto"/>
              </w:rPr>
            </w:pPr>
            <w:r>
              <w:rPr>
                <w:rFonts w:ascii="Arial" w:cs="Arial" w:eastAsia="Arial" w:hAnsi="Arial"/>
                <w:sz w:val="18"/>
                <w:szCs w:val="18"/>
                <w:color w:val="auto"/>
              </w:rPr>
              <w:t>10.52</w:t>
            </w:r>
          </w:p>
        </w:tc>
        <w:tc>
          <w:tcPr>
            <w:tcW w:w="10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40" w:type="dxa"/>
            <w:vAlign w:val="bottom"/>
          </w:tcPr>
          <w:p>
            <w:pPr>
              <w:ind w:left="660"/>
              <w:spacing w:after="0"/>
              <w:rPr>
                <w:sz w:val="20"/>
                <w:szCs w:val="20"/>
                <w:color w:val="auto"/>
              </w:rPr>
            </w:pPr>
            <w:r>
              <w:rPr>
                <w:rFonts w:ascii="Arial" w:cs="Arial" w:eastAsia="Arial" w:hAnsi="Arial"/>
                <w:sz w:val="18"/>
                <w:szCs w:val="18"/>
                <w:color w:val="auto"/>
              </w:rPr>
              <w:t>Company’s Quarterly Report on Form 10-Q filed on December 9, 2003, and incorporated herein by reference).*</w:t>
            </w:r>
          </w:p>
        </w:tc>
        <w:tc>
          <w:tcPr>
            <w:tcW w:w="0" w:type="dxa"/>
            <w:vAlign w:val="bottom"/>
          </w:tcPr>
          <w:p>
            <w:pPr>
              <w:spacing w:after="0"/>
              <w:rPr>
                <w:sz w:val="1"/>
                <w:szCs w:val="1"/>
                <w:color w:val="auto"/>
              </w:rPr>
            </w:pP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10.53</w:t>
            </w:r>
          </w:p>
        </w:tc>
        <w:tc>
          <w:tcPr>
            <w:tcW w:w="10840" w:type="dxa"/>
            <w:vAlign w:val="bottom"/>
          </w:tcPr>
          <w:p>
            <w:pPr>
              <w:ind w:left="660"/>
              <w:spacing w:after="0"/>
              <w:rPr>
                <w:sz w:val="20"/>
                <w:szCs w:val="20"/>
                <w:color w:val="auto"/>
              </w:rPr>
            </w:pPr>
            <w:r>
              <w:rPr>
                <w:rFonts w:ascii="Arial" w:cs="Arial" w:eastAsia="Arial" w:hAnsi="Arial"/>
                <w:sz w:val="18"/>
                <w:szCs w:val="18"/>
                <w:color w:val="auto"/>
                <w:w w:val="89"/>
              </w:rPr>
              <w:t>Registration Rights Agreement dated November 18, 2003 by and between the Company and Thomas Weisel Partners LLC (included as Exhibit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40" w:type="dxa"/>
            <w:vAlign w:val="bottom"/>
          </w:tcPr>
          <w:p>
            <w:pPr>
              <w:ind w:left="660"/>
              <w:spacing w:after="0"/>
              <w:rPr>
                <w:sz w:val="20"/>
                <w:szCs w:val="20"/>
                <w:color w:val="auto"/>
              </w:rPr>
            </w:pPr>
            <w:r>
              <w:rPr>
                <w:rFonts w:ascii="Arial" w:cs="Arial" w:eastAsia="Arial" w:hAnsi="Arial"/>
                <w:sz w:val="18"/>
                <w:szCs w:val="18"/>
                <w:color w:val="auto"/>
              </w:rPr>
              <w:t>10.4 to the Company’s Quarterly Report on Form 10-Q filed on December 9, 2003, and incorporated herein by reference).*</w:t>
            </w:r>
          </w:p>
        </w:tc>
        <w:tc>
          <w:tcPr>
            <w:tcW w:w="0" w:type="dxa"/>
            <w:vAlign w:val="bottom"/>
          </w:tcPr>
          <w:p>
            <w:pPr>
              <w:spacing w:after="0"/>
              <w:rPr>
                <w:sz w:val="1"/>
                <w:szCs w:val="1"/>
                <w:color w:val="auto"/>
              </w:rPr>
            </w:pP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10.54</w:t>
            </w:r>
          </w:p>
        </w:tc>
        <w:tc>
          <w:tcPr>
            <w:tcW w:w="10840" w:type="dxa"/>
            <w:vAlign w:val="bottom"/>
          </w:tcPr>
          <w:p>
            <w:pPr>
              <w:ind w:left="660"/>
              <w:spacing w:after="0"/>
              <w:rPr>
                <w:sz w:val="20"/>
                <w:szCs w:val="20"/>
                <w:color w:val="auto"/>
              </w:rPr>
            </w:pPr>
            <w:r>
              <w:rPr>
                <w:rFonts w:ascii="Arial" w:cs="Arial" w:eastAsia="Arial" w:hAnsi="Arial"/>
                <w:sz w:val="18"/>
                <w:szCs w:val="18"/>
                <w:color w:val="auto"/>
                <w:w w:val="90"/>
              </w:rPr>
              <w:t>Form of Warrant to Purchase Shares of Common Stock (aggregating 500,000 shares) (included as Exhibit 10.31 to the Company’s Quarterly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40" w:type="dxa"/>
            <w:vAlign w:val="bottom"/>
          </w:tcPr>
          <w:p>
            <w:pPr>
              <w:ind w:left="660"/>
              <w:spacing w:after="0"/>
              <w:rPr>
                <w:sz w:val="20"/>
                <w:szCs w:val="20"/>
                <w:color w:val="auto"/>
              </w:rPr>
            </w:pPr>
            <w:r>
              <w:rPr>
                <w:rFonts w:ascii="Arial" w:cs="Arial" w:eastAsia="Arial" w:hAnsi="Arial"/>
                <w:sz w:val="18"/>
                <w:szCs w:val="18"/>
                <w:color w:val="auto"/>
              </w:rPr>
              <w:t>Report on Form 10-Q filed on September 17, 2002, and incorporated herein by reference).*</w:t>
            </w:r>
          </w:p>
        </w:tc>
        <w:tc>
          <w:tcPr>
            <w:tcW w:w="0" w:type="dxa"/>
            <w:vAlign w:val="bottom"/>
          </w:tcPr>
          <w:p>
            <w:pPr>
              <w:spacing w:after="0"/>
              <w:rPr>
                <w:sz w:val="1"/>
                <w:szCs w:val="1"/>
                <w:color w:val="auto"/>
              </w:rPr>
            </w:pP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10.55</w:t>
            </w:r>
          </w:p>
        </w:tc>
        <w:tc>
          <w:tcPr>
            <w:tcW w:w="10840" w:type="dxa"/>
            <w:vAlign w:val="bottom"/>
          </w:tcPr>
          <w:p>
            <w:pPr>
              <w:ind w:left="660"/>
              <w:spacing w:after="0"/>
              <w:rPr>
                <w:sz w:val="20"/>
                <w:szCs w:val="20"/>
                <w:color w:val="auto"/>
              </w:rPr>
            </w:pPr>
            <w:r>
              <w:rPr>
                <w:rFonts w:ascii="Arial" w:cs="Arial" w:eastAsia="Arial" w:hAnsi="Arial"/>
                <w:sz w:val="18"/>
                <w:szCs w:val="18"/>
                <w:color w:val="auto"/>
                <w:w w:val="92"/>
              </w:rPr>
              <w:t>Asset Purchase Agreement by and among the Company and Rochester Big &amp; Tall Clothing, Inc., dated as of August 18, 2004 (included as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40" w:type="dxa"/>
            <w:vAlign w:val="bottom"/>
          </w:tcPr>
          <w:p>
            <w:pPr>
              <w:ind w:left="660"/>
              <w:spacing w:after="0"/>
              <w:rPr>
                <w:sz w:val="20"/>
                <w:szCs w:val="20"/>
                <w:color w:val="auto"/>
              </w:rPr>
            </w:pPr>
            <w:r>
              <w:rPr>
                <w:rFonts w:ascii="Arial" w:cs="Arial" w:eastAsia="Arial" w:hAnsi="Arial"/>
                <w:sz w:val="18"/>
                <w:szCs w:val="18"/>
                <w:color w:val="auto"/>
                <w:w w:val="98"/>
              </w:rPr>
              <w:t>Exhibit 10.3 to the Company’s Quarterly Report on Form 10-Q filed on December 9, 2004, and incorporated herein by reference).*</w:t>
            </w:r>
          </w:p>
        </w:tc>
        <w:tc>
          <w:tcPr>
            <w:tcW w:w="0" w:type="dxa"/>
            <w:vAlign w:val="bottom"/>
          </w:tcPr>
          <w:p>
            <w:pPr>
              <w:spacing w:after="0"/>
              <w:rPr>
                <w:sz w:val="1"/>
                <w:szCs w:val="1"/>
                <w:color w:val="auto"/>
              </w:rPr>
            </w:pP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10.56</w:t>
            </w:r>
          </w:p>
        </w:tc>
        <w:tc>
          <w:tcPr>
            <w:tcW w:w="10840" w:type="dxa"/>
            <w:vAlign w:val="bottom"/>
          </w:tcPr>
          <w:p>
            <w:pPr>
              <w:ind w:left="660"/>
              <w:spacing w:after="0"/>
              <w:rPr>
                <w:sz w:val="20"/>
                <w:szCs w:val="20"/>
                <w:color w:val="auto"/>
              </w:rPr>
            </w:pPr>
            <w:r>
              <w:rPr>
                <w:rFonts w:ascii="Arial" w:cs="Arial" w:eastAsia="Arial" w:hAnsi="Arial"/>
                <w:sz w:val="18"/>
                <w:szCs w:val="18"/>
                <w:color w:val="auto"/>
                <w:w w:val="91"/>
              </w:rPr>
              <w:t>Contribution Agreement dated January 30, 2006 by and among the Company, Spirit SPE Canton, LLC and Spirit Finance Acquisitions, LLC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40" w:type="dxa"/>
            <w:vAlign w:val="bottom"/>
          </w:tcPr>
          <w:p>
            <w:pPr>
              <w:ind w:left="660"/>
              <w:spacing w:after="0"/>
              <w:rPr>
                <w:sz w:val="20"/>
                <w:szCs w:val="20"/>
                <w:color w:val="auto"/>
              </w:rPr>
            </w:pPr>
            <w:r>
              <w:rPr>
                <w:rFonts w:ascii="Arial" w:cs="Arial" w:eastAsia="Arial" w:hAnsi="Arial"/>
                <w:sz w:val="18"/>
                <w:szCs w:val="18"/>
                <w:color w:val="auto"/>
                <w:w w:val="92"/>
              </w:rPr>
              <w:t>(included as Exhibit 10.1 to the Company’s Current Report on Form 8-K filed on February 3, 2006, and incorporated herein by reference).*</w:t>
            </w:r>
          </w:p>
        </w:tc>
        <w:tc>
          <w:tcPr>
            <w:tcW w:w="0" w:type="dxa"/>
            <w:vAlign w:val="bottom"/>
          </w:tcPr>
          <w:p>
            <w:pPr>
              <w:spacing w:after="0"/>
              <w:rPr>
                <w:sz w:val="1"/>
                <w:szCs w:val="1"/>
                <w:color w:val="auto"/>
              </w:rPr>
            </w:pPr>
          </w:p>
        </w:tc>
      </w:tr>
      <w:tr>
        <w:trPr>
          <w:trHeight w:val="318"/>
        </w:trPr>
        <w:tc>
          <w:tcPr>
            <w:tcW w:w="520" w:type="dxa"/>
            <w:vAlign w:val="bottom"/>
            <w:gridSpan w:val="2"/>
          </w:tcPr>
          <w:p>
            <w:pPr>
              <w:ind w:left="120"/>
              <w:spacing w:after="0"/>
              <w:rPr>
                <w:sz w:val="20"/>
                <w:szCs w:val="20"/>
                <w:color w:val="auto"/>
              </w:rPr>
            </w:pPr>
            <w:r>
              <w:rPr>
                <w:rFonts w:ascii="Arial" w:cs="Arial" w:eastAsia="Arial" w:hAnsi="Arial"/>
                <w:sz w:val="18"/>
                <w:szCs w:val="18"/>
                <w:color w:val="auto"/>
                <w:w w:val="84"/>
              </w:rPr>
              <w:t>10.57</w:t>
            </w:r>
          </w:p>
        </w:tc>
        <w:tc>
          <w:tcPr>
            <w:tcW w:w="10840" w:type="dxa"/>
            <w:vAlign w:val="bottom"/>
          </w:tcPr>
          <w:p>
            <w:pPr>
              <w:ind w:left="660"/>
              <w:spacing w:after="0"/>
              <w:rPr>
                <w:sz w:val="20"/>
                <w:szCs w:val="20"/>
                <w:color w:val="auto"/>
              </w:rPr>
            </w:pPr>
            <w:r>
              <w:rPr>
                <w:rFonts w:ascii="Arial" w:cs="Arial" w:eastAsia="Arial" w:hAnsi="Arial"/>
                <w:sz w:val="18"/>
                <w:szCs w:val="18"/>
                <w:color w:val="auto"/>
                <w:w w:val="88"/>
              </w:rPr>
              <w:t>Membership Interest Purchase Agreement dated January 30, 2006 by and between the Company and Spirit Finance Acquisitions, LLC (included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40" w:type="dxa"/>
            <w:vAlign w:val="bottom"/>
          </w:tcPr>
          <w:p>
            <w:pPr>
              <w:ind w:left="660"/>
              <w:spacing w:after="0"/>
              <w:rPr>
                <w:sz w:val="20"/>
                <w:szCs w:val="20"/>
                <w:color w:val="auto"/>
              </w:rPr>
            </w:pPr>
            <w:r>
              <w:rPr>
                <w:rFonts w:ascii="Arial" w:cs="Arial" w:eastAsia="Arial" w:hAnsi="Arial"/>
                <w:sz w:val="18"/>
                <w:szCs w:val="18"/>
                <w:color w:val="auto"/>
                <w:w w:val="99"/>
              </w:rPr>
              <w:t>as Exhibit 10.2 to the Company’s Current Report on Form 8-K filed on February 3, 2006, and incorporated herein by reference).*</w:t>
            </w:r>
          </w:p>
        </w:tc>
        <w:tc>
          <w:tcPr>
            <w:tcW w:w="0" w:type="dxa"/>
            <w:vAlign w:val="bottom"/>
          </w:tcPr>
          <w:p>
            <w:pPr>
              <w:spacing w:after="0"/>
              <w:rPr>
                <w:sz w:val="1"/>
                <w:szCs w:val="1"/>
                <w:color w:val="auto"/>
              </w:rPr>
            </w:pP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10.58</w:t>
            </w:r>
          </w:p>
        </w:tc>
        <w:tc>
          <w:tcPr>
            <w:tcW w:w="10840" w:type="dxa"/>
            <w:vAlign w:val="bottom"/>
          </w:tcPr>
          <w:p>
            <w:pPr>
              <w:ind w:left="660"/>
              <w:spacing w:after="0"/>
              <w:rPr>
                <w:sz w:val="20"/>
                <w:szCs w:val="20"/>
                <w:color w:val="auto"/>
              </w:rPr>
            </w:pPr>
            <w:r>
              <w:rPr>
                <w:rFonts w:ascii="Arial" w:cs="Arial" w:eastAsia="Arial" w:hAnsi="Arial"/>
                <w:sz w:val="18"/>
                <w:szCs w:val="18"/>
                <w:color w:val="auto"/>
                <w:w w:val="88"/>
              </w:rPr>
              <w:t>Lease Agreement dated February 1, 2006 by and between the Company and Spirit SPE Canton, LLC (included as Exhibit 10.3 to the Company’s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40" w:type="dxa"/>
            <w:vAlign w:val="bottom"/>
          </w:tcPr>
          <w:p>
            <w:pPr>
              <w:ind w:left="660"/>
              <w:spacing w:after="0"/>
              <w:rPr>
                <w:sz w:val="20"/>
                <w:szCs w:val="20"/>
                <w:color w:val="auto"/>
              </w:rPr>
            </w:pPr>
            <w:r>
              <w:rPr>
                <w:rFonts w:ascii="Arial" w:cs="Arial" w:eastAsia="Arial" w:hAnsi="Arial"/>
                <w:sz w:val="18"/>
                <w:szCs w:val="18"/>
                <w:color w:val="auto"/>
              </w:rPr>
              <w:t>Current Report on Form 8-K filed on February 3, 2006, and incorporated herein by reference).*</w:t>
            </w:r>
          </w:p>
        </w:tc>
        <w:tc>
          <w:tcPr>
            <w:tcW w:w="0" w:type="dxa"/>
            <w:vAlign w:val="bottom"/>
          </w:tcPr>
          <w:p>
            <w:pPr>
              <w:spacing w:after="0"/>
              <w:rPr>
                <w:sz w:val="1"/>
                <w:szCs w:val="1"/>
                <w:color w:val="auto"/>
              </w:rPr>
            </w:pP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10.59</w:t>
            </w:r>
          </w:p>
        </w:tc>
        <w:tc>
          <w:tcPr>
            <w:tcW w:w="10840" w:type="dxa"/>
            <w:vAlign w:val="bottom"/>
          </w:tcPr>
          <w:p>
            <w:pPr>
              <w:ind w:left="660"/>
              <w:spacing w:after="0"/>
              <w:rPr>
                <w:sz w:val="20"/>
                <w:szCs w:val="20"/>
                <w:color w:val="auto"/>
              </w:rPr>
            </w:pPr>
            <w:r>
              <w:rPr>
                <w:rFonts w:ascii="Arial" w:cs="Arial" w:eastAsia="Arial" w:hAnsi="Arial"/>
                <w:sz w:val="18"/>
                <w:szCs w:val="18"/>
                <w:color w:val="auto"/>
                <w:w w:val="89"/>
              </w:rPr>
              <w:t>Buying Agency Agreement effective November 16, 2005 by and between Designs Apparel, Inc. and Li &amp; Fung (included as Exhibit 10.47 to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40" w:type="dxa"/>
            <w:vAlign w:val="bottom"/>
          </w:tcPr>
          <w:p>
            <w:pPr>
              <w:ind w:left="660"/>
              <w:spacing w:after="0"/>
              <w:rPr>
                <w:sz w:val="20"/>
                <w:szCs w:val="20"/>
                <w:color w:val="auto"/>
              </w:rPr>
            </w:pPr>
            <w:r>
              <w:rPr>
                <w:rFonts w:ascii="Arial" w:cs="Arial" w:eastAsia="Arial" w:hAnsi="Arial"/>
                <w:sz w:val="18"/>
                <w:szCs w:val="18"/>
                <w:color w:val="auto"/>
              </w:rPr>
              <w:t>Company’s Annual Report on Form 10-K filed March 31, 2006, and incorporated herein by reference).*</w:t>
            </w:r>
          </w:p>
        </w:tc>
        <w:tc>
          <w:tcPr>
            <w:tcW w:w="0" w:type="dxa"/>
            <w:vAlign w:val="bottom"/>
          </w:tcPr>
          <w:p>
            <w:pPr>
              <w:spacing w:after="0"/>
              <w:rPr>
                <w:sz w:val="1"/>
                <w:szCs w:val="1"/>
                <w:color w:val="auto"/>
              </w:rPr>
            </w:pP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21.1</w:t>
            </w:r>
          </w:p>
        </w:tc>
        <w:tc>
          <w:tcPr>
            <w:tcW w:w="10840" w:type="dxa"/>
            <w:vAlign w:val="bottom"/>
          </w:tcPr>
          <w:p>
            <w:pPr>
              <w:ind w:left="660"/>
              <w:spacing w:after="0"/>
              <w:rPr>
                <w:sz w:val="20"/>
                <w:szCs w:val="20"/>
                <w:color w:val="auto"/>
              </w:rPr>
            </w:pPr>
            <w:r>
              <w:rPr>
                <w:rFonts w:ascii="Arial" w:cs="Arial" w:eastAsia="Arial" w:hAnsi="Arial"/>
                <w:sz w:val="18"/>
                <w:szCs w:val="18"/>
                <w:color w:val="auto"/>
              </w:rPr>
              <w:t>Subsidiaries of the Registrant.</w:t>
            </w:r>
          </w:p>
        </w:tc>
        <w:tc>
          <w:tcPr>
            <w:tcW w:w="0" w:type="dxa"/>
            <w:vAlign w:val="bottom"/>
          </w:tcPr>
          <w:p>
            <w:pPr>
              <w:spacing w:after="0"/>
              <w:rPr>
                <w:sz w:val="1"/>
                <w:szCs w:val="1"/>
                <w:color w:val="auto"/>
              </w:rPr>
            </w:pP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23.1</w:t>
            </w:r>
          </w:p>
        </w:tc>
        <w:tc>
          <w:tcPr>
            <w:tcW w:w="10840" w:type="dxa"/>
            <w:vAlign w:val="bottom"/>
          </w:tcPr>
          <w:p>
            <w:pPr>
              <w:ind w:left="660"/>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31.1</w:t>
            </w:r>
          </w:p>
        </w:tc>
        <w:tc>
          <w:tcPr>
            <w:tcW w:w="10840" w:type="dxa"/>
            <w:vAlign w:val="bottom"/>
          </w:tcPr>
          <w:p>
            <w:pPr>
              <w:ind w:left="660"/>
              <w:spacing w:after="0"/>
              <w:rPr>
                <w:sz w:val="20"/>
                <w:szCs w:val="20"/>
                <w:color w:val="auto"/>
              </w:rPr>
            </w:pPr>
            <w:r>
              <w:rPr>
                <w:rFonts w:ascii="Arial" w:cs="Arial" w:eastAsia="Arial" w:hAnsi="Arial"/>
                <w:sz w:val="18"/>
                <w:szCs w:val="18"/>
                <w:color w:val="auto"/>
              </w:rPr>
              <w:t>Certification of Chief Executive Officer of the Company pursuant to Rule 13a-14(a) under the Securities Exchange Act of 1934.</w:t>
            </w:r>
          </w:p>
        </w:tc>
        <w:tc>
          <w:tcPr>
            <w:tcW w:w="0" w:type="dxa"/>
            <w:vAlign w:val="bottom"/>
          </w:tcPr>
          <w:p>
            <w:pPr>
              <w:spacing w:after="0"/>
              <w:rPr>
                <w:sz w:val="1"/>
                <w:szCs w:val="1"/>
                <w:color w:val="auto"/>
              </w:rPr>
            </w:pP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31.2</w:t>
            </w:r>
          </w:p>
        </w:tc>
        <w:tc>
          <w:tcPr>
            <w:tcW w:w="10840" w:type="dxa"/>
            <w:vAlign w:val="bottom"/>
          </w:tcPr>
          <w:p>
            <w:pPr>
              <w:ind w:left="660"/>
              <w:spacing w:after="0"/>
              <w:rPr>
                <w:sz w:val="20"/>
                <w:szCs w:val="20"/>
                <w:color w:val="auto"/>
              </w:rPr>
            </w:pPr>
            <w:r>
              <w:rPr>
                <w:rFonts w:ascii="Arial" w:cs="Arial" w:eastAsia="Arial" w:hAnsi="Arial"/>
                <w:sz w:val="18"/>
                <w:szCs w:val="18"/>
                <w:color w:val="auto"/>
              </w:rPr>
              <w:t>Certification of Chief Financial Officer of the Company pursuant to Rule 13a-14(a) under the Securities Exchange Act of 1934.</w:t>
            </w:r>
          </w:p>
        </w:tc>
        <w:tc>
          <w:tcPr>
            <w:tcW w:w="0" w:type="dxa"/>
            <w:vAlign w:val="bottom"/>
          </w:tcPr>
          <w:p>
            <w:pPr>
              <w:spacing w:after="0"/>
              <w:rPr>
                <w:sz w:val="1"/>
                <w:szCs w:val="1"/>
                <w:color w:val="auto"/>
              </w:rPr>
            </w:pP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32.1</w:t>
            </w:r>
          </w:p>
        </w:tc>
        <w:tc>
          <w:tcPr>
            <w:tcW w:w="10840" w:type="dxa"/>
            <w:vAlign w:val="bottom"/>
          </w:tcPr>
          <w:p>
            <w:pPr>
              <w:ind w:left="660"/>
              <w:spacing w:after="0"/>
              <w:rPr>
                <w:sz w:val="20"/>
                <w:szCs w:val="20"/>
                <w:color w:val="auto"/>
              </w:rPr>
            </w:pPr>
            <w:r>
              <w:rPr>
                <w:rFonts w:ascii="Arial" w:cs="Arial" w:eastAsia="Arial" w:hAnsi="Arial"/>
                <w:sz w:val="18"/>
                <w:szCs w:val="18"/>
                <w:color w:val="auto"/>
                <w:w w:val="90"/>
              </w:rPr>
              <w:t>Certification of Chief Executive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40" w:type="dxa"/>
            <w:vAlign w:val="bottom"/>
          </w:tcPr>
          <w:p>
            <w:pPr>
              <w:ind w:left="66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32.2</w:t>
            </w:r>
          </w:p>
        </w:tc>
        <w:tc>
          <w:tcPr>
            <w:tcW w:w="10840" w:type="dxa"/>
            <w:vAlign w:val="bottom"/>
          </w:tcPr>
          <w:p>
            <w:pPr>
              <w:ind w:left="660"/>
              <w:spacing w:after="0"/>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40" w:type="dxa"/>
            <w:vAlign w:val="bottom"/>
          </w:tcPr>
          <w:p>
            <w:pPr>
              <w:ind w:left="66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Previously filed with the Securities and Exchange Commission.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60"/>
          </w:cols>
          <w:pgMar w:left="240" w:top="459" w:right="2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172"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ASUAL</w:t>
      </w:r>
      <w:r>
        <w:rPr>
          <w:rFonts w:ascii="Arial" w:cs="Arial" w:eastAsia="Arial" w:hAnsi="Arial"/>
          <w:sz w:val="18"/>
          <w:szCs w:val="18"/>
          <w:color w:val="auto"/>
        </w:rPr>
        <w:t xml:space="preserve"> M</w:t>
      </w:r>
      <w:r>
        <w:rPr>
          <w:rFonts w:ascii="Arial" w:cs="Arial" w:eastAsia="Arial" w:hAnsi="Arial"/>
          <w:sz w:val="14"/>
          <w:szCs w:val="14"/>
          <w:color w:val="auto"/>
        </w:rPr>
        <w:t>ALE</w:t>
      </w:r>
      <w:r>
        <w:rPr>
          <w:rFonts w:ascii="Arial" w:cs="Arial" w:eastAsia="Arial" w:hAnsi="Arial"/>
          <w:sz w:val="18"/>
          <w:szCs w:val="18"/>
          <w:color w:val="auto"/>
        </w:rPr>
        <w:t xml:space="preserve"> R</w:t>
      </w:r>
      <w:r>
        <w:rPr>
          <w:rFonts w:ascii="Arial" w:cs="Arial" w:eastAsia="Arial" w:hAnsi="Arial"/>
          <w:sz w:val="14"/>
          <w:szCs w:val="14"/>
          <w:color w:val="auto"/>
        </w:rPr>
        <w:t>ETAIL</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26, 2008</w:t>
      </w:r>
    </w:p>
    <w:p>
      <w:pPr>
        <w:spacing w:after="0" w:line="9" w:lineRule="exact"/>
        <w:rPr>
          <w:sz w:val="20"/>
          <w:szCs w:val="20"/>
          <w:color w:val="auto"/>
        </w:rPr>
      </w:pPr>
    </w:p>
    <w:p>
      <w:pPr>
        <w:ind w:left="5380"/>
        <w:spacing w:after="0"/>
        <w:tabs>
          <w:tab w:leader="none" w:pos="7800" w:val="left"/>
          <w:tab w:leader="none" w:pos="8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D</w:t>
      </w:r>
      <w:r>
        <w:rPr>
          <w:rFonts w:ascii="Arial" w:cs="Arial" w:eastAsia="Arial" w:hAnsi="Arial"/>
          <w:sz w:val="14"/>
          <w:szCs w:val="14"/>
          <w:color w:val="auto"/>
        </w:rPr>
        <w:t>AVID</w:t>
      </w:r>
      <w:r>
        <w:rPr>
          <w:rFonts w:ascii="Arial" w:cs="Arial" w:eastAsia="Arial" w:hAnsi="Arial"/>
          <w:sz w:val="18"/>
          <w:szCs w:val="18"/>
          <w:color w:val="auto"/>
        </w:rPr>
        <w:t xml:space="preserve"> A. L</w:t>
      </w:r>
      <w:r>
        <w:rPr>
          <w:rFonts w:ascii="Arial" w:cs="Arial" w:eastAsia="Arial" w:hAnsi="Arial"/>
          <w:sz w:val="14"/>
          <w:szCs w:val="14"/>
          <w:color w:val="auto"/>
        </w:rPr>
        <w:t>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6985</wp:posOffset>
            </wp:positionV>
            <wp:extent cx="34048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7"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David A. Levin</w:t>
      </w:r>
    </w:p>
    <w:p>
      <w:pPr>
        <w:jc w:val="center"/>
        <w:ind w:left="606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54"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this report has been signed below by the following persons on behalf of the Company in the capacities indicated, on March 26, 2008.</w:t>
      </w:r>
    </w:p>
    <w:p>
      <w:pPr>
        <w:spacing w:after="0" w:line="168" w:lineRule="exact"/>
        <w:rPr>
          <w:sz w:val="20"/>
          <w:szCs w:val="20"/>
          <w:color w:val="auto"/>
        </w:rPr>
      </w:pPr>
    </w:p>
    <w:p>
      <w:pPr>
        <w:ind w:left="2620"/>
        <w:spacing w:after="0"/>
        <w:rPr>
          <w:sz w:val="20"/>
          <w:szCs w:val="20"/>
          <w:color w:val="auto"/>
        </w:rPr>
      </w:pPr>
      <w:r>
        <w:rPr>
          <w:rFonts w:ascii="Arial" w:cs="Arial" w:eastAsia="Arial" w:hAnsi="Arial"/>
          <w:sz w:val="14"/>
          <w:szCs w:val="14"/>
          <w:b w:val="1"/>
          <w:bCs w:val="1"/>
          <w:u w:val="single" w:color="auto"/>
          <w:color w:val="auto"/>
        </w:rPr>
        <w:t>Signatures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00" w:type="dxa"/>
            <w:vAlign w:val="bottom"/>
            <w:tcBorders>
              <w:bottom w:val="single" w:sz="8" w:color="auto"/>
            </w:tcBorders>
            <w:gridSpan w:val="2"/>
          </w:tcPr>
          <w:p>
            <w:pPr>
              <w:ind w:left="2000"/>
              <w:spacing w:after="0"/>
              <w:rPr>
                <w:sz w:val="20"/>
                <w:szCs w:val="20"/>
                <w:color w:val="auto"/>
              </w:rPr>
            </w:pPr>
            <w:r>
              <w:rPr>
                <w:rFonts w:ascii="Arial" w:cs="Arial" w:eastAsia="Arial" w:hAnsi="Arial"/>
                <w:sz w:val="18"/>
                <w:szCs w:val="18"/>
                <w:color w:val="auto"/>
                <w:w w:val="94"/>
              </w:rPr>
              <w:t>/s/</w:t>
            </w:r>
          </w:p>
        </w:tc>
        <w:tc>
          <w:tcPr>
            <w:tcW w:w="2500" w:type="dxa"/>
            <w:vAlign w:val="bottom"/>
            <w:tcBorders>
              <w:bottom w:val="single" w:sz="8" w:color="auto"/>
            </w:tcBorders>
          </w:tcPr>
          <w:p>
            <w:pPr>
              <w:jc w:val="center"/>
              <w:ind w:right="946"/>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AVID</w:t>
            </w:r>
            <w:r>
              <w:rPr>
                <w:rFonts w:ascii="Arial" w:cs="Arial" w:eastAsia="Arial" w:hAnsi="Arial"/>
                <w:sz w:val="18"/>
                <w:szCs w:val="18"/>
                <w:color w:val="auto"/>
              </w:rPr>
              <w:t xml:space="preserve"> A. L</w:t>
            </w:r>
            <w:r>
              <w:rPr>
                <w:rFonts w:ascii="Arial" w:cs="Arial" w:eastAsia="Arial" w:hAnsi="Arial"/>
                <w:sz w:val="14"/>
                <w:szCs w:val="14"/>
                <w:color w:val="auto"/>
              </w:rPr>
              <w:t>EVIN</w:t>
            </w:r>
          </w:p>
        </w:tc>
        <w:tc>
          <w:tcPr>
            <w:tcW w:w="1120" w:type="dxa"/>
            <w:vAlign w:val="bottom"/>
            <w:tcBorders>
              <w:bottom w:val="single" w:sz="8" w:color="auto"/>
            </w:tcBorders>
          </w:tcPr>
          <w:p>
            <w:pPr>
              <w:spacing w:after="0"/>
              <w:rPr>
                <w:sz w:val="19"/>
                <w:szCs w:val="19"/>
                <w:color w:val="auto"/>
              </w:rPr>
            </w:pPr>
          </w:p>
        </w:tc>
        <w:tc>
          <w:tcPr>
            <w:tcW w:w="5440" w:type="dxa"/>
            <w:vAlign w:val="bottom"/>
          </w:tcPr>
          <w:p>
            <w:pPr>
              <w:ind w:left="580"/>
              <w:spacing w:after="0"/>
              <w:rPr>
                <w:sz w:val="20"/>
                <w:szCs w:val="20"/>
                <w:color w:val="auto"/>
              </w:rPr>
            </w:pPr>
            <w:r>
              <w:rPr>
                <w:rFonts w:ascii="Arial" w:cs="Arial" w:eastAsia="Arial" w:hAnsi="Arial"/>
                <w:sz w:val="18"/>
                <w:szCs w:val="18"/>
                <w:color w:val="auto"/>
                <w:w w:val="91"/>
              </w:rPr>
              <w:t>President and Chief Executive Officer (Principal Executive Officer)</w:t>
            </w:r>
          </w:p>
        </w:tc>
      </w:tr>
      <w:tr>
        <w:trPr>
          <w:trHeight w:val="170"/>
        </w:trPr>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tcPr>
          <w:p>
            <w:pPr>
              <w:jc w:val="center"/>
              <w:ind w:right="986"/>
              <w:spacing w:after="0"/>
              <w:rPr>
                <w:sz w:val="20"/>
                <w:szCs w:val="20"/>
                <w:color w:val="auto"/>
              </w:rPr>
            </w:pPr>
            <w:r>
              <w:rPr>
                <w:rFonts w:ascii="Arial" w:cs="Arial" w:eastAsia="Arial" w:hAnsi="Arial"/>
                <w:sz w:val="14"/>
                <w:szCs w:val="14"/>
                <w:b w:val="1"/>
                <w:bCs w:val="1"/>
                <w:color w:val="auto"/>
                <w:w w:val="91"/>
              </w:rPr>
              <w:t>David A. Levin</w:t>
            </w:r>
          </w:p>
        </w:tc>
        <w:tc>
          <w:tcPr>
            <w:tcW w:w="1120" w:type="dxa"/>
            <w:vAlign w:val="bottom"/>
          </w:tcPr>
          <w:p>
            <w:pPr>
              <w:spacing w:after="0"/>
              <w:rPr>
                <w:sz w:val="14"/>
                <w:szCs w:val="14"/>
                <w:color w:val="auto"/>
              </w:rPr>
            </w:pPr>
          </w:p>
        </w:tc>
        <w:tc>
          <w:tcPr>
            <w:tcW w:w="5440" w:type="dxa"/>
            <w:vAlign w:val="bottom"/>
          </w:tcPr>
          <w:p>
            <w:pPr>
              <w:spacing w:after="0"/>
              <w:rPr>
                <w:sz w:val="14"/>
                <w:szCs w:val="14"/>
                <w:color w:val="auto"/>
              </w:rPr>
            </w:pPr>
          </w:p>
        </w:tc>
      </w:tr>
      <w:tr>
        <w:trPr>
          <w:trHeight w:val="309"/>
        </w:trPr>
        <w:tc>
          <w:tcPr>
            <w:tcW w:w="2100" w:type="dxa"/>
            <w:vAlign w:val="bottom"/>
            <w:tcBorders>
              <w:bottom w:val="single" w:sz="8" w:color="auto"/>
            </w:tcBorders>
          </w:tcPr>
          <w:p>
            <w:pPr>
              <w:ind w:left="1760"/>
              <w:spacing w:after="0"/>
              <w:rPr>
                <w:sz w:val="20"/>
                <w:szCs w:val="20"/>
                <w:color w:val="auto"/>
              </w:rPr>
            </w:pPr>
            <w:r>
              <w:rPr>
                <w:rFonts w:ascii="Arial" w:cs="Arial" w:eastAsia="Arial" w:hAnsi="Arial"/>
                <w:sz w:val="18"/>
                <w:szCs w:val="18"/>
                <w:color w:val="auto"/>
              </w:rPr>
              <w:t>/s/</w:t>
            </w:r>
          </w:p>
        </w:tc>
        <w:tc>
          <w:tcPr>
            <w:tcW w:w="2600" w:type="dxa"/>
            <w:vAlign w:val="bottom"/>
            <w:tcBorders>
              <w:bottom w:val="single" w:sz="8" w:color="auto"/>
            </w:tcBorders>
            <w:gridSpan w:val="2"/>
          </w:tcPr>
          <w:p>
            <w:pPr>
              <w:jc w:val="center"/>
              <w:ind w:right="826"/>
              <w:spacing w:after="0"/>
              <w:rPr>
                <w:sz w:val="20"/>
                <w:szCs w:val="20"/>
                <w:color w:val="auto"/>
              </w:rPr>
            </w:pPr>
            <w:r>
              <w:rPr>
                <w:rFonts w:ascii="Arial" w:cs="Arial" w:eastAsia="Arial" w:hAnsi="Arial"/>
                <w:sz w:val="18"/>
                <w:szCs w:val="18"/>
                <w:color w:val="auto"/>
                <w:w w:val="97"/>
              </w:rPr>
              <w:t>D</w:t>
            </w:r>
            <w:r>
              <w:rPr>
                <w:rFonts w:ascii="Arial" w:cs="Arial" w:eastAsia="Arial" w:hAnsi="Arial"/>
                <w:sz w:val="14"/>
                <w:szCs w:val="14"/>
                <w:color w:val="auto"/>
                <w:w w:val="97"/>
              </w:rPr>
              <w:t>ENNIS</w:t>
            </w:r>
            <w:r>
              <w:rPr>
                <w:rFonts w:ascii="Arial" w:cs="Arial" w:eastAsia="Arial" w:hAnsi="Arial"/>
                <w:sz w:val="18"/>
                <w:szCs w:val="18"/>
                <w:color w:val="auto"/>
                <w:w w:val="97"/>
              </w:rPr>
              <w:t xml:space="preserve"> R. H</w:t>
            </w:r>
            <w:r>
              <w:rPr>
                <w:rFonts w:ascii="Arial" w:cs="Arial" w:eastAsia="Arial" w:hAnsi="Arial"/>
                <w:sz w:val="14"/>
                <w:szCs w:val="14"/>
                <w:color w:val="auto"/>
                <w:w w:val="97"/>
              </w:rPr>
              <w:t>ERNREICH</w:t>
            </w:r>
          </w:p>
        </w:tc>
        <w:tc>
          <w:tcPr>
            <w:tcW w:w="1120" w:type="dxa"/>
            <w:vAlign w:val="bottom"/>
            <w:tcBorders>
              <w:bottom w:val="single" w:sz="8" w:color="auto"/>
            </w:tcBorders>
          </w:tcPr>
          <w:p>
            <w:pPr>
              <w:spacing w:after="0"/>
              <w:rPr>
                <w:sz w:val="24"/>
                <w:szCs w:val="24"/>
                <w:color w:val="auto"/>
              </w:rPr>
            </w:pPr>
          </w:p>
        </w:tc>
        <w:tc>
          <w:tcPr>
            <w:tcW w:w="5440" w:type="dxa"/>
            <w:vAlign w:val="bottom"/>
          </w:tcPr>
          <w:p>
            <w:pPr>
              <w:ind w:left="580"/>
              <w:spacing w:after="0"/>
              <w:rPr>
                <w:sz w:val="20"/>
                <w:szCs w:val="20"/>
                <w:color w:val="auto"/>
              </w:rPr>
            </w:pPr>
            <w:r>
              <w:rPr>
                <w:rFonts w:ascii="Arial" w:cs="Arial" w:eastAsia="Arial" w:hAnsi="Arial"/>
                <w:sz w:val="18"/>
                <w:szCs w:val="18"/>
                <w:color w:val="auto"/>
                <w:w w:val="92"/>
              </w:rPr>
              <w:t>Executive Vice President, Chief Operating Officer, Chief Financial</w:t>
            </w:r>
          </w:p>
        </w:tc>
      </w:tr>
      <w:tr>
        <w:trPr>
          <w:trHeight w:val="202"/>
        </w:trPr>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tcPr>
          <w:p>
            <w:pPr>
              <w:jc w:val="center"/>
              <w:ind w:right="986"/>
              <w:spacing w:after="0"/>
              <w:rPr>
                <w:sz w:val="20"/>
                <w:szCs w:val="20"/>
                <w:color w:val="auto"/>
              </w:rPr>
            </w:pPr>
            <w:r>
              <w:rPr>
                <w:rFonts w:ascii="Arial" w:cs="Arial" w:eastAsia="Arial" w:hAnsi="Arial"/>
                <w:sz w:val="14"/>
                <w:szCs w:val="14"/>
                <w:b w:val="1"/>
                <w:bCs w:val="1"/>
                <w:color w:val="auto"/>
                <w:w w:val="89"/>
              </w:rPr>
              <w:t>Dennis R. Hernreich</w:t>
            </w:r>
          </w:p>
        </w:tc>
        <w:tc>
          <w:tcPr>
            <w:tcW w:w="1120" w:type="dxa"/>
            <w:vAlign w:val="bottom"/>
          </w:tcPr>
          <w:p>
            <w:pPr>
              <w:spacing w:after="0"/>
              <w:rPr>
                <w:sz w:val="17"/>
                <w:szCs w:val="17"/>
                <w:color w:val="auto"/>
              </w:rPr>
            </w:pPr>
          </w:p>
        </w:tc>
        <w:tc>
          <w:tcPr>
            <w:tcW w:w="5440" w:type="dxa"/>
            <w:vAlign w:val="bottom"/>
          </w:tcPr>
          <w:p>
            <w:pPr>
              <w:ind w:left="800"/>
              <w:spacing w:after="0" w:line="202" w:lineRule="exact"/>
              <w:rPr>
                <w:sz w:val="20"/>
                <w:szCs w:val="20"/>
                <w:color w:val="auto"/>
              </w:rPr>
            </w:pPr>
            <w:r>
              <w:rPr>
                <w:rFonts w:ascii="Arial" w:cs="Arial" w:eastAsia="Arial" w:hAnsi="Arial"/>
                <w:sz w:val="18"/>
                <w:szCs w:val="18"/>
                <w:color w:val="auto"/>
              </w:rPr>
              <w:t>Officer and Treasurer (Principal Financial Officer)</w:t>
            </w:r>
          </w:p>
        </w:tc>
      </w:tr>
      <w:tr>
        <w:trPr>
          <w:trHeight w:val="318"/>
        </w:trPr>
        <w:tc>
          <w:tcPr>
            <w:tcW w:w="2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500" w:type="dxa"/>
            <w:vAlign w:val="bottom"/>
            <w:tcBorders>
              <w:bottom w:val="single" w:sz="8" w:color="auto"/>
            </w:tcBorders>
          </w:tcPr>
          <w:p>
            <w:pPr>
              <w:jc w:val="center"/>
              <w:ind w:right="906"/>
              <w:spacing w:after="0"/>
              <w:rPr>
                <w:sz w:val="20"/>
                <w:szCs w:val="20"/>
                <w:color w:val="auto"/>
              </w:rPr>
            </w:pPr>
            <w:r>
              <w:rPr>
                <w:rFonts w:ascii="Arial" w:cs="Arial" w:eastAsia="Arial" w:hAnsi="Arial"/>
                <w:sz w:val="18"/>
                <w:szCs w:val="18"/>
                <w:color w:val="auto"/>
                <w:w w:val="99"/>
              </w:rPr>
              <w:t>S</w:t>
            </w:r>
            <w:r>
              <w:rPr>
                <w:rFonts w:ascii="Arial" w:cs="Arial" w:eastAsia="Arial" w:hAnsi="Arial"/>
                <w:sz w:val="14"/>
                <w:szCs w:val="14"/>
                <w:color w:val="auto"/>
                <w:w w:val="99"/>
              </w:rPr>
              <w:t>HERI</w:t>
            </w:r>
            <w:r>
              <w:rPr>
                <w:rFonts w:ascii="Arial" w:cs="Arial" w:eastAsia="Arial" w:hAnsi="Arial"/>
                <w:sz w:val="18"/>
                <w:szCs w:val="18"/>
                <w:color w:val="auto"/>
                <w:w w:val="99"/>
              </w:rPr>
              <w:t xml:space="preserve"> A. K</w:t>
            </w:r>
            <w:r>
              <w:rPr>
                <w:rFonts w:ascii="Arial" w:cs="Arial" w:eastAsia="Arial" w:hAnsi="Arial"/>
                <w:sz w:val="14"/>
                <w:szCs w:val="14"/>
                <w:color w:val="auto"/>
                <w:w w:val="99"/>
              </w:rPr>
              <w:t>NIGHT</w:t>
            </w:r>
          </w:p>
        </w:tc>
        <w:tc>
          <w:tcPr>
            <w:tcW w:w="1120" w:type="dxa"/>
            <w:vAlign w:val="bottom"/>
            <w:tcBorders>
              <w:bottom w:val="single" w:sz="8" w:color="auto"/>
            </w:tcBorders>
          </w:tcPr>
          <w:p>
            <w:pPr>
              <w:spacing w:after="0"/>
              <w:rPr>
                <w:sz w:val="24"/>
                <w:szCs w:val="24"/>
                <w:color w:val="auto"/>
              </w:rPr>
            </w:pPr>
          </w:p>
        </w:tc>
        <w:tc>
          <w:tcPr>
            <w:tcW w:w="5440" w:type="dxa"/>
            <w:vAlign w:val="bottom"/>
          </w:tcPr>
          <w:p>
            <w:pPr>
              <w:ind w:left="580"/>
              <w:spacing w:after="0"/>
              <w:rPr>
                <w:sz w:val="20"/>
                <w:szCs w:val="20"/>
                <w:color w:val="auto"/>
              </w:rPr>
            </w:pPr>
            <w:r>
              <w:rPr>
                <w:rFonts w:ascii="Arial" w:cs="Arial" w:eastAsia="Arial" w:hAnsi="Arial"/>
                <w:sz w:val="18"/>
                <w:szCs w:val="18"/>
                <w:color w:val="auto"/>
                <w:w w:val="88"/>
              </w:rPr>
              <w:t>Senior Vice President of Finance and Corporate Controller (Principal</w:t>
            </w:r>
          </w:p>
        </w:tc>
      </w:tr>
      <w:tr>
        <w:trPr>
          <w:trHeight w:val="202"/>
        </w:trPr>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tcPr>
          <w:p>
            <w:pPr>
              <w:jc w:val="center"/>
              <w:ind w:right="986"/>
              <w:spacing w:after="0"/>
              <w:rPr>
                <w:sz w:val="20"/>
                <w:szCs w:val="20"/>
                <w:color w:val="auto"/>
              </w:rPr>
            </w:pPr>
            <w:r>
              <w:rPr>
                <w:rFonts w:ascii="Arial" w:cs="Arial" w:eastAsia="Arial" w:hAnsi="Arial"/>
                <w:sz w:val="14"/>
                <w:szCs w:val="14"/>
                <w:b w:val="1"/>
                <w:bCs w:val="1"/>
                <w:color w:val="auto"/>
                <w:w w:val="90"/>
              </w:rPr>
              <w:t>Sheri A. Knight</w:t>
            </w:r>
          </w:p>
        </w:tc>
        <w:tc>
          <w:tcPr>
            <w:tcW w:w="1120" w:type="dxa"/>
            <w:vAlign w:val="bottom"/>
          </w:tcPr>
          <w:p>
            <w:pPr>
              <w:spacing w:after="0"/>
              <w:rPr>
                <w:sz w:val="17"/>
                <w:szCs w:val="17"/>
                <w:color w:val="auto"/>
              </w:rPr>
            </w:pPr>
          </w:p>
        </w:tc>
        <w:tc>
          <w:tcPr>
            <w:tcW w:w="5440" w:type="dxa"/>
            <w:vAlign w:val="bottom"/>
          </w:tcPr>
          <w:p>
            <w:pPr>
              <w:ind w:left="800"/>
              <w:spacing w:after="0" w:line="202" w:lineRule="exact"/>
              <w:rPr>
                <w:sz w:val="20"/>
                <w:szCs w:val="20"/>
                <w:color w:val="auto"/>
              </w:rPr>
            </w:pPr>
            <w:r>
              <w:rPr>
                <w:rFonts w:ascii="Arial" w:cs="Arial" w:eastAsia="Arial" w:hAnsi="Arial"/>
                <w:sz w:val="18"/>
                <w:szCs w:val="18"/>
                <w:color w:val="auto"/>
              </w:rPr>
              <w:t>Accounting Officer)</w:t>
            </w:r>
          </w:p>
        </w:tc>
      </w:tr>
      <w:tr>
        <w:trPr>
          <w:trHeight w:val="319"/>
        </w:trPr>
        <w:tc>
          <w:tcPr>
            <w:tcW w:w="2100" w:type="dxa"/>
            <w:vAlign w:val="bottom"/>
            <w:tcBorders>
              <w:bottom w:val="single" w:sz="8" w:color="auto"/>
            </w:tcBorders>
          </w:tcPr>
          <w:p>
            <w:pPr>
              <w:ind w:left="1800"/>
              <w:spacing w:after="0"/>
              <w:rPr>
                <w:sz w:val="20"/>
                <w:szCs w:val="20"/>
                <w:color w:val="auto"/>
              </w:rPr>
            </w:pPr>
            <w:r>
              <w:rPr>
                <w:rFonts w:ascii="Arial" w:cs="Arial" w:eastAsia="Arial" w:hAnsi="Arial"/>
                <w:sz w:val="18"/>
                <w:szCs w:val="18"/>
                <w:color w:val="auto"/>
              </w:rPr>
              <w:t>/s/</w:t>
            </w:r>
          </w:p>
        </w:tc>
        <w:tc>
          <w:tcPr>
            <w:tcW w:w="2600" w:type="dxa"/>
            <w:vAlign w:val="bottom"/>
            <w:tcBorders>
              <w:bottom w:val="single" w:sz="8" w:color="auto"/>
            </w:tcBorders>
            <w:gridSpan w:val="2"/>
          </w:tcPr>
          <w:p>
            <w:pPr>
              <w:jc w:val="center"/>
              <w:ind w:right="846"/>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EYMOUR</w:t>
            </w:r>
            <w:r>
              <w:rPr>
                <w:rFonts w:ascii="Arial" w:cs="Arial" w:eastAsia="Arial" w:hAnsi="Arial"/>
                <w:sz w:val="18"/>
                <w:szCs w:val="18"/>
                <w:color w:val="auto"/>
              </w:rPr>
              <w:t xml:space="preserve"> H</w:t>
            </w:r>
            <w:r>
              <w:rPr>
                <w:rFonts w:ascii="Arial" w:cs="Arial" w:eastAsia="Arial" w:hAnsi="Arial"/>
                <w:sz w:val="14"/>
                <w:szCs w:val="14"/>
                <w:color w:val="auto"/>
              </w:rPr>
              <w:t>OLTZMAN</w:t>
            </w:r>
          </w:p>
        </w:tc>
        <w:tc>
          <w:tcPr>
            <w:tcW w:w="1120" w:type="dxa"/>
            <w:vAlign w:val="bottom"/>
            <w:tcBorders>
              <w:bottom w:val="single" w:sz="8" w:color="auto"/>
            </w:tcBorders>
          </w:tcPr>
          <w:p>
            <w:pPr>
              <w:spacing w:after="0"/>
              <w:rPr>
                <w:sz w:val="24"/>
                <w:szCs w:val="24"/>
                <w:color w:val="auto"/>
              </w:rPr>
            </w:pPr>
          </w:p>
        </w:tc>
        <w:tc>
          <w:tcPr>
            <w:tcW w:w="5440" w:type="dxa"/>
            <w:vAlign w:val="bottom"/>
          </w:tcPr>
          <w:p>
            <w:pPr>
              <w:ind w:left="580"/>
              <w:spacing w:after="0"/>
              <w:rPr>
                <w:sz w:val="20"/>
                <w:szCs w:val="20"/>
                <w:color w:val="auto"/>
              </w:rPr>
            </w:pPr>
            <w:r>
              <w:rPr>
                <w:rFonts w:ascii="Arial" w:cs="Arial" w:eastAsia="Arial" w:hAnsi="Arial"/>
                <w:sz w:val="18"/>
                <w:szCs w:val="18"/>
                <w:color w:val="auto"/>
              </w:rPr>
              <w:t>Chairman of the Board of Directors</w:t>
            </w:r>
          </w:p>
        </w:tc>
      </w:tr>
      <w:tr>
        <w:trPr>
          <w:trHeight w:val="170"/>
        </w:trPr>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tcPr>
          <w:p>
            <w:pPr>
              <w:jc w:val="center"/>
              <w:ind w:right="986"/>
              <w:spacing w:after="0"/>
              <w:rPr>
                <w:sz w:val="20"/>
                <w:szCs w:val="20"/>
                <w:color w:val="auto"/>
              </w:rPr>
            </w:pPr>
            <w:r>
              <w:rPr>
                <w:rFonts w:ascii="Arial" w:cs="Arial" w:eastAsia="Arial" w:hAnsi="Arial"/>
                <w:sz w:val="14"/>
                <w:szCs w:val="14"/>
                <w:b w:val="1"/>
                <w:bCs w:val="1"/>
                <w:color w:val="auto"/>
                <w:w w:val="88"/>
              </w:rPr>
              <w:t>Seymour Holtzman</w:t>
            </w:r>
          </w:p>
        </w:tc>
        <w:tc>
          <w:tcPr>
            <w:tcW w:w="1120" w:type="dxa"/>
            <w:vAlign w:val="bottom"/>
          </w:tcPr>
          <w:p>
            <w:pPr>
              <w:spacing w:after="0"/>
              <w:rPr>
                <w:sz w:val="14"/>
                <w:szCs w:val="14"/>
                <w:color w:val="auto"/>
              </w:rPr>
            </w:pPr>
          </w:p>
        </w:tc>
        <w:tc>
          <w:tcPr>
            <w:tcW w:w="5440" w:type="dxa"/>
            <w:vAlign w:val="bottom"/>
          </w:tcPr>
          <w:p>
            <w:pPr>
              <w:spacing w:after="0"/>
              <w:rPr>
                <w:sz w:val="14"/>
                <w:szCs w:val="14"/>
                <w:color w:val="auto"/>
              </w:rPr>
            </w:pPr>
          </w:p>
        </w:tc>
      </w:tr>
      <w:tr>
        <w:trPr>
          <w:trHeight w:val="310"/>
        </w:trPr>
        <w:tc>
          <w:tcPr>
            <w:tcW w:w="2100" w:type="dxa"/>
            <w:vAlign w:val="bottom"/>
            <w:tcBorders>
              <w:bottom w:val="single" w:sz="8" w:color="auto"/>
            </w:tcBorders>
          </w:tcPr>
          <w:p>
            <w:pPr>
              <w:ind w:left="1880"/>
              <w:spacing w:after="0"/>
              <w:rPr>
                <w:sz w:val="20"/>
                <w:szCs w:val="20"/>
                <w:color w:val="auto"/>
              </w:rPr>
            </w:pPr>
            <w:r>
              <w:rPr>
                <w:rFonts w:ascii="Arial" w:cs="Arial" w:eastAsia="Arial" w:hAnsi="Arial"/>
                <w:sz w:val="18"/>
                <w:szCs w:val="18"/>
                <w:color w:val="auto"/>
              </w:rPr>
              <w:t>/s/</w:t>
            </w:r>
          </w:p>
        </w:tc>
        <w:tc>
          <w:tcPr>
            <w:tcW w:w="1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jc w:val="center"/>
              <w:ind w:right="946"/>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LAN</w:t>
            </w:r>
            <w:r>
              <w:rPr>
                <w:rFonts w:ascii="Arial" w:cs="Arial" w:eastAsia="Arial" w:hAnsi="Arial"/>
                <w:sz w:val="18"/>
                <w:szCs w:val="18"/>
                <w:color w:val="auto"/>
              </w:rPr>
              <w:t xml:space="preserve"> S. B</w:t>
            </w:r>
            <w:r>
              <w:rPr>
                <w:rFonts w:ascii="Arial" w:cs="Arial" w:eastAsia="Arial" w:hAnsi="Arial"/>
                <w:sz w:val="14"/>
                <w:szCs w:val="14"/>
                <w:color w:val="auto"/>
              </w:rPr>
              <w:t>ERNIKOW</w:t>
            </w:r>
          </w:p>
        </w:tc>
        <w:tc>
          <w:tcPr>
            <w:tcW w:w="1120" w:type="dxa"/>
            <w:vAlign w:val="bottom"/>
            <w:tcBorders>
              <w:bottom w:val="single" w:sz="8" w:color="auto"/>
            </w:tcBorders>
          </w:tcPr>
          <w:p>
            <w:pPr>
              <w:spacing w:after="0"/>
              <w:rPr>
                <w:sz w:val="24"/>
                <w:szCs w:val="24"/>
                <w:color w:val="auto"/>
              </w:rPr>
            </w:pPr>
          </w:p>
        </w:tc>
        <w:tc>
          <w:tcPr>
            <w:tcW w:w="5440" w:type="dxa"/>
            <w:vAlign w:val="bottom"/>
          </w:tcPr>
          <w:p>
            <w:pPr>
              <w:ind w:left="580"/>
              <w:spacing w:after="0"/>
              <w:rPr>
                <w:sz w:val="20"/>
                <w:szCs w:val="20"/>
                <w:color w:val="auto"/>
              </w:rPr>
            </w:pPr>
            <w:r>
              <w:rPr>
                <w:rFonts w:ascii="Arial" w:cs="Arial" w:eastAsia="Arial" w:hAnsi="Arial"/>
                <w:sz w:val="18"/>
                <w:szCs w:val="18"/>
                <w:color w:val="auto"/>
              </w:rPr>
              <w:t>Director</w:t>
            </w:r>
          </w:p>
        </w:tc>
      </w:tr>
      <w:tr>
        <w:trPr>
          <w:trHeight w:val="170"/>
        </w:trPr>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tcPr>
          <w:p>
            <w:pPr>
              <w:jc w:val="center"/>
              <w:ind w:right="986"/>
              <w:spacing w:after="0"/>
              <w:rPr>
                <w:sz w:val="20"/>
                <w:szCs w:val="20"/>
                <w:color w:val="auto"/>
              </w:rPr>
            </w:pPr>
            <w:r>
              <w:rPr>
                <w:rFonts w:ascii="Arial" w:cs="Arial" w:eastAsia="Arial" w:hAnsi="Arial"/>
                <w:sz w:val="14"/>
                <w:szCs w:val="14"/>
                <w:b w:val="1"/>
                <w:bCs w:val="1"/>
                <w:color w:val="auto"/>
                <w:w w:val="87"/>
              </w:rPr>
              <w:t>Alan S. Bernikow</w:t>
            </w:r>
          </w:p>
        </w:tc>
        <w:tc>
          <w:tcPr>
            <w:tcW w:w="1120" w:type="dxa"/>
            <w:vAlign w:val="bottom"/>
          </w:tcPr>
          <w:p>
            <w:pPr>
              <w:spacing w:after="0"/>
              <w:rPr>
                <w:sz w:val="14"/>
                <w:szCs w:val="14"/>
                <w:color w:val="auto"/>
              </w:rPr>
            </w:pPr>
          </w:p>
        </w:tc>
        <w:tc>
          <w:tcPr>
            <w:tcW w:w="5440" w:type="dxa"/>
            <w:vAlign w:val="bottom"/>
          </w:tcPr>
          <w:p>
            <w:pPr>
              <w:spacing w:after="0"/>
              <w:rPr>
                <w:sz w:val="14"/>
                <w:szCs w:val="14"/>
                <w:color w:val="auto"/>
              </w:rPr>
            </w:pPr>
          </w:p>
        </w:tc>
      </w:tr>
      <w:tr>
        <w:trPr>
          <w:trHeight w:val="310"/>
        </w:trPr>
        <w:tc>
          <w:tcPr>
            <w:tcW w:w="2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/s/</w:t>
            </w:r>
          </w:p>
        </w:tc>
        <w:tc>
          <w:tcPr>
            <w:tcW w:w="2500" w:type="dxa"/>
            <w:vAlign w:val="bottom"/>
            <w:tcBorders>
              <w:bottom w:val="single" w:sz="8" w:color="auto"/>
            </w:tcBorders>
          </w:tcPr>
          <w:p>
            <w:pPr>
              <w:jc w:val="center"/>
              <w:ind w:right="926"/>
              <w:spacing w:after="0"/>
              <w:rPr>
                <w:sz w:val="20"/>
                <w:szCs w:val="20"/>
                <w:color w:val="auto"/>
              </w:rPr>
            </w:pPr>
            <w:r>
              <w:rPr>
                <w:rFonts w:ascii="Arial" w:cs="Arial" w:eastAsia="Arial" w:hAnsi="Arial"/>
                <w:sz w:val="18"/>
                <w:szCs w:val="18"/>
                <w:color w:val="auto"/>
                <w:w w:val="91"/>
              </w:rPr>
              <w:t>J</w:t>
            </w:r>
            <w:r>
              <w:rPr>
                <w:rFonts w:ascii="Arial" w:cs="Arial" w:eastAsia="Arial" w:hAnsi="Arial"/>
                <w:sz w:val="14"/>
                <w:szCs w:val="14"/>
                <w:color w:val="auto"/>
                <w:w w:val="91"/>
              </w:rPr>
              <w:t>ESSE</w:t>
            </w:r>
            <w:r>
              <w:rPr>
                <w:rFonts w:ascii="Arial" w:cs="Arial" w:eastAsia="Arial" w:hAnsi="Arial"/>
                <w:sz w:val="18"/>
                <w:szCs w:val="18"/>
                <w:color w:val="auto"/>
                <w:w w:val="91"/>
              </w:rPr>
              <w:t xml:space="preserve"> H. C</w:t>
            </w:r>
            <w:r>
              <w:rPr>
                <w:rFonts w:ascii="Arial" w:cs="Arial" w:eastAsia="Arial" w:hAnsi="Arial"/>
                <w:sz w:val="14"/>
                <w:szCs w:val="14"/>
                <w:color w:val="auto"/>
                <w:w w:val="91"/>
              </w:rPr>
              <w:t>HOPER</w:t>
            </w:r>
          </w:p>
        </w:tc>
        <w:tc>
          <w:tcPr>
            <w:tcW w:w="1120" w:type="dxa"/>
            <w:vAlign w:val="bottom"/>
            <w:tcBorders>
              <w:bottom w:val="single" w:sz="8" w:color="auto"/>
            </w:tcBorders>
          </w:tcPr>
          <w:p>
            <w:pPr>
              <w:spacing w:after="0"/>
              <w:rPr>
                <w:sz w:val="24"/>
                <w:szCs w:val="24"/>
                <w:color w:val="auto"/>
              </w:rPr>
            </w:pPr>
          </w:p>
        </w:tc>
        <w:tc>
          <w:tcPr>
            <w:tcW w:w="5440" w:type="dxa"/>
            <w:vAlign w:val="bottom"/>
          </w:tcPr>
          <w:p>
            <w:pPr>
              <w:ind w:left="580"/>
              <w:spacing w:after="0"/>
              <w:rPr>
                <w:sz w:val="20"/>
                <w:szCs w:val="20"/>
                <w:color w:val="auto"/>
              </w:rPr>
            </w:pPr>
            <w:r>
              <w:rPr>
                <w:rFonts w:ascii="Arial" w:cs="Arial" w:eastAsia="Arial" w:hAnsi="Arial"/>
                <w:sz w:val="18"/>
                <w:szCs w:val="18"/>
                <w:color w:val="auto"/>
              </w:rPr>
              <w:t>Director</w:t>
            </w:r>
          </w:p>
        </w:tc>
      </w:tr>
      <w:tr>
        <w:trPr>
          <w:trHeight w:val="170"/>
        </w:trPr>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tcPr>
          <w:p>
            <w:pPr>
              <w:jc w:val="center"/>
              <w:ind w:right="986"/>
              <w:spacing w:after="0"/>
              <w:rPr>
                <w:sz w:val="20"/>
                <w:szCs w:val="20"/>
                <w:color w:val="auto"/>
              </w:rPr>
            </w:pPr>
            <w:r>
              <w:rPr>
                <w:rFonts w:ascii="Arial" w:cs="Arial" w:eastAsia="Arial" w:hAnsi="Arial"/>
                <w:sz w:val="14"/>
                <w:szCs w:val="14"/>
                <w:b w:val="1"/>
                <w:bCs w:val="1"/>
                <w:color w:val="auto"/>
                <w:w w:val="83"/>
              </w:rPr>
              <w:t>Jesse H. Choper</w:t>
            </w:r>
          </w:p>
        </w:tc>
        <w:tc>
          <w:tcPr>
            <w:tcW w:w="1120" w:type="dxa"/>
            <w:vAlign w:val="bottom"/>
          </w:tcPr>
          <w:p>
            <w:pPr>
              <w:spacing w:after="0"/>
              <w:rPr>
                <w:sz w:val="14"/>
                <w:szCs w:val="14"/>
                <w:color w:val="auto"/>
              </w:rPr>
            </w:pPr>
          </w:p>
        </w:tc>
        <w:tc>
          <w:tcPr>
            <w:tcW w:w="5440" w:type="dxa"/>
            <w:vAlign w:val="bottom"/>
          </w:tcPr>
          <w:p>
            <w:pPr>
              <w:spacing w:after="0"/>
              <w:rPr>
                <w:sz w:val="14"/>
                <w:szCs w:val="14"/>
                <w:color w:val="auto"/>
              </w:rPr>
            </w:pPr>
          </w:p>
        </w:tc>
      </w:tr>
      <w:tr>
        <w:trPr>
          <w:trHeight w:val="310"/>
        </w:trPr>
        <w:tc>
          <w:tcPr>
            <w:tcW w:w="2100" w:type="dxa"/>
            <w:vAlign w:val="bottom"/>
            <w:tcBorders>
              <w:bottom w:val="single" w:sz="8" w:color="auto"/>
            </w:tcBorders>
          </w:tcPr>
          <w:p>
            <w:pPr>
              <w:ind w:left="1900"/>
              <w:spacing w:after="0"/>
              <w:rPr>
                <w:sz w:val="20"/>
                <w:szCs w:val="20"/>
                <w:color w:val="auto"/>
              </w:rPr>
            </w:pPr>
            <w:r>
              <w:rPr>
                <w:rFonts w:ascii="Arial" w:cs="Arial" w:eastAsia="Arial" w:hAnsi="Arial"/>
                <w:sz w:val="18"/>
                <w:szCs w:val="18"/>
                <w:color w:val="auto"/>
                <w:w w:val="94"/>
              </w:rPr>
              <w:t>/s/</w:t>
            </w:r>
          </w:p>
        </w:tc>
        <w:tc>
          <w:tcPr>
            <w:tcW w:w="1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jc w:val="center"/>
              <w:ind w:right="946"/>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ARD</w:t>
            </w:r>
            <w:r>
              <w:rPr>
                <w:rFonts w:ascii="Arial" w:cs="Arial" w:eastAsia="Arial" w:hAnsi="Arial"/>
                <w:sz w:val="18"/>
                <w:szCs w:val="18"/>
                <w:color w:val="auto"/>
              </w:rPr>
              <w:t xml:space="preserve"> K. M</w:t>
            </w:r>
            <w:r>
              <w:rPr>
                <w:rFonts w:ascii="Arial" w:cs="Arial" w:eastAsia="Arial" w:hAnsi="Arial"/>
                <w:sz w:val="14"/>
                <w:szCs w:val="14"/>
                <w:color w:val="auto"/>
              </w:rPr>
              <w:t>OONEY</w:t>
            </w:r>
          </w:p>
        </w:tc>
        <w:tc>
          <w:tcPr>
            <w:tcW w:w="1120" w:type="dxa"/>
            <w:vAlign w:val="bottom"/>
            <w:tcBorders>
              <w:bottom w:val="single" w:sz="8" w:color="auto"/>
            </w:tcBorders>
          </w:tcPr>
          <w:p>
            <w:pPr>
              <w:spacing w:after="0"/>
              <w:rPr>
                <w:sz w:val="24"/>
                <w:szCs w:val="24"/>
                <w:color w:val="auto"/>
              </w:rPr>
            </w:pPr>
          </w:p>
        </w:tc>
        <w:tc>
          <w:tcPr>
            <w:tcW w:w="5440" w:type="dxa"/>
            <w:vAlign w:val="bottom"/>
          </w:tcPr>
          <w:p>
            <w:pPr>
              <w:ind w:left="580"/>
              <w:spacing w:after="0"/>
              <w:rPr>
                <w:sz w:val="20"/>
                <w:szCs w:val="20"/>
                <w:color w:val="auto"/>
              </w:rPr>
            </w:pPr>
            <w:r>
              <w:rPr>
                <w:rFonts w:ascii="Arial" w:cs="Arial" w:eastAsia="Arial" w:hAnsi="Arial"/>
                <w:sz w:val="18"/>
                <w:szCs w:val="18"/>
                <w:color w:val="auto"/>
              </w:rPr>
              <w:t>Director</w:t>
            </w:r>
          </w:p>
        </w:tc>
      </w:tr>
      <w:tr>
        <w:trPr>
          <w:trHeight w:val="170"/>
        </w:trPr>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tcPr>
          <w:p>
            <w:pPr>
              <w:jc w:val="center"/>
              <w:ind w:right="986"/>
              <w:spacing w:after="0"/>
              <w:rPr>
                <w:sz w:val="20"/>
                <w:szCs w:val="20"/>
                <w:color w:val="auto"/>
              </w:rPr>
            </w:pPr>
            <w:r>
              <w:rPr>
                <w:rFonts w:ascii="Arial" w:cs="Arial" w:eastAsia="Arial" w:hAnsi="Arial"/>
                <w:sz w:val="14"/>
                <w:szCs w:val="14"/>
                <w:b w:val="1"/>
                <w:bCs w:val="1"/>
                <w:color w:val="auto"/>
                <w:w w:val="91"/>
              </w:rPr>
              <w:t>Ward K. Mooney</w:t>
            </w:r>
          </w:p>
        </w:tc>
        <w:tc>
          <w:tcPr>
            <w:tcW w:w="1120" w:type="dxa"/>
            <w:vAlign w:val="bottom"/>
          </w:tcPr>
          <w:p>
            <w:pPr>
              <w:spacing w:after="0"/>
              <w:rPr>
                <w:sz w:val="14"/>
                <w:szCs w:val="14"/>
                <w:color w:val="auto"/>
              </w:rPr>
            </w:pPr>
          </w:p>
        </w:tc>
        <w:tc>
          <w:tcPr>
            <w:tcW w:w="5440" w:type="dxa"/>
            <w:vAlign w:val="bottom"/>
          </w:tcPr>
          <w:p>
            <w:pPr>
              <w:spacing w:after="0"/>
              <w:rPr>
                <w:sz w:val="14"/>
                <w:szCs w:val="14"/>
                <w:color w:val="auto"/>
              </w:rPr>
            </w:pPr>
          </w:p>
        </w:tc>
      </w:tr>
      <w:tr>
        <w:trPr>
          <w:trHeight w:val="310"/>
        </w:trPr>
        <w:tc>
          <w:tcPr>
            <w:tcW w:w="4700" w:type="dxa"/>
            <w:vAlign w:val="bottom"/>
            <w:tcBorders>
              <w:bottom w:val="single" w:sz="8" w:color="auto"/>
            </w:tcBorders>
            <w:gridSpan w:val="3"/>
          </w:tcPr>
          <w:p>
            <w:pPr>
              <w:ind w:left="1720"/>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EORGE</w:t>
            </w:r>
            <w:r>
              <w:rPr>
                <w:rFonts w:ascii="Arial" w:cs="Arial" w:eastAsia="Arial" w:hAnsi="Arial"/>
                <w:sz w:val="18"/>
                <w:szCs w:val="18"/>
                <w:color w:val="auto"/>
              </w:rPr>
              <w:t xml:space="preserve"> T. P</w:t>
            </w:r>
            <w:r>
              <w:rPr>
                <w:rFonts w:ascii="Arial" w:cs="Arial" w:eastAsia="Arial" w:hAnsi="Arial"/>
                <w:sz w:val="14"/>
                <w:szCs w:val="14"/>
                <w:color w:val="auto"/>
              </w:rPr>
              <w:t>ORTER</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tc>
        <w:tc>
          <w:tcPr>
            <w:tcW w:w="1120" w:type="dxa"/>
            <w:vAlign w:val="bottom"/>
            <w:tcBorders>
              <w:bottom w:val="single" w:sz="8" w:color="auto"/>
            </w:tcBorders>
          </w:tcPr>
          <w:p>
            <w:pPr>
              <w:spacing w:after="0"/>
              <w:rPr>
                <w:sz w:val="24"/>
                <w:szCs w:val="24"/>
                <w:color w:val="auto"/>
              </w:rPr>
            </w:pPr>
          </w:p>
        </w:tc>
        <w:tc>
          <w:tcPr>
            <w:tcW w:w="5440" w:type="dxa"/>
            <w:vAlign w:val="bottom"/>
          </w:tcPr>
          <w:p>
            <w:pPr>
              <w:ind w:left="580"/>
              <w:spacing w:after="0"/>
              <w:rPr>
                <w:sz w:val="20"/>
                <w:szCs w:val="20"/>
                <w:color w:val="auto"/>
              </w:rPr>
            </w:pPr>
            <w:r>
              <w:rPr>
                <w:rFonts w:ascii="Arial" w:cs="Arial" w:eastAsia="Arial" w:hAnsi="Arial"/>
                <w:sz w:val="18"/>
                <w:szCs w:val="18"/>
                <w:color w:val="auto"/>
              </w:rPr>
              <w:t>Director</w:t>
            </w:r>
          </w:p>
        </w:tc>
      </w:tr>
      <w:tr>
        <w:trPr>
          <w:trHeight w:val="170"/>
        </w:trPr>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tcPr>
          <w:p>
            <w:pPr>
              <w:jc w:val="center"/>
              <w:ind w:right="1006"/>
              <w:spacing w:after="0"/>
              <w:rPr>
                <w:sz w:val="20"/>
                <w:szCs w:val="20"/>
                <w:color w:val="auto"/>
              </w:rPr>
            </w:pPr>
            <w:r>
              <w:rPr>
                <w:rFonts w:ascii="Arial" w:cs="Arial" w:eastAsia="Arial" w:hAnsi="Arial"/>
                <w:sz w:val="14"/>
                <w:szCs w:val="14"/>
                <w:b w:val="1"/>
                <w:bCs w:val="1"/>
                <w:color w:val="auto"/>
                <w:w w:val="87"/>
              </w:rPr>
              <w:t>George T. Porter, Jr.</w:t>
            </w:r>
          </w:p>
        </w:tc>
        <w:tc>
          <w:tcPr>
            <w:tcW w:w="1120" w:type="dxa"/>
            <w:vAlign w:val="bottom"/>
          </w:tcPr>
          <w:p>
            <w:pPr>
              <w:spacing w:after="0"/>
              <w:rPr>
                <w:sz w:val="14"/>
                <w:szCs w:val="14"/>
                <w:color w:val="auto"/>
              </w:rPr>
            </w:pPr>
          </w:p>
        </w:tc>
        <w:tc>
          <w:tcPr>
            <w:tcW w:w="5440" w:type="dxa"/>
            <w:vAlign w:val="bottom"/>
          </w:tcPr>
          <w:p>
            <w:pPr>
              <w:spacing w:after="0"/>
              <w:rPr>
                <w:sz w:val="14"/>
                <w:szCs w:val="14"/>
                <w:color w:val="auto"/>
              </w:rPr>
            </w:pPr>
          </w:p>
        </w:tc>
      </w:tr>
      <w:tr>
        <w:trPr>
          <w:trHeight w:val="310"/>
        </w:trPr>
        <w:tc>
          <w:tcPr>
            <w:tcW w:w="2100" w:type="dxa"/>
            <w:vAlign w:val="bottom"/>
            <w:tcBorders>
              <w:bottom w:val="single" w:sz="8" w:color="auto"/>
            </w:tcBorders>
          </w:tcPr>
          <w:p>
            <w:pPr>
              <w:ind w:left="1780"/>
              <w:spacing w:after="0"/>
              <w:rPr>
                <w:sz w:val="20"/>
                <w:szCs w:val="20"/>
                <w:color w:val="auto"/>
              </w:rPr>
            </w:pPr>
            <w:r>
              <w:rPr>
                <w:rFonts w:ascii="Arial" w:cs="Arial" w:eastAsia="Arial" w:hAnsi="Arial"/>
                <w:sz w:val="18"/>
                <w:szCs w:val="18"/>
                <w:color w:val="auto"/>
              </w:rPr>
              <w:t>/s/</w:t>
            </w:r>
          </w:p>
        </w:tc>
        <w:tc>
          <w:tcPr>
            <w:tcW w:w="2600" w:type="dxa"/>
            <w:vAlign w:val="bottom"/>
            <w:tcBorders>
              <w:bottom w:val="single" w:sz="8" w:color="auto"/>
            </w:tcBorders>
            <w:gridSpan w:val="2"/>
          </w:tcPr>
          <w:p>
            <w:pPr>
              <w:jc w:val="center"/>
              <w:ind w:right="846"/>
              <w:spacing w:after="0"/>
              <w:rPr>
                <w:sz w:val="20"/>
                <w:szCs w:val="20"/>
                <w:color w:val="auto"/>
              </w:rPr>
            </w:pPr>
            <w:r>
              <w:rPr>
                <w:rFonts w:ascii="Arial" w:cs="Arial" w:eastAsia="Arial" w:hAnsi="Arial"/>
                <w:sz w:val="18"/>
                <w:szCs w:val="18"/>
                <w:color w:val="auto"/>
                <w:w w:val="96"/>
              </w:rPr>
              <w:t>M</w:t>
            </w:r>
            <w:r>
              <w:rPr>
                <w:rFonts w:ascii="Arial" w:cs="Arial" w:eastAsia="Arial" w:hAnsi="Arial"/>
                <w:sz w:val="14"/>
                <w:szCs w:val="14"/>
                <w:color w:val="auto"/>
                <w:w w:val="96"/>
              </w:rPr>
              <w:t>ITCHELL</w:t>
            </w:r>
            <w:r>
              <w:rPr>
                <w:rFonts w:ascii="Arial" w:cs="Arial" w:eastAsia="Arial" w:hAnsi="Arial"/>
                <w:sz w:val="18"/>
                <w:szCs w:val="18"/>
                <w:color w:val="auto"/>
                <w:w w:val="96"/>
              </w:rPr>
              <w:t xml:space="preserve"> S. P</w:t>
            </w:r>
            <w:r>
              <w:rPr>
                <w:rFonts w:ascii="Arial" w:cs="Arial" w:eastAsia="Arial" w:hAnsi="Arial"/>
                <w:sz w:val="14"/>
                <w:szCs w:val="14"/>
                <w:color w:val="auto"/>
                <w:w w:val="96"/>
              </w:rPr>
              <w:t>RESSER</w:t>
            </w:r>
          </w:p>
        </w:tc>
        <w:tc>
          <w:tcPr>
            <w:tcW w:w="1120" w:type="dxa"/>
            <w:vAlign w:val="bottom"/>
            <w:tcBorders>
              <w:bottom w:val="single" w:sz="8" w:color="auto"/>
            </w:tcBorders>
          </w:tcPr>
          <w:p>
            <w:pPr>
              <w:spacing w:after="0"/>
              <w:rPr>
                <w:sz w:val="24"/>
                <w:szCs w:val="24"/>
                <w:color w:val="auto"/>
              </w:rPr>
            </w:pPr>
          </w:p>
        </w:tc>
        <w:tc>
          <w:tcPr>
            <w:tcW w:w="5440" w:type="dxa"/>
            <w:vAlign w:val="bottom"/>
          </w:tcPr>
          <w:p>
            <w:pPr>
              <w:ind w:left="580"/>
              <w:spacing w:after="0"/>
              <w:rPr>
                <w:sz w:val="20"/>
                <w:szCs w:val="20"/>
                <w:color w:val="auto"/>
              </w:rPr>
            </w:pPr>
            <w:r>
              <w:rPr>
                <w:rFonts w:ascii="Arial" w:cs="Arial" w:eastAsia="Arial" w:hAnsi="Arial"/>
                <w:sz w:val="18"/>
                <w:szCs w:val="18"/>
                <w:color w:val="auto"/>
              </w:rPr>
              <w:t>Director</w:t>
            </w:r>
          </w:p>
        </w:tc>
      </w:tr>
      <w:tr>
        <w:trPr>
          <w:trHeight w:val="170"/>
        </w:trPr>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tcPr>
          <w:p>
            <w:pPr>
              <w:jc w:val="center"/>
              <w:ind w:right="986"/>
              <w:spacing w:after="0"/>
              <w:rPr>
                <w:sz w:val="20"/>
                <w:szCs w:val="20"/>
                <w:color w:val="auto"/>
              </w:rPr>
            </w:pPr>
            <w:r>
              <w:rPr>
                <w:rFonts w:ascii="Arial" w:cs="Arial" w:eastAsia="Arial" w:hAnsi="Arial"/>
                <w:sz w:val="14"/>
                <w:szCs w:val="14"/>
                <w:b w:val="1"/>
                <w:bCs w:val="1"/>
                <w:color w:val="auto"/>
                <w:w w:val="86"/>
              </w:rPr>
              <w:t>Mitchell S. Presser</w:t>
            </w:r>
          </w:p>
        </w:tc>
        <w:tc>
          <w:tcPr>
            <w:tcW w:w="1120" w:type="dxa"/>
            <w:vAlign w:val="bottom"/>
          </w:tcPr>
          <w:p>
            <w:pPr>
              <w:spacing w:after="0"/>
              <w:rPr>
                <w:sz w:val="14"/>
                <w:szCs w:val="14"/>
                <w:color w:val="auto"/>
              </w:rPr>
            </w:pPr>
          </w:p>
        </w:tc>
        <w:tc>
          <w:tcPr>
            <w:tcW w:w="5440" w:type="dxa"/>
            <w:vAlign w:val="bottom"/>
          </w:tcPr>
          <w:p>
            <w:pPr>
              <w:spacing w:after="0"/>
              <w:rPr>
                <w:sz w:val="14"/>
                <w:szCs w:val="14"/>
                <w:color w:val="auto"/>
              </w:rPr>
            </w:pPr>
          </w:p>
        </w:tc>
      </w:tr>
      <w:tr>
        <w:trPr>
          <w:trHeight w:val="310"/>
        </w:trPr>
        <w:tc>
          <w:tcPr>
            <w:tcW w:w="2100" w:type="dxa"/>
            <w:vAlign w:val="bottom"/>
            <w:tcBorders>
              <w:bottom w:val="single" w:sz="8" w:color="auto"/>
            </w:tcBorders>
          </w:tcPr>
          <w:p>
            <w:pPr>
              <w:ind w:left="1780"/>
              <w:spacing w:after="0"/>
              <w:rPr>
                <w:sz w:val="20"/>
                <w:szCs w:val="20"/>
                <w:color w:val="auto"/>
              </w:rPr>
            </w:pPr>
            <w:r>
              <w:rPr>
                <w:rFonts w:ascii="Arial" w:cs="Arial" w:eastAsia="Arial" w:hAnsi="Arial"/>
                <w:sz w:val="18"/>
                <w:szCs w:val="18"/>
                <w:color w:val="auto"/>
              </w:rPr>
              <w:t>/s/</w:t>
            </w:r>
          </w:p>
        </w:tc>
        <w:tc>
          <w:tcPr>
            <w:tcW w:w="2600" w:type="dxa"/>
            <w:vAlign w:val="bottom"/>
            <w:tcBorders>
              <w:bottom w:val="single" w:sz="8" w:color="auto"/>
            </w:tcBorders>
            <w:gridSpan w:val="2"/>
          </w:tcPr>
          <w:p>
            <w:pPr>
              <w:jc w:val="center"/>
              <w:ind w:right="846"/>
              <w:spacing w:after="0"/>
              <w:rPr>
                <w:sz w:val="20"/>
                <w:szCs w:val="20"/>
                <w:color w:val="auto"/>
              </w:rPr>
            </w:pPr>
            <w:r>
              <w:rPr>
                <w:rFonts w:ascii="Arial" w:cs="Arial" w:eastAsia="Arial" w:hAnsi="Arial"/>
                <w:sz w:val="18"/>
                <w:szCs w:val="18"/>
                <w:color w:val="auto"/>
                <w:w w:val="97"/>
              </w:rPr>
              <w:t>R</w:t>
            </w:r>
            <w:r>
              <w:rPr>
                <w:rFonts w:ascii="Arial" w:cs="Arial" w:eastAsia="Arial" w:hAnsi="Arial"/>
                <w:sz w:val="14"/>
                <w:szCs w:val="14"/>
                <w:color w:val="auto"/>
                <w:w w:val="97"/>
              </w:rPr>
              <w:t>OBERT</w:t>
            </w:r>
            <w:r>
              <w:rPr>
                <w:rFonts w:ascii="Arial" w:cs="Arial" w:eastAsia="Arial" w:hAnsi="Arial"/>
                <w:sz w:val="18"/>
                <w:szCs w:val="18"/>
                <w:color w:val="auto"/>
                <w:w w:val="97"/>
              </w:rPr>
              <w:t xml:space="preserve"> L. S</w:t>
            </w:r>
            <w:r>
              <w:rPr>
                <w:rFonts w:ascii="Arial" w:cs="Arial" w:eastAsia="Arial" w:hAnsi="Arial"/>
                <w:sz w:val="14"/>
                <w:szCs w:val="14"/>
                <w:color w:val="auto"/>
                <w:w w:val="97"/>
              </w:rPr>
              <w:t>OCKOLOV</w:t>
            </w:r>
          </w:p>
        </w:tc>
        <w:tc>
          <w:tcPr>
            <w:tcW w:w="1120" w:type="dxa"/>
            <w:vAlign w:val="bottom"/>
            <w:tcBorders>
              <w:bottom w:val="single" w:sz="8" w:color="auto"/>
            </w:tcBorders>
          </w:tcPr>
          <w:p>
            <w:pPr>
              <w:spacing w:after="0"/>
              <w:rPr>
                <w:sz w:val="24"/>
                <w:szCs w:val="24"/>
                <w:color w:val="auto"/>
              </w:rPr>
            </w:pPr>
          </w:p>
        </w:tc>
        <w:tc>
          <w:tcPr>
            <w:tcW w:w="5440" w:type="dxa"/>
            <w:vAlign w:val="bottom"/>
          </w:tcPr>
          <w:p>
            <w:pPr>
              <w:ind w:left="580"/>
              <w:spacing w:after="0"/>
              <w:rPr>
                <w:sz w:val="20"/>
                <w:szCs w:val="20"/>
                <w:color w:val="auto"/>
              </w:rPr>
            </w:pPr>
            <w:r>
              <w:rPr>
                <w:rFonts w:ascii="Arial" w:cs="Arial" w:eastAsia="Arial" w:hAnsi="Arial"/>
                <w:sz w:val="18"/>
                <w:szCs w:val="18"/>
                <w:color w:val="auto"/>
              </w:rPr>
              <w:t>Director</w:t>
            </w:r>
          </w:p>
        </w:tc>
      </w:tr>
      <w:tr>
        <w:trPr>
          <w:trHeight w:val="170"/>
        </w:trPr>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tcPr>
          <w:p>
            <w:pPr>
              <w:jc w:val="center"/>
              <w:ind w:right="986"/>
              <w:spacing w:after="0"/>
              <w:rPr>
                <w:sz w:val="20"/>
                <w:szCs w:val="20"/>
                <w:color w:val="auto"/>
              </w:rPr>
            </w:pPr>
            <w:r>
              <w:rPr>
                <w:rFonts w:ascii="Arial" w:cs="Arial" w:eastAsia="Arial" w:hAnsi="Arial"/>
                <w:sz w:val="14"/>
                <w:szCs w:val="14"/>
                <w:b w:val="1"/>
                <w:bCs w:val="1"/>
                <w:color w:val="auto"/>
                <w:w w:val="87"/>
              </w:rPr>
              <w:t>Robert L. Sockolov</w:t>
            </w:r>
          </w:p>
        </w:tc>
        <w:tc>
          <w:tcPr>
            <w:tcW w:w="1120" w:type="dxa"/>
            <w:vAlign w:val="bottom"/>
          </w:tcPr>
          <w:p>
            <w:pPr>
              <w:spacing w:after="0"/>
              <w:rPr>
                <w:sz w:val="14"/>
                <w:szCs w:val="14"/>
                <w:color w:val="auto"/>
              </w:rPr>
            </w:pPr>
          </w:p>
        </w:tc>
        <w:tc>
          <w:tcPr>
            <w:tcW w:w="5440" w:type="dxa"/>
            <w:vAlign w:val="bottom"/>
          </w:tcPr>
          <w:p>
            <w:pPr>
              <w:spacing w:after="0"/>
              <w:rPr>
                <w:sz w:val="14"/>
                <w:szCs w:val="14"/>
                <w:color w:val="auto"/>
              </w:rPr>
            </w:pPr>
          </w:p>
        </w:tc>
      </w:tr>
      <w:tr>
        <w:trPr>
          <w:trHeight w:val="350"/>
        </w:trPr>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w:t>
            </w:r>
          </w:p>
        </w:tc>
        <w:tc>
          <w:tcPr>
            <w:tcW w:w="5440" w:type="dxa"/>
            <w:vAlign w:val="bottom"/>
          </w:tcPr>
          <w:p>
            <w:pPr>
              <w:spacing w:after="0"/>
              <w:rPr>
                <w:sz w:val="24"/>
                <w:szCs w:val="24"/>
                <w:color w:val="auto"/>
              </w:rPr>
            </w:pPr>
          </w:p>
        </w:tc>
      </w:tr>
    </w:tbl>
    <w:p>
      <w:pPr>
        <w:sectPr>
          <w:pgSz w:w="11900" w:h="16838" w:orient="portrait"/>
          <w:cols w:equalWidth="0" w:num="1">
            <w:col w:w="11260"/>
          </w:cols>
          <w:pgMar w:left="240" w:top="459" w:right="399" w:bottom="1440" w:gutter="0" w:footer="0" w:header="0"/>
        </w:sectPr>
      </w:pPr>
    </w:p>
    <w:bookmarkStart w:id="84" w:name="page85"/>
    <w:bookmarkEnd w:id="84"/>
    <w:p>
      <w:pPr>
        <w:ind w:left="10520"/>
        <w:spacing w:after="0"/>
        <w:rPr>
          <w:sz w:val="20"/>
          <w:szCs w:val="20"/>
          <w:color w:val="auto"/>
        </w:rPr>
      </w:pPr>
      <w:r>
        <w:rPr>
          <w:rFonts w:ascii="Arial" w:cs="Arial" w:eastAsia="Arial" w:hAnsi="Arial"/>
          <w:sz w:val="16"/>
          <w:szCs w:val="16"/>
          <w:b w:val="1"/>
          <w:bCs w:val="1"/>
          <w:color w:val="auto"/>
        </w:rPr>
        <w:t>Exhibit 10.6</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Updated as of 12/20/07</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MEMORANDUM OF UNDERSTANDING</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 PLAN</w:t>
      </w:r>
    </w:p>
    <w:p>
      <w:pPr>
        <w:spacing w:after="0" w:line="16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Casual Male Retail Group, Inc. has adopted a Nonqualified Deferred Compensation Plan for certain highly paid management associates. Such Plan, formerly referred to as the “Wraparound Plan” and, effective on and after January 1, 2008, referred to herein as the “Deferred Compensation Plan” is intended to recognize the contribution of certain designated managerial associates to the success of the Casual Male Retail Group, Inc. and its subsidiaries and to provide such managerial associates with the opportunity to defer compensation in addition to their deferrals under qualified plans sponsored by Casual Male Retail Group, Inc. The Deferred Compensation Plan shall be operated in good faith compliance with Internal Revenue Code § 409A and the regulations and other guidance, until such time as final regulations are released regarding Code § 409A and a final Deferred Compensation Plan document is prepared based on the following terms and conditions:</w:t>
      </w:r>
    </w:p>
    <w:p>
      <w:pPr>
        <w:spacing w:after="0" w:line="60"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Adoption and Effective Date</w:t>
      </w:r>
    </w:p>
    <w:p>
      <w:pPr>
        <w:spacing w:after="0" w:line="96" w:lineRule="exact"/>
        <w:rPr>
          <w:rFonts w:ascii="Arial" w:cs="Arial" w:eastAsia="Arial" w:hAnsi="Arial"/>
          <w:sz w:val="18"/>
          <w:szCs w:val="18"/>
          <w:b w:val="1"/>
          <w:bCs w:val="1"/>
          <w:color w:val="auto"/>
        </w:rPr>
      </w:pPr>
    </w:p>
    <w:p>
      <w:pPr>
        <w:ind w:left="1480" w:hanging="567"/>
        <w:spacing w:after="0" w:line="268" w:lineRule="auto"/>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Casual Male Retail Group, Inc. adopts a new nonqualified deferred compensation plan (the Wraparound Plan) with an original Effective Date of November 1, 2006.</w:t>
      </w:r>
    </w:p>
    <w:p>
      <w:pPr>
        <w:spacing w:after="0" w:line="50" w:lineRule="exact"/>
        <w:rPr>
          <w:rFonts w:ascii="Arial" w:cs="Arial" w:eastAsia="Arial" w:hAnsi="Arial"/>
          <w:sz w:val="18"/>
          <w:szCs w:val="18"/>
          <w:color w:val="auto"/>
        </w:rPr>
      </w:pPr>
    </w:p>
    <w:p>
      <w:pPr>
        <w:ind w:left="1480" w:right="80" w:hanging="567"/>
        <w:spacing w:after="0" w:line="256" w:lineRule="auto"/>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Effective January 1, 2008, as a result of the adoption of a “safe harbor 401(k) Plan” designed to meet the requirements of Code § 401(k)(12) and Code § 401(m)(11), the “Wraparound” provisions of this Plan are no longer necessary and shall be eliminated. Any and all amounts applicable to the Wraparound Plan shall continue to be held under the Deferred Compensation Plan and shall be governed by the terms as updated herein.</w:t>
      </w:r>
    </w:p>
    <w:p>
      <w:pPr>
        <w:spacing w:after="0" w:line="62" w:lineRule="exact"/>
        <w:rPr>
          <w:rFonts w:ascii="Arial" w:cs="Arial" w:eastAsia="Arial" w:hAnsi="Arial"/>
          <w:sz w:val="18"/>
          <w:szCs w:val="18"/>
          <w:color w:val="auto"/>
        </w:rPr>
      </w:pPr>
    </w:p>
    <w:p>
      <w:pPr>
        <w:ind w:left="1480" w:right="400" w:hanging="567"/>
        <w:spacing w:after="0" w:line="332" w:lineRule="auto"/>
        <w:tabs>
          <w:tab w:leader="none" w:pos="14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provisions of Internal Revenue Code § 409A governing the nature and timing of elections, withdrawals, and distributions under the Deferred Compensation Plan shall apply to amounts deferred under the Deferred Compensation Plan.</w:t>
      </w:r>
    </w:p>
    <w:p>
      <w:pPr>
        <w:spacing w:after="0" w:line="200" w:lineRule="exact"/>
        <w:rPr>
          <w:rFonts w:ascii="Arial" w:cs="Arial" w:eastAsia="Arial" w:hAnsi="Arial"/>
          <w:sz w:val="16"/>
          <w:szCs w:val="16"/>
          <w:color w:val="auto"/>
        </w:rPr>
      </w:pPr>
    </w:p>
    <w:p>
      <w:pPr>
        <w:ind w:left="900" w:hanging="446"/>
        <w:spacing w:after="0"/>
        <w:tabs>
          <w:tab w:leader="none" w:pos="9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Employer and Plan Information</w:t>
      </w:r>
    </w:p>
    <w:p>
      <w:pPr>
        <w:spacing w:after="0" w:line="96" w:lineRule="exact"/>
        <w:rPr>
          <w:rFonts w:ascii="Arial" w:cs="Arial" w:eastAsia="Arial" w:hAnsi="Arial"/>
          <w:sz w:val="18"/>
          <w:szCs w:val="18"/>
          <w:b w:val="1"/>
          <w:bCs w:val="1"/>
          <w:color w:val="auto"/>
        </w:rPr>
      </w:pPr>
    </w:p>
    <w:p>
      <w:pPr>
        <w:ind w:left="1480" w:hanging="567"/>
        <w:spacing w:after="0"/>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Employer – Casual Male Retail Group, Inc. and, effective December 18, 2007, CMRG Apparel LLC</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Associated Plan : Casual Male Retail Group, Inc. 401(k) Salaried Plan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Plan Administrator: Casual Male Retail Group, Inc.</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Plan Year is the 12-consecutive month period ending December 31 of each year</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first Plan Year is a short year that begins on the original Effective Date and ends on December 31, 2006.</w:t>
      </w:r>
    </w:p>
    <w:p>
      <w:pPr>
        <w:spacing w:after="0" w:line="286"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 to Participate</w:t>
      </w:r>
    </w:p>
    <w:p>
      <w:pPr>
        <w:spacing w:after="0" w:line="96" w:lineRule="exact"/>
        <w:rPr>
          <w:rFonts w:ascii="Arial" w:cs="Arial" w:eastAsia="Arial" w:hAnsi="Arial"/>
          <w:sz w:val="18"/>
          <w:szCs w:val="18"/>
          <w:b w:val="1"/>
          <w:bCs w:val="1"/>
          <w:color w:val="auto"/>
        </w:rPr>
      </w:pPr>
    </w:p>
    <w:p>
      <w:pPr>
        <w:ind w:left="1480" w:right="240" w:hanging="567"/>
        <w:spacing w:after="0" w:line="268" w:lineRule="auto"/>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Covered Employment includes only employment with the Employer as a management associate designated as eligible to participate in the Deferred Compensation Plan by the Plan Administrator.</w:t>
      </w:r>
    </w:p>
    <w:p>
      <w:pPr>
        <w:spacing w:after="0" w:line="50" w:lineRule="exact"/>
        <w:rPr>
          <w:rFonts w:ascii="Arial" w:cs="Arial" w:eastAsia="Arial" w:hAnsi="Arial"/>
          <w:sz w:val="18"/>
          <w:szCs w:val="18"/>
          <w:color w:val="auto"/>
        </w:rPr>
      </w:pPr>
    </w:p>
    <w:p>
      <w:pPr>
        <w:ind w:left="1480" w:right="240" w:hanging="567"/>
        <w:spacing w:after="0" w:line="268" w:lineRule="auto"/>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In order for an Associate to participate in the Deferred Compensation Plan, he or she must be in Covered Employment and must also have been designated by the Employer as eligible to participate hereunder.</w:t>
      </w:r>
    </w:p>
    <w:p>
      <w:pPr>
        <w:spacing w:after="0" w:line="50" w:lineRule="exact"/>
        <w:rPr>
          <w:rFonts w:ascii="Arial" w:cs="Arial" w:eastAsia="Arial" w:hAnsi="Arial"/>
          <w:sz w:val="18"/>
          <w:szCs w:val="18"/>
          <w:color w:val="auto"/>
        </w:rPr>
      </w:pPr>
    </w:p>
    <w:p>
      <w:pPr>
        <w:ind w:left="1480" w:right="20" w:hanging="567"/>
        <w:spacing w:after="0" w:line="294" w:lineRule="auto"/>
        <w:tabs>
          <w:tab w:leader="none" w:pos="14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In the event an Associate participating in the Wraparound Plan, or effective January 1, 2008, the Deferred Compensation Plan, is transferred to or from Casual Male Retail Group, Inc. to or from CMRG Apparel LLC, or any other wholly owned subsidiary Casual Male Retail Group, Inc., shall designate, such transfer shall in no event be deemed a separation from service and any elections under the Wraparound Plan, or effective January 1, 2008, the Deferred Compensation Plan, in effect at the time of such transfer shall remain in full force and effect until the next annual enrollment for the succeeding calendar year.</w:t>
      </w:r>
    </w:p>
    <w:p>
      <w:pPr>
        <w:spacing w:after="0" w:line="231" w:lineRule="exact"/>
        <w:rPr>
          <w:rFonts w:ascii="Arial" w:cs="Arial" w:eastAsia="Arial" w:hAnsi="Arial"/>
          <w:sz w:val="16"/>
          <w:szCs w:val="16"/>
          <w:color w:val="auto"/>
        </w:rPr>
      </w:pPr>
    </w:p>
    <w:p>
      <w:pPr>
        <w:ind w:left="900" w:hanging="446"/>
        <w:spacing w:after="0"/>
        <w:tabs>
          <w:tab w:leader="none" w:pos="9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Associate Deferrals</w:t>
      </w:r>
    </w:p>
    <w:p>
      <w:pPr>
        <w:spacing w:after="0" w:line="96" w:lineRule="exact"/>
        <w:rPr>
          <w:rFonts w:ascii="Arial" w:cs="Arial" w:eastAsia="Arial" w:hAnsi="Arial"/>
          <w:sz w:val="18"/>
          <w:szCs w:val="18"/>
          <w:b w:val="1"/>
          <w:bCs w:val="1"/>
          <w:color w:val="auto"/>
        </w:rPr>
      </w:pPr>
    </w:p>
    <w:p>
      <w:pPr>
        <w:ind w:left="1480" w:hanging="567"/>
        <w:spacing w:after="0"/>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Associate Deferrals will be allowed under the Deferred Compensation Plan.</w:t>
      </w:r>
    </w:p>
    <w:p>
      <w:pPr>
        <w:spacing w:after="0" w:line="90" w:lineRule="exact"/>
        <w:rPr>
          <w:rFonts w:ascii="Arial" w:cs="Arial" w:eastAsia="Arial" w:hAnsi="Arial"/>
          <w:sz w:val="18"/>
          <w:szCs w:val="18"/>
          <w:color w:val="auto"/>
        </w:rPr>
      </w:pPr>
    </w:p>
    <w:p>
      <w:pPr>
        <w:ind w:left="1480" w:right="120" w:hanging="567"/>
        <w:spacing w:after="0" w:line="268" w:lineRule="auto"/>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Associate Deferral elections for a Plan Year must be made by December 31 of the year prior to the Plan Year in which the services to which the deferrals relate are performed.</w:t>
      </w:r>
    </w:p>
    <w:p>
      <w:pPr>
        <w:spacing w:after="0" w:line="50" w:lineRule="exact"/>
        <w:rPr>
          <w:rFonts w:ascii="Arial" w:cs="Arial" w:eastAsia="Arial" w:hAnsi="Arial"/>
          <w:sz w:val="18"/>
          <w:szCs w:val="18"/>
          <w:color w:val="auto"/>
        </w:rPr>
      </w:pPr>
    </w:p>
    <w:p>
      <w:pPr>
        <w:ind w:left="1480" w:hanging="567"/>
        <w:spacing w:after="0" w:line="291" w:lineRule="auto"/>
        <w:tabs>
          <w:tab w:leader="none" w:pos="14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Prior to January 1, 2008, by January 31 of the year following the Plan Year in which Associate Deferrals are made to the Wraparound Plan, the Employer will perform or cause to be performed nondiscrimination testing of the Associated Plan to determine the maximum amount that each Participant in the Wraparound Plan may contribute to the Associated Plan with respect to the immediately preceding Plan Year. The Associate Deferrals for each Participant not in excess of that amount is then contributed from the Wraparound Plan to the Associated Plan. The balance of the Associate Deferrals for the applicable Plan Year shall continue to be deferred under the Wraparound Plan. On and after January 1, 2008 this paragraph shall cease to be effective.</w:t>
      </w:r>
    </w:p>
    <w:p>
      <w:pPr>
        <w:spacing w:after="0" w:line="39" w:lineRule="exact"/>
        <w:rPr>
          <w:rFonts w:ascii="Arial" w:cs="Arial" w:eastAsia="Arial" w:hAnsi="Arial"/>
          <w:sz w:val="16"/>
          <w:szCs w:val="16"/>
          <w:color w:val="auto"/>
        </w:rPr>
      </w:pPr>
    </w:p>
    <w:p>
      <w:pPr>
        <w:ind w:left="1500" w:right="300"/>
        <w:spacing w:after="0" w:line="268" w:lineRule="auto"/>
        <w:rPr>
          <w:rFonts w:ascii="Arial" w:cs="Arial" w:eastAsia="Arial" w:hAnsi="Arial"/>
          <w:sz w:val="16"/>
          <w:szCs w:val="16"/>
          <w:color w:val="auto"/>
        </w:rPr>
      </w:pPr>
      <w:r>
        <w:rPr>
          <w:rFonts w:ascii="Arial" w:cs="Arial" w:eastAsia="Arial" w:hAnsi="Arial"/>
          <w:sz w:val="18"/>
          <w:szCs w:val="18"/>
          <w:color w:val="auto"/>
        </w:rPr>
        <w:t>Notwithstanding the foregoing, Associate Deferrals will be allowed with respect to Compensation earned on and after November 1, 2006 and prior to December 31, 2006.</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3</w:t>
      </w:r>
    </w:p>
    <w:p>
      <w:pPr>
        <w:sectPr>
          <w:pgSz w:w="11900" w:h="16838" w:orient="portrait"/>
          <w:cols w:equalWidth="0" w:num="1">
            <w:col w:w="11420"/>
          </w:cols>
          <w:pgMar w:left="240" w:top="125"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Updated as of 12/20/07</w:t>
      </w:r>
    </w:p>
    <w:p>
      <w:pPr>
        <w:spacing w:after="0" w:line="152"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Associate Deferrals (con’t)</w:t>
      </w:r>
    </w:p>
    <w:p>
      <w:pPr>
        <w:spacing w:after="0" w:line="96" w:lineRule="exact"/>
        <w:rPr>
          <w:rFonts w:ascii="Arial" w:cs="Arial" w:eastAsia="Arial" w:hAnsi="Arial"/>
          <w:sz w:val="18"/>
          <w:szCs w:val="18"/>
          <w:b w:val="1"/>
          <w:bCs w:val="1"/>
          <w:color w:val="auto"/>
        </w:rPr>
      </w:pPr>
    </w:p>
    <w:p>
      <w:pPr>
        <w:ind w:left="1480" w:right="40" w:hanging="567"/>
        <w:spacing w:after="0" w:line="268" w:lineRule="auto"/>
        <w:tabs>
          <w:tab w:leader="none" w:pos="14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Associate Deferrals will be made by means of payroll reduction, in any whole percentage or whole dollar amount of Compensation. There is no maximum imposed on Associate Deferrals under the Deferred Compensation Plan.</w:t>
      </w:r>
    </w:p>
    <w:p>
      <w:pPr>
        <w:spacing w:after="0" w:line="50" w:lineRule="exact"/>
        <w:rPr>
          <w:rFonts w:ascii="Arial" w:cs="Arial" w:eastAsia="Arial" w:hAnsi="Arial"/>
          <w:sz w:val="18"/>
          <w:szCs w:val="18"/>
          <w:color w:val="auto"/>
        </w:rPr>
      </w:pPr>
    </w:p>
    <w:p>
      <w:pPr>
        <w:jc w:val="both"/>
        <w:ind w:left="1480" w:right="180" w:hanging="567"/>
        <w:spacing w:after="0" w:line="256" w:lineRule="auto"/>
        <w:tabs>
          <w:tab w:leader="none" w:pos="14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Compensation means earnings required to be reported in the Wages, Tips and Other Compensation box of Form W-2 excluding Associate Pre-Tax Contributions and other Elective Deferrals, and elective contributions that are excluded from income under Code § 125 (cafeteria plan); and reimbursements or other expense allowances, fringe benefits (cash and non cash), moving expenses, deferred compensation and welfare benefits.</w:t>
      </w:r>
    </w:p>
    <w:p>
      <w:pPr>
        <w:spacing w:after="0" w:line="258"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Matching Credits</w:t>
      </w:r>
    </w:p>
    <w:p>
      <w:pPr>
        <w:spacing w:after="0" w:line="96" w:lineRule="exact"/>
        <w:rPr>
          <w:rFonts w:ascii="Arial" w:cs="Arial" w:eastAsia="Arial" w:hAnsi="Arial"/>
          <w:sz w:val="18"/>
          <w:szCs w:val="18"/>
          <w:b w:val="1"/>
          <w:bCs w:val="1"/>
          <w:color w:val="auto"/>
        </w:rPr>
      </w:pPr>
    </w:p>
    <w:p>
      <w:pPr>
        <w:ind w:left="1480" w:right="80" w:hanging="567"/>
        <w:spacing w:after="0" w:line="259" w:lineRule="auto"/>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Matching Credits will be added to each Participant’s Account based on the amount of the Participant’s Associate Deferrals for the Plan Year and shall be determined annually for each Plan Year by the Employer, in its absolute and sole discretion, and allocated to Participants in proportion to their Associate Deferrals for the Plan Year.</w:t>
      </w:r>
    </w:p>
    <w:p>
      <w:pPr>
        <w:spacing w:after="0" w:line="59" w:lineRule="exact"/>
        <w:rPr>
          <w:rFonts w:ascii="Arial" w:cs="Arial" w:eastAsia="Arial" w:hAnsi="Arial"/>
          <w:sz w:val="18"/>
          <w:szCs w:val="18"/>
          <w:color w:val="auto"/>
        </w:rPr>
      </w:pPr>
    </w:p>
    <w:p>
      <w:pPr>
        <w:ind w:left="1480" w:hanging="567"/>
        <w:spacing w:after="0"/>
        <w:tabs>
          <w:tab w:leader="none" w:pos="14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The Employer intends to limit the Matching Credits to no more than $0.50 per dollar of the first six percent (6%) of Compensation.</w:t>
      </w:r>
    </w:p>
    <w:p>
      <w:pPr>
        <w:spacing w:after="0" w:line="113" w:lineRule="exact"/>
        <w:rPr>
          <w:rFonts w:ascii="Arial" w:cs="Arial" w:eastAsia="Arial" w:hAnsi="Arial"/>
          <w:sz w:val="16"/>
          <w:szCs w:val="16"/>
          <w:color w:val="auto"/>
        </w:rPr>
      </w:pPr>
    </w:p>
    <w:p>
      <w:pPr>
        <w:ind w:left="1480" w:hanging="567"/>
        <w:spacing w:after="0"/>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There is no maximum imposed on Matching Credits under the Deferred Compensation Plan.</w:t>
      </w:r>
    </w:p>
    <w:p>
      <w:pPr>
        <w:spacing w:after="0" w:line="90" w:lineRule="exact"/>
        <w:rPr>
          <w:rFonts w:ascii="Arial" w:cs="Arial" w:eastAsia="Arial" w:hAnsi="Arial"/>
          <w:sz w:val="18"/>
          <w:szCs w:val="18"/>
          <w:color w:val="auto"/>
        </w:rPr>
      </w:pPr>
    </w:p>
    <w:p>
      <w:pPr>
        <w:ind w:left="1480" w:hanging="567"/>
        <w:spacing w:after="0" w:line="291" w:lineRule="auto"/>
        <w:tabs>
          <w:tab w:leader="none" w:pos="14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Effective prior to January 1, 2008, by January 31 of the year following the Plan Year in which Matching Credits are made to the Wraparound Plan, the Employer will perform or cause to be performed nondiscrimination testing of the Associated Plan to determine the maximum amount of Employer Matching Contributions that may be contributed on behalf of each Participant in the Wraparound Plan to the Associated Plan with respect to the immediately preceding Plan Year. The Employer Matching Credits for each Participant not in excess of that amount is then contributed from the Wraparound Plan to the Associated Plan. The balance of the Employer Matching Credits for the applicable Plan Year shall continue to be deferred under the Wraparound Plan. On and after January 1, 2008 this paragraph will cease to be effective.</w:t>
      </w:r>
    </w:p>
    <w:p>
      <w:pPr>
        <w:spacing w:after="0" w:line="39" w:lineRule="exact"/>
        <w:rPr>
          <w:rFonts w:ascii="Arial" w:cs="Arial" w:eastAsia="Arial" w:hAnsi="Arial"/>
          <w:sz w:val="16"/>
          <w:szCs w:val="16"/>
          <w:color w:val="auto"/>
        </w:rPr>
      </w:pPr>
    </w:p>
    <w:p>
      <w:pPr>
        <w:ind w:left="1480" w:hanging="567"/>
        <w:spacing w:after="0"/>
        <w:tabs>
          <w:tab w:leader="none" w:pos="14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 Participant will receive Matching Credits described above only if he or she is employed by the Employer on the last day of the Plan Year.</w:t>
      </w:r>
    </w:p>
    <w:p>
      <w:pPr>
        <w:spacing w:after="0" w:line="309" w:lineRule="exact"/>
        <w:rPr>
          <w:rFonts w:ascii="Arial" w:cs="Arial" w:eastAsia="Arial" w:hAnsi="Arial"/>
          <w:sz w:val="16"/>
          <w:szCs w:val="16"/>
          <w:color w:val="auto"/>
        </w:rPr>
      </w:pPr>
    </w:p>
    <w:p>
      <w:pPr>
        <w:ind w:left="900" w:hanging="446"/>
        <w:spacing w:after="0"/>
        <w:tabs>
          <w:tab w:leader="none" w:pos="9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Credits</w:t>
      </w:r>
    </w:p>
    <w:p>
      <w:pPr>
        <w:spacing w:after="0" w:line="96" w:lineRule="exact"/>
        <w:rPr>
          <w:rFonts w:ascii="Arial" w:cs="Arial" w:eastAsia="Arial" w:hAnsi="Arial"/>
          <w:sz w:val="18"/>
          <w:szCs w:val="18"/>
          <w:b w:val="1"/>
          <w:bCs w:val="1"/>
          <w:color w:val="auto"/>
        </w:rPr>
      </w:pPr>
    </w:p>
    <w:p>
      <w:pPr>
        <w:ind w:left="1480" w:right="100" w:hanging="567"/>
        <w:spacing w:after="0" w:line="268" w:lineRule="auto"/>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Supplemental Credits, without regard to whether any Associate Deferrals have been made by a Participant for the Plan Year will be allowed under the Deferred Compensation Plan.</w:t>
      </w:r>
    </w:p>
    <w:p>
      <w:pPr>
        <w:spacing w:after="0" w:line="50" w:lineRule="exact"/>
        <w:rPr>
          <w:rFonts w:ascii="Arial" w:cs="Arial" w:eastAsia="Arial" w:hAnsi="Arial"/>
          <w:sz w:val="18"/>
          <w:szCs w:val="18"/>
          <w:color w:val="auto"/>
        </w:rPr>
      </w:pPr>
    </w:p>
    <w:p>
      <w:pPr>
        <w:ind w:left="1480" w:right="620" w:hanging="567"/>
        <w:spacing w:after="0" w:line="268" w:lineRule="auto"/>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Supplemental Credits will be added by the Employer, in its discretion, and credited to the Participant Accounts in proportion to their Compensation (as defined in section 4c. above) for the Plan Year.</w:t>
      </w:r>
    </w:p>
    <w:p>
      <w:pPr>
        <w:spacing w:after="0" w:line="50" w:lineRule="exact"/>
        <w:rPr>
          <w:rFonts w:ascii="Arial" w:cs="Arial" w:eastAsia="Arial" w:hAnsi="Arial"/>
          <w:sz w:val="18"/>
          <w:szCs w:val="18"/>
          <w:color w:val="auto"/>
        </w:rPr>
      </w:pPr>
    </w:p>
    <w:p>
      <w:pPr>
        <w:ind w:left="1480" w:right="220" w:hanging="567"/>
        <w:spacing w:after="0" w:line="268" w:lineRule="auto"/>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 Participant will receive Supplemental Credits described above only if he or she is employed by the Employer on the last day of the Plan Year.</w:t>
      </w:r>
    </w:p>
    <w:p>
      <w:pPr>
        <w:spacing w:after="0" w:line="50" w:lineRule="exact"/>
        <w:rPr>
          <w:rFonts w:ascii="Arial" w:cs="Arial" w:eastAsia="Arial" w:hAnsi="Arial"/>
          <w:sz w:val="18"/>
          <w:szCs w:val="18"/>
          <w:color w:val="auto"/>
        </w:rPr>
      </w:pPr>
    </w:p>
    <w:p>
      <w:pPr>
        <w:ind w:left="1480" w:right="180" w:hanging="567"/>
        <w:spacing w:after="0" w:line="332" w:lineRule="auto"/>
        <w:tabs>
          <w:tab w:leader="none" w:pos="14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Notwithstanding section 6c., the last-day employment requirement will not apply in any case where a Participant’s employment terminates during the Plan Year due to the Participant’s death, disability, or retirement after normal retirement age.</w:t>
      </w:r>
    </w:p>
    <w:p>
      <w:pPr>
        <w:spacing w:after="0" w:line="200" w:lineRule="exact"/>
        <w:rPr>
          <w:rFonts w:ascii="Arial" w:cs="Arial" w:eastAsia="Arial" w:hAnsi="Arial"/>
          <w:sz w:val="16"/>
          <w:szCs w:val="16"/>
          <w:color w:val="auto"/>
        </w:rPr>
      </w:pPr>
    </w:p>
    <w:p>
      <w:pPr>
        <w:ind w:left="900" w:hanging="446"/>
        <w:spacing w:after="0"/>
        <w:tabs>
          <w:tab w:leader="none" w:pos="9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Vesting and Forfeiture of Benefits</w:t>
      </w:r>
    </w:p>
    <w:p>
      <w:pPr>
        <w:spacing w:after="0" w:line="96" w:lineRule="exact"/>
        <w:rPr>
          <w:rFonts w:ascii="Arial" w:cs="Arial" w:eastAsia="Arial" w:hAnsi="Arial"/>
          <w:sz w:val="18"/>
          <w:szCs w:val="18"/>
          <w:b w:val="1"/>
          <w:bCs w:val="1"/>
          <w:color w:val="auto"/>
        </w:rPr>
      </w:pPr>
    </w:p>
    <w:p>
      <w:pPr>
        <w:ind w:left="1480" w:right="580" w:hanging="567"/>
        <w:spacing w:after="0" w:line="268" w:lineRule="auto"/>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Matching Credits and/or Supplemental Credits will be Vested according to the following schedule based on Years of Service with the Employer:</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120" w:type="dxa"/>
            <w:vAlign w:val="bottom"/>
            <w:gridSpan w:val="3"/>
          </w:tcPr>
          <w:p>
            <w:pPr>
              <w:spacing w:after="0"/>
              <w:rPr>
                <w:sz w:val="20"/>
                <w:szCs w:val="20"/>
                <w:color w:val="auto"/>
              </w:rPr>
            </w:pPr>
            <w:r>
              <w:rPr>
                <w:rFonts w:ascii="Arial" w:cs="Arial" w:eastAsia="Arial" w:hAnsi="Arial"/>
                <w:sz w:val="14"/>
                <w:szCs w:val="14"/>
                <w:b w:val="1"/>
                <w:bCs w:val="1"/>
                <w:color w:val="auto"/>
              </w:rPr>
              <w:t>Years of Service</w:t>
            </w:r>
          </w:p>
        </w:tc>
        <w:tc>
          <w:tcPr>
            <w:tcW w:w="35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Percent Vested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1 year</w:t>
            </w:r>
          </w:p>
        </w:tc>
        <w:tc>
          <w:tcPr>
            <w:tcW w:w="3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At least 1 year but less than 2 years</w:t>
            </w:r>
          </w:p>
        </w:tc>
        <w:tc>
          <w:tcPr>
            <w:tcW w:w="3560" w:type="dxa"/>
            <w:vAlign w:val="bottom"/>
            <w:gridSpan w:val="3"/>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 least 2 years but less than 3 Years</w:t>
            </w:r>
          </w:p>
        </w:tc>
        <w:tc>
          <w:tcPr>
            <w:tcW w:w="3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At least 3 years</w:t>
            </w:r>
          </w:p>
        </w:tc>
        <w:tc>
          <w:tcPr>
            <w:tcW w:w="356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480" w:hanging="567"/>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Years of Service for purposes of Vesting shall be calculated under the actual hours method.</w:t>
      </w:r>
    </w:p>
    <w:p>
      <w:pPr>
        <w:spacing w:after="0" w:line="90" w:lineRule="exact"/>
        <w:rPr>
          <w:rFonts w:ascii="Arial" w:cs="Arial" w:eastAsia="Arial" w:hAnsi="Arial"/>
          <w:sz w:val="18"/>
          <w:szCs w:val="18"/>
          <w:color w:val="auto"/>
        </w:rPr>
      </w:pPr>
    </w:p>
    <w:p>
      <w:pPr>
        <w:ind w:left="1480" w:right="80" w:hanging="567"/>
        <w:spacing w:after="0" w:line="268" w:lineRule="auto"/>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Special Vesting Rules – Notwithstanding any vesting schedule set forth above, a Participant will become 100% Vested in his or her Account if:</w:t>
      </w:r>
    </w:p>
    <w:p>
      <w:pPr>
        <w:spacing w:after="0" w:line="50"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i.</w:t>
      </w:r>
      <w:r>
        <w:rPr>
          <w:rFonts w:ascii="Arial" w:cs="Arial" w:eastAsia="Arial" w:hAnsi="Arial"/>
          <w:sz w:val="16"/>
          <w:szCs w:val="16"/>
          <w:color w:val="auto"/>
        </w:rPr>
        <w:t>The Participant’s employment with the Employer is terminated due to death or disability;</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or</w:t>
      </w:r>
    </w:p>
    <w:p>
      <w:pPr>
        <w:spacing w:after="0" w:line="90"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ii.    There is a Change in Control as permitted under Code § 409A.</w:t>
      </w:r>
    </w:p>
    <w:p>
      <w:pPr>
        <w:spacing w:after="0" w:line="90" w:lineRule="exact"/>
        <w:rPr>
          <w:sz w:val="20"/>
          <w:szCs w:val="20"/>
          <w:color w:val="auto"/>
        </w:rPr>
      </w:pPr>
    </w:p>
    <w:p>
      <w:pPr>
        <w:ind w:left="1480" w:right="280" w:hanging="567"/>
        <w:spacing w:after="0" w:line="306" w:lineRule="auto"/>
        <w:tabs>
          <w:tab w:leader="none" w:pos="14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Forfeiture Rule- Notwithstanding any other vesting schedule described above, a Participant will forfeit the following portion of his or her Participant Account attributable to Matching Credits and/or Supplemental Credits if any of the events specified below has occurred with respect to the Participant as determined by the Plan Administrator in its sole discretion:</w:t>
      </w:r>
    </w:p>
    <w:p>
      <w:pPr>
        <w:spacing w:after="0" w:line="143" w:lineRule="exact"/>
        <w:rPr>
          <w:sz w:val="20"/>
          <w:szCs w:val="20"/>
          <w:color w:val="auto"/>
        </w:rPr>
      </w:pPr>
    </w:p>
    <w:tbl>
      <w:tblPr>
        <w:tblLayout w:type="fixed"/>
        <w:tblInd w:w="1380" w:type="dxa"/>
        <w:tblCellMar>
          <w:top w:w="0" w:type="dxa"/>
          <w:left w:w="0" w:type="dxa"/>
          <w:bottom w:w="0" w:type="dxa"/>
          <w:right w:w="0" w:type="dxa"/>
        </w:tblCellMar>
      </w:tblPr>
      <w:tr>
        <w:trPr>
          <w:trHeight w:val="175"/>
        </w:trPr>
        <w:tc>
          <w:tcPr>
            <w:tcW w:w="1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Forfeited Percentage</w:t>
            </w:r>
          </w:p>
        </w:tc>
        <w:tc>
          <w:tcPr>
            <w:tcW w:w="1160" w:type="dxa"/>
            <w:vAlign w:val="bottom"/>
          </w:tcPr>
          <w:p>
            <w:pPr>
              <w:spacing w:after="0"/>
              <w:rPr>
                <w:sz w:val="15"/>
                <w:szCs w:val="15"/>
                <w:color w:val="auto"/>
              </w:rPr>
            </w:pPr>
          </w:p>
        </w:tc>
        <w:tc>
          <w:tcPr>
            <w:tcW w:w="6240" w:type="dxa"/>
            <w:vAlign w:val="bottom"/>
            <w:tcBorders>
              <w:bottom w:val="single" w:sz="8" w:color="auto"/>
            </w:tcBorders>
          </w:tcPr>
          <w:p>
            <w:pPr>
              <w:ind w:left="2620"/>
              <w:spacing w:after="0"/>
              <w:rPr>
                <w:sz w:val="20"/>
                <w:szCs w:val="20"/>
                <w:color w:val="auto"/>
              </w:rPr>
            </w:pPr>
            <w:r>
              <w:rPr>
                <w:rFonts w:ascii="Arial" w:cs="Arial" w:eastAsia="Arial" w:hAnsi="Arial"/>
                <w:sz w:val="14"/>
                <w:szCs w:val="14"/>
                <w:b w:val="1"/>
                <w:bCs w:val="1"/>
                <w:color w:val="auto"/>
              </w:rPr>
              <w:t>Forfeiture Event</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100%</w:t>
            </w:r>
          </w:p>
        </w:tc>
        <w:tc>
          <w:tcPr>
            <w:tcW w:w="116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Termination for “Cause”, as defined by the Employer.</w:t>
            </w:r>
          </w:p>
        </w:tc>
      </w:tr>
      <w:tr>
        <w:trPr>
          <w:trHeight w:val="309"/>
        </w:trPr>
        <w:tc>
          <w:tcPr>
            <w:tcW w:w="1280" w:type="dxa"/>
            <w:vAlign w:val="bottom"/>
          </w:tcPr>
          <w:p>
            <w:pPr>
              <w:spacing w:after="0"/>
              <w:rPr>
                <w:sz w:val="20"/>
                <w:szCs w:val="20"/>
                <w:color w:val="auto"/>
              </w:rPr>
            </w:pPr>
            <w:r>
              <w:rPr>
                <w:rFonts w:ascii="Arial" w:cs="Arial" w:eastAsia="Arial" w:hAnsi="Arial"/>
                <w:sz w:val="18"/>
                <w:szCs w:val="18"/>
                <w:color w:val="auto"/>
              </w:rPr>
              <w:t>50%</w:t>
            </w:r>
          </w:p>
        </w:tc>
        <w:tc>
          <w:tcPr>
            <w:tcW w:w="7400" w:type="dxa"/>
            <w:vAlign w:val="bottom"/>
            <w:gridSpan w:val="2"/>
          </w:tcPr>
          <w:p>
            <w:pPr>
              <w:ind w:left="1140"/>
              <w:spacing w:after="0"/>
              <w:rPr>
                <w:sz w:val="20"/>
                <w:szCs w:val="20"/>
                <w:color w:val="auto"/>
              </w:rPr>
            </w:pPr>
            <w:r>
              <w:rPr>
                <w:rFonts w:ascii="Arial" w:cs="Arial" w:eastAsia="Arial" w:hAnsi="Arial"/>
                <w:sz w:val="18"/>
                <w:szCs w:val="18"/>
                <w:color w:val="auto"/>
                <w:w w:val="94"/>
              </w:rPr>
              <w:t>The Participant is employed by a competitor of the Employer within 12 months after</w:t>
            </w:r>
          </w:p>
        </w:tc>
      </w:tr>
      <w:tr>
        <w:trPr>
          <w:trHeight w:val="222"/>
        </w:trPr>
        <w:tc>
          <w:tcPr>
            <w:tcW w:w="1280" w:type="dxa"/>
            <w:vAlign w:val="bottom"/>
          </w:tcPr>
          <w:p>
            <w:pPr>
              <w:spacing w:after="0"/>
              <w:rPr>
                <w:sz w:val="19"/>
                <w:szCs w:val="19"/>
                <w:color w:val="auto"/>
              </w:rPr>
            </w:pPr>
          </w:p>
        </w:tc>
        <w:tc>
          <w:tcPr>
            <w:tcW w:w="7400" w:type="dxa"/>
            <w:vAlign w:val="bottom"/>
            <w:gridSpan w:val="2"/>
          </w:tcPr>
          <w:p>
            <w:pPr>
              <w:ind w:left="1140"/>
              <w:spacing w:after="0"/>
              <w:rPr>
                <w:sz w:val="20"/>
                <w:szCs w:val="20"/>
                <w:color w:val="auto"/>
              </w:rPr>
            </w:pPr>
            <w:r>
              <w:rPr>
                <w:rFonts w:ascii="Arial" w:cs="Arial" w:eastAsia="Arial" w:hAnsi="Arial"/>
                <w:sz w:val="18"/>
                <w:szCs w:val="18"/>
                <w:color w:val="auto"/>
              </w:rPr>
              <w:t>termination of employment with Employer.</w:t>
            </w:r>
          </w:p>
        </w:tc>
      </w:tr>
    </w:tbl>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 of 3</w:t>
      </w:r>
    </w:p>
    <w:p>
      <w:pPr>
        <w:sectPr>
          <w:pgSz w:w="11900" w:h="16838" w:orient="portrait"/>
          <w:cols w:equalWidth="0" w:num="1">
            <w:col w:w="11400"/>
          </w:cols>
          <w:pgMar w:left="240" w:top="280" w:right="25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Updated as of 12/20/07</w:t>
      </w:r>
    </w:p>
    <w:p>
      <w:pPr>
        <w:spacing w:after="0" w:line="152"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Benefits</w:t>
      </w:r>
    </w:p>
    <w:p>
      <w:pPr>
        <w:spacing w:after="0" w:line="96" w:lineRule="exact"/>
        <w:rPr>
          <w:rFonts w:ascii="Arial" w:cs="Arial" w:eastAsia="Arial" w:hAnsi="Arial"/>
          <w:sz w:val="18"/>
          <w:szCs w:val="18"/>
          <w:b w:val="1"/>
          <w:bCs w:val="1"/>
          <w:color w:val="auto"/>
        </w:rPr>
      </w:pPr>
    </w:p>
    <w:p>
      <w:pPr>
        <w:ind w:left="1480" w:right="160" w:hanging="567"/>
        <w:spacing w:after="0" w:line="259" w:lineRule="auto"/>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Distributions of benefits under the Deferred Compensation Plan may be made on account of Retirement at or after the Participant’s Normal Retirement Age; disability, death, termination of employment (i.e., separation from service), a Change in Control of the Employer, or Unforeseeable Emergency.</w:t>
      </w:r>
    </w:p>
    <w:p>
      <w:pPr>
        <w:spacing w:after="0" w:line="59" w:lineRule="exact"/>
        <w:rPr>
          <w:rFonts w:ascii="Arial" w:cs="Arial" w:eastAsia="Arial" w:hAnsi="Arial"/>
          <w:sz w:val="18"/>
          <w:szCs w:val="18"/>
          <w:color w:val="auto"/>
        </w:rPr>
      </w:pPr>
    </w:p>
    <w:p>
      <w:pPr>
        <w:ind w:left="1480" w:right="180" w:hanging="567"/>
        <w:spacing w:after="0" w:line="332" w:lineRule="auto"/>
        <w:tabs>
          <w:tab w:leader="none" w:pos="14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Distributions of benefits under the Deferred Compensation Plan shall commence on a date chosen by the Participant at the same time he or she chooses the form of payment, but commencing no later than 1 year following the Participant’s termination of employment.</w:t>
      </w:r>
    </w:p>
    <w:p>
      <w:pPr>
        <w:spacing w:after="0" w:line="4" w:lineRule="exact"/>
        <w:rPr>
          <w:rFonts w:ascii="Arial" w:cs="Arial" w:eastAsia="Arial" w:hAnsi="Arial"/>
          <w:sz w:val="16"/>
          <w:szCs w:val="16"/>
          <w:color w:val="auto"/>
        </w:rPr>
      </w:pPr>
    </w:p>
    <w:p>
      <w:pPr>
        <w:ind w:left="1480" w:right="20" w:hanging="567"/>
        <w:spacing w:after="0" w:line="268" w:lineRule="auto"/>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Distributions of benefits under the Deferred Compensation Plan shall commence as soon as practicable in a lump sum after the occurrence of a Change in Control.</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The forms of distribution of benefits under the Deferred Compensation Plan shall be at the election of the Participant either in,</w:t>
      </w:r>
    </w:p>
    <w:p>
      <w:pPr>
        <w:spacing w:after="0" w:line="113" w:lineRule="exact"/>
        <w:rPr>
          <w:rFonts w:ascii="Arial" w:cs="Arial" w:eastAsia="Arial" w:hAnsi="Arial"/>
          <w:sz w:val="16"/>
          <w:szCs w:val="16"/>
          <w:color w:val="auto"/>
        </w:rPr>
      </w:pPr>
    </w:p>
    <w:p>
      <w:pPr>
        <w:ind w:left="1920" w:hanging="440"/>
        <w:spacing w:after="0"/>
        <w:tabs>
          <w:tab w:leader="none" w:pos="1920" w:val="left"/>
        </w:tabs>
        <w:numPr>
          <w:ilvl w:val="2"/>
          <w:numId w:val="29"/>
        </w:numPr>
        <w:rPr>
          <w:rFonts w:ascii="Arial" w:cs="Arial" w:eastAsia="Arial" w:hAnsi="Arial"/>
          <w:sz w:val="18"/>
          <w:szCs w:val="18"/>
          <w:color w:val="auto"/>
        </w:rPr>
      </w:pPr>
      <w:r>
        <w:rPr>
          <w:rFonts w:ascii="Arial" w:cs="Arial" w:eastAsia="Arial" w:hAnsi="Arial"/>
          <w:sz w:val="18"/>
          <w:szCs w:val="18"/>
          <w:color w:val="auto"/>
        </w:rPr>
        <w:t>A single lump-sum,</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2"/>
          <w:numId w:val="29"/>
        </w:numPr>
        <w:rPr>
          <w:rFonts w:ascii="Arial" w:cs="Arial" w:eastAsia="Arial" w:hAnsi="Arial"/>
          <w:sz w:val="18"/>
          <w:szCs w:val="18"/>
          <w:color w:val="auto"/>
        </w:rPr>
      </w:pPr>
      <w:r>
        <w:rPr>
          <w:rFonts w:ascii="Arial" w:cs="Arial" w:eastAsia="Arial" w:hAnsi="Arial"/>
          <w:sz w:val="18"/>
          <w:szCs w:val="18"/>
          <w:color w:val="auto"/>
        </w:rPr>
        <w:t>Installments over a fixed period,</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2"/>
          <w:numId w:val="29"/>
        </w:numPr>
        <w:rPr>
          <w:rFonts w:ascii="Arial" w:cs="Arial" w:eastAsia="Arial" w:hAnsi="Arial"/>
          <w:sz w:val="18"/>
          <w:szCs w:val="18"/>
          <w:color w:val="auto"/>
        </w:rPr>
      </w:pPr>
      <w:r>
        <w:rPr>
          <w:rFonts w:ascii="Arial" w:cs="Arial" w:eastAsia="Arial" w:hAnsi="Arial"/>
          <w:sz w:val="18"/>
          <w:szCs w:val="18"/>
          <w:color w:val="auto"/>
        </w:rPr>
        <w:t>Installments of a fixed dollar amount, or</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2"/>
          <w:numId w:val="29"/>
        </w:numPr>
        <w:rPr>
          <w:rFonts w:ascii="Arial" w:cs="Arial" w:eastAsia="Arial" w:hAnsi="Arial"/>
          <w:sz w:val="16"/>
          <w:szCs w:val="16"/>
          <w:color w:val="auto"/>
        </w:rPr>
      </w:pPr>
      <w:r>
        <w:rPr>
          <w:rFonts w:ascii="Arial" w:cs="Arial" w:eastAsia="Arial" w:hAnsi="Arial"/>
          <w:sz w:val="16"/>
          <w:szCs w:val="16"/>
          <w:color w:val="auto"/>
        </w:rPr>
        <w:t>A combination of lump sum and installment payments, as elected by the Participant and prescribed by the Plan Administrator.</w:t>
      </w:r>
    </w:p>
    <w:p>
      <w:pPr>
        <w:spacing w:after="0" w:line="113" w:lineRule="exact"/>
        <w:rPr>
          <w:rFonts w:ascii="Arial" w:cs="Arial" w:eastAsia="Arial" w:hAnsi="Arial"/>
          <w:sz w:val="16"/>
          <w:szCs w:val="16"/>
          <w:color w:val="auto"/>
        </w:rPr>
      </w:pPr>
    </w:p>
    <w:p>
      <w:pPr>
        <w:jc w:val="both"/>
        <w:ind w:left="1920" w:right="180" w:hanging="440"/>
        <w:spacing w:after="0" w:line="259" w:lineRule="auto"/>
        <w:tabs>
          <w:tab w:leader="none" w:pos="1920" w:val="left"/>
        </w:tabs>
        <w:numPr>
          <w:ilvl w:val="2"/>
          <w:numId w:val="29"/>
        </w:numPr>
        <w:rPr>
          <w:rFonts w:ascii="Arial" w:cs="Arial" w:eastAsia="Arial" w:hAnsi="Arial"/>
          <w:sz w:val="18"/>
          <w:szCs w:val="18"/>
          <w:color w:val="auto"/>
        </w:rPr>
      </w:pPr>
      <w:r>
        <w:rPr>
          <w:rFonts w:ascii="Arial" w:cs="Arial" w:eastAsia="Arial" w:hAnsi="Arial"/>
          <w:sz w:val="18"/>
          <w:szCs w:val="18"/>
          <w:color w:val="auto"/>
        </w:rPr>
        <w:t>No installment payout period exceeding a period of three years may be elected, and no installment s of a fixed dollar amount may be elected if it is deemed likely to result in a payment period in excess of the period of years specified above, as determined by the Plan Administrator in its sole discretion.</w:t>
      </w:r>
    </w:p>
    <w:p>
      <w:pPr>
        <w:spacing w:after="0" w:line="59" w:lineRule="exact"/>
        <w:rPr>
          <w:rFonts w:ascii="Arial" w:cs="Arial" w:eastAsia="Arial" w:hAnsi="Arial"/>
          <w:sz w:val="18"/>
          <w:szCs w:val="18"/>
          <w:color w:val="auto"/>
        </w:rPr>
      </w:pPr>
    </w:p>
    <w:p>
      <w:pPr>
        <w:ind w:left="1480" w:right="60" w:hanging="567"/>
        <w:spacing w:after="0" w:line="294" w:lineRule="auto"/>
        <w:tabs>
          <w:tab w:leader="none" w:pos="14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If a Participant selects a date for the commencement of benefit payments and /or a form of benefits, such selection will be made at the time the Participant first becomes eligible for the Deferred Compensation Plan, and the Participant may later elect a different payment form and date for commencement of payments, subject to the limitations of Code § 409A. Any such new election may not be effective until twelve months after it is filed with the Plan Administrator. In addition, the benefit payment commencement date must be delayed for at least 5 years from the date of the originally elected commencement date.</w:t>
      </w:r>
    </w:p>
    <w:p>
      <w:pPr>
        <w:spacing w:after="0" w:line="34" w:lineRule="exact"/>
        <w:rPr>
          <w:rFonts w:ascii="Arial" w:cs="Arial" w:eastAsia="Arial" w:hAnsi="Arial"/>
          <w:sz w:val="16"/>
          <w:szCs w:val="16"/>
          <w:color w:val="auto"/>
        </w:rPr>
      </w:pPr>
    </w:p>
    <w:p>
      <w:pPr>
        <w:ind w:left="1480" w:right="280" w:hanging="567"/>
        <w:spacing w:after="0" w:line="268" w:lineRule="auto"/>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If a Participant dies before receiving payment of all amounts credited to his Participant Account, any amounts payable to the Participant’s Beneficiary will be paid in a lump sum, as soon as practicable after the Participant’s death.</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 Participant may apply to the Plan Administrator for a cash distribution from the Plan, in the event of an Unforeseeable Emergency.</w:t>
      </w:r>
    </w:p>
    <w:p>
      <w:pPr>
        <w:spacing w:after="0" w:line="113" w:lineRule="exact"/>
        <w:rPr>
          <w:rFonts w:ascii="Arial" w:cs="Arial" w:eastAsia="Arial" w:hAnsi="Arial"/>
          <w:sz w:val="16"/>
          <w:szCs w:val="16"/>
          <w:color w:val="auto"/>
        </w:rPr>
      </w:pPr>
    </w:p>
    <w:p>
      <w:pPr>
        <w:ind w:left="1500" w:right="180"/>
        <w:spacing w:after="0" w:line="294" w:lineRule="auto"/>
        <w:rPr>
          <w:rFonts w:ascii="Arial" w:cs="Arial" w:eastAsia="Arial" w:hAnsi="Arial"/>
          <w:sz w:val="16"/>
          <w:szCs w:val="16"/>
          <w:color w:val="auto"/>
        </w:rPr>
      </w:pPr>
      <w:r>
        <w:rPr>
          <w:rFonts w:ascii="Arial" w:cs="Arial" w:eastAsia="Arial" w:hAnsi="Arial"/>
          <w:sz w:val="16"/>
          <w:szCs w:val="16"/>
          <w:color w:val="auto"/>
        </w:rPr>
        <w:t>Unforeseeable emergency means a severe financial hardship of the Participant or beneficiary resulting from an illness or accident of the Participant or beneficiary, the participant’s spouse or the beneficiary’s spouse or the Participant’s or beneficiary’s dependent ( as defined in Code section 152(a)); loss of the Participant’s or beneficiary’s property due to casualty (including the need to rebuild a home following damage to a home not otherwise covered by insurance, for example, not as a result of a natural disaster); or other similar extraordinary and unforeseeable circumstances arising as a result of events beyond the control of the Participant or beneficiary.</w:t>
      </w:r>
    </w:p>
    <w:p>
      <w:pPr>
        <w:spacing w:after="0" w:line="34" w:lineRule="exact"/>
        <w:rPr>
          <w:rFonts w:ascii="Arial" w:cs="Arial" w:eastAsia="Arial" w:hAnsi="Arial"/>
          <w:sz w:val="16"/>
          <w:szCs w:val="16"/>
          <w:color w:val="auto"/>
        </w:rPr>
      </w:pPr>
    </w:p>
    <w:p>
      <w:pPr>
        <w:ind w:left="1500" w:right="140"/>
        <w:spacing w:after="0" w:line="298" w:lineRule="auto"/>
        <w:rPr>
          <w:rFonts w:ascii="Arial" w:cs="Arial" w:eastAsia="Arial" w:hAnsi="Arial"/>
          <w:sz w:val="16"/>
          <w:szCs w:val="16"/>
          <w:color w:val="auto"/>
        </w:rPr>
      </w:pPr>
      <w:r>
        <w:rPr>
          <w:rFonts w:ascii="Arial" w:cs="Arial" w:eastAsia="Arial" w:hAnsi="Arial"/>
          <w:sz w:val="16"/>
          <w:szCs w:val="16"/>
          <w:color w:val="auto"/>
        </w:rPr>
        <w:t>Distributions because of an unforeseeable emergency must be limited to the amount reasonably necessary to satisfy the emergency need (which may include amounts necessary to pay any Federal, state or local income taxes or penalties reasonably anticipated to result from the distribution). Determinations of amounts necessary to satisfy the emergency must take into account any additional compensation that is available if the plan provides for cancellation of a deferral election upon a payment due to an unforeseeable emergency.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hereunto set their hands and seals this 21st day of December, 2007.</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CASUAL MALE RETAIL GROUP, INC.</w:t>
            </w:r>
          </w:p>
        </w:tc>
        <w:tc>
          <w:tcPr>
            <w:tcW w:w="7640" w:type="dxa"/>
            <w:vAlign w:val="bottom"/>
            <w:gridSpan w:val="2"/>
          </w:tcPr>
          <w:p>
            <w:pPr>
              <w:ind w:left="3760"/>
              <w:spacing w:after="0"/>
              <w:rPr>
                <w:sz w:val="20"/>
                <w:szCs w:val="20"/>
                <w:color w:val="auto"/>
              </w:rPr>
            </w:pPr>
            <w:r>
              <w:rPr>
                <w:rFonts w:ascii="Arial" w:cs="Arial" w:eastAsia="Arial" w:hAnsi="Arial"/>
                <w:sz w:val="18"/>
                <w:szCs w:val="18"/>
                <w:b w:val="1"/>
                <w:bCs w:val="1"/>
                <w:color w:val="auto"/>
              </w:rPr>
              <w:t>CMRG APPAREL, LLC</w:t>
            </w:r>
          </w:p>
        </w:tc>
      </w:tr>
      <w:tr>
        <w:trPr>
          <w:trHeight w:val="434"/>
        </w:trPr>
        <w:tc>
          <w:tcPr>
            <w:tcW w:w="3780" w:type="dxa"/>
            <w:vAlign w:val="bottom"/>
            <w:gridSpan w:val="2"/>
          </w:tcPr>
          <w:p>
            <w:pPr>
              <w:spacing w:after="0"/>
              <w:rPr>
                <w:sz w:val="20"/>
                <w:szCs w:val="20"/>
                <w:color w:val="auto"/>
              </w:rPr>
            </w:pPr>
            <w:r>
              <w:rPr>
                <w:rFonts w:ascii="Arial" w:cs="Arial" w:eastAsia="Arial" w:hAnsi="Arial"/>
                <w:sz w:val="18"/>
                <w:szCs w:val="18"/>
                <w:color w:val="auto"/>
              </w:rPr>
              <w:t>By: /s/ David A. Levin</w:t>
            </w:r>
          </w:p>
        </w:tc>
        <w:tc>
          <w:tcPr>
            <w:tcW w:w="7640" w:type="dxa"/>
            <w:vAlign w:val="bottom"/>
            <w:gridSpan w:val="2"/>
          </w:tcPr>
          <w:p>
            <w:pPr>
              <w:ind w:left="3760"/>
              <w:spacing w:after="0"/>
              <w:rPr>
                <w:sz w:val="20"/>
                <w:szCs w:val="20"/>
                <w:color w:val="auto"/>
              </w:rPr>
            </w:pPr>
            <w:r>
              <w:rPr>
                <w:rFonts w:ascii="Arial" w:cs="Arial" w:eastAsia="Arial" w:hAnsi="Arial"/>
                <w:sz w:val="18"/>
                <w:szCs w:val="18"/>
                <w:color w:val="auto"/>
              </w:rPr>
              <w:t>By:</w:t>
            </w:r>
          </w:p>
        </w:tc>
      </w:tr>
      <w:tr>
        <w:trPr>
          <w:trHeight w:val="20"/>
        </w:trPr>
        <w:tc>
          <w:tcPr>
            <w:tcW w:w="380" w:type="dxa"/>
            <w:vAlign w:val="bottom"/>
          </w:tcPr>
          <w:p>
            <w:pPr>
              <w:spacing w:after="0" w:line="20" w:lineRule="exact"/>
              <w:rPr>
                <w:sz w:val="1"/>
                <w:szCs w:val="1"/>
                <w:color w:val="auto"/>
              </w:rPr>
            </w:pPr>
          </w:p>
        </w:tc>
        <w:tc>
          <w:tcPr>
            <w:tcW w:w="340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r>
      <w:tr>
        <w:trPr>
          <w:trHeight w:val="221"/>
        </w:trPr>
        <w:tc>
          <w:tcPr>
            <w:tcW w:w="38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David A. Levin, President &amp; CEO</w:t>
            </w:r>
          </w:p>
        </w:tc>
        <w:tc>
          <w:tcPr>
            <w:tcW w:w="7640" w:type="dxa"/>
            <w:vAlign w:val="bottom"/>
            <w:gridSpan w:val="2"/>
          </w:tcPr>
          <w:p>
            <w:pPr>
              <w:ind w:left="4120"/>
              <w:spacing w:after="0"/>
              <w:rPr>
                <w:sz w:val="20"/>
                <w:szCs w:val="20"/>
                <w:color w:val="auto"/>
              </w:rPr>
            </w:pPr>
            <w:r>
              <w:rPr>
                <w:rFonts w:ascii="Arial" w:cs="Arial" w:eastAsia="Arial" w:hAnsi="Arial"/>
                <w:sz w:val="18"/>
                <w:szCs w:val="18"/>
                <w:color w:val="auto"/>
              </w:rPr>
              <w:t>Dennis R. Hernreich, EVP, COO &amp; CFO</w:t>
            </w:r>
          </w:p>
        </w:tc>
      </w:tr>
      <w:tr>
        <w:trPr>
          <w:trHeight w:val="365"/>
        </w:trPr>
        <w:tc>
          <w:tcPr>
            <w:tcW w:w="3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7640" w:type="dxa"/>
            <w:vAlign w:val="bottom"/>
            <w:gridSpan w:val="2"/>
          </w:tcPr>
          <w:p>
            <w:pPr>
              <w:ind w:left="1540"/>
              <w:spacing w:after="0"/>
              <w:rPr>
                <w:sz w:val="20"/>
                <w:szCs w:val="20"/>
                <w:color w:val="auto"/>
              </w:rPr>
            </w:pPr>
            <w:r>
              <w:rPr>
                <w:rFonts w:ascii="Arial" w:cs="Arial" w:eastAsia="Arial" w:hAnsi="Arial"/>
                <w:sz w:val="18"/>
                <w:szCs w:val="18"/>
                <w:color w:val="auto"/>
              </w:rPr>
              <w:t>Page 3 of 3</w:t>
            </w:r>
          </w:p>
        </w:tc>
      </w:tr>
    </w:tbl>
    <w:p>
      <w:pPr>
        <w:sectPr>
          <w:pgSz w:w="11900" w:h="16838" w:orient="portrait"/>
          <w:cols w:equalWidth="0" w:num="1">
            <w:col w:w="11420"/>
          </w:cols>
          <w:pgMar w:left="240" w:top="280"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10.13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73020" cy="643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7302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7840" w:val="left"/>
        </w:tabs>
        <w:rPr>
          <w:sz w:val="20"/>
          <w:szCs w:val="20"/>
          <w:color w:val="auto"/>
        </w:rPr>
      </w:pPr>
      <w:r>
        <w:rPr>
          <w:rFonts w:ascii="Arial" w:cs="Arial" w:eastAsia="Arial" w:hAnsi="Arial"/>
          <w:sz w:val="18"/>
          <w:szCs w:val="18"/>
          <w:b w:val="1"/>
          <w:bCs w:val="1"/>
          <w:color w:val="auto"/>
        </w:rPr>
        <w:t>Banc of America Leasing &amp; Capital, LLC</w:t>
      </w:r>
      <w:r>
        <w:rPr>
          <w:sz w:val="20"/>
          <w:szCs w:val="20"/>
          <w:color w:val="auto"/>
        </w:rPr>
        <w:tab/>
      </w:r>
      <w:r>
        <w:rPr>
          <w:rFonts w:ascii="Arial" w:cs="Arial" w:eastAsia="Arial" w:hAnsi="Arial"/>
          <w:sz w:val="16"/>
          <w:szCs w:val="16"/>
          <w:b w:val="1"/>
          <w:bCs w:val="1"/>
          <w:color w:val="auto"/>
        </w:rPr>
        <w:t>Equipment Security Note Number 17608-70002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 xml:space="preserve">This Equipment Security Note No. 17608-70002, dated as of January 16, 2008 (this </w:t>
      </w:r>
      <w:r>
        <w:rPr>
          <w:rFonts w:ascii="Arial" w:cs="Arial" w:eastAsia="Arial" w:hAnsi="Arial"/>
          <w:sz w:val="16"/>
          <w:szCs w:val="16"/>
          <w:b w:val="1"/>
          <w:bCs w:val="1"/>
          <w:color w:val="auto"/>
        </w:rPr>
        <w:t>“Equipment Note”</w:t>
      </w:r>
      <w:r>
        <w:rPr>
          <w:rFonts w:ascii="Arial" w:cs="Arial" w:eastAsia="Arial" w:hAnsi="Arial"/>
          <w:sz w:val="16"/>
          <w:szCs w:val="16"/>
          <w:color w:val="auto"/>
        </w:rPr>
        <w:t>), is entered into pursuant to and incorporates by this reference all of the terms and provisions of that certain Master Loan and Security Agreement No. 17608-70000 dated as of July 20, 2007 (the “</w:t>
      </w:r>
      <w:r>
        <w:rPr>
          <w:rFonts w:ascii="Arial" w:cs="Arial" w:eastAsia="Arial" w:hAnsi="Arial"/>
          <w:sz w:val="16"/>
          <w:szCs w:val="16"/>
          <w:b w:val="1"/>
          <w:bCs w:val="1"/>
          <w:color w:val="auto"/>
        </w:rPr>
        <w:t>Master</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by and between</w:t>
      </w:r>
      <w:r>
        <w:rPr>
          <w:rFonts w:ascii="Arial" w:cs="Arial" w:eastAsia="Arial" w:hAnsi="Arial"/>
          <w:sz w:val="16"/>
          <w:szCs w:val="16"/>
          <w:b w:val="1"/>
          <w:bCs w:val="1"/>
          <w:color w:val="auto"/>
        </w:rPr>
        <w:t xml:space="preserve"> Banc of America Leasing &amp; Capital, LLC </w:t>
      </w:r>
      <w:r>
        <w:rPr>
          <w:rFonts w:ascii="Arial" w:cs="Arial" w:eastAsia="Arial" w:hAnsi="Arial"/>
          <w:sz w:val="16"/>
          <w:szCs w:val="16"/>
          <w:color w:val="auto"/>
        </w:rPr>
        <w:t>(“</w:t>
      </w:r>
      <w:r>
        <w:rPr>
          <w:rFonts w:ascii="Arial" w:cs="Arial" w:eastAsia="Arial" w:hAnsi="Arial"/>
          <w:sz w:val="16"/>
          <w:szCs w:val="16"/>
          <w:b w:val="1"/>
          <w:bCs w:val="1"/>
          <w:color w:val="auto"/>
        </w:rPr>
        <w:t>Lender</w:t>
      </w:r>
      <w:r>
        <w:rPr>
          <w:rFonts w:ascii="Arial" w:cs="Arial" w:eastAsia="Arial" w:hAnsi="Arial"/>
          <w:sz w:val="16"/>
          <w:szCs w:val="16"/>
          <w:color w:val="auto"/>
        </w:rPr>
        <w:t>”) and Casual Male Retail Group, Inc. (“</w:t>
      </w:r>
      <w:r>
        <w:rPr>
          <w:rFonts w:ascii="Arial" w:cs="Arial" w:eastAsia="Arial" w:hAnsi="Arial"/>
          <w:sz w:val="16"/>
          <w:szCs w:val="16"/>
          <w:b w:val="1"/>
          <w:bCs w:val="1"/>
          <w:color w:val="auto"/>
        </w:rPr>
        <w:t>Borrower</w:t>
      </w:r>
      <w:r>
        <w:rPr>
          <w:rFonts w:ascii="Arial" w:cs="Arial" w:eastAsia="Arial" w:hAnsi="Arial"/>
          <w:sz w:val="16"/>
          <w:szCs w:val="16"/>
          <w:color w:val="auto"/>
        </w:rPr>
        <w:t>”). All capitalized terms</w:t>
      </w:r>
      <w:r>
        <w:rPr>
          <w:rFonts w:ascii="Arial" w:cs="Arial" w:eastAsia="Arial" w:hAnsi="Arial"/>
          <w:sz w:val="16"/>
          <w:szCs w:val="16"/>
          <w:b w:val="1"/>
          <w:bCs w:val="1"/>
          <w:color w:val="auto"/>
        </w:rPr>
        <w:t xml:space="preserve"> </w:t>
      </w:r>
      <w:r>
        <w:rPr>
          <w:rFonts w:ascii="Arial" w:cs="Arial" w:eastAsia="Arial" w:hAnsi="Arial"/>
          <w:sz w:val="16"/>
          <w:szCs w:val="16"/>
          <w:color w:val="auto"/>
        </w:rPr>
        <w:t>used herein and not defined herein shall have the respective meanings assigned to such terms in the Master Agreement. If any provision of this Equipment Note conflicts with any provision of the Master Agreement, the provisions contained in this Equipment Note shall prevail. Borrower hereby authorizes Lender to insert the serial numbers and other identification data of the Equipment, dates, and other omitted factual matters or descriptions in this Equipment Note.</w:t>
      </w:r>
    </w:p>
    <w:p>
      <w:pPr>
        <w:spacing w:after="0" w:line="111"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color w:val="auto"/>
        </w:rPr>
        <w:t>The occurrence of an “</w:t>
      </w:r>
      <w:r>
        <w:rPr>
          <w:rFonts w:ascii="Arial" w:cs="Arial" w:eastAsia="Arial" w:hAnsi="Arial"/>
          <w:sz w:val="16"/>
          <w:szCs w:val="16"/>
          <w:b w:val="1"/>
          <w:bCs w:val="1"/>
          <w:color w:val="auto"/>
        </w:rPr>
        <w:t>Event of Default</w:t>
      </w:r>
      <w:r>
        <w:rPr>
          <w:rFonts w:ascii="Arial" w:cs="Arial" w:eastAsia="Arial" w:hAnsi="Arial"/>
          <w:sz w:val="16"/>
          <w:szCs w:val="16"/>
          <w:color w:val="auto"/>
        </w:rPr>
        <w:t>,” as defined in the Master Agreement, shall entitle Lender to accelerate the maturity of this Equipment Note and to declare the Prepayment Amount to be immediately due and payable, and to proceed at once to exercise each and every one of the remedies provided in the Master Agreement or otherwise available at law or in equity. All of Borrower’s Obligations under this Equipment Note are absolute and unconditional, and shall not be subject to any offset or deduction whatsoever. Borrower waives any right to assert, by way of counterclaim or affirmative defense in any action to enforce Borrower’s Obligations hereunder, any claim whatsoever against Lender.</w:t>
      </w:r>
    </w:p>
    <w:p>
      <w:pPr>
        <w:spacing w:after="0" w:line="108" w:lineRule="exact"/>
        <w:rPr>
          <w:sz w:val="20"/>
          <w:szCs w:val="20"/>
          <w:color w:val="auto"/>
        </w:rPr>
      </w:pPr>
    </w:p>
    <w:p>
      <w:pPr>
        <w:ind w:right="160" w:firstLine="464"/>
        <w:spacing w:after="0" w:line="262" w:lineRule="auto"/>
        <w:tabs>
          <w:tab w:leader="none" w:pos="632"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Equipment Financed; Equipment Location; Grant of Security Interest. </w:t>
      </w:r>
      <w:r>
        <w:rPr>
          <w:rFonts w:ascii="Arial" w:cs="Arial" w:eastAsia="Arial" w:hAnsi="Arial"/>
          <w:sz w:val="18"/>
          <w:szCs w:val="18"/>
          <w:color w:val="auto"/>
        </w:rPr>
        <w:t>Subject to the terms and provisions of the Master Agreement and as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herein, Lender is providing financing in the principal amount described in Section 2 below to Borrower in connection with the acquisition or financing of the following described Equipment:</w:t>
      </w:r>
    </w:p>
    <w:p>
      <w:pPr>
        <w:spacing w:after="0" w:line="175" w:lineRule="exact"/>
        <w:rPr>
          <w:sz w:val="20"/>
          <w:szCs w:val="20"/>
          <w:color w:val="auto"/>
        </w:rPr>
      </w:pPr>
    </w:p>
    <w:p>
      <w:pPr>
        <w:spacing w:after="0"/>
        <w:tabs>
          <w:tab w:leader="none" w:pos="1180" w:val="left"/>
          <w:tab w:leader="none" w:pos="6080" w:val="left"/>
          <w:tab w:leader="none" w:pos="11040" w:val="left"/>
        </w:tabs>
        <w:rPr>
          <w:sz w:val="20"/>
          <w:szCs w:val="20"/>
          <w:color w:val="auto"/>
        </w:rPr>
      </w:pPr>
      <w:r>
        <w:rPr>
          <w:rFonts w:ascii="Arial" w:cs="Arial" w:eastAsia="Arial" w:hAnsi="Arial"/>
          <w:sz w:val="14"/>
          <w:szCs w:val="14"/>
          <w:b w:val="1"/>
          <w:bCs w:val="1"/>
          <w:u w:val="single" w:color="auto"/>
          <w:color w:val="auto"/>
        </w:rPr>
        <w:t>Quantity</w:t>
      </w:r>
      <w:r>
        <w:rPr>
          <w:sz w:val="20"/>
          <w:szCs w:val="20"/>
          <w:color w:val="auto"/>
        </w:rPr>
        <w:tab/>
      </w: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4"/>
          <w:szCs w:val="14"/>
          <w:b w:val="1"/>
          <w:bCs w:val="1"/>
          <w:u w:val="single" w:color="auto"/>
          <w:color w:val="auto"/>
        </w:rPr>
        <w:t>Serial Number</w:t>
      </w:r>
      <w:r>
        <w:rPr>
          <w:sz w:val="20"/>
          <w:szCs w:val="20"/>
          <w:color w:val="auto"/>
        </w:rPr>
        <w:tab/>
      </w:r>
      <w:r>
        <w:rPr>
          <w:rFonts w:ascii="Arial" w:cs="Arial" w:eastAsia="Arial" w:hAnsi="Arial"/>
          <w:sz w:val="11"/>
          <w:szCs w:val="11"/>
          <w:b w:val="1"/>
          <w:bCs w:val="1"/>
          <w:color w:val="auto"/>
        </w:rPr>
        <w:t>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0</wp:posOffset>
            </wp:positionV>
            <wp:extent cx="6946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4690" cy="8890"/>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0</wp:posOffset>
            </wp:positionV>
            <wp:extent cx="28321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spacing w:after="0" w:line="20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See Exhibit A attached hereto</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Location of Equipment</w:t>
      </w:r>
      <w:r>
        <w:rPr>
          <w:rFonts w:ascii="Arial" w:cs="Arial" w:eastAsia="Arial" w:hAnsi="Arial"/>
          <w:sz w:val="18"/>
          <w:szCs w:val="18"/>
          <w:color w:val="auto"/>
        </w:rPr>
        <w:t>. The Equipment will be located or (in the case of over-the-road vehicles) based at the following locations:</w:t>
      </w:r>
    </w:p>
    <w:p>
      <w:pPr>
        <w:spacing w:after="0" w:line="213" w:lineRule="exact"/>
        <w:rPr>
          <w:sz w:val="20"/>
          <w:szCs w:val="20"/>
          <w:color w:val="auto"/>
        </w:rPr>
      </w:pPr>
    </w:p>
    <w:p>
      <w:pPr>
        <w:spacing w:after="0"/>
        <w:tabs>
          <w:tab w:leader="none" w:pos="3140" w:val="left"/>
          <w:tab w:leader="none" w:pos="5080" w:val="left"/>
          <w:tab w:leader="none" w:pos="6820" w:val="left"/>
          <w:tab w:leader="none" w:pos="8700" w:val="left"/>
          <w:tab w:leader="none" w:pos="10500" w:val="left"/>
        </w:tabs>
        <w:rPr>
          <w:sz w:val="20"/>
          <w:szCs w:val="20"/>
          <w:color w:val="auto"/>
        </w:rPr>
      </w:pPr>
      <w:r>
        <w:rPr>
          <w:rFonts w:ascii="Arial" w:cs="Arial" w:eastAsia="Arial" w:hAnsi="Arial"/>
          <w:sz w:val="14"/>
          <w:szCs w:val="14"/>
          <w:b w:val="1"/>
          <w:bCs w:val="1"/>
          <w:u w:val="single" w:color="auto"/>
          <w:color w:val="auto"/>
        </w:rPr>
        <w:t>Location</w:t>
      </w:r>
      <w:r>
        <w:rPr>
          <w:sz w:val="20"/>
          <w:szCs w:val="20"/>
          <w:color w:val="auto"/>
        </w:rPr>
        <w:tab/>
      </w:r>
      <w:r>
        <w:rPr>
          <w:rFonts w:ascii="Arial" w:cs="Arial" w:eastAsia="Arial" w:hAnsi="Arial"/>
          <w:sz w:val="14"/>
          <w:szCs w:val="14"/>
          <w:b w:val="1"/>
          <w:bCs w:val="1"/>
          <w:color w:val="auto"/>
        </w:rPr>
        <w:t>Address</w:t>
      </w:r>
      <w:r>
        <w:rPr>
          <w:sz w:val="20"/>
          <w:szCs w:val="20"/>
          <w:color w:val="auto"/>
        </w:rPr>
        <w:tab/>
      </w:r>
      <w:r>
        <w:rPr>
          <w:rFonts w:ascii="Arial" w:cs="Arial" w:eastAsia="Arial" w:hAnsi="Arial"/>
          <w:sz w:val="14"/>
          <w:szCs w:val="14"/>
          <w:b w:val="1"/>
          <w:bCs w:val="1"/>
          <w:color w:val="auto"/>
        </w:rPr>
        <w:t>City</w:t>
      </w:r>
      <w:r>
        <w:rPr>
          <w:sz w:val="20"/>
          <w:szCs w:val="20"/>
          <w:color w:val="auto"/>
        </w:rPr>
        <w:tab/>
      </w:r>
      <w:r>
        <w:rPr>
          <w:rFonts w:ascii="Arial" w:cs="Arial" w:eastAsia="Arial" w:hAnsi="Arial"/>
          <w:sz w:val="14"/>
          <w:szCs w:val="14"/>
          <w:b w:val="1"/>
          <w:bCs w:val="1"/>
          <w:color w:val="auto"/>
        </w:rPr>
        <w:t>County</w:t>
      </w:r>
      <w:r>
        <w:rPr>
          <w:sz w:val="20"/>
          <w:szCs w:val="20"/>
          <w:color w:val="auto"/>
        </w:rPr>
        <w:tab/>
      </w:r>
      <w:r>
        <w:rPr>
          <w:rFonts w:ascii="Arial" w:cs="Arial" w:eastAsia="Arial" w:hAnsi="Arial"/>
          <w:sz w:val="14"/>
          <w:szCs w:val="14"/>
          <w:b w:val="1"/>
          <w:bCs w:val="1"/>
          <w:color w:val="auto"/>
        </w:rPr>
        <w:t>State</w:t>
      </w:r>
      <w:r>
        <w:rPr>
          <w:sz w:val="20"/>
          <w:szCs w:val="20"/>
          <w:color w:val="auto"/>
        </w:rPr>
        <w:tab/>
      </w:r>
      <w:r>
        <w:rPr>
          <w:rFonts w:ascii="Arial" w:cs="Arial" w:eastAsia="Arial" w:hAnsi="Arial"/>
          <w:sz w:val="14"/>
          <w:szCs w:val="14"/>
          <w:b w:val="1"/>
          <w:bCs w:val="1"/>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8890</wp:posOffset>
            </wp:positionV>
            <wp:extent cx="564261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42610" cy="8890"/>
                    </a:xfrm>
                    <a:prstGeom prst="rect">
                      <a:avLst/>
                    </a:prstGeom>
                    <a:noFill/>
                  </pic:spPr>
                </pic:pic>
              </a:graphicData>
            </a:graphic>
          </wp:anchor>
        </w:drawing>
      </w:r>
    </w:p>
    <w:p>
      <w:pPr>
        <w:spacing w:after="0" w:line="2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See Exhibit A attached hereto</w:t>
      </w:r>
    </w:p>
    <w:p>
      <w:pPr>
        <w:spacing w:after="0" w:line="171"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Borrower has agreed and does hereby grant a security interest in and to the Equipment and the Collateral related thereto, whether now owned or hereafter acquired and wherever located, in order to secure the payment and performance of all Obligations owing to Lender, including but not limited to this Equipment Note, all as more particularly provided in the Master Agreement. Lender’s agreement to provide the financing contemplated herein shall be subject to the satisfaction of all conditions established by Lender and Lender’s prior receipt of all required documentation in form and substance satisfactory to Lender in its sole discretion.</w:t>
      </w:r>
    </w:p>
    <w:p>
      <w:pPr>
        <w:spacing w:after="0" w:line="137" w:lineRule="exact"/>
        <w:rPr>
          <w:sz w:val="20"/>
          <w:szCs w:val="20"/>
          <w:color w:val="auto"/>
        </w:rPr>
      </w:pPr>
    </w:p>
    <w:p>
      <w:pPr>
        <w:jc w:val="both"/>
        <w:ind w:right="20" w:firstLine="464"/>
        <w:spacing w:after="0" w:line="287" w:lineRule="auto"/>
        <w:tabs>
          <w:tab w:leader="none" w:pos="632" w:val="left"/>
        </w:tabs>
        <w:numPr>
          <w:ilvl w:val="1"/>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Payments. </w:t>
      </w:r>
      <w:r>
        <w:rPr>
          <w:rFonts w:ascii="Arial" w:cs="Arial" w:eastAsia="Arial" w:hAnsi="Arial"/>
          <w:sz w:val="16"/>
          <w:szCs w:val="16"/>
          <w:color w:val="auto"/>
        </w:rPr>
        <w:t>For value received, Borrower promises to pay to the order of Lender, the principal amount of</w:t>
      </w:r>
      <w:r>
        <w:rPr>
          <w:rFonts w:ascii="Arial" w:cs="Arial" w:eastAsia="Arial" w:hAnsi="Arial"/>
          <w:sz w:val="16"/>
          <w:szCs w:val="16"/>
          <w:b w:val="1"/>
          <w:bCs w:val="1"/>
          <w:color w:val="auto"/>
        </w:rPr>
        <w:t xml:space="preserve"> $2,120,025.59</w:t>
      </w:r>
      <w:r>
        <w:rPr>
          <w:rFonts w:ascii="Arial" w:cs="Arial" w:eastAsia="Arial" w:hAnsi="Arial"/>
          <w:sz w:val="16"/>
          <w:szCs w:val="16"/>
          <w:color w:val="auto"/>
        </w:rPr>
        <w:t>, together with interest thereon as</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herein. This Equipment Note shall be payable by Borrower to Lender in 48 consecutive monthly, installments of principal and interest (the “</w:t>
      </w:r>
      <w:r>
        <w:rPr>
          <w:rFonts w:ascii="Arial" w:cs="Arial" w:eastAsia="Arial" w:hAnsi="Arial"/>
          <w:sz w:val="16"/>
          <w:szCs w:val="16"/>
          <w:b w:val="1"/>
          <w:bCs w:val="1"/>
          <w:color w:val="auto"/>
        </w:rPr>
        <w:t>Payments</w:t>
      </w:r>
      <w:r>
        <w:rPr>
          <w:rFonts w:ascii="Arial" w:cs="Arial" w:eastAsia="Arial" w:hAnsi="Arial"/>
          <w:sz w:val="16"/>
          <w:szCs w:val="16"/>
          <w:color w:val="auto"/>
        </w:rPr>
        <w:t>”) commencing on February 16, 2008 (the “</w:t>
      </w:r>
      <w:r>
        <w:rPr>
          <w:rFonts w:ascii="Arial" w:cs="Arial" w:eastAsia="Arial" w:hAnsi="Arial"/>
          <w:sz w:val="16"/>
          <w:szCs w:val="16"/>
          <w:b w:val="1"/>
          <w:bCs w:val="1"/>
          <w:color w:val="auto"/>
        </w:rPr>
        <w:t>Initial Payment</w:t>
      </w:r>
      <w:r>
        <w:rPr>
          <w:rFonts w:ascii="Arial" w:cs="Arial" w:eastAsia="Arial" w:hAnsi="Arial"/>
          <w:sz w:val="16"/>
          <w:szCs w:val="16"/>
          <w:color w:val="auto"/>
        </w:rPr>
        <w:t>”) and continuing thereafter through and including January 16, 2012 (the “</w:t>
      </w:r>
      <w:r>
        <w:rPr>
          <w:rFonts w:ascii="Arial" w:cs="Arial" w:eastAsia="Arial" w:hAnsi="Arial"/>
          <w:sz w:val="16"/>
          <w:szCs w:val="16"/>
          <w:b w:val="1"/>
          <w:bCs w:val="1"/>
          <w:color w:val="auto"/>
        </w:rPr>
        <w:t>Maturity Date</w:t>
      </w:r>
      <w:r>
        <w:rPr>
          <w:rFonts w:ascii="Arial" w:cs="Arial" w:eastAsia="Arial" w:hAnsi="Arial"/>
          <w:sz w:val="16"/>
          <w:szCs w:val="16"/>
          <w:color w:val="auto"/>
        </w:rPr>
        <w:t>”)</w:t>
      </w:r>
    </w:p>
    <w:p>
      <w:pPr>
        <w:ind w:right="60"/>
        <w:spacing w:after="0" w:line="253" w:lineRule="auto"/>
        <w:rPr>
          <w:rFonts w:ascii="Arial" w:cs="Arial" w:eastAsia="Arial" w:hAnsi="Arial"/>
          <w:sz w:val="16"/>
          <w:szCs w:val="16"/>
          <w:b w:val="1"/>
          <w:bCs w:val="1"/>
          <w:color w:val="auto"/>
        </w:rPr>
      </w:pPr>
      <w:r>
        <w:rPr>
          <w:rFonts w:ascii="Arial" w:cs="Arial" w:eastAsia="Arial" w:hAnsi="Arial"/>
          <w:sz w:val="18"/>
          <w:szCs w:val="18"/>
          <w:color w:val="auto"/>
        </w:rPr>
        <w:t>(collectively, the “</w:t>
      </w:r>
      <w:r>
        <w:rPr>
          <w:rFonts w:ascii="Arial" w:cs="Arial" w:eastAsia="Arial" w:hAnsi="Arial"/>
          <w:sz w:val="18"/>
          <w:szCs w:val="18"/>
          <w:b w:val="1"/>
          <w:bCs w:val="1"/>
          <w:color w:val="auto"/>
        </w:rPr>
        <w:t>Equipment Note Term</w:t>
      </w:r>
      <w:r>
        <w:rPr>
          <w:rFonts w:ascii="Arial" w:cs="Arial" w:eastAsia="Arial" w:hAnsi="Arial"/>
          <w:sz w:val="18"/>
          <w:szCs w:val="18"/>
          <w:color w:val="auto"/>
        </w:rPr>
        <w:t>”). Each Payment shall be in the amount provided below, and due and payable on the same day of the month as the Initial Payment set forth above in each succeeding payment period (each, a “</w:t>
      </w:r>
      <w:r>
        <w:rPr>
          <w:rFonts w:ascii="Arial" w:cs="Arial" w:eastAsia="Arial" w:hAnsi="Arial"/>
          <w:sz w:val="18"/>
          <w:szCs w:val="18"/>
          <w:b w:val="1"/>
          <w:bCs w:val="1"/>
          <w:color w:val="auto"/>
        </w:rPr>
        <w:t>Payment Date</w:t>
      </w:r>
      <w:r>
        <w:rPr>
          <w:rFonts w:ascii="Arial" w:cs="Arial" w:eastAsia="Arial" w:hAnsi="Arial"/>
          <w:sz w:val="18"/>
          <w:szCs w:val="18"/>
          <w:color w:val="auto"/>
        </w:rPr>
        <w:t>”) during Equipment Note Term. All interest hereunder shall be calculated on the basis of a year of 360 days comprised of 12 months of 30 days each. The final Payment due and payable on the Maturity Date shall in any event be equal to the entire outstanding and unpaid principal amount of this Equipment Note, together with all accrued and unpaid interest, charges and other amounts owing hereunder and under the Master Agreement.</w:t>
      </w:r>
    </w:p>
    <w:p>
      <w:pPr>
        <w:spacing w:after="0" w:line="58" w:lineRule="exact"/>
        <w:rPr>
          <w:rFonts w:ascii="Arial" w:cs="Arial" w:eastAsia="Arial" w:hAnsi="Arial"/>
          <w:sz w:val="16"/>
          <w:szCs w:val="16"/>
          <w:b w:val="1"/>
          <w:bCs w:val="1"/>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Interest Rate.</w:t>
      </w:r>
    </w:p>
    <w:p>
      <w:pPr>
        <w:spacing w:after="0" w:line="17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Interest shall accrue on the entire principal amount of this Equipment Note outstanding for any calendar month or portion thereof, at a per annum rate of</w:t>
      </w:r>
    </w:p>
    <w:p>
      <w:pPr>
        <w:spacing w:after="0" w:line="38" w:lineRule="exact"/>
        <w:rPr>
          <w:sz w:val="20"/>
          <w:szCs w:val="20"/>
          <w:color w:val="auto"/>
        </w:rPr>
      </w:pPr>
    </w:p>
    <w:p>
      <w:pPr>
        <w:ind w:right="200"/>
        <w:spacing w:after="0" w:line="295" w:lineRule="auto"/>
        <w:rPr>
          <w:sz w:val="20"/>
          <w:szCs w:val="20"/>
          <w:color w:val="auto"/>
        </w:rPr>
      </w:pPr>
      <w:r>
        <w:rPr>
          <w:rFonts w:ascii="Arial" w:cs="Arial" w:eastAsia="Arial" w:hAnsi="Arial"/>
          <w:sz w:val="16"/>
          <w:szCs w:val="16"/>
          <w:color w:val="auto"/>
        </w:rPr>
        <w:t>interest equal to (i) one and 75/100 percent (1.75%) plus the rate of interest equal to the “average of interbank offered rates for dollar deposits in the London Market based on quotations of sixteen (16) major banks” for a term of 30 days as published in the Wall Street Journal under a heading entitled “Money Rates, London Interbank Offered Rates (LIBOR)” or any future or substitute heading, on the fifteenth day of the month preceding the Payment Date for the applicable Payment, or (ii) if less, the highest rate of interest permitted by applicable law (the “</w:t>
      </w:r>
      <w:r>
        <w:rPr>
          <w:rFonts w:ascii="Arial" w:cs="Arial" w:eastAsia="Arial" w:hAnsi="Arial"/>
          <w:sz w:val="16"/>
          <w:szCs w:val="16"/>
          <w:b w:val="1"/>
          <w:bCs w:val="1"/>
          <w:color w:val="auto"/>
        </w:rPr>
        <w:t>Interest Rate</w:t>
      </w:r>
      <w:r>
        <w:rPr>
          <w:rFonts w:ascii="Arial" w:cs="Arial" w:eastAsia="Arial" w:hAnsi="Arial"/>
          <w:sz w:val="16"/>
          <w:szCs w:val="16"/>
          <w:color w:val="auto"/>
        </w:rPr>
        <w: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Equipment Security Note 4.1.06</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2</w:t>
      </w:r>
    </w:p>
    <w:p>
      <w:pPr>
        <w:sectPr>
          <w:pgSz w:w="11900" w:h="16838" w:orient="portrait"/>
          <w:cols w:equalWidth="0" w:num="1">
            <w:col w:w="11420"/>
          </w:cols>
          <w:pgMar w:left="240" w:top="125" w:right="239" w:bottom="1440" w:gutter="0" w:footer="0" w:header="0"/>
        </w:sectPr>
      </w:pPr>
    </w:p>
    <w:bookmarkStart w:id="88" w:name="page89"/>
    <w:bookmarkEnd w:id="88"/>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Payment Amount.</w:t>
      </w:r>
    </w:p>
    <w:p>
      <w:pPr>
        <w:spacing w:after="0" w:line="17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xml:space="preserve">The amount of each Payment shall consist of </w:t>
      </w:r>
      <w:r>
        <w:rPr>
          <w:rFonts w:ascii="Arial" w:cs="Arial" w:eastAsia="Arial" w:hAnsi="Arial"/>
          <w:sz w:val="18"/>
          <w:szCs w:val="18"/>
          <w:b w:val="1"/>
          <w:bCs w:val="1"/>
          <w:color w:val="auto"/>
        </w:rPr>
        <w:t>$44,167.20</w:t>
      </w:r>
      <w:r>
        <w:rPr>
          <w:rFonts w:ascii="Arial" w:cs="Arial" w:eastAsia="Arial" w:hAnsi="Arial"/>
          <w:sz w:val="18"/>
          <w:szCs w:val="18"/>
          <w:color w:val="auto"/>
        </w:rPr>
        <w:t xml:space="preserve"> of principal, plus all interest accrued at the Interest Rate.</w:t>
      </w:r>
    </w:p>
    <w:p>
      <w:pPr>
        <w:spacing w:after="0" w:line="171" w:lineRule="exact"/>
        <w:rPr>
          <w:rFonts w:ascii="Arial" w:cs="Arial" w:eastAsia="Arial" w:hAnsi="Arial"/>
          <w:sz w:val="18"/>
          <w:szCs w:val="18"/>
          <w:color w:val="auto"/>
        </w:rPr>
      </w:pPr>
    </w:p>
    <w:p>
      <w:pPr>
        <w:ind w:right="120" w:firstLine="464"/>
        <w:spacing w:after="0" w:line="293" w:lineRule="auto"/>
        <w:tabs>
          <w:tab w:leader="none" w:pos="632" w:val="left"/>
        </w:tabs>
        <w:numPr>
          <w:ilvl w:val="1"/>
          <w:numId w:val="3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Prepayment </w:t>
      </w:r>
      <w:r>
        <w:rPr>
          <w:rFonts w:ascii="Arial" w:cs="Arial" w:eastAsia="Arial" w:hAnsi="Arial"/>
          <w:sz w:val="16"/>
          <w:szCs w:val="16"/>
          <w:color w:val="auto"/>
        </w:rPr>
        <w:t>The outstanding principal balance of this Equipment Note may be prepaid in whole or part at any time, together with interest and late</w:t>
      </w:r>
      <w:r>
        <w:rPr>
          <w:rFonts w:ascii="Arial" w:cs="Arial" w:eastAsia="Arial" w:hAnsi="Arial"/>
          <w:sz w:val="16"/>
          <w:szCs w:val="16"/>
          <w:b w:val="1"/>
          <w:bCs w:val="1"/>
          <w:color w:val="auto"/>
        </w:rPr>
        <w:t xml:space="preserve"> </w:t>
      </w:r>
      <w:r>
        <w:rPr>
          <w:rFonts w:ascii="Arial" w:cs="Arial" w:eastAsia="Arial" w:hAnsi="Arial"/>
          <w:sz w:val="16"/>
          <w:szCs w:val="16"/>
          <w:color w:val="auto"/>
        </w:rPr>
        <w:t>charges accrued through the date of the prepayment, provided that such prepayment shall be accompanied by a prepayment charge calculated as follows: one percent (1%) of the amount of the prepaid if such prepayment occurs during the period from the date of this Equipment Note to the first anniversary hereof; one-half percent (0.5%) of the amount prepaid if such prepayment occurs during the period commencing on the first day after the first anniversary hereof and continuing through the second anniversary hereof; and no prepayment charge if such prepayment occurs thereafter. Partial prepayments shall be applied against principal installments in their inverse order of maturity. A prepayment charge will not be due if this Equipment Note is refinanced with the Lender.</w:t>
      </w:r>
    </w:p>
    <w:p>
      <w:pPr>
        <w:spacing w:after="0" w:line="110" w:lineRule="exact"/>
        <w:rPr>
          <w:rFonts w:ascii="Arial" w:cs="Arial" w:eastAsia="Arial" w:hAnsi="Arial"/>
          <w:sz w:val="16"/>
          <w:szCs w:val="16"/>
          <w:b w:val="1"/>
          <w:bCs w:val="1"/>
          <w:color w:val="auto"/>
        </w:rPr>
      </w:pPr>
    </w:p>
    <w:p>
      <w:pPr>
        <w:ind w:right="160" w:firstLine="464"/>
        <w:spacing w:after="0" w:line="262" w:lineRule="auto"/>
        <w:tabs>
          <w:tab w:leader="none" w:pos="632" w:val="left"/>
        </w:tabs>
        <w:numPr>
          <w:ilvl w:val="1"/>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Borrower Acknowledgements. </w:t>
      </w:r>
      <w:r>
        <w:rPr>
          <w:rFonts w:ascii="Arial" w:cs="Arial" w:eastAsia="Arial" w:hAnsi="Arial"/>
          <w:sz w:val="18"/>
          <w:szCs w:val="18"/>
          <w:color w:val="auto"/>
        </w:rPr>
        <w:t>Upon delivery and acceptance of the Equipment, Borrower shall execute this Equipment Note evidencing the amounts</w:t>
      </w:r>
      <w:r>
        <w:rPr>
          <w:rFonts w:ascii="Arial" w:cs="Arial" w:eastAsia="Arial" w:hAnsi="Arial"/>
          <w:sz w:val="18"/>
          <w:szCs w:val="18"/>
          <w:b w:val="1"/>
          <w:bCs w:val="1"/>
          <w:color w:val="auto"/>
        </w:rPr>
        <w:t xml:space="preserve"> </w:t>
      </w:r>
      <w:r>
        <w:rPr>
          <w:rFonts w:ascii="Arial" w:cs="Arial" w:eastAsia="Arial" w:hAnsi="Arial"/>
          <w:sz w:val="18"/>
          <w:szCs w:val="18"/>
          <w:color w:val="auto"/>
        </w:rPr>
        <w:t>financed by Lender in respect of such Equipment and the Payments of principal and interest hereunder. By its execution and delivery of this Equipment Note, Borrower:</w:t>
      </w:r>
    </w:p>
    <w:p>
      <w:pPr>
        <w:spacing w:after="0" w:line="179" w:lineRule="exact"/>
        <w:rPr>
          <w:sz w:val="20"/>
          <w:szCs w:val="20"/>
          <w:color w:val="auto"/>
        </w:rPr>
      </w:pPr>
    </w:p>
    <w:p>
      <w:pPr>
        <w:ind w:left="900" w:right="34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reaffirms of all of Borrower’s representations, warranties and covenants as set forth in the Master Agreement and represents and warrants that no Default or Event of Default under the Master Agreement exists as of the date hereof;</w:t>
      </w:r>
    </w:p>
    <w:p>
      <w:pPr>
        <w:spacing w:after="0" w:line="172" w:lineRule="exact"/>
        <w:rPr>
          <w:rFonts w:ascii="Arial" w:cs="Arial" w:eastAsia="Arial" w:hAnsi="Arial"/>
          <w:sz w:val="18"/>
          <w:szCs w:val="18"/>
          <w:color w:val="auto"/>
        </w:rPr>
      </w:pPr>
    </w:p>
    <w:p>
      <w:pPr>
        <w:ind w:left="900" w:right="120" w:hanging="446"/>
        <w:spacing w:after="0" w:line="256"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warrants and agrees that: (i) the Equipment has been delivered and is in an operating condition and performing the operation for which it is intended to the satisfaction of Borrower; (ii) each item of Equipment has been unconditionally accepted by Borrower for all purposes under the Master Agreement and this Equipment Note; and (iii) there has been no material adverse change in the operations, business, properties or condition, financial or otherwise, of Borrower since May 5, 2007;</w:t>
      </w:r>
    </w:p>
    <w:p>
      <w:pPr>
        <w:spacing w:after="0" w:line="183" w:lineRule="exact"/>
        <w:rPr>
          <w:rFonts w:ascii="Arial" w:cs="Arial" w:eastAsia="Arial" w:hAnsi="Arial"/>
          <w:sz w:val="18"/>
          <w:szCs w:val="18"/>
          <w:color w:val="auto"/>
        </w:rPr>
      </w:pPr>
    </w:p>
    <w:p>
      <w:pPr>
        <w:jc w:val="both"/>
        <w:ind w:left="900" w:right="180" w:hanging="446"/>
        <w:spacing w:after="0" w:line="370" w:lineRule="auto"/>
        <w:tabs>
          <w:tab w:leader="none" w:pos="9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authorizes and directs Lender to advance the principal amount of this Equipment Note to reimburse Borrower or pay Vendors all or a portion of the purchase price of Equipment in accordance with Vendors’ invoices therefor, receipt and approval of which are hereby reaffirmed by Borrower; and</w:t>
      </w:r>
    </w:p>
    <w:p>
      <w:pPr>
        <w:spacing w:after="0" w:line="102" w:lineRule="exact"/>
        <w:rPr>
          <w:rFonts w:ascii="Arial" w:cs="Arial" w:eastAsia="Arial" w:hAnsi="Arial"/>
          <w:sz w:val="15"/>
          <w:szCs w:val="15"/>
          <w:color w:val="auto"/>
        </w:rPr>
      </w:pPr>
    </w:p>
    <w:p>
      <w:pPr>
        <w:ind w:left="900" w:hanging="446"/>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agrees that Borrower is absolutely and unconditionally obligated to pay Lender all Payments at the times and in the manner set forth herein.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BANC OF AMERICA LEASING &amp; CAPITAL, LLC</w:t>
            </w:r>
          </w:p>
        </w:tc>
        <w:tc>
          <w:tcPr>
            <w:tcW w:w="720" w:type="dxa"/>
            <w:vAlign w:val="bottom"/>
          </w:tcPr>
          <w:p>
            <w:pPr>
              <w:spacing w:after="0"/>
              <w:rPr>
                <w:sz w:val="19"/>
                <w:szCs w:val="19"/>
                <w:color w:val="auto"/>
              </w:rPr>
            </w:pPr>
          </w:p>
        </w:tc>
        <w:tc>
          <w:tcPr>
            <w:tcW w:w="6040" w:type="dxa"/>
            <w:vAlign w:val="bottom"/>
            <w:gridSpan w:val="2"/>
          </w:tcPr>
          <w:p>
            <w:pPr>
              <w:ind w:left="620"/>
              <w:spacing w:after="0"/>
              <w:rPr>
                <w:sz w:val="20"/>
                <w:szCs w:val="20"/>
                <w:color w:val="auto"/>
              </w:rPr>
            </w:pPr>
            <w:r>
              <w:rPr>
                <w:rFonts w:ascii="Arial" w:cs="Arial" w:eastAsia="Arial" w:hAnsi="Arial"/>
                <w:sz w:val="18"/>
                <w:szCs w:val="18"/>
                <w:b w:val="1"/>
                <w:bCs w:val="1"/>
                <w:color w:val="auto"/>
              </w:rPr>
              <w:t>Borrower: CASUAL MALE RETAIL GROUP, INC.</w:t>
            </w:r>
          </w:p>
        </w:tc>
        <w:tc>
          <w:tcPr>
            <w:tcW w:w="0" w:type="dxa"/>
            <w:vAlign w:val="bottom"/>
          </w:tcPr>
          <w:p>
            <w:pPr>
              <w:spacing w:after="0"/>
              <w:rPr>
                <w:sz w:val="1"/>
                <w:szCs w:val="1"/>
                <w:color w:val="auto"/>
              </w:rPr>
            </w:pPr>
          </w:p>
        </w:tc>
      </w:tr>
      <w:tr>
        <w:trPr>
          <w:trHeight w:val="421"/>
        </w:trPr>
        <w:tc>
          <w:tcPr>
            <w:tcW w:w="1040" w:type="dxa"/>
            <w:vAlign w:val="bottom"/>
          </w:tcPr>
          <w:p>
            <w:pPr>
              <w:spacing w:after="0"/>
              <w:rPr>
                <w:sz w:val="20"/>
                <w:szCs w:val="20"/>
                <w:color w:val="auto"/>
              </w:rPr>
            </w:pPr>
            <w:r>
              <w:rPr>
                <w:rFonts w:ascii="Arial" w:cs="Arial" w:eastAsia="Arial" w:hAnsi="Arial"/>
                <w:sz w:val="18"/>
                <w:szCs w:val="18"/>
                <w:color w:val="auto"/>
              </w:rPr>
              <w:t>By:</w:t>
            </w:r>
          </w:p>
        </w:tc>
        <w:tc>
          <w:tcPr>
            <w:tcW w:w="36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60" w:type="dxa"/>
            <w:vAlign w:val="bottom"/>
          </w:tcPr>
          <w:p>
            <w:pPr>
              <w:ind w:left="620"/>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w w:val="88"/>
              </w:rPr>
              <w:t>Printed Name:</w:t>
            </w:r>
          </w:p>
        </w:tc>
        <w:tc>
          <w:tcPr>
            <w:tcW w:w="36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60" w:type="dxa"/>
            <w:vAlign w:val="bottom"/>
          </w:tcPr>
          <w:p>
            <w:pPr>
              <w:ind w:left="620"/>
              <w:spacing w:after="0"/>
              <w:rPr>
                <w:sz w:val="20"/>
                <w:szCs w:val="20"/>
                <w:color w:val="auto"/>
              </w:rPr>
            </w:pPr>
            <w:r>
              <w:rPr>
                <w:rFonts w:ascii="Arial" w:cs="Arial" w:eastAsia="Arial" w:hAnsi="Arial"/>
                <w:sz w:val="18"/>
                <w:szCs w:val="18"/>
                <w:color w:val="auto"/>
                <w:w w:val="88"/>
              </w:rPr>
              <w:t>Printed Name:</w:t>
            </w:r>
          </w:p>
        </w:tc>
        <w:tc>
          <w:tcPr>
            <w:tcW w:w="4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Title:</w:t>
            </w:r>
          </w:p>
        </w:tc>
        <w:tc>
          <w:tcPr>
            <w:tcW w:w="36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60" w:type="dxa"/>
            <w:vAlign w:val="bottom"/>
          </w:tcPr>
          <w:p>
            <w:pPr>
              <w:ind w:left="620"/>
              <w:spacing w:after="0"/>
              <w:rPr>
                <w:sz w:val="20"/>
                <w:szCs w:val="20"/>
                <w:color w:val="auto"/>
              </w:rPr>
            </w:pPr>
            <w:r>
              <w:rPr>
                <w:rFonts w:ascii="Arial" w:cs="Arial" w:eastAsia="Arial" w:hAnsi="Arial"/>
                <w:sz w:val="18"/>
                <w:szCs w:val="18"/>
                <w:color w:val="auto"/>
              </w:rPr>
              <w:t>Title:</w:t>
            </w:r>
          </w:p>
        </w:tc>
        <w:tc>
          <w:tcPr>
            <w:tcW w:w="4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4660" w:type="dxa"/>
            <w:vAlign w:val="bottom"/>
            <w:gridSpan w:val="2"/>
          </w:tcPr>
          <w:p>
            <w:pPr>
              <w:spacing w:after="0"/>
              <w:rPr>
                <w:sz w:val="20"/>
                <w:szCs w:val="20"/>
                <w:color w:val="auto"/>
              </w:rPr>
            </w:pPr>
            <w:r>
              <w:rPr>
                <w:rFonts w:ascii="Arial" w:cs="Arial" w:eastAsia="Arial" w:hAnsi="Arial"/>
                <w:sz w:val="18"/>
                <w:szCs w:val="18"/>
                <w:color w:val="auto"/>
              </w:rPr>
              <w:t>Equipment Security Note 4.1.06</w:t>
            </w:r>
          </w:p>
        </w:tc>
        <w:tc>
          <w:tcPr>
            <w:tcW w:w="6760" w:type="dxa"/>
            <w:vAlign w:val="bottom"/>
            <w:gridSpan w:val="3"/>
            <w:vMerge w:val="restart"/>
          </w:tcPr>
          <w:p>
            <w:pPr>
              <w:ind w:left="660"/>
              <w:spacing w:after="0"/>
              <w:rPr>
                <w:sz w:val="20"/>
                <w:szCs w:val="20"/>
                <w:color w:val="auto"/>
              </w:rPr>
            </w:pPr>
            <w:r>
              <w:rPr>
                <w:rFonts w:ascii="Arial" w:cs="Arial" w:eastAsia="Arial" w:hAnsi="Arial"/>
                <w:sz w:val="18"/>
                <w:szCs w:val="18"/>
                <w:color w:val="auto"/>
              </w:rPr>
              <w:t>Page 2 of 2</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7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10.43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7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This Employment Agreement (“Agreement”) is made as of March 21, 2008 between CASUAL MALE RETAIL GROUP, INC., a Delaware corporation with an office at 555 Turnpike Street, Canton, Massachusetts, 02021 (the “Company”), and Sheri A. Knight (the “Executive”) having an address at 10 Frances Street, Newburyport, MA 01950.</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WHEREAS, the Company desires that Executive serve as Senior Vice President of Finance and Corporate Controller, and Executive desires to be so employed by the Company.</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WHEREAS, Executive and the Company desire to set forth in writing the terms and conditions of the Executive’s employment with the Company from the date hereof.</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NOW, THEREFORE, in consideration of the promises and the mutual promises, representations and covenants herein contained, the parties hereto agree as follows:</w:t>
      </w:r>
    </w:p>
    <w:p>
      <w:pPr>
        <w:spacing w:after="0" w:line="51" w:lineRule="exact"/>
        <w:rPr>
          <w:sz w:val="20"/>
          <w:szCs w:val="20"/>
          <w:color w:val="auto"/>
        </w:rPr>
      </w:pPr>
    </w:p>
    <w:p>
      <w:pPr>
        <w:ind w:left="1480" w:hanging="567"/>
        <w:spacing w:after="0"/>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EMPLOYMENT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Company hereby employs Executive and Executive hereby accepts such employment, subject to the terms and conditions herein set forth.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Executive shall hold the office of Senior Vice President, Finance.</w:t>
      </w:r>
    </w:p>
    <w:p>
      <w:pPr>
        <w:spacing w:after="0" w:line="286" w:lineRule="exact"/>
        <w:rPr>
          <w:sz w:val="20"/>
          <w:szCs w:val="20"/>
          <w:color w:val="auto"/>
        </w:rPr>
      </w:pPr>
    </w:p>
    <w:p>
      <w:pPr>
        <w:ind w:left="1480" w:hanging="567"/>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90" w:lineRule="exact"/>
        <w:rPr>
          <w:sz w:val="20"/>
          <w:szCs w:val="20"/>
          <w:color w:val="auto"/>
        </w:rPr>
      </w:pPr>
    </w:p>
    <w:p>
      <w:pPr>
        <w:jc w:val="both"/>
        <w:ind w:right="120" w:firstLine="913"/>
        <w:spacing w:after="0" w:line="259" w:lineRule="auto"/>
        <w:rPr>
          <w:sz w:val="20"/>
          <w:szCs w:val="20"/>
          <w:color w:val="auto"/>
        </w:rPr>
      </w:pPr>
      <w:r>
        <w:rPr>
          <w:rFonts w:ascii="Arial" w:cs="Arial" w:eastAsia="Arial" w:hAnsi="Arial"/>
          <w:sz w:val="18"/>
          <w:szCs w:val="18"/>
          <w:color w:val="auto"/>
        </w:rPr>
        <w:t>The term of employment under this Agreement shall begin on the date set forth above (the “Effective Date”) and shall continue until terminated by either party as hereinafter set forth (such period of employment being referred to herein as the “Term”), subject to prior termination in accordance with the terms hereof.</w:t>
      </w:r>
    </w:p>
    <w:p>
      <w:pPr>
        <w:spacing w:after="0" w:line="262" w:lineRule="exact"/>
        <w:rPr>
          <w:sz w:val="20"/>
          <w:szCs w:val="20"/>
          <w:color w:val="auto"/>
        </w:rPr>
      </w:pPr>
    </w:p>
    <w:p>
      <w:pPr>
        <w:ind w:left="1480" w:hanging="567"/>
        <w:spacing w:after="0"/>
        <w:tabs>
          <w:tab w:leader="none" w:pos="148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COMPENSATION</w:t>
      </w:r>
    </w:p>
    <w:p>
      <w:pPr>
        <w:spacing w:after="0" w:line="90" w:lineRule="exact"/>
        <w:rPr>
          <w:rFonts w:ascii="Arial" w:cs="Arial" w:eastAsia="Arial" w:hAnsi="Arial"/>
          <w:sz w:val="18"/>
          <w:szCs w:val="18"/>
          <w:color w:val="auto"/>
        </w:rPr>
      </w:pPr>
    </w:p>
    <w:p>
      <w:pPr>
        <w:jc w:val="both"/>
        <w:ind w:right="240" w:firstLine="921"/>
        <w:spacing w:after="0" w:line="273" w:lineRule="auto"/>
        <w:tabs>
          <w:tab w:leader="none" w:pos="1152"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As compensation for the employment services to be rendered by Executive hereunder, the Company agrees to pay to Executive, and Executive agrees to accept, payable in equal bi-weekly installments in accordance with Company practice, an annual base salary of Two Hundred Twenty Thousand Five Hundred Dollars and </w:t>
      </w:r>
      <w:r>
        <w:rPr>
          <w:rFonts w:ascii="Arial" w:cs="Arial" w:eastAsia="Arial" w:hAnsi="Arial"/>
          <w:sz w:val="22"/>
          <w:szCs w:val="22"/>
          <w:color w:val="auto"/>
          <w:vertAlign w:val="superscript"/>
        </w:rPr>
        <w:t>00</w:t>
      </w:r>
      <w:r>
        <w:rPr>
          <w:rFonts w:ascii="Arial" w:cs="Arial" w:eastAsia="Arial" w:hAnsi="Arial"/>
          <w:sz w:val="18"/>
          <w:szCs w:val="18"/>
          <w:color w:val="auto"/>
        </w:rPr>
        <w:t>/</w:t>
      </w:r>
      <w:r>
        <w:rPr>
          <w:rFonts w:ascii="Arial" w:cs="Arial" w:eastAsia="Arial" w:hAnsi="Arial"/>
          <w:sz w:val="13"/>
          <w:szCs w:val="13"/>
          <w:color w:val="auto"/>
        </w:rPr>
        <w:t>100</w:t>
      </w:r>
      <w:r>
        <w:rPr>
          <w:rFonts w:ascii="Arial" w:cs="Arial" w:eastAsia="Arial" w:hAnsi="Arial"/>
          <w:sz w:val="18"/>
          <w:szCs w:val="18"/>
          <w:color w:val="auto"/>
        </w:rPr>
        <w:t xml:space="preserve"> Cents ($220,500.00).</w:t>
      </w:r>
    </w:p>
    <w:p>
      <w:pPr>
        <w:spacing w:after="0" w:line="92" w:lineRule="exact"/>
        <w:rPr>
          <w:rFonts w:ascii="Arial" w:cs="Arial" w:eastAsia="Arial" w:hAnsi="Arial"/>
          <w:sz w:val="18"/>
          <w:szCs w:val="18"/>
          <w:color w:val="auto"/>
        </w:rPr>
      </w:pPr>
    </w:p>
    <w:p>
      <w:pPr>
        <w:ind w:right="20" w:firstLine="921"/>
        <w:spacing w:after="0" w:line="254" w:lineRule="auto"/>
        <w:tabs>
          <w:tab w:leader="none" w:pos="1162"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 addition to the annual base salary,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 Company’s incentive program at a rate of 35% (52.5% max) of Executive’s actual annual base earnings based upon the Executive’s individual performance component and/or the Company’s targeted EBITDA. The actual award under the incentive program, if any, may be more or less than the target and will be based on Executive’s performance and the performance of the Company and payment will be made in accordance with the terms of the incentive program then in effect.</w:t>
      </w:r>
    </w:p>
    <w:p>
      <w:pPr>
        <w:sectPr>
          <w:pgSz w:w="11900" w:h="16838" w:orient="portrait"/>
          <w:cols w:equalWidth="0" w:num="1">
            <w:col w:w="11420"/>
          </w:cols>
          <w:pgMar w:left="240" w:top="125" w:right="239" w:bottom="1440" w:gutter="0" w:footer="0" w:header="0"/>
        </w:sectPr>
      </w:pPr>
    </w:p>
    <w:bookmarkStart w:id="90" w:name="page91"/>
    <w:bookmarkEnd w:id="90"/>
    <w:p>
      <w:pPr>
        <w:jc w:val="both"/>
        <w:ind w:right="100" w:firstLine="921"/>
        <w:spacing w:after="0" w:line="298" w:lineRule="auto"/>
        <w:tabs>
          <w:tab w:leader="none" w:pos="1152" w:val="left"/>
        </w:tabs>
        <w:numPr>
          <w:ilvl w:val="1"/>
          <w:numId w:val="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Executive is eligible to participate in the Company’s Long Term Incentive Plan (“LTIP”). Such incentive shall be determined and distributable in accordance with the terms and conditions as described in the LTIP documents in effect at the time of the award, subject to change from year to year in the Company’s sole discretion. Executive will participate in the Company’s LTIP at an incentive rate of 70% of Executive’s combined actual annual base salary, for the incentive period, based upon the Company’s targeted performance, as defined in the LTIP documents in effect at the time of the award.</w:t>
      </w:r>
    </w:p>
    <w:p>
      <w:pPr>
        <w:spacing w:after="0" w:line="234" w:lineRule="exact"/>
        <w:rPr>
          <w:rFonts w:ascii="Arial" w:cs="Arial" w:eastAsia="Arial" w:hAnsi="Arial"/>
          <w:sz w:val="16"/>
          <w:szCs w:val="16"/>
          <w:color w:val="auto"/>
        </w:rPr>
      </w:pPr>
    </w:p>
    <w:p>
      <w:pPr>
        <w:ind w:left="1480" w:hanging="567"/>
        <w:spacing w:after="0"/>
        <w:tabs>
          <w:tab w:leader="none" w:pos="148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90"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The Company shall pay or reimburse Executive, in accordance with the Company’s policies and procedures and upon presentment of suitable vouchers, for all reasonable business and travel expenses, which may be incurred or paid by Executive in connection with her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234" w:lineRule="exact"/>
        <w:rPr>
          <w:sz w:val="20"/>
          <w:szCs w:val="20"/>
          <w:color w:val="auto"/>
        </w:rPr>
      </w:pPr>
    </w:p>
    <w:p>
      <w:pPr>
        <w:ind w:left="1480" w:hanging="567"/>
        <w:spacing w:after="0"/>
        <w:tabs>
          <w:tab w:leader="none" w:pos="148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OTHER BENEFITS</w:t>
      </w:r>
    </w:p>
    <w:p>
      <w:pPr>
        <w:spacing w:after="0" w:line="90" w:lineRule="exact"/>
        <w:rPr>
          <w:rFonts w:ascii="Arial" w:cs="Arial" w:eastAsia="Arial" w:hAnsi="Arial"/>
          <w:sz w:val="18"/>
          <w:szCs w:val="18"/>
          <w:color w:val="auto"/>
        </w:rPr>
      </w:pPr>
    </w:p>
    <w:p>
      <w:pPr>
        <w:ind w:firstLine="921"/>
        <w:spacing w:after="0" w:line="306" w:lineRule="auto"/>
        <w:tabs>
          <w:tab w:leader="none" w:pos="1152" w:val="left"/>
        </w:tabs>
        <w:numPr>
          <w:ilvl w:val="1"/>
          <w:numId w:val="40"/>
        </w:numPr>
        <w:rPr>
          <w:rFonts w:ascii="Arial" w:cs="Arial" w:eastAsia="Arial" w:hAnsi="Arial"/>
          <w:sz w:val="16"/>
          <w:szCs w:val="16"/>
          <w:color w:val="auto"/>
        </w:rPr>
      </w:pPr>
      <w:r>
        <w:rPr>
          <w:rFonts w:ascii="Arial" w:cs="Arial" w:eastAsia="Arial" w:hAnsi="Arial"/>
          <w:sz w:val="16"/>
          <w:szCs w:val="16"/>
          <w:color w:val="auto"/>
        </w:rPr>
        <w:t>Executive shall be entitled to such vacations and to participate in and receive any other benefits customarily provided by the Company to its management (including any profit sharing, pension, 401 (k), short and long-term disability insurance, medical and dental insurance and group life insurance plans in accordance with the terms of such plans), all as determined from time to time by the Compensation Committee of the Board of Directors in its discretion.</w:t>
      </w:r>
    </w:p>
    <w:p>
      <w:pPr>
        <w:spacing w:after="0" w:line="106" w:lineRule="exact"/>
        <w:rPr>
          <w:rFonts w:ascii="Arial" w:cs="Arial" w:eastAsia="Arial" w:hAnsi="Arial"/>
          <w:sz w:val="16"/>
          <w:szCs w:val="16"/>
          <w:color w:val="auto"/>
        </w:rPr>
      </w:pPr>
    </w:p>
    <w:p>
      <w:pPr>
        <w:ind w:right="60" w:firstLine="921"/>
        <w:spacing w:after="0" w:line="298" w:lineRule="auto"/>
        <w:tabs>
          <w:tab w:leader="none" w:pos="1162"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Company will, during the term of Executive’s employment hereunder, provide Executive with an automobile allowance in the total amount of Eight Thousand Five Hundred Dollars and 00/100 Cents ($8,500.00) annually, in equal bi-weekly payments in accordance with the Company’s normal payroll practices. Executive shall pay and be responsible for all insurance, repairs and maintenance costs associated with operating the automobile. Executive is responsible for her gasoline, unless the gasoline expense is reimbursable under the Company’s policies and procedures.</w:t>
      </w:r>
    </w:p>
    <w:p>
      <w:pPr>
        <w:spacing w:after="0" w:line="112" w:lineRule="exact"/>
        <w:rPr>
          <w:rFonts w:ascii="Arial" w:cs="Arial" w:eastAsia="Arial" w:hAnsi="Arial"/>
          <w:sz w:val="16"/>
          <w:szCs w:val="16"/>
          <w:color w:val="auto"/>
        </w:rPr>
      </w:pPr>
    </w:p>
    <w:p>
      <w:pPr>
        <w:ind w:left="1160" w:hanging="239"/>
        <w:spacing w:after="0"/>
        <w:tabs>
          <w:tab w:leader="none" w:pos="11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Executive will be eligible to participate in the Company’s annual performance appraisal process.</w:t>
      </w:r>
    </w:p>
    <w:p>
      <w:pPr>
        <w:spacing w:after="0" w:line="292" w:lineRule="exact"/>
        <w:rPr>
          <w:rFonts w:ascii="Arial" w:cs="Arial" w:eastAsia="Arial" w:hAnsi="Arial"/>
          <w:sz w:val="18"/>
          <w:szCs w:val="18"/>
          <w:color w:val="auto"/>
        </w:rPr>
      </w:pPr>
    </w:p>
    <w:p>
      <w:pPr>
        <w:ind w:left="1480" w:hanging="567"/>
        <w:spacing w:after="0"/>
        <w:tabs>
          <w:tab w:leader="none" w:pos="148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DUTIES</w:t>
      </w:r>
    </w:p>
    <w:p>
      <w:pPr>
        <w:spacing w:after="0" w:line="90" w:lineRule="exact"/>
        <w:rPr>
          <w:rFonts w:ascii="Arial" w:cs="Arial" w:eastAsia="Arial" w:hAnsi="Arial"/>
          <w:sz w:val="18"/>
          <w:szCs w:val="18"/>
          <w:color w:val="auto"/>
        </w:rPr>
      </w:pPr>
    </w:p>
    <w:p>
      <w:pPr>
        <w:ind w:right="140" w:firstLine="921"/>
        <w:spacing w:after="0" w:line="259" w:lineRule="auto"/>
        <w:tabs>
          <w:tab w:leader="none" w:pos="1152" w:val="left"/>
        </w:tabs>
        <w:numPr>
          <w:ilvl w:val="1"/>
          <w:numId w:val="40"/>
        </w:numPr>
        <w:rPr>
          <w:rFonts w:ascii="Arial" w:cs="Arial" w:eastAsia="Arial" w:hAnsi="Arial"/>
          <w:sz w:val="18"/>
          <w:szCs w:val="18"/>
          <w:color w:val="auto"/>
        </w:rPr>
      </w:pPr>
      <w:r>
        <w:rPr>
          <w:rFonts w:ascii="Arial" w:cs="Arial" w:eastAsia="Arial" w:hAnsi="Arial"/>
          <w:sz w:val="18"/>
          <w:szCs w:val="18"/>
          <w:color w:val="auto"/>
        </w:rPr>
        <w:t>Executive shall perform such duties and functions consistent with her position as Senior Vice President of Finance and Corporate Controller and/or as the Company shall from time to time determine and Executive shall comply in the performance of her duties with the policies of, and be subject to the direction of the Company.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91" w:name="page92"/>
    <w:bookmarkEnd w:id="91"/>
    <w:p>
      <w:pPr>
        <w:ind w:left="-40" w:right="140" w:firstLine="921"/>
        <w:spacing w:after="0" w:line="298" w:lineRule="auto"/>
        <w:tabs>
          <w:tab w:leader="none" w:pos="1122" w:val="left"/>
        </w:tabs>
        <w:numPr>
          <w:ilvl w:val="1"/>
          <w:numId w:val="4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the Term of this Agreement, Executive shall devote substantially all of her time and attention, vacation time and absences for sickness excepted, to the business of the Company, as necessary to fulfill her duties. Executive shall perform the duties assigned to her with fidelity and to the best of her ability. Notwithstanding anything herein to the contrary, and subject to the foregoing, Executive shall not be prevented from accepting positions in outside charitable organizations so long as such activities do not interfere with Executive’s performance of her duties hereunder and do not violate Section 9 hereof.</w:t>
      </w:r>
    </w:p>
    <w:p>
      <w:pPr>
        <w:spacing w:after="0" w:line="112" w:lineRule="exact"/>
        <w:rPr>
          <w:rFonts w:ascii="Arial" w:cs="Arial" w:eastAsia="Arial" w:hAnsi="Arial"/>
          <w:sz w:val="16"/>
          <w:szCs w:val="16"/>
          <w:color w:val="auto"/>
        </w:rPr>
      </w:pPr>
    </w:p>
    <w:p>
      <w:pPr>
        <w:jc w:val="both"/>
        <w:ind w:left="-40" w:firstLine="921"/>
        <w:spacing w:after="0" w:line="306" w:lineRule="auto"/>
        <w:tabs>
          <w:tab w:leader="none" w:pos="1112"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The principal location at which the Executive shall perform her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her duties hereunder, and Executive recognizes that such duties may involve travel.</w:t>
      </w:r>
    </w:p>
    <w:p>
      <w:pPr>
        <w:spacing w:after="0" w:line="228" w:lineRule="exact"/>
        <w:rPr>
          <w:rFonts w:ascii="Arial" w:cs="Arial" w:eastAsia="Arial" w:hAnsi="Arial"/>
          <w:sz w:val="16"/>
          <w:szCs w:val="16"/>
          <w:color w:val="auto"/>
        </w:rPr>
      </w:pPr>
    </w:p>
    <w:p>
      <w:pPr>
        <w:ind w:left="1440" w:hanging="567"/>
        <w:spacing w:after="0"/>
        <w:tabs>
          <w:tab w:leader="none" w:pos="144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EFFECT OF TERMINATION</w:t>
      </w:r>
    </w:p>
    <w:p>
      <w:pPr>
        <w:spacing w:after="0" w:line="90" w:lineRule="exact"/>
        <w:rPr>
          <w:rFonts w:ascii="Arial" w:cs="Arial" w:eastAsia="Arial" w:hAnsi="Arial"/>
          <w:sz w:val="18"/>
          <w:szCs w:val="18"/>
          <w:color w:val="auto"/>
        </w:rPr>
      </w:pPr>
    </w:p>
    <w:p>
      <w:pPr>
        <w:ind w:left="1120" w:hanging="239"/>
        <w:spacing w:after="0"/>
        <w:tabs>
          <w:tab w:leader="none" w:pos="11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Executive’s employment hereunder may be terminated by the Company at any time:</w:t>
      </w:r>
    </w:p>
    <w:p>
      <w:pPr>
        <w:spacing w:after="0" w:line="171" w:lineRule="exact"/>
        <w:rPr>
          <w:rFonts w:ascii="Arial" w:cs="Arial" w:eastAsia="Arial" w:hAnsi="Arial"/>
          <w:sz w:val="18"/>
          <w:szCs w:val="18"/>
          <w:color w:val="auto"/>
        </w:rPr>
      </w:pPr>
    </w:p>
    <w:p>
      <w:pPr>
        <w:ind w:left="-40" w:right="100" w:firstLine="1492"/>
        <w:spacing w:after="0" w:line="259" w:lineRule="auto"/>
        <w:tabs>
          <w:tab w:leader="none" w:pos="1653" w:val="left"/>
        </w:tabs>
        <w:numPr>
          <w:ilvl w:val="2"/>
          <w:numId w:val="42"/>
        </w:numPr>
        <w:rPr>
          <w:rFonts w:ascii="Arial" w:cs="Arial" w:eastAsia="Arial" w:hAnsi="Arial"/>
          <w:sz w:val="18"/>
          <w:szCs w:val="18"/>
          <w:color w:val="auto"/>
        </w:rPr>
      </w:pPr>
      <w:r>
        <w:rPr>
          <w:rFonts w:ascii="Arial" w:cs="Arial" w:eastAsia="Arial" w:hAnsi="Arial"/>
          <w:sz w:val="18"/>
          <w:szCs w:val="18"/>
          <w:color w:val="auto"/>
        </w:rPr>
        <w:t>upon the determination that Executive’s performance of her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140" w:lineRule="exact"/>
        <w:rPr>
          <w:rFonts w:ascii="Arial" w:cs="Arial" w:eastAsia="Arial" w:hAnsi="Arial"/>
          <w:sz w:val="18"/>
          <w:szCs w:val="18"/>
          <w:color w:val="auto"/>
        </w:rPr>
      </w:pPr>
    </w:p>
    <w:p>
      <w:pPr>
        <w:ind w:left="1720" w:hanging="268"/>
        <w:spacing w:after="0"/>
        <w:tabs>
          <w:tab w:leader="none" w:pos="1720" w:val="left"/>
        </w:tabs>
        <w:numPr>
          <w:ilvl w:val="2"/>
          <w:numId w:val="42"/>
        </w:numPr>
        <w:rPr>
          <w:rFonts w:ascii="Arial" w:cs="Arial" w:eastAsia="Arial" w:hAnsi="Arial"/>
          <w:sz w:val="18"/>
          <w:szCs w:val="18"/>
          <w:color w:val="auto"/>
        </w:rPr>
      </w:pPr>
      <w:r>
        <w:rPr>
          <w:rFonts w:ascii="Arial" w:cs="Arial" w:eastAsia="Arial" w:hAnsi="Arial"/>
          <w:sz w:val="18"/>
          <w:szCs w:val="18"/>
          <w:color w:val="auto"/>
        </w:rPr>
        <w:t>upon the determination that there is justifiable cause (as hereinafter defined) for such termination.</w:t>
      </w:r>
    </w:p>
    <w:p>
      <w:pPr>
        <w:spacing w:after="0" w:line="171" w:lineRule="exact"/>
        <w:rPr>
          <w:rFonts w:ascii="Arial" w:cs="Arial" w:eastAsia="Arial" w:hAnsi="Arial"/>
          <w:sz w:val="18"/>
          <w:szCs w:val="18"/>
          <w:color w:val="auto"/>
        </w:rPr>
      </w:pPr>
    </w:p>
    <w:p>
      <w:pPr>
        <w:ind w:left="1120" w:hanging="239"/>
        <w:spacing w:after="0"/>
        <w:tabs>
          <w:tab w:leader="none" w:pos="11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Executive’s employment shall terminate upon:</w:t>
      </w:r>
    </w:p>
    <w:p>
      <w:pPr>
        <w:spacing w:after="0" w:line="90" w:lineRule="exact"/>
        <w:rPr>
          <w:rFonts w:ascii="Arial" w:cs="Arial" w:eastAsia="Arial" w:hAnsi="Arial"/>
          <w:sz w:val="18"/>
          <w:szCs w:val="18"/>
          <w:color w:val="auto"/>
        </w:rPr>
      </w:pPr>
    </w:p>
    <w:p>
      <w:pPr>
        <w:ind w:left="1660" w:hanging="208"/>
        <w:spacing w:after="0"/>
        <w:tabs>
          <w:tab w:leader="none" w:pos="1660" w:val="left"/>
        </w:tabs>
        <w:numPr>
          <w:ilvl w:val="2"/>
          <w:numId w:val="42"/>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171" w:lineRule="exact"/>
        <w:rPr>
          <w:rFonts w:ascii="Arial" w:cs="Arial" w:eastAsia="Arial" w:hAnsi="Arial"/>
          <w:sz w:val="18"/>
          <w:szCs w:val="18"/>
          <w:color w:val="auto"/>
        </w:rPr>
      </w:pPr>
    </w:p>
    <w:p>
      <w:pPr>
        <w:ind w:left="1720" w:hanging="268"/>
        <w:spacing w:after="0"/>
        <w:tabs>
          <w:tab w:leader="none" w:pos="1720" w:val="left"/>
        </w:tabs>
        <w:numPr>
          <w:ilvl w:val="2"/>
          <w:numId w:val="42"/>
        </w:numPr>
        <w:rPr>
          <w:rFonts w:ascii="Arial" w:cs="Arial" w:eastAsia="Arial" w:hAnsi="Arial"/>
          <w:sz w:val="18"/>
          <w:szCs w:val="18"/>
          <w:color w:val="auto"/>
        </w:rPr>
      </w:pPr>
      <w:r>
        <w:rPr>
          <w:rFonts w:ascii="Arial" w:cs="Arial" w:eastAsia="Arial" w:hAnsi="Arial"/>
          <w:sz w:val="18"/>
          <w:szCs w:val="18"/>
          <w:color w:val="auto"/>
        </w:rPr>
        <w:t>the “total disability” of Executive (as hereinafter defined in Subsection (c) herein) pursuant to Subsection (h) hereof; or</w:t>
      </w:r>
    </w:p>
    <w:p>
      <w:pPr>
        <w:spacing w:after="0" w:line="90" w:lineRule="exact"/>
        <w:rPr>
          <w:rFonts w:ascii="Arial" w:cs="Arial" w:eastAsia="Arial" w:hAnsi="Arial"/>
          <w:sz w:val="18"/>
          <w:szCs w:val="18"/>
          <w:color w:val="auto"/>
        </w:rPr>
      </w:pPr>
    </w:p>
    <w:p>
      <w:pPr>
        <w:ind w:left="1760" w:hanging="308"/>
        <w:spacing w:after="0"/>
        <w:tabs>
          <w:tab w:leader="none" w:pos="1760" w:val="left"/>
        </w:tabs>
        <w:numPr>
          <w:ilvl w:val="2"/>
          <w:numId w:val="42"/>
        </w:numPr>
        <w:rPr>
          <w:rFonts w:ascii="Arial" w:cs="Arial" w:eastAsia="Arial" w:hAnsi="Arial"/>
          <w:sz w:val="18"/>
          <w:szCs w:val="18"/>
          <w:color w:val="auto"/>
        </w:rPr>
      </w:pPr>
      <w:r>
        <w:rPr>
          <w:rFonts w:ascii="Arial" w:cs="Arial" w:eastAsia="Arial" w:hAnsi="Arial"/>
          <w:sz w:val="18"/>
          <w:szCs w:val="18"/>
          <w:color w:val="auto"/>
        </w:rPr>
        <w:t>Executive’s resignation of employment.</w:t>
      </w:r>
    </w:p>
    <w:p>
      <w:pPr>
        <w:spacing w:after="0" w:line="171" w:lineRule="exact"/>
        <w:rPr>
          <w:rFonts w:ascii="Arial" w:cs="Arial" w:eastAsia="Arial" w:hAnsi="Arial"/>
          <w:sz w:val="18"/>
          <w:szCs w:val="18"/>
          <w:color w:val="auto"/>
        </w:rPr>
      </w:pPr>
    </w:p>
    <w:p>
      <w:pPr>
        <w:ind w:left="-40" w:right="340" w:firstLine="921"/>
        <w:spacing w:after="0" w:line="259" w:lineRule="auto"/>
        <w:tabs>
          <w:tab w:leader="none" w:pos="1112" w:val="left"/>
        </w:tabs>
        <w:numPr>
          <w:ilvl w:val="1"/>
          <w:numId w:val="42"/>
        </w:numPr>
        <w:rPr>
          <w:rFonts w:ascii="Arial" w:cs="Arial" w:eastAsia="Arial" w:hAnsi="Arial"/>
          <w:sz w:val="18"/>
          <w:szCs w:val="18"/>
          <w:color w:val="auto"/>
        </w:rPr>
      </w:pPr>
      <w:r>
        <w:rPr>
          <w:rFonts w:ascii="Arial" w:cs="Arial" w:eastAsia="Arial" w:hAnsi="Arial"/>
          <w:sz w:val="18"/>
          <w:szCs w:val="18"/>
          <w:color w:val="auto"/>
        </w:rPr>
        <w:t>For the purposes of this Agreement, the term “total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140" w:lineRule="exact"/>
        <w:rPr>
          <w:rFonts w:ascii="Arial" w:cs="Arial" w:eastAsia="Arial" w:hAnsi="Arial"/>
          <w:sz w:val="18"/>
          <w:szCs w:val="18"/>
          <w:color w:val="auto"/>
        </w:rPr>
      </w:pPr>
    </w:p>
    <w:p>
      <w:pPr>
        <w:ind w:left="-40" w:right="60" w:firstLine="921"/>
        <w:spacing w:after="0" w:line="259" w:lineRule="auto"/>
        <w:tabs>
          <w:tab w:leader="none" w:pos="1122" w:val="left"/>
        </w:tabs>
        <w:numPr>
          <w:ilvl w:val="1"/>
          <w:numId w:val="42"/>
        </w:numPr>
        <w:rPr>
          <w:rFonts w:ascii="Arial" w:cs="Arial" w:eastAsia="Arial" w:hAnsi="Arial"/>
          <w:sz w:val="18"/>
          <w:szCs w:val="18"/>
          <w:color w:val="auto"/>
        </w:rPr>
      </w:pPr>
      <w:r>
        <w:rPr>
          <w:rFonts w:ascii="Arial" w:cs="Arial" w:eastAsia="Arial" w:hAnsi="Arial"/>
          <w:sz w:val="18"/>
          <w:szCs w:val="18"/>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her duties in a</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80" w:top="280" w:right="259" w:bottom="1440" w:gutter="0" w:footer="0" w:header="0"/>
        </w:sectPr>
      </w:pPr>
    </w:p>
    <w:bookmarkStart w:id="92" w:name="page93"/>
    <w:bookmarkEnd w:id="92"/>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satisfactory manner; Executive’s performance of any act or her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her duties hereunder. Upon termination of Executive’s employment for justifiable cause, this Agreement shall terminate immediately and Executive shall not be entitled to any amounts or benefits hereunder other than such portion of Executive’s annual base salary and reimbursement of expenses pursuant to Section 5 hereof as have been accrued through the date of her termination of employment.</w:t>
      </w:r>
    </w:p>
    <w:p>
      <w:pPr>
        <w:spacing w:after="0" w:line="118" w:lineRule="exact"/>
        <w:rPr>
          <w:sz w:val="20"/>
          <w:szCs w:val="20"/>
          <w:color w:val="auto"/>
        </w:rPr>
      </w:pPr>
    </w:p>
    <w:p>
      <w:pPr>
        <w:ind w:right="180" w:firstLine="921"/>
        <w:spacing w:after="0" w:line="287" w:lineRule="auto"/>
        <w:tabs>
          <w:tab w:leader="none" w:pos="1152" w:val="left"/>
        </w:tabs>
        <w:numPr>
          <w:ilvl w:val="0"/>
          <w:numId w:val="43"/>
        </w:numPr>
        <w:rPr>
          <w:rFonts w:ascii="Arial" w:cs="Arial" w:eastAsia="Arial" w:hAnsi="Arial"/>
          <w:sz w:val="16"/>
          <w:szCs w:val="16"/>
          <w:color w:val="auto"/>
        </w:rPr>
      </w:pPr>
      <w:r>
        <w:rPr>
          <w:rFonts w:ascii="Arial" w:cs="Arial" w:eastAsia="Arial" w:hAnsi="Arial"/>
          <w:sz w:val="16"/>
          <w:szCs w:val="16"/>
          <w:color w:val="auto"/>
        </w:rPr>
        <w:t>If the Company terminates this Agreement without “justifiable cause” as provided in Subsection 7 (a)(i) the Company shall pay Executive her then current base salary for five months after the effectiveness of such termination, payable in equal payments in accordance with the Company’s customary payroll practices. However, if Executive is employed or retained, as an employee, independent contractor, consultant or in any other capacity or if he is offered another position by the Company at a comparable salary (“New Employment”) prior to or during the time he receives payment under this Subsection or Subsection 3 (b), the Company is entitled to a credit for all sums paid or earned by Executive during this period of time or which he could have earned had he accepted the comparable position by the Company. The Executive must make a good faith effort to find New Employment and mitigate the amount of money to be paid by the Company to Executive under this Subsection or Subsection 3(b). Executive also agrees to immediately notify the Company if and when he is offered another position and/or accepts another position. The Company will pay any amount due and owing in accordance with the payment schedule in 3(a), until paid in full. Any payment pursuant to this paragraph 7(e) is contingent upon Executive’s execution of a general release and separation agreement in a form acceptable to the Company and will be in lieu of payments to which Executive might have been entitled under any other severance plan of the Company.</w:t>
      </w:r>
    </w:p>
    <w:p>
      <w:pPr>
        <w:spacing w:after="0" w:line="122" w:lineRule="exact"/>
        <w:rPr>
          <w:rFonts w:ascii="Arial" w:cs="Arial" w:eastAsia="Arial" w:hAnsi="Arial"/>
          <w:sz w:val="16"/>
          <w:szCs w:val="16"/>
          <w:color w:val="auto"/>
        </w:rPr>
      </w:pPr>
    </w:p>
    <w:p>
      <w:pPr>
        <w:ind w:right="40" w:firstLine="921"/>
        <w:spacing w:after="0" w:line="259" w:lineRule="auto"/>
        <w:tabs>
          <w:tab w:leader="none" w:pos="1132"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Executive shall die during the term of her employment hereunder, this Agreement shall terminate immediately. In such event, the estate of Executive shall thereupon be entitled to receive such portion of Executive’s base annual salary and reimbursement of expenses pursuant to Section 4 as have been accrued through the date of her death.</w:t>
      </w:r>
    </w:p>
    <w:p>
      <w:pPr>
        <w:spacing w:after="0" w:line="140" w:lineRule="exact"/>
        <w:rPr>
          <w:rFonts w:ascii="Arial" w:cs="Arial" w:eastAsia="Arial" w:hAnsi="Arial"/>
          <w:sz w:val="18"/>
          <w:szCs w:val="18"/>
          <w:color w:val="auto"/>
        </w:rPr>
      </w:pPr>
    </w:p>
    <w:p>
      <w:pPr>
        <w:ind w:right="340" w:firstLine="921"/>
        <w:spacing w:after="0" w:line="306" w:lineRule="auto"/>
        <w:tabs>
          <w:tab w:leader="none" w:pos="1162" w:val="left"/>
        </w:tabs>
        <w:numPr>
          <w:ilvl w:val="0"/>
          <w:numId w:val="43"/>
        </w:numPr>
        <w:rPr>
          <w:rFonts w:ascii="Arial" w:cs="Arial" w:eastAsia="Arial" w:hAnsi="Arial"/>
          <w:sz w:val="16"/>
          <w:szCs w:val="16"/>
          <w:color w:val="auto"/>
        </w:rPr>
      </w:pPr>
      <w:r>
        <w:rPr>
          <w:rFonts w:ascii="Arial" w:cs="Arial" w:eastAsia="Arial" w:hAnsi="Arial"/>
          <w:sz w:val="16"/>
          <w:szCs w:val="16"/>
          <w:color w:val="auto"/>
        </w:rPr>
        <w:t>Upon Executive’s “total disability”, the Company shall have the right to terminate Executive’s employment. Any termination pursuant to this Subsection (g) shall be effective on the earlier of (i) the date 30 days after which Executive shall have received written notice of the Company’s election to terminate or (ii) the date he begins to receive long-term disability insurance benefits under the policy provided by the Company pursuant to Section 5 hereof.</w:t>
      </w:r>
    </w:p>
    <w:p>
      <w:pPr>
        <w:spacing w:after="0" w:line="106" w:lineRule="exact"/>
        <w:rPr>
          <w:rFonts w:ascii="Arial" w:cs="Arial" w:eastAsia="Arial" w:hAnsi="Arial"/>
          <w:sz w:val="16"/>
          <w:szCs w:val="16"/>
          <w:color w:val="auto"/>
        </w:rPr>
      </w:pPr>
    </w:p>
    <w:p>
      <w:pPr>
        <w:ind w:right="120" w:firstLine="921"/>
        <w:spacing w:after="0" w:line="335" w:lineRule="auto"/>
        <w:tabs>
          <w:tab w:leader="none" w:pos="1162" w:val="left"/>
        </w:tabs>
        <w:numPr>
          <w:ilvl w:val="0"/>
          <w:numId w:val="43"/>
        </w:numPr>
        <w:rPr>
          <w:rFonts w:ascii="Arial" w:cs="Arial" w:eastAsia="Arial" w:hAnsi="Arial"/>
          <w:sz w:val="15"/>
          <w:szCs w:val="15"/>
          <w:color w:val="auto"/>
        </w:rPr>
      </w:pPr>
      <w:r>
        <w:rPr>
          <w:rFonts w:ascii="Arial" w:cs="Arial" w:eastAsia="Arial" w:hAnsi="Arial"/>
          <w:sz w:val="15"/>
          <w:szCs w:val="15"/>
          <w:color w:val="auto"/>
        </w:rPr>
        <w:t>Upon the resignation of Executive in any capacity, that resignation will be deemed to be a resignation from all offices and positions that Executive holds with respect to the Company and any of its subsidiaries and affiliates. In the event of Executive’s resignation, he shall be entitled only to receive such portion of her annual base salary and reimbursement of expenses pursuant to Section 4 as have been accrued through the date of her resignation.</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93" w:name="page94"/>
    <w:bookmarkEnd w:id="93"/>
    <w:p>
      <w:pPr>
        <w:ind w:firstLine="921"/>
        <w:spacing w:after="0" w:line="290" w:lineRule="auto"/>
        <w:tabs>
          <w:tab w:leader="none" w:pos="1122" w:val="left"/>
        </w:tabs>
        <w:numPr>
          <w:ilvl w:val="1"/>
          <w:numId w:val="4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Change of Control.</w:t>
      </w:r>
      <w:r>
        <w:rPr>
          <w:rFonts w:ascii="Arial" w:cs="Arial" w:eastAsia="Arial" w:hAnsi="Arial"/>
          <w:sz w:val="16"/>
          <w:szCs w:val="16"/>
          <w:color w:val="auto"/>
        </w:rPr>
        <w:t xml:space="preserve"> In the event the Executive’s employment with the Company is terminated by the Company during the Term without justifiable cause within twelve months following a Change of Control of the Company occurring during the Term then, in such event, the Company shall pay Executive an amount equal to twelve (12) months of base annual salary in effect at the time of the termination, which amount will be subject to mitigation in accordance with Section 7(e) above. For the purposes of the foregoing, Change of Control shall have the meaning set forth in the Company’s 2006 Incentive Stock Option Plan (without regard to any subsequent amendments thereto). Any payment pursuant to this paragraph 7(i) is contingent upon Executive’s execution of a general release and separation agreement in a form acceptable to the Company and will be in lieu of payments to which Executive might have been entitled under paragraph 7(e) of this Agreement or under any other severance plan of the Company</w:t>
      </w:r>
    </w:p>
    <w:p>
      <w:pPr>
        <w:spacing w:after="0" w:line="239" w:lineRule="exact"/>
        <w:rPr>
          <w:rFonts w:ascii="Arial" w:cs="Arial" w:eastAsia="Arial" w:hAnsi="Arial"/>
          <w:sz w:val="16"/>
          <w:szCs w:val="16"/>
          <w:color w:val="auto"/>
        </w:rPr>
      </w:pPr>
    </w:p>
    <w:p>
      <w:pPr>
        <w:ind w:left="1480" w:hanging="567"/>
        <w:spacing w:after="0"/>
        <w:tabs>
          <w:tab w:leader="none" w:pos="148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REPRESENTATION AND AGREEMENTS OF EXECUTIVE</w:t>
      </w:r>
    </w:p>
    <w:p>
      <w:pPr>
        <w:spacing w:after="0" w:line="90" w:lineRule="exact"/>
        <w:rPr>
          <w:rFonts w:ascii="Arial" w:cs="Arial" w:eastAsia="Arial" w:hAnsi="Arial"/>
          <w:sz w:val="18"/>
          <w:szCs w:val="18"/>
          <w:color w:val="auto"/>
        </w:rPr>
      </w:pPr>
    </w:p>
    <w:p>
      <w:pPr>
        <w:jc w:val="both"/>
        <w:ind w:right="140" w:firstLine="921"/>
        <w:spacing w:after="0" w:line="370" w:lineRule="auto"/>
        <w:tabs>
          <w:tab w:leader="none" w:pos="1152" w:val="left"/>
        </w:tabs>
        <w:numPr>
          <w:ilvl w:val="1"/>
          <w:numId w:val="45"/>
        </w:numPr>
        <w:rPr>
          <w:rFonts w:ascii="Arial" w:cs="Arial" w:eastAsia="Arial" w:hAnsi="Arial"/>
          <w:sz w:val="15"/>
          <w:szCs w:val="15"/>
          <w:color w:val="auto"/>
        </w:rPr>
      </w:pPr>
      <w:r>
        <w:rPr>
          <w:rFonts w:ascii="Arial" w:cs="Arial" w:eastAsia="Arial" w:hAnsi="Arial"/>
          <w:sz w:val="15"/>
          <w:szCs w:val="15"/>
          <w:color w:val="auto"/>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her duties hereunder.</w:t>
      </w:r>
    </w:p>
    <w:p>
      <w:pPr>
        <w:spacing w:after="0" w:line="62" w:lineRule="exact"/>
        <w:rPr>
          <w:rFonts w:ascii="Arial" w:cs="Arial" w:eastAsia="Arial" w:hAnsi="Arial"/>
          <w:sz w:val="15"/>
          <w:szCs w:val="15"/>
          <w:color w:val="auto"/>
        </w:rPr>
      </w:pPr>
    </w:p>
    <w:p>
      <w:pPr>
        <w:jc w:val="both"/>
        <w:ind w:right="160" w:firstLine="921"/>
        <w:spacing w:after="0" w:line="259" w:lineRule="auto"/>
        <w:tabs>
          <w:tab w:leader="none" w:pos="1162" w:val="left"/>
        </w:tabs>
        <w:numPr>
          <w:ilvl w:val="1"/>
          <w:numId w:val="45"/>
        </w:numPr>
        <w:rPr>
          <w:rFonts w:ascii="Arial" w:cs="Arial" w:eastAsia="Arial" w:hAnsi="Arial"/>
          <w:sz w:val="18"/>
          <w:szCs w:val="18"/>
          <w:color w:val="auto"/>
        </w:rPr>
      </w:pPr>
      <w:r>
        <w:rPr>
          <w:rFonts w:ascii="Arial" w:cs="Arial" w:eastAsia="Arial" w:hAnsi="Arial"/>
          <w:sz w:val="18"/>
          <w:szCs w:val="18"/>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40" w:lineRule="exact"/>
        <w:rPr>
          <w:rFonts w:ascii="Arial" w:cs="Arial" w:eastAsia="Arial" w:hAnsi="Arial"/>
          <w:sz w:val="18"/>
          <w:szCs w:val="18"/>
          <w:color w:val="auto"/>
        </w:rPr>
      </w:pPr>
    </w:p>
    <w:p>
      <w:pPr>
        <w:ind w:right="100" w:firstLine="921"/>
        <w:spacing w:after="0" w:line="370" w:lineRule="auto"/>
        <w:tabs>
          <w:tab w:leader="none" w:pos="1152" w:val="left"/>
        </w:tabs>
        <w:numPr>
          <w:ilvl w:val="1"/>
          <w:numId w:val="45"/>
        </w:numPr>
        <w:rPr>
          <w:rFonts w:ascii="Arial" w:cs="Arial" w:eastAsia="Arial" w:hAnsi="Arial"/>
          <w:sz w:val="15"/>
          <w:szCs w:val="15"/>
          <w:color w:val="auto"/>
        </w:rPr>
      </w:pPr>
      <w:r>
        <w:rPr>
          <w:rFonts w:ascii="Arial" w:cs="Arial" w:eastAsia="Arial" w:hAnsi="Arial"/>
          <w:sz w:val="15"/>
          <w:szCs w:val="15"/>
          <w:color w:val="auto"/>
        </w:rPr>
        <w:t>Executive represents and warrants that he has never been convicted of a felony and he has not been convicted or incarcerated for a misdemeanor within the past five years, other than a first conviction for drunkenness, simple assault, speeding, minor traffic violations, affray, or disturbance of the peace.</w:t>
      </w:r>
    </w:p>
    <w:p>
      <w:pPr>
        <w:spacing w:after="0" w:line="62" w:lineRule="exact"/>
        <w:rPr>
          <w:rFonts w:ascii="Arial" w:cs="Arial" w:eastAsia="Arial" w:hAnsi="Arial"/>
          <w:sz w:val="15"/>
          <w:szCs w:val="15"/>
          <w:color w:val="auto"/>
        </w:rPr>
      </w:pPr>
    </w:p>
    <w:p>
      <w:pPr>
        <w:ind w:firstLine="921"/>
        <w:spacing w:after="0" w:line="259" w:lineRule="auto"/>
        <w:tabs>
          <w:tab w:leader="none" w:pos="1162" w:val="left"/>
        </w:tabs>
        <w:numPr>
          <w:ilvl w:val="1"/>
          <w:numId w:val="45"/>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 party to any judicial or administrative proceeding that resulted in a judgement, decree, or final order (i) enjoining him from future violations of, or prohibiting any violations of any federal or state securities law, or (ii) finding any violations of any federal or state securities law.</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accused of any impropriety in connection with any employment;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Any breach of any of the above representations and warranties is “justifiable cause” for termination under Section 7(d) of this Agreement.</w:t>
      </w:r>
    </w:p>
    <w:p>
      <w:pPr>
        <w:spacing w:after="0" w:line="293" w:lineRule="exact"/>
        <w:rPr>
          <w:sz w:val="20"/>
          <w:szCs w:val="20"/>
          <w:color w:val="auto"/>
        </w:rPr>
      </w:pPr>
    </w:p>
    <w:p>
      <w:pPr>
        <w:ind w:left="1480" w:hanging="567"/>
        <w:spacing w:after="0"/>
        <w:tabs>
          <w:tab w:leader="none" w:pos="148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NON-COMPETITION</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Executive agrees that during her employment by the Company and during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94" w:name="page95"/>
    <w:bookmarkEnd w:id="94"/>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two (2) year period following the termination of Executive’s employment hereunder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and affiliates has a business relationship to cancel or terminate any such business relationship with the Company or any of its subsidiaries and affiliates or otherwise compromise the Company’s good will or solicit, hire, interfere with or entice from the Company any employee (or former employee) of the Company.</w:t>
      </w:r>
    </w:p>
    <w:p>
      <w:pPr>
        <w:spacing w:after="0" w:line="127" w:lineRule="exact"/>
        <w:rPr>
          <w:sz w:val="20"/>
          <w:szCs w:val="20"/>
          <w:color w:val="auto"/>
        </w:rPr>
      </w:pPr>
    </w:p>
    <w:p>
      <w:pPr>
        <w:ind w:right="140" w:firstLine="921"/>
        <w:spacing w:after="0" w:line="255" w:lineRule="auto"/>
        <w:tabs>
          <w:tab w:leader="none" w:pos="1162"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any portion of the restrictions set forth in this Section 9 should, for any reason whatsoever, be declared invalid by a court of competent jurisdiction, the validity or enforceability of the remainder of such restrictions shall not thereby be adversely affected. For the purposes of this Section 9,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142" w:lineRule="exact"/>
        <w:rPr>
          <w:rFonts w:ascii="Arial" w:cs="Arial" w:eastAsia="Arial" w:hAnsi="Arial"/>
          <w:sz w:val="18"/>
          <w:szCs w:val="18"/>
          <w:color w:val="auto"/>
        </w:rPr>
      </w:pPr>
    </w:p>
    <w:p>
      <w:pPr>
        <w:ind w:firstLine="921"/>
        <w:spacing w:after="0" w:line="294" w:lineRule="auto"/>
        <w:tabs>
          <w:tab w:leader="none" w:pos="1152" w:val="left"/>
        </w:tabs>
        <w:numPr>
          <w:ilvl w:val="0"/>
          <w:numId w:val="47"/>
        </w:numPr>
        <w:rPr>
          <w:rFonts w:ascii="Arial" w:cs="Arial" w:eastAsia="Arial" w:hAnsi="Arial"/>
          <w:sz w:val="16"/>
          <w:szCs w:val="16"/>
          <w:color w:val="auto"/>
        </w:rPr>
      </w:pPr>
      <w:r>
        <w:rPr>
          <w:rFonts w:ascii="Arial" w:cs="Arial" w:eastAsia="Arial" w:hAnsi="Arial"/>
          <w:sz w:val="16"/>
          <w:szCs w:val="16"/>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Section 9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15" w:lineRule="exact"/>
        <w:rPr>
          <w:rFonts w:ascii="Arial" w:cs="Arial" w:eastAsia="Arial" w:hAnsi="Arial"/>
          <w:sz w:val="16"/>
          <w:szCs w:val="16"/>
          <w:color w:val="auto"/>
        </w:rPr>
      </w:pPr>
    </w:p>
    <w:p>
      <w:pPr>
        <w:ind w:right="80" w:firstLine="921"/>
        <w:spacing w:after="0" w:line="256" w:lineRule="auto"/>
        <w:tabs>
          <w:tab w:leader="none" w:pos="1162"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existence of any non-material claim or cause of action (a “non-material” claim or cause of action is defined as a claim or cause of action which results from something other than a material breach of the terms and provisions of this Agreement by the Company)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95" w:name="page96"/>
    <w:bookmarkEnd w:id="95"/>
    <w:p>
      <w:pPr>
        <w:ind w:left="1440" w:hanging="567"/>
        <w:spacing w:after="0"/>
        <w:tabs>
          <w:tab w:leader="none" w:pos="144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INVENTIONS AND DISCOVERIES</w:t>
      </w:r>
    </w:p>
    <w:p>
      <w:pPr>
        <w:spacing w:after="0" w:line="90" w:lineRule="exact"/>
        <w:rPr>
          <w:sz w:val="20"/>
          <w:szCs w:val="20"/>
          <w:color w:val="auto"/>
        </w:rPr>
      </w:pPr>
    </w:p>
    <w:p>
      <w:pPr>
        <w:ind w:left="-40" w:right="20" w:firstLine="921"/>
        <w:spacing w:after="0" w:line="253" w:lineRule="auto"/>
        <w:tabs>
          <w:tab w:leader="none" w:pos="1112" w:val="left"/>
        </w:tabs>
        <w:numPr>
          <w:ilvl w:val="0"/>
          <w:numId w:val="49"/>
        </w:numPr>
        <w:rPr>
          <w:rFonts w:ascii="Arial" w:cs="Arial" w:eastAsia="Arial" w:hAnsi="Arial"/>
          <w:sz w:val="18"/>
          <w:szCs w:val="18"/>
          <w:color w:val="auto"/>
        </w:rPr>
      </w:pPr>
      <w:r>
        <w:rPr>
          <w:rFonts w:ascii="Arial" w:cs="Arial" w:eastAsia="Arial" w:hAnsi="Arial"/>
          <w:sz w:val="18"/>
          <w:szCs w:val="18"/>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her employment with, or rendering of advisory or consulting services to, the Company or any of its subsidiaries and affiliates, solely or jointly with others, in or relating to any activities of the Company or its subsidiaries and affiliates known to him as a consequence of her employment or the rendering of advisory and consulting services hereunder (collectively the “Subject Matter”).</w:t>
      </w:r>
    </w:p>
    <w:p>
      <w:pPr>
        <w:spacing w:after="0" w:line="147" w:lineRule="exact"/>
        <w:rPr>
          <w:rFonts w:ascii="Arial" w:cs="Arial" w:eastAsia="Arial" w:hAnsi="Arial"/>
          <w:sz w:val="18"/>
          <w:szCs w:val="18"/>
          <w:color w:val="auto"/>
        </w:rPr>
      </w:pPr>
    </w:p>
    <w:p>
      <w:pPr>
        <w:ind w:left="-40" w:right="60" w:firstLine="921"/>
        <w:spacing w:after="0" w:line="253" w:lineRule="auto"/>
        <w:tabs>
          <w:tab w:leader="none" w:pos="1122"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Executive hereby assigns and transfers, and agrees to assign and transfer, to the Company, all her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267" w:lineRule="exact"/>
        <w:rPr>
          <w:sz w:val="20"/>
          <w:szCs w:val="20"/>
          <w:color w:val="auto"/>
        </w:rPr>
      </w:pPr>
    </w:p>
    <w:p>
      <w:pPr>
        <w:ind w:left="1440" w:hanging="567"/>
        <w:spacing w:after="0"/>
        <w:tabs>
          <w:tab w:leader="none" w:pos="144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NON-DISCLOSURE OF CONFIDENTIAL INFORMATION</w:t>
      </w:r>
    </w:p>
    <w:p>
      <w:pPr>
        <w:spacing w:after="0" w:line="90" w:lineRule="exact"/>
        <w:rPr>
          <w:sz w:val="20"/>
          <w:szCs w:val="20"/>
          <w:color w:val="auto"/>
        </w:rPr>
      </w:pPr>
    </w:p>
    <w:p>
      <w:pPr>
        <w:ind w:left="-40" w:firstLine="921"/>
        <w:spacing w:after="0" w:line="287" w:lineRule="auto"/>
        <w:tabs>
          <w:tab w:leader="none" w:pos="1112" w:val="left"/>
        </w:tabs>
        <w:numPr>
          <w:ilvl w:val="0"/>
          <w:numId w:val="51"/>
        </w:numPr>
        <w:rPr>
          <w:rFonts w:ascii="Arial" w:cs="Arial" w:eastAsia="Arial" w:hAnsi="Arial"/>
          <w:sz w:val="16"/>
          <w:szCs w:val="16"/>
          <w:color w:val="auto"/>
        </w:rPr>
      </w:pPr>
      <w:r>
        <w:rPr>
          <w:rFonts w:ascii="Arial" w:cs="Arial" w:eastAsia="Arial" w:hAnsi="Arial"/>
          <w:sz w:val="16"/>
          <w:szCs w:val="16"/>
          <w:color w:val="auto"/>
        </w:rPr>
        <w:t>Executive acknowledges that the Company possesses certain confidential and propriety information that has been or may be revealed to him or learned by Executive during the course of Executive’s employment with the Company and that it would be unfair to use that information or knowledge to compete with or to otherwise disadvantage the Company. Executive shall not, during the term of this Agreement or at any time following termination of this Agreement, directly or indirectly, disclose or permit to be known (other than as is required in the regular course of her duties (including without limitation disclosures to the Company’s advisors and consultants), as required by law (in which case Executive shall give the Company prior written notice of such required disclosure) or with the prior written consent of the Board of Directors of the Company, to any person, firm, corporation, or other entity, any confidential information acquired by him during the course of, or as an incident to, her employment or the rendering of her advisory or consulting services hereunder, relating to the Company or any of its subsidiaries and affiliates, the directors of the Company or its subsidiaries and affiliates, any supplier or customer of the Company or any of their subsidiaries and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80" w:top="280" w:right="259" w:bottom="1440" w:gutter="0" w:footer="0" w:header="0"/>
        </w:sectPr>
      </w:pPr>
    </w:p>
    <w:bookmarkStart w:id="96" w:name="page97"/>
    <w:bookmarkEnd w:id="96"/>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Section 11(a) by Executive.</w:t>
      </w:r>
    </w:p>
    <w:p>
      <w:pPr>
        <w:spacing w:after="0" w:line="143" w:lineRule="exact"/>
        <w:rPr>
          <w:sz w:val="20"/>
          <w:szCs w:val="20"/>
          <w:color w:val="auto"/>
        </w:rPr>
      </w:pPr>
    </w:p>
    <w:p>
      <w:pPr>
        <w:ind w:right="560" w:firstLine="921"/>
        <w:spacing w:after="0" w:line="298" w:lineRule="auto"/>
        <w:tabs>
          <w:tab w:leader="none" w:pos="1162" w:val="left"/>
        </w:tabs>
        <w:numPr>
          <w:ilvl w:val="0"/>
          <w:numId w:val="52"/>
        </w:numPr>
        <w:rPr>
          <w:rFonts w:ascii="Arial" w:cs="Arial" w:eastAsia="Arial" w:hAnsi="Arial"/>
          <w:sz w:val="16"/>
          <w:szCs w:val="16"/>
          <w:color w:val="auto"/>
        </w:rPr>
      </w:pPr>
      <w:r>
        <w:rPr>
          <w:rFonts w:ascii="Arial" w:cs="Arial" w:eastAsia="Arial" w:hAnsi="Arial"/>
          <w:sz w:val="16"/>
          <w:szCs w:val="16"/>
          <w:color w:val="auto"/>
        </w:rPr>
        <w:t>All information and documents relating to the Company and its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234" w:lineRule="exact"/>
        <w:rPr>
          <w:sz w:val="20"/>
          <w:szCs w:val="20"/>
          <w:color w:val="auto"/>
        </w:rPr>
      </w:pPr>
    </w:p>
    <w:p>
      <w:pPr>
        <w:ind w:left="1480" w:hanging="567"/>
        <w:spacing w:after="0"/>
        <w:tabs>
          <w:tab w:leader="none" w:pos="148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p>
    <w:p>
      <w:pPr>
        <w:spacing w:after="0" w:line="90" w:lineRule="exact"/>
        <w:rPr>
          <w:sz w:val="20"/>
          <w:szCs w:val="20"/>
          <w:color w:val="auto"/>
        </w:rPr>
      </w:pPr>
    </w:p>
    <w:p>
      <w:pPr>
        <w:ind w:firstLine="913"/>
        <w:spacing w:after="0" w:line="312" w:lineRule="auto"/>
        <w:rPr>
          <w:sz w:val="20"/>
          <w:szCs w:val="20"/>
          <w:color w:val="auto"/>
        </w:rPr>
      </w:pPr>
      <w:r>
        <w:rPr>
          <w:rFonts w:ascii="Arial" w:cs="Arial" w:eastAsia="Arial" w:hAnsi="Arial"/>
          <w:sz w:val="15"/>
          <w:szCs w:val="15"/>
          <w:color w:val="auto"/>
        </w:rPr>
        <w:t>Executive agrees that if he breaches, or threatens to commit a breach of, any of the provisions of Sections 9, 10 or 11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breach or threatened breach of the Restrictive Covenants would cause irreparable injury to the Company and that money damages would not provide an adequate remedy to the Company. Notwithstanding the foregoing, nothing herein shall constitute a waiver by Executive of her right to contest whether a breach or threatened breach of any Restrictive Covenant has occurred. The Company shall be entitled to recover from Executive all attorneys’ fees and expenses reasonably incurred in establishing a breach of this agreement. The damages, attorneys’ fees and costs shall be in addition to and not in lieu of any preliminary injunctive relief that may be available to the Company.</w:t>
      </w:r>
    </w:p>
    <w:p>
      <w:pPr>
        <w:spacing w:after="0" w:line="227" w:lineRule="exact"/>
        <w:rPr>
          <w:sz w:val="20"/>
          <w:szCs w:val="20"/>
          <w:color w:val="auto"/>
        </w:rPr>
      </w:pPr>
    </w:p>
    <w:p>
      <w:pPr>
        <w:ind w:left="1480" w:hanging="567"/>
        <w:spacing w:after="0"/>
        <w:tabs>
          <w:tab w:leader="none" w:pos="148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AMENDMENT OR ALTERATION</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No amendment or alteration of the terms of this Agreement shall be valid unless made in writing and signed by both of the parties hereto.</w:t>
      </w:r>
    </w:p>
    <w:p>
      <w:pPr>
        <w:spacing w:after="0" w:line="316" w:lineRule="exact"/>
        <w:rPr>
          <w:sz w:val="20"/>
          <w:szCs w:val="20"/>
          <w:color w:val="auto"/>
        </w:rPr>
      </w:pPr>
    </w:p>
    <w:p>
      <w:pPr>
        <w:ind w:left="1480" w:hanging="567"/>
        <w:spacing w:after="0"/>
        <w:tabs>
          <w:tab w:leader="none" w:pos="148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90"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254" w:lineRule="exact"/>
        <w:rPr>
          <w:sz w:val="20"/>
          <w:szCs w:val="20"/>
          <w:color w:val="auto"/>
        </w:rPr>
      </w:pPr>
    </w:p>
    <w:p>
      <w:pPr>
        <w:ind w:left="1480" w:hanging="567"/>
        <w:spacing w:after="0"/>
        <w:tabs>
          <w:tab w:leader="none" w:pos="148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SEVERABILITY</w:t>
      </w:r>
    </w:p>
    <w:p>
      <w:pPr>
        <w:spacing w:after="0" w:line="90" w:lineRule="exact"/>
        <w:rPr>
          <w:sz w:val="20"/>
          <w:szCs w:val="20"/>
          <w:color w:val="auto"/>
        </w:rPr>
      </w:pPr>
    </w:p>
    <w:p>
      <w:pPr>
        <w:ind w:right="620" w:firstLine="913"/>
        <w:spacing w:after="0" w:line="268" w:lineRule="auto"/>
        <w:rPr>
          <w:sz w:val="20"/>
          <w:szCs w:val="20"/>
          <w:color w:val="auto"/>
        </w:rPr>
      </w:pPr>
      <w:r>
        <w:rPr>
          <w:rFonts w:ascii="Arial" w:cs="Arial" w:eastAsia="Arial" w:hAnsi="Arial"/>
          <w:sz w:val="18"/>
          <w:szCs w:val="18"/>
          <w:color w:val="auto"/>
        </w:rPr>
        <w:t>The holding of any provision of this Agreement to be invalid or unenforceable by a court of competent jurisdiction shall not affect any other provision of this Agreement, which shall remain in full force and effect.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97" w:name="page98"/>
    <w:bookmarkEnd w:id="97"/>
    <w:p>
      <w:pPr>
        <w:ind w:left="1480" w:hanging="567"/>
        <w:spacing w:after="0"/>
        <w:tabs>
          <w:tab w:leader="none" w:pos="148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NOTICES</w:t>
      </w:r>
    </w:p>
    <w:p>
      <w:pPr>
        <w:spacing w:after="0" w:line="90"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at the expiration of three days in the event of a mailing.</w:t>
      </w:r>
    </w:p>
    <w:p>
      <w:pPr>
        <w:spacing w:after="0" w:line="228" w:lineRule="exact"/>
        <w:rPr>
          <w:sz w:val="20"/>
          <w:szCs w:val="20"/>
          <w:color w:val="auto"/>
        </w:rPr>
      </w:pPr>
    </w:p>
    <w:p>
      <w:pPr>
        <w:ind w:left="1480" w:hanging="567"/>
        <w:spacing w:after="0"/>
        <w:tabs>
          <w:tab w:leader="none" w:pos="148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WAIVER OR BREACH</w:t>
      </w:r>
    </w:p>
    <w:p>
      <w:pPr>
        <w:spacing w:after="0" w:line="90" w:lineRule="exact"/>
        <w:rPr>
          <w:sz w:val="20"/>
          <w:szCs w:val="20"/>
          <w:color w:val="auto"/>
        </w:rPr>
      </w:pPr>
    </w:p>
    <w:p>
      <w:pPr>
        <w:ind w:right="620" w:firstLine="913"/>
        <w:spacing w:after="0" w:line="268" w:lineRule="auto"/>
        <w:rPr>
          <w:sz w:val="20"/>
          <w:szCs w:val="20"/>
          <w:color w:val="auto"/>
        </w:rPr>
      </w:pPr>
      <w:r>
        <w:rPr>
          <w:rFonts w:ascii="Arial" w:cs="Arial" w:eastAsia="Arial" w:hAnsi="Arial"/>
          <w:sz w:val="18"/>
          <w:szCs w:val="18"/>
          <w:color w:val="auto"/>
        </w:rPr>
        <w:t>It is agreed that a waiver by either party or a breach of any provision of this Agreement shall not operate, or be construed as a waiver of any subsequent breach by that same party.</w:t>
      </w:r>
    </w:p>
    <w:p>
      <w:pPr>
        <w:spacing w:after="0" w:line="254" w:lineRule="exact"/>
        <w:rPr>
          <w:sz w:val="20"/>
          <w:szCs w:val="20"/>
          <w:color w:val="auto"/>
        </w:rPr>
      </w:pPr>
    </w:p>
    <w:p>
      <w:pPr>
        <w:ind w:left="1480" w:hanging="567"/>
        <w:spacing w:after="0"/>
        <w:tabs>
          <w:tab w:leader="none" w:pos="148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ENTIRE AGREEMENT AND BINDING EFFECT</w:t>
      </w:r>
    </w:p>
    <w:p>
      <w:pPr>
        <w:spacing w:after="0" w:line="90"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her duties, compensation or areas of responsibility shall in no way affect the validity of this Agreement or otherwise render inapplicable any of the provisions of paragraphs 9 through 12 of this Agreement, which shall remain in full force and effect except as may be modified by a subsequent written agreement.</w:t>
      </w:r>
    </w:p>
    <w:p>
      <w:pPr>
        <w:spacing w:after="0" w:line="240" w:lineRule="exact"/>
        <w:rPr>
          <w:sz w:val="20"/>
          <w:szCs w:val="20"/>
          <w:color w:val="auto"/>
        </w:rPr>
      </w:pPr>
    </w:p>
    <w:p>
      <w:pPr>
        <w:ind w:left="1480" w:hanging="567"/>
        <w:spacing w:after="0"/>
        <w:tabs>
          <w:tab w:leader="none" w:pos="148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SURVIVAL</w:t>
      </w:r>
    </w:p>
    <w:p>
      <w:pPr>
        <w:spacing w:after="0" w:line="90"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Except as otherwise expressly provided herein, the termination of Executive’s employment hereunder or the expiration of this Agreement shall not affect the enforceability of Sections 7, 8, 9, 10, 11 and 12 hereof.</w:t>
      </w:r>
    </w:p>
    <w:p>
      <w:pPr>
        <w:spacing w:after="0" w:line="254" w:lineRule="exact"/>
        <w:rPr>
          <w:sz w:val="20"/>
          <w:szCs w:val="20"/>
          <w:color w:val="auto"/>
        </w:rPr>
      </w:pPr>
    </w:p>
    <w:p>
      <w:pPr>
        <w:ind w:left="1480" w:hanging="567"/>
        <w:spacing w:after="0"/>
        <w:tabs>
          <w:tab w:leader="none" w:pos="148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Any and all disputes arising under or in connection with this Agreement shall be resolved in accordance with this Section 20.</w:t>
      </w:r>
    </w:p>
    <w:p>
      <w:pPr>
        <w:spacing w:after="0" w:line="171" w:lineRule="exact"/>
        <w:rPr>
          <w:sz w:val="20"/>
          <w:szCs w:val="20"/>
          <w:color w:val="auto"/>
        </w:rPr>
      </w:pPr>
    </w:p>
    <w:p>
      <w:pPr>
        <w:ind w:right="40" w:firstLine="913"/>
        <w:spacing w:after="0" w:line="332" w:lineRule="auto"/>
        <w:rPr>
          <w:sz w:val="20"/>
          <w:szCs w:val="20"/>
          <w:color w:val="auto"/>
        </w:rPr>
      </w:pPr>
      <w:r>
        <w:rPr>
          <w:rFonts w:ascii="Arial" w:cs="Arial" w:eastAsia="Arial" w:hAnsi="Arial"/>
          <w:sz w:val="16"/>
          <w:szCs w:val="16"/>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80" w:right="299" w:bottom="1440" w:gutter="0" w:footer="0" w:header="0"/>
        </w:sectPr>
      </w:pPr>
    </w:p>
    <w:bookmarkStart w:id="98" w:name="page99"/>
    <w:bookmarkEnd w:id="98"/>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institute action in any state or federal court located within the Commonwealth of Massachusetts and each party consents to the personal jurisdiction of any such state or federal court.</w:t>
      </w:r>
    </w:p>
    <w:p>
      <w:pPr>
        <w:spacing w:after="0" w:line="254" w:lineRule="exact"/>
        <w:rPr>
          <w:sz w:val="20"/>
          <w:szCs w:val="20"/>
          <w:color w:val="auto"/>
        </w:rPr>
      </w:pPr>
    </w:p>
    <w:p>
      <w:pPr>
        <w:ind w:left="1480" w:hanging="567"/>
        <w:spacing w:after="0"/>
        <w:tabs>
          <w:tab w:leader="none" w:pos="148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p>
    <w:p>
      <w:pPr>
        <w:spacing w:after="0" w:line="90" w:lineRule="exact"/>
        <w:rPr>
          <w:sz w:val="20"/>
          <w:szCs w:val="20"/>
          <w:color w:val="auto"/>
        </w:rPr>
      </w:pPr>
    </w:p>
    <w:p>
      <w:pPr>
        <w:ind w:right="280" w:firstLine="913"/>
        <w:spacing w:after="0" w:line="268" w:lineRule="auto"/>
        <w:rPr>
          <w:sz w:val="20"/>
          <w:szCs w:val="20"/>
          <w:color w:val="auto"/>
        </w:rPr>
      </w:pPr>
      <w:r>
        <w:rPr>
          <w:rFonts w:ascii="Arial" w:cs="Arial" w:eastAsia="Arial" w:hAnsi="Arial"/>
          <w:sz w:val="18"/>
          <w:szCs w:val="18"/>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254" w:lineRule="exact"/>
        <w:rPr>
          <w:sz w:val="20"/>
          <w:szCs w:val="20"/>
          <w:color w:val="auto"/>
        </w:rPr>
      </w:pPr>
    </w:p>
    <w:p>
      <w:pPr>
        <w:ind w:left="1480" w:hanging="567"/>
        <w:spacing w:after="0"/>
        <w:tabs>
          <w:tab w:leader="none" w:pos="148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HEADINGS</w:t>
      </w:r>
    </w:p>
    <w:p>
      <w:pPr>
        <w:spacing w:after="0" w:line="90"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The Section headings appearing in this Agreement are for the purposes of easy reference and shall not be considered a part of this Agreement or in any way modify, amend or affect its provisions.</w:t>
      </w:r>
    </w:p>
    <w:p>
      <w:pPr>
        <w:spacing w:after="0" w:line="254" w:lineRule="exact"/>
        <w:rPr>
          <w:sz w:val="20"/>
          <w:szCs w:val="20"/>
          <w:color w:val="auto"/>
        </w:rPr>
      </w:pPr>
    </w:p>
    <w:p>
      <w:pPr>
        <w:ind w:left="1480" w:hanging="567"/>
        <w:spacing w:after="0"/>
        <w:tabs>
          <w:tab w:leader="none" w:pos="148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90"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This Agreement may be executed in one or more counterparts, each of which shall be deemed an original and all of which together shall constitute one and the same agreement.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Agreement, under seal, as of the date and year first above written.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Levin</w:t>
            </w:r>
          </w:p>
        </w:tc>
        <w:tc>
          <w:tcPr>
            <w:tcW w:w="2600" w:type="dxa"/>
            <w:vAlign w:val="bottom"/>
          </w:tcPr>
          <w:p>
            <w:pPr>
              <w:ind w:left="1440"/>
              <w:spacing w:after="0"/>
              <w:rPr>
                <w:sz w:val="20"/>
                <w:szCs w:val="20"/>
                <w:color w:val="auto"/>
              </w:rPr>
            </w:pPr>
            <w:r>
              <w:rPr>
                <w:rFonts w:ascii="Arial" w:cs="Arial" w:eastAsia="Arial" w:hAnsi="Arial"/>
                <w:sz w:val="18"/>
                <w:szCs w:val="18"/>
                <w:color w:val="auto"/>
                <w:w w:val="87"/>
              </w:rPr>
              <w:t>Date: 3-24-2008</w:t>
            </w:r>
          </w:p>
        </w:tc>
      </w:tr>
      <w:tr>
        <w:trPr>
          <w:trHeight w:val="215"/>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940" w:type="dxa"/>
            <w:vAlign w:val="bottom"/>
          </w:tcPr>
          <w:p>
            <w:pPr>
              <w:spacing w:after="0"/>
              <w:rPr>
                <w:sz w:val="20"/>
                <w:szCs w:val="20"/>
                <w:color w:val="auto"/>
              </w:rPr>
            </w:pPr>
            <w:r>
              <w:rPr>
                <w:rFonts w:ascii="Arial" w:cs="Arial" w:eastAsia="Arial" w:hAnsi="Arial"/>
                <w:sz w:val="18"/>
                <w:szCs w:val="18"/>
                <w:color w:val="auto"/>
              </w:rPr>
              <w:t>David A. Levin</w:t>
            </w:r>
          </w:p>
        </w:tc>
        <w:tc>
          <w:tcPr>
            <w:tcW w:w="2600" w:type="dxa"/>
            <w:vAlign w:val="bottom"/>
          </w:tcPr>
          <w:p>
            <w:pPr>
              <w:spacing w:after="0"/>
              <w:rPr>
                <w:sz w:val="18"/>
                <w:szCs w:val="18"/>
                <w:color w:val="auto"/>
              </w:rPr>
            </w:pP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Its:</w:t>
            </w:r>
          </w:p>
        </w:tc>
        <w:tc>
          <w:tcPr>
            <w:tcW w:w="3940" w:type="dxa"/>
            <w:vAlign w:val="bottom"/>
          </w:tcPr>
          <w:p>
            <w:pPr>
              <w:spacing w:after="0"/>
              <w:rPr>
                <w:sz w:val="20"/>
                <w:szCs w:val="20"/>
                <w:color w:val="auto"/>
              </w:rPr>
            </w:pPr>
            <w:r>
              <w:rPr>
                <w:rFonts w:ascii="Arial" w:cs="Arial" w:eastAsia="Arial" w:hAnsi="Arial"/>
                <w:sz w:val="18"/>
                <w:szCs w:val="18"/>
                <w:color w:val="auto"/>
              </w:rPr>
              <w:t>President, Chief Executive Officer</w:t>
            </w:r>
          </w:p>
        </w:tc>
        <w:tc>
          <w:tcPr>
            <w:tcW w:w="2600" w:type="dxa"/>
            <w:vAlign w:val="bottom"/>
          </w:tcPr>
          <w:p>
            <w:pPr>
              <w:spacing w:after="0"/>
              <w:rPr>
                <w:sz w:val="19"/>
                <w:szCs w:val="19"/>
                <w:color w:val="auto"/>
              </w:rPr>
            </w:pPr>
          </w:p>
        </w:tc>
      </w:tr>
      <w:tr>
        <w:trPr>
          <w:trHeight w:val="434"/>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c>
          <w:tcPr>
            <w:tcW w:w="2600" w:type="dxa"/>
            <w:vAlign w:val="bottom"/>
          </w:tcPr>
          <w:p>
            <w:pPr>
              <w:ind w:left="1440"/>
              <w:spacing w:after="0"/>
              <w:rPr>
                <w:sz w:val="20"/>
                <w:szCs w:val="20"/>
                <w:color w:val="auto"/>
              </w:rPr>
            </w:pPr>
            <w:r>
              <w:rPr>
                <w:rFonts w:ascii="Arial" w:cs="Arial" w:eastAsia="Arial" w:hAnsi="Arial"/>
                <w:sz w:val="18"/>
                <w:szCs w:val="18"/>
                <w:color w:val="auto"/>
                <w:w w:val="87"/>
              </w:rPr>
              <w:t>Date: 3-24-2008</w:t>
            </w:r>
          </w:p>
        </w:tc>
      </w:tr>
      <w:tr>
        <w:trPr>
          <w:trHeight w:val="215"/>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940" w:type="dxa"/>
            <w:vAlign w:val="bottom"/>
          </w:tcPr>
          <w:p>
            <w:pPr>
              <w:spacing w:after="0"/>
              <w:rPr>
                <w:sz w:val="20"/>
                <w:szCs w:val="20"/>
                <w:color w:val="auto"/>
              </w:rPr>
            </w:pPr>
            <w:r>
              <w:rPr>
                <w:rFonts w:ascii="Arial" w:cs="Arial" w:eastAsia="Arial" w:hAnsi="Arial"/>
                <w:sz w:val="18"/>
                <w:szCs w:val="18"/>
                <w:color w:val="auto"/>
              </w:rPr>
              <w:t>Dennis R. Hernreich</w:t>
            </w:r>
          </w:p>
        </w:tc>
        <w:tc>
          <w:tcPr>
            <w:tcW w:w="2600" w:type="dxa"/>
            <w:vAlign w:val="bottom"/>
          </w:tcPr>
          <w:p>
            <w:pPr>
              <w:spacing w:after="0"/>
              <w:rPr>
                <w:sz w:val="18"/>
                <w:szCs w:val="18"/>
                <w:color w:val="auto"/>
              </w:rPr>
            </w:pP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Its:</w:t>
            </w:r>
          </w:p>
        </w:tc>
        <w:tc>
          <w:tcPr>
            <w:tcW w:w="3940" w:type="dxa"/>
            <w:vAlign w:val="bottom"/>
          </w:tcPr>
          <w:p>
            <w:pPr>
              <w:spacing w:after="0"/>
              <w:rPr>
                <w:sz w:val="20"/>
                <w:szCs w:val="20"/>
                <w:color w:val="auto"/>
              </w:rPr>
            </w:pPr>
            <w:r>
              <w:rPr>
                <w:rFonts w:ascii="Arial" w:cs="Arial" w:eastAsia="Arial" w:hAnsi="Arial"/>
                <w:sz w:val="18"/>
                <w:szCs w:val="18"/>
                <w:color w:val="auto"/>
              </w:rPr>
              <w:t>Executive VP, COO, CFO</w:t>
            </w:r>
          </w:p>
        </w:tc>
        <w:tc>
          <w:tcPr>
            <w:tcW w:w="2600" w:type="dxa"/>
            <w:vAlign w:val="bottom"/>
          </w:tcPr>
          <w:p>
            <w:pPr>
              <w:spacing w:after="0"/>
              <w:rPr>
                <w:sz w:val="19"/>
                <w:szCs w:val="19"/>
                <w:color w:val="auto"/>
              </w:rPr>
            </w:pPr>
          </w:p>
        </w:tc>
      </w:tr>
      <w:tr>
        <w:trPr>
          <w:trHeight w:val="434"/>
        </w:trPr>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Sheri A. Knight</w:t>
            </w:r>
          </w:p>
        </w:tc>
        <w:tc>
          <w:tcPr>
            <w:tcW w:w="2600" w:type="dxa"/>
            <w:vAlign w:val="bottom"/>
          </w:tcPr>
          <w:p>
            <w:pPr>
              <w:ind w:left="1440"/>
              <w:spacing w:after="0"/>
              <w:rPr>
                <w:sz w:val="20"/>
                <w:szCs w:val="20"/>
                <w:color w:val="auto"/>
              </w:rPr>
            </w:pPr>
            <w:r>
              <w:rPr>
                <w:rFonts w:ascii="Arial" w:cs="Arial" w:eastAsia="Arial" w:hAnsi="Arial"/>
                <w:sz w:val="18"/>
                <w:szCs w:val="18"/>
                <w:color w:val="auto"/>
                <w:w w:val="87"/>
              </w:rPr>
              <w:t>Date: 3-21-2008</w:t>
            </w:r>
          </w:p>
        </w:tc>
      </w:tr>
      <w:tr>
        <w:trPr>
          <w:trHeight w:val="221"/>
        </w:trPr>
        <w:tc>
          <w:tcPr>
            <w:tcW w:w="4620" w:type="dxa"/>
            <w:vAlign w:val="bottom"/>
            <w:gridSpan w:val="2"/>
          </w:tcPr>
          <w:p>
            <w:pPr>
              <w:spacing w:after="0"/>
              <w:rPr>
                <w:sz w:val="20"/>
                <w:szCs w:val="20"/>
                <w:color w:val="auto"/>
              </w:rPr>
            </w:pPr>
            <w:r>
              <w:rPr>
                <w:rFonts w:ascii="Arial" w:cs="Arial" w:eastAsia="Arial" w:hAnsi="Arial"/>
                <w:sz w:val="18"/>
                <w:szCs w:val="18"/>
                <w:color w:val="auto"/>
              </w:rPr>
              <w:t>Sheri A. Knight</w:t>
            </w:r>
          </w:p>
        </w:tc>
        <w:tc>
          <w:tcPr>
            <w:tcW w:w="2600" w:type="dxa"/>
            <w:vAlign w:val="bottom"/>
          </w:tcPr>
          <w:p>
            <w:pPr>
              <w:spacing w:after="0"/>
              <w:rPr>
                <w:sz w:val="19"/>
                <w:szCs w:val="19"/>
                <w:color w:val="auto"/>
              </w:rPr>
            </w:pPr>
          </w:p>
        </w:tc>
      </w:tr>
      <w:tr>
        <w:trPr>
          <w:trHeight w:val="365"/>
        </w:trPr>
        <w:tc>
          <w:tcPr>
            <w:tcW w:w="6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600" w:type="dxa"/>
            <w:vAlign w:val="bottom"/>
          </w:tcPr>
          <w:p>
            <w:pPr>
              <w:jc w:val="right"/>
              <w:ind w:right="1332"/>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400"/>
          </w:cols>
          <w:pgMar w:left="240" w:top="280" w:right="25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color w:val="auto"/>
        </w:rPr>
        <w:t>Exhibit 21.1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7220" w:type="dxa"/>
            <w:vAlign w:val="bottom"/>
            <w:gridSpan w:val="3"/>
          </w:tcPr>
          <w:p>
            <w:pPr>
              <w:jc w:val="center"/>
              <w:ind w:left="2672"/>
              <w:spacing w:after="0"/>
              <w:rPr>
                <w:sz w:val="20"/>
                <w:szCs w:val="20"/>
                <w:color w:val="auto"/>
              </w:rPr>
            </w:pPr>
            <w:r>
              <w:rPr>
                <w:rFonts w:ascii="Arial" w:cs="Arial" w:eastAsia="Arial" w:hAnsi="Arial"/>
                <w:sz w:val="18"/>
                <w:szCs w:val="18"/>
                <w:color w:val="auto"/>
                <w:w w:val="94"/>
              </w:rPr>
              <w:t>SUBSIDIARIES OF CASUAL MALE RETAIL GROUP, INC.</w:t>
            </w:r>
          </w:p>
        </w:tc>
      </w:tr>
      <w:tr>
        <w:trPr>
          <w:trHeight w:val="222"/>
        </w:trPr>
        <w:tc>
          <w:tcPr>
            <w:tcW w:w="720" w:type="dxa"/>
            <w:vAlign w:val="bottom"/>
          </w:tcPr>
          <w:p>
            <w:pPr>
              <w:spacing w:after="0"/>
              <w:rPr>
                <w:sz w:val="19"/>
                <w:szCs w:val="19"/>
                <w:color w:val="auto"/>
              </w:rPr>
            </w:pPr>
          </w:p>
        </w:tc>
        <w:tc>
          <w:tcPr>
            <w:tcW w:w="7220" w:type="dxa"/>
            <w:vAlign w:val="bottom"/>
            <w:gridSpan w:val="3"/>
          </w:tcPr>
          <w:p>
            <w:pPr>
              <w:jc w:val="center"/>
              <w:ind w:left="2672"/>
              <w:spacing w:after="0"/>
              <w:rPr>
                <w:sz w:val="20"/>
                <w:szCs w:val="20"/>
                <w:color w:val="auto"/>
              </w:rPr>
            </w:pPr>
            <w:r>
              <w:rPr>
                <w:rFonts w:ascii="Arial" w:cs="Arial" w:eastAsia="Arial" w:hAnsi="Arial"/>
                <w:sz w:val="18"/>
                <w:szCs w:val="18"/>
                <w:color w:val="auto"/>
                <w:w w:val="89"/>
              </w:rPr>
              <w:t>Wholly-owned unless otherwise indicated</w:t>
            </w:r>
          </w:p>
        </w:tc>
      </w:tr>
      <w:tr>
        <w:trPr>
          <w:trHeight w:val="353"/>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Subsidiary:</w:t>
            </w:r>
          </w:p>
        </w:tc>
        <w:tc>
          <w:tcPr>
            <w:tcW w:w="5340" w:type="dxa"/>
            <w:vAlign w:val="bottom"/>
          </w:tcPr>
          <w:p>
            <w:pPr>
              <w:spacing w:after="0"/>
              <w:rPr>
                <w:sz w:val="24"/>
                <w:szCs w:val="24"/>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State of Incorporation:</w:t>
            </w:r>
          </w:p>
        </w:tc>
        <w:tc>
          <w:tcPr>
            <w:tcW w:w="480" w:type="dxa"/>
            <w:vAlign w:val="bottom"/>
          </w:tcPr>
          <w:p>
            <w:pPr>
              <w:spacing w:after="0"/>
              <w:rPr>
                <w:sz w:val="24"/>
                <w:szCs w:val="24"/>
                <w:color w:val="auto"/>
              </w:rPr>
            </w:pPr>
          </w:p>
        </w:tc>
      </w:tr>
      <w:tr>
        <w:trPr>
          <w:trHeight w:val="201"/>
        </w:trPr>
        <w:tc>
          <w:tcPr>
            <w:tcW w:w="6060" w:type="dxa"/>
            <w:vAlign w:val="bottom"/>
            <w:gridSpan w:val="2"/>
          </w:tcPr>
          <w:p>
            <w:pPr>
              <w:spacing w:after="0" w:line="201" w:lineRule="exact"/>
              <w:rPr>
                <w:sz w:val="20"/>
                <w:szCs w:val="20"/>
                <w:color w:val="auto"/>
              </w:rPr>
            </w:pPr>
            <w:r>
              <w:rPr>
                <w:rFonts w:ascii="Arial" w:cs="Arial" w:eastAsia="Arial" w:hAnsi="Arial"/>
                <w:sz w:val="18"/>
                <w:szCs w:val="18"/>
                <w:color w:val="auto"/>
              </w:rPr>
              <w:t>Casual Male Retail Store, LLC (f/k/a Designs CMAL Retail Store Inc.)</w:t>
            </w:r>
          </w:p>
        </w:tc>
        <w:tc>
          <w:tcPr>
            <w:tcW w:w="1400" w:type="dxa"/>
            <w:vAlign w:val="bottom"/>
          </w:tcPr>
          <w:p>
            <w:pPr>
              <w:spacing w:after="0" w:line="201" w:lineRule="exact"/>
              <w:rPr>
                <w:sz w:val="20"/>
                <w:szCs w:val="20"/>
                <w:color w:val="auto"/>
              </w:rPr>
            </w:pPr>
            <w:r>
              <w:rPr>
                <w:rFonts w:ascii="Arial" w:cs="Arial" w:eastAsia="Arial" w:hAnsi="Arial"/>
                <w:sz w:val="18"/>
                <w:szCs w:val="18"/>
                <w:color w:val="auto"/>
              </w:rPr>
              <w:t>Delaware</w:t>
            </w:r>
          </w:p>
        </w:tc>
        <w:tc>
          <w:tcPr>
            <w:tcW w:w="480" w:type="dxa"/>
            <w:vAlign w:val="bottom"/>
          </w:tcPr>
          <w:p>
            <w:pPr>
              <w:spacing w:after="0"/>
              <w:rPr>
                <w:sz w:val="17"/>
                <w:szCs w:val="17"/>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Casual Male Direct, LLC (f/k/a Designs CMAL TBD Inc.)</w:t>
            </w:r>
          </w:p>
        </w:tc>
        <w:tc>
          <w:tcPr>
            <w:tcW w:w="18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CMRG Apparel Management, Inc.</w:t>
            </w:r>
          </w:p>
        </w:tc>
        <w:tc>
          <w:tcPr>
            <w:tcW w:w="18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CMRG Holdco, LLC</w:t>
            </w:r>
          </w:p>
        </w:tc>
        <w:tc>
          <w:tcPr>
            <w:tcW w:w="18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CMXL Apparel, LP (a)</w:t>
            </w:r>
          </w:p>
        </w:tc>
        <w:tc>
          <w:tcPr>
            <w:tcW w:w="18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CMRG Apparel, LLC (f/k/a Designs Apparel, Inc.) (b)</w:t>
            </w:r>
          </w:p>
        </w:tc>
        <w:tc>
          <w:tcPr>
            <w:tcW w:w="18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Casual Male Store, LLC (f/k/a Designs CMAL Store Inc.)</w:t>
            </w:r>
          </w:p>
        </w:tc>
        <w:tc>
          <w:tcPr>
            <w:tcW w:w="18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Capture, LLC (c)</w:t>
            </w:r>
          </w:p>
        </w:tc>
        <w:tc>
          <w:tcPr>
            <w:tcW w:w="1880" w:type="dxa"/>
            <w:vAlign w:val="bottom"/>
            <w:gridSpan w:val="2"/>
          </w:tcPr>
          <w:p>
            <w:pPr>
              <w:spacing w:after="0"/>
              <w:rPr>
                <w:sz w:val="20"/>
                <w:szCs w:val="20"/>
                <w:color w:val="auto"/>
              </w:rPr>
            </w:pPr>
            <w:r>
              <w:rPr>
                <w:rFonts w:ascii="Arial" w:cs="Arial" w:eastAsia="Arial" w:hAnsi="Arial"/>
                <w:sz w:val="18"/>
                <w:szCs w:val="18"/>
                <w:color w:val="auto"/>
              </w:rPr>
              <w:t>Virginia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Casual Male RBT, LLC</w:t>
            </w:r>
          </w:p>
        </w:tc>
        <w:tc>
          <w:tcPr>
            <w:tcW w:w="18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Casual Male Jaredm LLC (d)</w:t>
            </w:r>
          </w:p>
        </w:tc>
        <w:tc>
          <w:tcPr>
            <w:tcW w:w="18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Casual Male RBT (U.K.) LLC (d)</w:t>
            </w:r>
          </w:p>
        </w:tc>
        <w:tc>
          <w:tcPr>
            <w:tcW w:w="18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CMXL, LLC (f/k/a CMRG Apparel, LLC) (e)</w:t>
            </w:r>
          </w:p>
        </w:tc>
        <w:tc>
          <w:tcPr>
            <w:tcW w:w="18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Casual Male Canada Inc.</w:t>
            </w:r>
          </w:p>
        </w:tc>
        <w:tc>
          <w:tcPr>
            <w:tcW w:w="1880" w:type="dxa"/>
            <w:vAlign w:val="bottom"/>
            <w:gridSpan w:val="2"/>
          </w:tcPr>
          <w:p>
            <w:pPr>
              <w:spacing w:after="0"/>
              <w:rPr>
                <w:sz w:val="20"/>
                <w:szCs w:val="20"/>
                <w:color w:val="auto"/>
              </w:rPr>
            </w:pPr>
            <w:r>
              <w:rPr>
                <w:rFonts w:ascii="Arial" w:cs="Arial" w:eastAsia="Arial" w:hAnsi="Arial"/>
                <w:sz w:val="18"/>
                <w:szCs w:val="18"/>
                <w:color w:val="auto"/>
              </w:rPr>
              <w:t>Ontario, Canada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Casual Male (EUROPE) LLC</w:t>
            </w:r>
          </w:p>
        </w:tc>
        <w:tc>
          <w:tcPr>
            <w:tcW w:w="18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Thing Big Products LLC</w:t>
            </w:r>
          </w:p>
        </w:tc>
        <w:tc>
          <w:tcPr>
            <w:tcW w:w="18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Canton PL Liquidating Corp. (f/k/a LP Innovations, Inc.)</w:t>
            </w:r>
          </w:p>
        </w:tc>
        <w:tc>
          <w:tcPr>
            <w:tcW w:w="1880" w:type="dxa"/>
            <w:vAlign w:val="bottom"/>
            <w:gridSpan w:val="2"/>
          </w:tcPr>
          <w:p>
            <w:pPr>
              <w:spacing w:after="0"/>
              <w:rPr>
                <w:sz w:val="20"/>
                <w:szCs w:val="20"/>
                <w:color w:val="auto"/>
              </w:rPr>
            </w:pPr>
            <w:r>
              <w:rPr>
                <w:rFonts w:ascii="Arial" w:cs="Arial" w:eastAsia="Arial" w:hAnsi="Arial"/>
                <w:sz w:val="18"/>
                <w:szCs w:val="18"/>
                <w:color w:val="auto"/>
              </w:rPr>
              <w:t>Nevada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200" w:hanging="452"/>
        <w:spacing w:after="0" w:line="254"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limited partnership in which CMRG Apparel Management, Inc. is a General Partner owning 1% and CMRG Holdco, LLC is a Limited Partner owning 99%. (Both partners are wholly-owned subsidiaries of Casual Male Retail Group, Inc.)</w:t>
      </w: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100% owned by CMXL Apparel, LP (a wholly-owned subsidiary of Casual Male Retail Group, Inc.)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100% owned by Casual Male Store, LLC (a wholly-owned subsidiary of Casual Male Retail Group, Inc.)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100% owned by Casual Male RBT, LLC (a wholly-owned subsidiary of Casual Male Retail Group, Inc.)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Subsidiary is currently inactive.</w:t>
      </w:r>
    </w:p>
    <w:p>
      <w:pPr>
        <w:sectPr>
          <w:pgSz w:w="11900" w:h="16838" w:orient="portrait"/>
          <w:cols w:equalWidth="0" w:num="1">
            <w:col w:w="11420"/>
          </w:cols>
          <w:pgMar w:left="240" w:top="131"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23.1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consent to the incorporation by reference in the Registration Statements (Form S-3 Nos. 333-118966, 333-112598, 333-90742, and 33-53358 and Form S-8 Nos. 333-112561, 333-112218, 333-136890, and 33-52892) of Casual Male Retail Group, Inc. of our reports dated March 24, 2008, with respect to the consolidated financial statements of Casual Male Retail Group, Inc. and the effectiveness of internal control over financial reporting of Casual Male Retail Group, Inc., included in this Annual Report (Form 10-K) for the year ended February 2, 2008.</w:t>
      </w:r>
    </w:p>
    <w:p>
      <w:pPr>
        <w:spacing w:after="0" w:line="14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24, 2008</w:t>
      </w:r>
    </w:p>
    <w:p>
      <w:pPr>
        <w:sectPr>
          <w:pgSz w:w="11900" w:h="16838" w:orient="portrait"/>
          <w:cols w:equalWidth="0" w:num="1">
            <w:col w:w="11420"/>
          </w:cols>
          <w:pgMar w:left="240" w:top="125"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David A. Levin, certify that:</w:t>
      </w:r>
    </w:p>
    <w:p>
      <w:pPr>
        <w:spacing w:after="0" w:line="90"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Casual Male Retail Group,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March 26, 2008</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10795</wp:posOffset>
            </wp:positionV>
            <wp:extent cx="27273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16"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Dennis R. Hernreich, certify that:</w:t>
      </w:r>
    </w:p>
    <w:p>
      <w:pPr>
        <w:spacing w:after="0" w:line="90"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Casual Male Retail Group,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6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March 26, 2008</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10795</wp:posOffset>
            </wp:positionV>
            <wp:extent cx="27273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16"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connection with the Annual Report on Form 10-K of Casual Male Retail Group, Inc. (the “Company”) for the period ended February 2, 2008, as filed with the Securities and Exchange Commission on the date hereof (the “Report”), I, David A. Levin, Chief Executive Officer of the Company, certify pursuant to 18 U.S.C. § 1350, as adopted pursuant to § 906 of the Sarbanes-Oxley Act of 2002, that:</w:t>
      </w:r>
    </w:p>
    <w:p>
      <w:pPr>
        <w:spacing w:after="0" w:line="59" w:lineRule="exact"/>
        <w:rPr>
          <w:sz w:val="20"/>
          <w:szCs w:val="20"/>
          <w:color w:val="auto"/>
        </w:rPr>
      </w:pPr>
    </w:p>
    <w:p>
      <w:pPr>
        <w:ind w:left="1480" w:right="720" w:hanging="567"/>
        <w:spacing w:after="0" w:line="268" w:lineRule="auto"/>
        <w:tabs>
          <w:tab w:leader="none" w:pos="14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50" w:lineRule="exact"/>
        <w:rPr>
          <w:rFonts w:ascii="Arial" w:cs="Arial" w:eastAsia="Arial" w:hAnsi="Arial"/>
          <w:sz w:val="18"/>
          <w:szCs w:val="18"/>
          <w:color w:val="auto"/>
        </w:rPr>
      </w:pPr>
    </w:p>
    <w:p>
      <w:pPr>
        <w:ind w:left="1480" w:right="500" w:hanging="567"/>
        <w:spacing w:after="0" w:line="268" w:lineRule="auto"/>
        <w:tabs>
          <w:tab w:leader="none" w:pos="14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2" w:lineRule="exact"/>
        <w:rPr>
          <w:sz w:val="20"/>
          <w:szCs w:val="20"/>
          <w:color w:val="auto"/>
        </w:rPr>
      </w:pPr>
    </w:p>
    <w:p>
      <w:pPr>
        <w:ind w:right="100" w:firstLine="913"/>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53"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Dated: March 26, 2008</w:t>
      </w:r>
      <w:r>
        <w:rPr>
          <w:sz w:val="20"/>
          <w:szCs w:val="20"/>
          <w:color w:val="auto"/>
        </w:rPr>
        <w:tab/>
      </w:r>
      <w:r>
        <w:rPr>
          <w:rFonts w:ascii="Arial" w:cs="Arial" w:eastAsia="Arial" w:hAnsi="Arial"/>
          <w:sz w:val="16"/>
          <w:szCs w:val="16"/>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10795</wp:posOffset>
            </wp:positionV>
            <wp:extent cx="30530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2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David A. Levin</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Executive Officer</w:t>
      </w:r>
    </w:p>
    <w:p>
      <w:pPr>
        <w:spacing w:after="0" w:line="165"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connection with the Annual Report on Form 10-K of Casual Male Retail Group, Inc. (the “Company”) for the period ended February 2, 2008, as filed with the Securities and Exchange Commission on the date hereof (the “Report”), I, Dennis R. Hernreich, Chief Financial Officer of the Company, certify pursuant to 18 U.S.C. § 1350, as adopted pursuant to § 906 of the Sarbanes-Oxley Act of 2002, that:</w:t>
      </w:r>
    </w:p>
    <w:p>
      <w:pPr>
        <w:spacing w:after="0" w:line="59" w:lineRule="exact"/>
        <w:rPr>
          <w:sz w:val="20"/>
          <w:szCs w:val="20"/>
          <w:color w:val="auto"/>
        </w:rPr>
      </w:pPr>
    </w:p>
    <w:p>
      <w:pPr>
        <w:ind w:left="1480" w:right="720" w:hanging="567"/>
        <w:spacing w:after="0" w:line="268" w:lineRule="auto"/>
        <w:tabs>
          <w:tab w:leader="none" w:pos="14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50" w:lineRule="exact"/>
        <w:rPr>
          <w:rFonts w:ascii="Arial" w:cs="Arial" w:eastAsia="Arial" w:hAnsi="Arial"/>
          <w:sz w:val="18"/>
          <w:szCs w:val="18"/>
          <w:color w:val="auto"/>
        </w:rPr>
      </w:pPr>
    </w:p>
    <w:p>
      <w:pPr>
        <w:ind w:left="1480" w:right="500" w:hanging="567"/>
        <w:spacing w:after="0" w:line="268" w:lineRule="auto"/>
        <w:tabs>
          <w:tab w:leader="none" w:pos="14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2" w:lineRule="exact"/>
        <w:rPr>
          <w:sz w:val="20"/>
          <w:szCs w:val="20"/>
          <w:color w:val="auto"/>
        </w:rPr>
      </w:pPr>
    </w:p>
    <w:p>
      <w:pPr>
        <w:ind w:right="100" w:firstLine="913"/>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53" w:lineRule="exact"/>
        <w:rPr>
          <w:sz w:val="20"/>
          <w:szCs w:val="20"/>
          <w:color w:val="auto"/>
        </w:rPr>
      </w:pPr>
    </w:p>
    <w:p>
      <w:pPr>
        <w:spacing w:after="0"/>
        <w:tabs>
          <w:tab w:leader="none" w:pos="6020" w:val="left"/>
        </w:tabs>
        <w:rPr>
          <w:sz w:val="20"/>
          <w:szCs w:val="20"/>
          <w:color w:val="auto"/>
        </w:rPr>
      </w:pPr>
      <w:r>
        <w:rPr>
          <w:rFonts w:ascii="Arial" w:cs="Arial" w:eastAsia="Arial" w:hAnsi="Arial"/>
          <w:sz w:val="18"/>
          <w:szCs w:val="18"/>
          <w:color w:val="auto"/>
        </w:rPr>
        <w:t>Dated: March 26, 2008</w:t>
      </w:r>
      <w:r>
        <w:rPr>
          <w:sz w:val="20"/>
          <w:szCs w:val="20"/>
          <w:color w:val="auto"/>
        </w:rPr>
        <w:tab/>
      </w:r>
      <w:r>
        <w:rPr>
          <w:rFonts w:ascii="Arial" w:cs="Arial" w:eastAsia="Arial" w:hAnsi="Arial"/>
          <w:sz w:val="16"/>
          <w:szCs w:val="16"/>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10795</wp:posOffset>
            </wp:positionV>
            <wp:extent cx="34131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Dennis R. Hernreich</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1."/>
      <w:numFmt w:val="upperLetter"/>
      <w:start w:val="5"/>
    </w:lvl>
  </w:abstractNum>
  <w:abstractNum w:abstractNumId="4">
    <w:nsid w:val="77465F01"/>
    <w:multiLevelType w:val="hybridMultilevel"/>
    <w:lvl w:ilvl="0">
      <w:lvlJc w:val="left"/>
      <w:lvlText w:val="%1."/>
      <w:numFmt w:val="upperLetter"/>
      <w:start w:val="5"/>
    </w:lvl>
  </w:abstractNum>
  <w:abstractNum w:abstractNumId="5">
    <w:nsid w:val="7724C67E"/>
    <w:multiLevelType w:val="hybridMultilevel"/>
    <w:lvl w:ilvl="0">
      <w:lvlJc w:val="left"/>
      <w:lvlText w:val="(%1)"/>
      <w:numFmt w:val="decimal"/>
      <w:start w:val="1"/>
    </w:lvl>
  </w:abstractNum>
  <w:abstractNum w:abstractNumId="6">
    <w:nsid w:val="5C482A97"/>
    <w:multiLevelType w:val="hybridMultilevel"/>
    <w:lvl w:ilvl="0">
      <w:lvlJc w:val="left"/>
      <w:lvlText w:val="(%1)"/>
      <w:numFmt w:val="decimal"/>
      <w:start w:val="2"/>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1)"/>
      <w:numFmt w:val="decimal"/>
      <w:start w:val="1"/>
    </w:lvl>
  </w:abstractNum>
  <w:abstractNum w:abstractNumId="11">
    <w:nsid w:val="580BD78F"/>
    <w:multiLevelType w:val="hybridMultilevel"/>
    <w:lvl w:ilvl="0">
      <w:lvlJc w:val="left"/>
      <w:lvlText w:val="(%1)"/>
      <w:numFmt w:val="decimal"/>
      <w:start w:val="1"/>
    </w:lvl>
  </w:abstractNum>
  <w:abstractNum w:abstractNumId="12">
    <w:nsid w:val="153EA438"/>
    <w:multiLevelType w:val="hybridMultilevel"/>
    <w:lvl w:ilvl="0">
      <w:lvlJc w:val="left"/>
      <w:lvlText w:val="(%1)"/>
      <w:numFmt w:val="decimal"/>
      <w:start w:val="1"/>
    </w:lvl>
  </w:abstractNum>
  <w:abstractNum w:abstractNumId="13">
    <w:nsid w:val="3855585C"/>
    <w:multiLevelType w:val="hybridMultilevel"/>
    <w:lvl w:ilvl="0">
      <w:lvlJc w:val="left"/>
      <w:lvlText w:val="(%1)"/>
      <w:numFmt w:val="decimal"/>
      <w:start w:val="1"/>
    </w:lvl>
  </w:abstractNum>
  <w:abstractNum w:abstractNumId="14">
    <w:nsid w:val="70A64E2A"/>
    <w:multiLevelType w:val="hybridMultilevel"/>
    <w:lvl w:ilvl="0">
      <w:lvlJc w:val="left"/>
      <w:lvlText w:val="(%1)"/>
      <w:numFmt w:val="decimal"/>
      <w:start w:val="3"/>
    </w:lvl>
  </w:abstractNum>
  <w:abstractNum w:abstractNumId="15">
    <w:nsid w:val="6A2342EC"/>
    <w:multiLevelType w:val="hybridMultilevel"/>
    <w:lvl w:ilvl="0">
      <w:lvlJc w:val="left"/>
      <w:lvlText w:val="(%1)"/>
      <w:numFmt w:val="decimal"/>
      <w:start w:val="1"/>
    </w:lvl>
  </w:abstractNum>
  <w:abstractNum w:abstractNumId="16">
    <w:nsid w:val="2A487CB0"/>
    <w:multiLevelType w:val="hybridMultilevel"/>
    <w:lvl w:ilvl="0">
      <w:lvlJc w:val="left"/>
      <w:lvlText w:val="(%1)"/>
      <w:numFmt w:val="decimal"/>
      <w:start w:val="1"/>
    </w:lvl>
  </w:abstractNum>
  <w:abstractNum w:abstractNumId="17">
    <w:nsid w:val="1D4ED43B"/>
    <w:multiLevelType w:val="hybridMultilevel"/>
    <w:lvl w:ilvl="0">
      <w:lvlJc w:val="left"/>
      <w:lvlText w:val="%1."/>
      <w:numFmt w:val="upperLetter"/>
      <w:start w:val="11"/>
    </w:lvl>
  </w:abstractNum>
  <w:abstractNum w:abstractNumId="18">
    <w:nsid w:val="725A06FB"/>
    <w:multiLevelType w:val="hybridMultilevel"/>
    <w:lvl w:ilvl="0">
      <w:lvlJc w:val="left"/>
      <w:lvlText w:val="(%1)"/>
      <w:numFmt w:val="decimal"/>
      <w:start w:val="1"/>
    </w:lvl>
  </w:abstractNum>
  <w:abstractNum w:abstractNumId="19">
    <w:nsid w:val="2CD89A32"/>
    <w:multiLevelType w:val="hybridMultilevel"/>
    <w:lvl w:ilvl="0">
      <w:lvlJc w:val="left"/>
      <w:lvlText w:val="(%1)"/>
      <w:numFmt w:val="decimal"/>
      <w:start w:val="3"/>
    </w:lvl>
  </w:abstractNum>
  <w:abstractNum w:abstractNumId="20">
    <w:nsid w:val="57E4CCAF"/>
    <w:multiLevelType w:val="hybridMultilevel"/>
    <w:lvl w:ilvl="0">
      <w:lvlJc w:val="left"/>
      <w:lvlText w:val="(%1)"/>
      <w:numFmt w:val="lowerRoman"/>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1."/>
      <w:numFmt w:val="decimal"/>
      <w:start w:val="1"/>
    </w:lvl>
    <w:lvl w:ilvl="1">
      <w:lvlJc w:val="left"/>
      <w:lvlText w:val="%2."/>
      <w:numFmt w:val="lowerLetter"/>
      <w:start w:val="1"/>
    </w:lvl>
  </w:abstractNum>
  <w:abstractNum w:abstractNumId="23">
    <w:nsid w:val="542289EC"/>
    <w:multiLevelType w:val="hybridMultilevel"/>
    <w:lvl w:ilvl="0">
      <w:lvlJc w:val="left"/>
      <w:lvlText w:val="%1."/>
      <w:numFmt w:val="decimal"/>
      <w:start w:val="4"/>
    </w:lvl>
    <w:lvl w:ilvl="1">
      <w:lvlJc w:val="left"/>
      <w:lvlText w:val="%2."/>
      <w:numFmt w:val="lowerLetter"/>
      <w:start w:val="4"/>
    </w:lvl>
  </w:abstractNum>
  <w:abstractNum w:abstractNumId="24">
    <w:nsid w:val="6DE91B18"/>
    <w:multiLevelType w:val="hybridMultilevel"/>
    <w:lvl w:ilvl="0">
      <w:lvlJc w:val="left"/>
      <w:lvlText w:val="%1"/>
      <w:numFmt w:val="decimal"/>
      <w:start w:val="1"/>
    </w:lvl>
    <w:lvl w:ilvl="1">
      <w:lvlJc w:val="left"/>
      <w:lvlText w:val="%2."/>
      <w:numFmt w:val="lowerLetter"/>
      <w:start w:val="1"/>
    </w:lvl>
  </w:abstractNum>
  <w:abstractNum w:abstractNumId="25">
    <w:nsid w:val="38437FDB"/>
    <w:multiLevelType w:val="hybridMultilevel"/>
    <w:lvl w:ilvl="0">
      <w:lvlJc w:val="left"/>
      <w:lvlText w:val="%1."/>
      <w:numFmt w:val="decimal"/>
      <w:start w:val="6"/>
    </w:lvl>
    <w:lvl w:ilvl="1">
      <w:lvlJc w:val="left"/>
      <w:lvlText w:val="%2."/>
      <w:numFmt w:val="lowerLetter"/>
      <w:start w:val="1"/>
    </w:lvl>
  </w:abstractNum>
  <w:abstractNum w:abstractNumId="26">
    <w:nsid w:val="7644A45C"/>
    <w:multiLevelType w:val="hybridMultilevel"/>
    <w:lvl w:ilvl="0">
      <w:lvlJc w:val="left"/>
      <w:lvlText w:val="%1."/>
      <w:numFmt w:val="lowerLetter"/>
      <w:start w:val="2"/>
    </w:lvl>
  </w:abstractNum>
  <w:abstractNum w:abstractNumId="27">
    <w:nsid w:val="32FFF902"/>
    <w:multiLevelType w:val="hybridMultilevel"/>
    <w:lvl w:ilvl="0">
      <w:lvlJc w:val="left"/>
      <w:lvlText w:val="%1."/>
      <w:numFmt w:val="lowerLetter"/>
      <w:start w:val="4"/>
    </w:lvl>
  </w:abstractNum>
  <w:abstractNum w:abstractNumId="28">
    <w:nsid w:val="684A481A"/>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9">
    <w:nsid w:val="579478FE"/>
    <w:multiLevelType w:val="hybridMultilevel"/>
    <w:lvl w:ilvl="0">
      <w:lvlJc w:val="left"/>
      <w:lvlText w:val="%1."/>
      <w:numFmt w:val="decimal"/>
      <w:start w:val="1"/>
    </w:lvl>
  </w:abstractNum>
  <w:abstractNum w:abstractNumId="30">
    <w:nsid w:val="749ABB43"/>
    <w:multiLevelType w:val="hybridMultilevel"/>
    <w:lvl w:ilvl="0">
      <w:lvlJc w:val="left"/>
      <w:lvlText w:val="%1"/>
      <w:numFmt w:val="lowerLetter"/>
      <w:start w:val="1"/>
    </w:lvl>
    <w:lvl w:ilvl="1">
      <w:lvlJc w:val="left"/>
      <w:lvlText w:val="%2."/>
      <w:numFmt w:val="decimal"/>
      <w:start w:val="2"/>
    </w:lvl>
  </w:abstractNum>
  <w:abstractNum w:abstractNumId="31">
    <w:nsid w:val="3DC240FB"/>
    <w:multiLevelType w:val="hybridMultilevel"/>
    <w:lvl w:ilvl="0">
      <w:lvlJc w:val="left"/>
      <w:lvlText w:val="(%1)"/>
      <w:numFmt w:val="lowerLetter"/>
      <w:start w:val="1"/>
    </w:lvl>
    <w:lvl w:ilvl="1">
      <w:lvlJc w:val="left"/>
      <w:lvlText w:val="%2"/>
      <w:numFmt w:val="decimal"/>
      <w:start w:val="1"/>
    </w:lvl>
  </w:abstractNum>
  <w:abstractNum w:abstractNumId="32">
    <w:nsid w:val="1BA026FA"/>
    <w:multiLevelType w:val="hybridMultilevel"/>
    <w:lvl w:ilvl="0">
      <w:lvlJc w:val="left"/>
      <w:lvlText w:val="(%1)"/>
      <w:numFmt w:val="lowerLetter"/>
      <w:start w:val="2"/>
    </w:lvl>
    <w:lvl w:ilvl="1">
      <w:lvlJc w:val="left"/>
      <w:lvlText w:val="%2."/>
      <w:numFmt w:val="decimal"/>
      <w:start w:val="3"/>
    </w:lvl>
  </w:abstractNum>
  <w:abstractNum w:abstractNumId="33">
    <w:nsid w:val="79A1DEAA"/>
    <w:multiLevelType w:val="hybridMultilevel"/>
    <w:lvl w:ilvl="0">
      <w:lvlJc w:val="left"/>
      <w:lvlText w:val="(%1)"/>
      <w:numFmt w:val="lowerLetter"/>
      <w:start w:val="1"/>
    </w:lvl>
  </w:abstractNum>
  <w:abstractNum w:abstractNumId="34">
    <w:nsid w:val="75C6C33A"/>
    <w:multiLevelType w:val="hybridMultilevel"/>
    <w:lvl w:ilvl="0">
      <w:lvlJc w:val="left"/>
      <w:lvlText w:val="%1."/>
      <w:numFmt w:val="decimal"/>
      <w:start w:val="1"/>
    </w:lvl>
  </w:abstractNum>
  <w:abstractNum w:abstractNumId="35">
    <w:nsid w:val="12E685FB"/>
    <w:multiLevelType w:val="hybridMultilevel"/>
    <w:lvl w:ilvl="0">
      <w:lvlJc w:val="left"/>
      <w:lvlText w:val="%1."/>
      <w:numFmt w:val="decimal"/>
      <w:start w:val="2"/>
    </w:lvl>
  </w:abstractNum>
  <w:abstractNum w:abstractNumId="36">
    <w:nsid w:val="70C6A529"/>
    <w:multiLevelType w:val="hybridMultilevel"/>
    <w:lvl w:ilvl="0">
      <w:lvlJc w:val="left"/>
      <w:lvlText w:val="%1."/>
      <w:numFmt w:val="decimal"/>
      <w:start w:val="3"/>
    </w:lvl>
    <w:lvl w:ilvl="1">
      <w:lvlJc w:val="left"/>
      <w:lvlText w:val="(%2)"/>
      <w:numFmt w:val="lowerLetter"/>
      <w:start w:val="1"/>
    </w:lvl>
  </w:abstractNum>
  <w:abstractNum w:abstractNumId="37">
    <w:nsid w:val="520EEDD1"/>
    <w:multiLevelType w:val="hybridMultilevel"/>
    <w:lvl w:ilvl="0">
      <w:lvlJc w:val="left"/>
      <w:lvlText w:val="%1"/>
      <w:numFmt w:val="decimal"/>
      <w:start w:val="1"/>
    </w:lvl>
    <w:lvl w:ilvl="1">
      <w:lvlJc w:val="left"/>
      <w:lvlText w:val="(%2)"/>
      <w:numFmt w:val="lowerLetter"/>
      <w:start w:val="3"/>
    </w:lvl>
  </w:abstractNum>
  <w:abstractNum w:abstractNumId="38">
    <w:nsid w:val="374A3FE6"/>
    <w:multiLevelType w:val="hybridMultilevel"/>
    <w:lvl w:ilvl="0">
      <w:lvlJc w:val="left"/>
      <w:lvlText w:val="%1."/>
      <w:numFmt w:val="decimal"/>
      <w:start w:val="4"/>
    </w:lvl>
    <w:lvl w:ilvl="1">
      <w:lvlJc w:val="left"/>
      <w:lvlText w:val="%2"/>
      <w:numFmt w:val="lowerLetter"/>
      <w:start w:val="1"/>
    </w:lvl>
  </w:abstractNum>
  <w:abstractNum w:abstractNumId="39">
    <w:nsid w:val="4F4EF005"/>
    <w:multiLevelType w:val="hybridMultilevel"/>
    <w:lvl w:ilvl="0">
      <w:lvlJc w:val="left"/>
      <w:lvlText w:val="%1."/>
      <w:numFmt w:val="decimal"/>
      <w:start w:val="5"/>
    </w:lvl>
    <w:lvl w:ilvl="1">
      <w:lvlJc w:val="left"/>
      <w:lvlText w:val="(%2)"/>
      <w:numFmt w:val="lowerLetter"/>
      <w:start w:val="1"/>
    </w:lvl>
  </w:abstractNum>
  <w:abstractNum w:abstractNumId="40">
    <w:nsid w:val="23F9C13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1">
    <w:nsid w:val="649BB77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2">
    <w:nsid w:val="275AC794"/>
    <w:multiLevelType w:val="hybridMultilevel"/>
    <w:lvl w:ilvl="0">
      <w:lvlJc w:val="left"/>
      <w:lvlText w:val="(%1)"/>
      <w:numFmt w:val="lowerLetter"/>
      <w:start w:val="5"/>
    </w:lvl>
  </w:abstractNum>
  <w:abstractNum w:abstractNumId="43">
    <w:nsid w:val="39386575"/>
    <w:multiLevelType w:val="hybridMultilevel"/>
    <w:lvl w:ilvl="0">
      <w:lvlJc w:val="left"/>
      <w:lvlText w:val="%1"/>
      <w:numFmt w:val="decimal"/>
      <w:start w:val="1"/>
    </w:lvl>
    <w:lvl w:ilvl="1">
      <w:lvlJc w:val="left"/>
      <w:lvlText w:val="(%2)"/>
      <w:numFmt w:val="lowerLetter"/>
      <w:start w:val="9"/>
    </w:lvl>
  </w:abstractNum>
  <w:abstractNum w:abstractNumId="44">
    <w:nsid w:val="1CF10FD8"/>
    <w:multiLevelType w:val="hybridMultilevel"/>
    <w:lvl w:ilvl="0">
      <w:lvlJc w:val="left"/>
      <w:lvlText w:val="%1."/>
      <w:numFmt w:val="decimal"/>
      <w:start w:val="8"/>
    </w:lvl>
    <w:lvl w:ilvl="1">
      <w:lvlJc w:val="left"/>
      <w:lvlText w:val="(%2)"/>
      <w:numFmt w:val="lowerLetter"/>
      <w:start w:val="1"/>
    </w:lvl>
  </w:abstractNum>
  <w:abstractNum w:abstractNumId="45">
    <w:nsid w:val="180115BE"/>
    <w:multiLevelType w:val="hybridMultilevel"/>
    <w:lvl w:ilvl="0">
      <w:lvlJc w:val="left"/>
      <w:lvlText w:val="%1."/>
      <w:numFmt w:val="decimal"/>
      <w:start w:val="9"/>
    </w:lvl>
    <w:lvl w:ilvl="1">
      <w:lvlJc w:val="left"/>
      <w:lvlText w:val="(%2)"/>
      <w:numFmt w:val="lowerLetter"/>
      <w:start w:val="1"/>
    </w:lvl>
  </w:abstractNum>
  <w:abstractNum w:abstractNumId="46">
    <w:nsid w:val="235BA861"/>
    <w:multiLevelType w:val="hybridMultilevel"/>
    <w:lvl w:ilvl="0">
      <w:lvlJc w:val="left"/>
      <w:lvlText w:val="(%1)"/>
      <w:numFmt w:val="lowerLetter"/>
      <w:start w:val="2"/>
    </w:lvl>
  </w:abstractNum>
  <w:abstractNum w:abstractNumId="47">
    <w:nsid w:val="47398C89"/>
    <w:multiLevelType w:val="hybridMultilevel"/>
    <w:lvl w:ilvl="0">
      <w:lvlJc w:val="left"/>
      <w:lvlText w:val="%1."/>
      <w:numFmt w:val="decimal"/>
      <w:start w:val="10"/>
    </w:lvl>
  </w:abstractNum>
  <w:abstractNum w:abstractNumId="48">
    <w:nsid w:val="354FE9F9"/>
    <w:multiLevelType w:val="hybridMultilevel"/>
    <w:lvl w:ilvl="0">
      <w:lvlJc w:val="left"/>
      <w:lvlText w:val="(%1)"/>
      <w:numFmt w:val="lowerLetter"/>
      <w:start w:val="1"/>
    </w:lvl>
  </w:abstractNum>
  <w:abstractNum w:abstractNumId="49">
    <w:nsid w:val="15B5AF5C"/>
    <w:multiLevelType w:val="hybridMultilevel"/>
    <w:lvl w:ilvl="0">
      <w:lvlJc w:val="left"/>
      <w:lvlText w:val="%1."/>
      <w:numFmt w:val="decimal"/>
      <w:start w:val="11"/>
    </w:lvl>
  </w:abstractNum>
  <w:abstractNum w:abstractNumId="50">
    <w:nsid w:val="741226BB"/>
    <w:multiLevelType w:val="hybridMultilevel"/>
    <w:lvl w:ilvl="0">
      <w:lvlJc w:val="left"/>
      <w:lvlText w:val="(%1)"/>
      <w:numFmt w:val="lowerLetter"/>
      <w:start w:val="1"/>
    </w:lvl>
  </w:abstractNum>
  <w:abstractNum w:abstractNumId="51">
    <w:nsid w:val="D34B6A8"/>
    <w:multiLevelType w:val="hybridMultilevel"/>
    <w:lvl w:ilvl="0">
      <w:lvlJc w:val="left"/>
      <w:lvlText w:val="(%1)"/>
      <w:numFmt w:val="lowerLetter"/>
      <w:start w:val="2"/>
    </w:lvl>
  </w:abstractNum>
  <w:abstractNum w:abstractNumId="52">
    <w:nsid w:val="10233C99"/>
    <w:multiLevelType w:val="hybridMultilevel"/>
    <w:lvl w:ilvl="0">
      <w:lvlJc w:val="left"/>
      <w:lvlText w:val="%1."/>
      <w:numFmt w:val="decimal"/>
      <w:start w:val="12"/>
    </w:lvl>
  </w:abstractNum>
  <w:abstractNum w:abstractNumId="53">
    <w:nsid w:val="3F6AB60F"/>
    <w:multiLevelType w:val="hybridMultilevel"/>
    <w:lvl w:ilvl="0">
      <w:lvlJc w:val="left"/>
      <w:lvlText w:val="%1."/>
      <w:numFmt w:val="decimal"/>
      <w:start w:val="13"/>
    </w:lvl>
  </w:abstractNum>
  <w:abstractNum w:abstractNumId="54">
    <w:nsid w:val="61574095"/>
    <w:multiLevelType w:val="hybridMultilevel"/>
    <w:lvl w:ilvl="0">
      <w:lvlJc w:val="left"/>
      <w:lvlText w:val="%1."/>
      <w:numFmt w:val="decimal"/>
      <w:start w:val="14"/>
    </w:lvl>
  </w:abstractNum>
  <w:abstractNum w:abstractNumId="55">
    <w:nsid w:val="7E0C57B1"/>
    <w:multiLevelType w:val="hybridMultilevel"/>
    <w:lvl w:ilvl="0">
      <w:lvlJc w:val="left"/>
      <w:lvlText w:val="%1."/>
      <w:numFmt w:val="decimal"/>
      <w:start w:val="15"/>
    </w:lvl>
  </w:abstractNum>
  <w:abstractNum w:abstractNumId="56">
    <w:nsid w:val="77AE35EB"/>
    <w:multiLevelType w:val="hybridMultilevel"/>
    <w:lvl w:ilvl="0">
      <w:lvlJc w:val="left"/>
      <w:lvlText w:val="%1."/>
      <w:numFmt w:val="decimal"/>
      <w:start w:val="16"/>
    </w:lvl>
  </w:abstractNum>
  <w:abstractNum w:abstractNumId="57">
    <w:nsid w:val="579BE4F1"/>
    <w:multiLevelType w:val="hybridMultilevel"/>
    <w:lvl w:ilvl="0">
      <w:lvlJc w:val="left"/>
      <w:lvlText w:val="%1."/>
      <w:numFmt w:val="decimal"/>
      <w:start w:val="17"/>
    </w:lvl>
  </w:abstractNum>
  <w:abstractNum w:abstractNumId="58">
    <w:nsid w:val="310C50B3"/>
    <w:multiLevelType w:val="hybridMultilevel"/>
    <w:lvl w:ilvl="0">
      <w:lvlJc w:val="left"/>
      <w:lvlText w:val="%1."/>
      <w:numFmt w:val="decimal"/>
      <w:start w:val="18"/>
    </w:lvl>
  </w:abstractNum>
  <w:abstractNum w:abstractNumId="59">
    <w:nsid w:val="5FF87E05"/>
    <w:multiLevelType w:val="hybridMultilevel"/>
    <w:lvl w:ilvl="0">
      <w:lvlJc w:val="left"/>
      <w:lvlText w:val="%1."/>
      <w:numFmt w:val="decimal"/>
      <w:start w:val="19"/>
    </w:lvl>
  </w:abstractNum>
  <w:abstractNum w:abstractNumId="60">
    <w:nsid w:val="2F305DEF"/>
    <w:multiLevelType w:val="hybridMultilevel"/>
    <w:lvl w:ilvl="0">
      <w:lvlJc w:val="left"/>
      <w:lvlText w:val="%1."/>
      <w:numFmt w:val="decimal"/>
      <w:start w:val="20"/>
    </w:lvl>
  </w:abstractNum>
  <w:abstractNum w:abstractNumId="61">
    <w:nsid w:val="25A70BF7"/>
    <w:multiLevelType w:val="hybridMultilevel"/>
    <w:lvl w:ilvl="0">
      <w:lvlJc w:val="left"/>
      <w:lvlText w:val="%1."/>
      <w:numFmt w:val="decimal"/>
      <w:start w:val="21"/>
    </w:lvl>
  </w:abstractNum>
  <w:abstractNum w:abstractNumId="62">
    <w:nsid w:val="1DBABF00"/>
    <w:multiLevelType w:val="hybridMultilevel"/>
    <w:lvl w:ilvl="0">
      <w:lvlJc w:val="left"/>
      <w:lvlText w:val="%1."/>
      <w:numFmt w:val="decimal"/>
      <w:start w:val="22"/>
    </w:lvl>
  </w:abstractNum>
  <w:abstractNum w:abstractNumId="63">
    <w:nsid w:val="4AD084E9"/>
    <w:multiLevelType w:val="hybridMultilevel"/>
    <w:lvl w:ilvl="0">
      <w:lvlJc w:val="left"/>
      <w:lvlText w:val="%1."/>
      <w:numFmt w:val="decimal"/>
      <w:start w:val="23"/>
    </w:lvl>
  </w:abstractNum>
  <w:abstractNum w:abstractNumId="64">
    <w:nsid w:val="1F48EAA1"/>
    <w:multiLevelType w:val="hybridMultilevel"/>
    <w:lvl w:ilvl="0">
      <w:lvlJc w:val="left"/>
      <w:lvlText w:val="(%1)"/>
      <w:numFmt w:val="lowerLetter"/>
      <w:start w:val="1"/>
    </w:lvl>
  </w:abstractNum>
  <w:abstractNum w:abstractNumId="65">
    <w:nsid w:val="1381823A"/>
    <w:multiLevelType w:val="hybridMultilevel"/>
    <w:lvl w:ilvl="0">
      <w:lvlJc w:val="left"/>
      <w:lvlText w:val="%1."/>
      <w:numFmt w:val="decimal"/>
      <w:start w:val="1"/>
    </w:lvl>
    <w:lvl w:ilvl="1">
      <w:lvlJc w:val="left"/>
      <w:lvlText w:val="%2)"/>
      <w:numFmt w:val="lowerLetter"/>
      <w:start w:val="1"/>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2019-12-20T17:55:29Z</dcterms:created>
  <dcterms:modified xsi:type="dcterms:W3CDTF">2019-12-20T17:55:29Z</dcterms:modified>
</cp:coreProperties>
</file>