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6"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48)*</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CASUAL MALE RETAIL GROUP, INC.</w:t>
      </w:r>
    </w:p>
    <w:p>
      <w:pPr>
        <w:ind w:left="2640"/>
        <w:spacing w:after="0" w:line="238" w:lineRule="auto"/>
        <w:rPr>
          <w:sz w:val="20"/>
          <w:szCs w:val="20"/>
          <w:color w:val="auto"/>
        </w:rPr>
      </w:pPr>
      <w:r>
        <w:rPr>
          <w:rFonts w:ascii="Courier New" w:cs="Courier New" w:eastAsia="Courier New" w:hAnsi="Courier New"/>
          <w:sz w:val="18"/>
          <w:szCs w:val="18"/>
          <w:color w:val="auto"/>
        </w:rPr>
        <w:t>(formerly known as DESIGNS, INC.)</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9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December 6, 2004</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subject of this Schedule 13D, and is filing this schedule because of Rule 13d-1(b) or (4), check the following box.</w:t>
      </w:r>
    </w:p>
    <w:p>
      <w:pPr>
        <w:spacing w:after="0" w:line="178"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2"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w:t>
      </w:r>
    </w:p>
    <w:p>
      <w:pPr>
        <w:spacing w:after="0" w:line="6"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of that section of the Act but shall be subject to all other provisions of the Act (however, see the Notes).</w:t>
      </w:r>
    </w:p>
    <w:p>
      <w:pPr>
        <w:spacing w:after="0" w:line="200" w:lineRule="exact"/>
        <w:rPr>
          <w:sz w:val="24"/>
          <w:szCs w:val="24"/>
          <w:color w:val="auto"/>
        </w:rPr>
      </w:pPr>
    </w:p>
    <w:p>
      <w:pPr>
        <w:spacing w:after="0" w:line="205"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740"/>
              <w:spacing w:after="0"/>
              <w:rPr>
                <w:sz w:val="20"/>
                <w:szCs w:val="20"/>
                <w:color w:val="auto"/>
              </w:rPr>
            </w:pPr>
            <w:r>
              <w:rPr>
                <w:rFonts w:ascii="Courier New" w:cs="Courier New" w:eastAsia="Courier New" w:hAnsi="Courier New"/>
                <w:sz w:val="18"/>
                <w:szCs w:val="18"/>
                <w:color w:val="auto"/>
              </w:rPr>
              <w:t>Seymour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4"/>
          <w:szCs w:val="24"/>
          <w:color w:val="auto"/>
        </w:rPr>
      </w:pPr>
    </w:p>
    <w:p>
      <w:pPr>
        <w:ind w:left="540" w:right="37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U.S.</w:t>
      </w:r>
    </w:p>
    <w:p>
      <w:pPr>
        <w:spacing w:after="0" w:line="207" w:lineRule="exact"/>
        <w:rPr>
          <w:sz w:val="24"/>
          <w:szCs w:val="24"/>
          <w:color w:val="auto"/>
        </w:rPr>
      </w:pPr>
    </w:p>
    <w:p>
      <w:pPr>
        <w:ind w:left="2740" w:right="6199" w:hanging="1152"/>
        <w:spacing w:after="0" w:line="290" w:lineRule="auto"/>
        <w:tabs>
          <w:tab w:leader="none" w:pos="221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5,279,705</w:t>
      </w:r>
    </w:p>
    <w:p>
      <w:pPr>
        <w:sectPr>
          <w:pgSz w:w="11900" w:h="16892" w:orient="portrait"/>
          <w:cols w:equalWidth="0" w:num="1">
            <w:col w:w="10219"/>
          </w:cols>
          <w:pgMar w:left="240" w:top="1440"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w w:val="95"/>
              </w:rPr>
              <w:t>SHARED</w:t>
            </w:r>
          </w:p>
        </w:tc>
        <w:tc>
          <w:tcPr>
            <w:tcW w:w="1880" w:type="dxa"/>
            <w:vAlign w:val="bottom"/>
          </w:tcPr>
          <w:p>
            <w:pPr>
              <w:ind w:left="10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2"/>
              </w:rPr>
              <w:t>-</w:t>
            </w:r>
          </w:p>
        </w:tc>
        <w:tc>
          <w:tcPr>
            <w:tcW w:w="18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5,279,705</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SHARED</w:t>
            </w:r>
          </w:p>
        </w:tc>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w w:val="92"/>
              </w:rPr>
              <w:t>-0 -</w:t>
            </w:r>
          </w:p>
        </w:tc>
      </w:tr>
    </w:tbl>
    <w:p>
      <w:pPr>
        <w:spacing w:after="0" w:line="207" w:lineRule="exact"/>
        <w:rPr>
          <w:sz w:val="20"/>
          <w:szCs w:val="20"/>
          <w:color w:val="auto"/>
        </w:rPr>
      </w:pPr>
    </w:p>
    <w:p>
      <w:pPr>
        <w:ind w:left="860" w:right="3359" w:hanging="852"/>
        <w:spacing w:after="0" w:line="470" w:lineRule="auto"/>
        <w:tabs>
          <w:tab w:leader="none" w:pos="54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5,279,705 SEE ITEM 5</w:t>
      </w:r>
    </w:p>
    <w:p>
      <w:pPr>
        <w:spacing w:after="0" w:line="11" w:lineRule="exact"/>
        <w:rPr>
          <w:rFonts w:ascii="Courier New" w:cs="Courier New" w:eastAsia="Courier New" w:hAnsi="Courier New"/>
          <w:sz w:val="18"/>
          <w:szCs w:val="18"/>
          <w:color w:val="auto"/>
        </w:rPr>
      </w:pPr>
    </w:p>
    <w:p>
      <w:pPr>
        <w:ind w:left="640" w:right="2319" w:hanging="632"/>
        <w:spacing w:after="0" w:line="470" w:lineRule="auto"/>
        <w:tabs>
          <w:tab w:leader="none" w:pos="5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15.4%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Evelyn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p>
      <w:pPr>
        <w:ind w:left="2220" w:hanging="632"/>
        <w:spacing w:after="0"/>
        <w:tabs>
          <w:tab w:leader="none" w:pos="2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206"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132" w:gutter="0" w:footer="0" w:header="0"/>
        </w:sectPr>
      </w:pPr>
    </w:p>
    <w:bookmarkStart w:id="2" w:name="page3"/>
    <w:bookmarkEnd w:id="2"/>
    <w:p>
      <w:pPr>
        <w:ind w:left="222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Jewelcor Management, Inc.</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Federal Identification No.</w:t>
      </w:r>
      <w:r>
        <w:rPr>
          <w:sz w:val="20"/>
          <w:szCs w:val="20"/>
          <w:color w:val="auto"/>
        </w:rPr>
        <w:tab/>
      </w:r>
      <w:r>
        <w:rPr>
          <w:rFonts w:ascii="Courier New" w:cs="Courier New" w:eastAsia="Courier New" w:hAnsi="Courier New"/>
          <w:sz w:val="16"/>
          <w:szCs w:val="16"/>
          <w:color w:val="auto"/>
        </w:rPr>
        <w:t>23-2331228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4,170,273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4,170,273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4,170,273</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12.2%</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S.H. Holdings,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ectPr>
          <w:pgSz w:w="11900" w:h="16838" w:orient="portrait"/>
          <w:cols w:equalWidth="0" w:num="1">
            <w:col w:w="10219"/>
          </w:cols>
          <w:pgMar w:left="240" w:top="946" w:right="1440" w:bottom="0" w:gutter="0" w:footer="0" w:header="0"/>
        </w:sectPr>
      </w:pPr>
    </w:p>
    <w:bookmarkStart w:id="3" w:name="page4"/>
    <w:bookmarkEnd w:id="3"/>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Jewelcor Incorporated</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ectPr>
          <w:pgSz w:w="11900" w:h="16838" w:orient="portrait"/>
          <w:cols w:equalWidth="0" w:num="1">
            <w:col w:w="10219"/>
          </w:cols>
          <w:pgMar w:left="240" w:top="339" w:right="1440" w:bottom="0" w:gutter="0" w:footer="0" w:header="0"/>
        </w:sectPr>
      </w:pPr>
    </w:p>
    <w:bookmarkStart w:id="4" w:name="page5"/>
    <w:bookmarkEnd w:id="4"/>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amendment to the previously filed Statement on Schedule 13D,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amended ("Schedule 13D"), relates to the common stock (the "Common Stock")</w:t>
      </w:r>
    </w:p>
    <w:p>
      <w:pPr>
        <w:spacing w:after="0" w:line="21" w:lineRule="exact"/>
        <w:rPr>
          <w:sz w:val="20"/>
          <w:szCs w:val="20"/>
          <w:color w:val="auto"/>
        </w:rPr>
      </w:pPr>
    </w:p>
    <w:p>
      <w:pPr>
        <w:ind w:right="3159"/>
        <w:spacing w:after="0" w:line="279" w:lineRule="auto"/>
        <w:rPr>
          <w:sz w:val="20"/>
          <w:szCs w:val="20"/>
          <w:color w:val="auto"/>
        </w:rPr>
      </w:pPr>
      <w:r>
        <w:rPr>
          <w:rFonts w:ascii="Courier New" w:cs="Courier New" w:eastAsia="Courier New" w:hAnsi="Courier New"/>
          <w:sz w:val="16"/>
          <w:szCs w:val="16"/>
          <w:color w:val="auto"/>
        </w:rPr>
        <w:t>of Casual Male Retail Group, Inc., formerly known as Designs, Inc. (the "Company"). The principal executive offices of the Company are located at 555 Turnpike Street, Canton, Massachusetts 02021.</w:t>
      </w:r>
    </w:p>
    <w:p>
      <w:pPr>
        <w:spacing w:after="0" w:line="17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38" w:lineRule="auto"/>
        <w:rPr>
          <w:sz w:val="20"/>
          <w:szCs w:val="20"/>
          <w:color w:val="auto"/>
        </w:rPr>
      </w:pPr>
      <w:r>
        <w:rPr>
          <w:rFonts w:ascii="Courier New" w:cs="Courier New" w:eastAsia="Courier New" w:hAnsi="Courier New"/>
          <w:sz w:val="18"/>
          <w:szCs w:val="18"/>
          <w:color w:val="auto"/>
        </w:rPr>
        <w:t>No Amendment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3. is hereby supplementally amended as follows:</w:t>
      </w:r>
    </w:p>
    <w:p>
      <w:pPr>
        <w:spacing w:after="0" w:line="207"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On December 7, 2004, Jewelcor Management Inc. ("JMI") purchased 24,100 shares of the Company's Common Stock at a total cost (including fees) of $109,622.76 from funds borrowed by JMI against its margin account with Spear, Leeds &amp; Kellogg. On December 7, 2004, JMI purchased through Fidelity Brokerage Services 22,200 shares of the Company's Common Stock at a total cost (including fees) of $99,290.00 from its corporate funds.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4 is hereby amended and supplemented as follows:</w:t>
      </w:r>
    </w:p>
    <w:p>
      <w:pPr>
        <w:spacing w:after="0" w:line="207" w:lineRule="exact"/>
        <w:rPr>
          <w:sz w:val="20"/>
          <w:szCs w:val="20"/>
          <w:color w:val="auto"/>
        </w:rPr>
      </w:pPr>
    </w:p>
    <w:p>
      <w:pPr>
        <w:ind w:right="2319" w:firstLine="843"/>
        <w:spacing w:after="0" w:line="268" w:lineRule="auto"/>
        <w:rPr>
          <w:sz w:val="20"/>
          <w:szCs w:val="20"/>
          <w:color w:val="auto"/>
        </w:rPr>
      </w:pPr>
      <w:r>
        <w:rPr>
          <w:rFonts w:ascii="Courier New" w:cs="Courier New" w:eastAsia="Courier New" w:hAnsi="Courier New"/>
          <w:sz w:val="16"/>
          <w:szCs w:val="16"/>
          <w:color w:val="auto"/>
        </w:rPr>
        <w:t>On or about December 6, 2004, JMI executed in final form amendments to the Consulting Agreement with Casual Male Retail Group, Inc. dated</w:t>
      </w:r>
    </w:p>
    <w:p>
      <w:pPr>
        <w:ind w:right="2319"/>
        <w:spacing w:after="0" w:line="290" w:lineRule="auto"/>
        <w:rPr>
          <w:sz w:val="20"/>
          <w:szCs w:val="20"/>
          <w:color w:val="auto"/>
        </w:rPr>
      </w:pPr>
      <w:r>
        <w:rPr>
          <w:rFonts w:ascii="Courier New" w:cs="Courier New" w:eastAsia="Courier New" w:hAnsi="Courier New"/>
          <w:sz w:val="16"/>
          <w:szCs w:val="16"/>
          <w:color w:val="auto"/>
        </w:rPr>
        <w:t>as of April 26, 2004 and August 26, 2004, respectively, which amend and restate certain portions of the Consulting Agreement as previously amended.</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amended and supplemented as follows:</w:t>
      </w:r>
    </w:p>
    <w:p>
      <w:pPr>
        <w:spacing w:after="0" w:line="207" w:lineRule="exact"/>
        <w:rPr>
          <w:sz w:val="20"/>
          <w:szCs w:val="20"/>
          <w:color w:val="auto"/>
        </w:rPr>
      </w:pPr>
    </w:p>
    <w:p>
      <w:pPr>
        <w:ind w:right="3039" w:firstLine="843"/>
        <w:spacing w:after="0" w:line="238" w:lineRule="auto"/>
        <w:rPr>
          <w:sz w:val="20"/>
          <w:szCs w:val="20"/>
          <w:color w:val="auto"/>
        </w:rPr>
      </w:pPr>
      <w:r>
        <w:rPr>
          <w:rFonts w:ascii="Courier New" w:cs="Courier New" w:eastAsia="Courier New" w:hAnsi="Courier New"/>
          <w:sz w:val="18"/>
          <w:szCs w:val="18"/>
          <w:color w:val="auto"/>
        </w:rPr>
        <w:t>On August 31, 2004, the Company granted to Seymour Holtzman two stock option grants to acquire 100,000 shares each or 200,000 shares in total of the Company's common stock at $5.89 per share, the closing price of such stock on the date of the grants. On the first grant, options for 33,334 shares are currently exercisable and options for 33,333 shares will become exercisable on each of August 31, 2005 and August 31, 2006. On the second grant, options for 100,000 shares will automatically vest on August 31, 2011; however, if the Company meets certain performance criteria for the fiscal year ending January 29, 2005, the exercisability of the stock options will automatically be accelerated such that options for 33,334 shares will become exercisable immediately and options for 33,333 shares will become exercisable on each of August 31, 2005 and August 31, 2006.</w:t>
      </w:r>
    </w:p>
    <w:p>
      <w:pPr>
        <w:spacing w:after="0" w:line="208" w:lineRule="exact"/>
        <w:rPr>
          <w:sz w:val="20"/>
          <w:szCs w:val="20"/>
          <w:color w:val="auto"/>
        </w:rPr>
      </w:pPr>
    </w:p>
    <w:p>
      <w:pPr>
        <w:ind w:right="2739" w:firstLine="843"/>
        <w:spacing w:after="0" w:line="273" w:lineRule="auto"/>
        <w:rPr>
          <w:sz w:val="20"/>
          <w:szCs w:val="20"/>
          <w:color w:val="auto"/>
        </w:rPr>
      </w:pPr>
      <w:r>
        <w:rPr>
          <w:rFonts w:ascii="Courier New" w:cs="Courier New" w:eastAsia="Courier New" w:hAnsi="Courier New"/>
          <w:sz w:val="16"/>
          <w:szCs w:val="16"/>
          <w:color w:val="auto"/>
        </w:rPr>
        <w:t>As of December 14, 2004, JMI beneficially owns an aggregate of 4,170,273 shares of Common Stock. Based upon the Company's Form 10-Q for the period ending October 30, 2004 filed on December 9, 2004, which indicates that there are 34,217,796 shares of Common Stock outstanding, JMI beneficially owns approximately 12.2% of said outstanding shares.</w:t>
      </w:r>
    </w:p>
    <w:p>
      <w:pPr>
        <w:spacing w:after="0" w:line="185"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As of December 14, 2004, the Reporting Persons beneficially own an aggregate of 5,279,705 shares of Common Stock, which based on 34,217,796 shares of Common Stock outstanding, represents approximately 15.4% of said outstanding shares.</w:t>
      </w:r>
    </w:p>
    <w:p>
      <w:pPr>
        <w:spacing w:after="0" w:line="200" w:lineRule="exact"/>
        <w:rPr>
          <w:sz w:val="20"/>
          <w:szCs w:val="20"/>
          <w:color w:val="auto"/>
        </w:rPr>
      </w:pPr>
    </w:p>
    <w:p>
      <w:pPr>
        <w:spacing w:after="0" w:line="210" w:lineRule="exact"/>
        <w:rPr>
          <w:sz w:val="20"/>
          <w:szCs w:val="20"/>
          <w:color w:val="auto"/>
        </w:rPr>
      </w:pPr>
    </w:p>
    <w:p>
      <w:pPr>
        <w:ind w:right="2199" w:firstLine="1054"/>
        <w:spacing w:after="0" w:line="290" w:lineRule="auto"/>
        <w:rPr>
          <w:sz w:val="20"/>
          <w:szCs w:val="20"/>
          <w:color w:val="auto"/>
        </w:rPr>
      </w:pPr>
      <w:r>
        <w:rPr>
          <w:rFonts w:ascii="Courier New" w:cs="Courier New" w:eastAsia="Courier New" w:hAnsi="Courier New"/>
          <w:sz w:val="16"/>
          <w:szCs w:val="16"/>
          <w:color w:val="auto"/>
        </w:rPr>
        <w:t>The responses of the Reporting Persons to Items (7) through (11) of the cover pages to this Schedule 13D relating to the beneficial ownership</w:t>
      </w:r>
    </w:p>
    <w:p>
      <w:pPr>
        <w:sectPr>
          <w:pgSz w:w="11900" w:h="16838" w:orient="portrait"/>
          <w:cols w:equalWidth="0" w:num="1">
            <w:col w:w="10219"/>
          </w:cols>
          <w:pgMar w:left="240" w:top="136"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of shares of Common Stock of the Company are incorporated herein by reference.</w:t>
      </w:r>
    </w:p>
    <w:p>
      <w:pPr>
        <w:spacing w:after="0" w:line="224"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Information with respect to each of the Reporting Persons is given solely by such Reporting Person and no Reporting Person shall have responsibility for the accuracy or completeness of information supplied by another Reporting Person.</w:t>
      </w:r>
    </w:p>
    <w:p>
      <w:pPr>
        <w:spacing w:after="0" w:line="207" w:lineRule="exact"/>
        <w:rPr>
          <w:sz w:val="20"/>
          <w:szCs w:val="20"/>
          <w:color w:val="auto"/>
        </w:rPr>
      </w:pPr>
    </w:p>
    <w:p>
      <w:pPr>
        <w:ind w:right="2619" w:firstLine="843"/>
        <w:spacing w:after="0" w:line="272" w:lineRule="auto"/>
        <w:rPr>
          <w:sz w:val="20"/>
          <w:szCs w:val="20"/>
          <w:color w:val="auto"/>
        </w:rPr>
      </w:pPr>
      <w:r>
        <w:rPr>
          <w:rFonts w:ascii="Courier New" w:cs="Courier New" w:eastAsia="Courier New" w:hAnsi="Courier New"/>
          <w:sz w:val="16"/>
          <w:szCs w:val="16"/>
          <w:color w:val="auto"/>
        </w:rPr>
        <w:t>The Reporting Persons are filing this Schedule 13D because such Reporting Persons may be deemed to be members of a group for purposes of Section 13(d) of the Exchange Act, as amended. Each Reporting Person disclaims beneficial ownership of any Common Stock beneficially owned by any other Reporting Person, except that Mr. Holtzman acknowledges beneficial ownership of the Common Stock owned by JMI.</w:t>
      </w:r>
    </w:p>
    <w:p>
      <w:pPr>
        <w:spacing w:after="0" w:line="186"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6 is hereby amended and supplemented as follows:</w:t>
      </w:r>
    </w:p>
    <w:p>
      <w:pPr>
        <w:spacing w:after="0" w:line="238" w:lineRule="auto"/>
        <w:rPr>
          <w:sz w:val="20"/>
          <w:szCs w:val="20"/>
          <w:color w:val="auto"/>
        </w:rPr>
      </w:pPr>
      <w:r>
        <w:rPr>
          <w:rFonts w:ascii="Courier New" w:cs="Courier New" w:eastAsia="Courier New" w:hAnsi="Courier New"/>
          <w:sz w:val="18"/>
          <w:szCs w:val="18"/>
          <w:color w:val="auto"/>
        </w:rPr>
        <w:t>See Item 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following documents are filed as exhibits hereto: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 Amendment To Consulting Agreement dated as of August 26,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2. Amendment To Consulting Agreement dated as of April 26, 2004.</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their knowledge,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December 14, 2004</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14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Exhibit 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TO CONSULTING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26, 2004</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WHEREAS, Casual Male Retail Group, Inc., (formerly Designs, Inc., the "Corporation") and Jewelcor Management, Inc. (the "Independent Contractor") entered into a certain Consulting Agreement dated as of April 29, 2000, as amended by Letter Agreement dated April 28, 2001, by Letter Agreement dated as of April 28, 2002, by Amendment to Consulting Agreement dated as of April 29, 2003 and by Amendment to Consulting Agreement dated as of April 26, 2004, (hereinafter referred to as the "Agreement"), and</w:t>
      </w:r>
    </w:p>
    <w:p>
      <w:pPr>
        <w:spacing w:after="0" w:line="212" w:lineRule="exact"/>
        <w:rPr>
          <w:sz w:val="20"/>
          <w:szCs w:val="20"/>
          <w:color w:val="auto"/>
        </w:rPr>
      </w:pPr>
    </w:p>
    <w:p>
      <w:pPr>
        <w:jc w:val="both"/>
        <w:ind w:right="2939"/>
        <w:spacing w:after="0" w:line="236" w:lineRule="auto"/>
        <w:rPr>
          <w:sz w:val="20"/>
          <w:szCs w:val="20"/>
          <w:color w:val="auto"/>
        </w:rPr>
      </w:pPr>
      <w:r>
        <w:rPr>
          <w:rFonts w:ascii="Courier New" w:cs="Courier New" w:eastAsia="Courier New" w:hAnsi="Courier New"/>
          <w:sz w:val="18"/>
          <w:szCs w:val="18"/>
          <w:color w:val="auto"/>
        </w:rPr>
        <w:t>WHEREAS, Corporation and Independent Contractor wish to amend, modify and/or restate certain terms, provisions, conditions and covenants of the Agreement.</w:t>
      </w:r>
    </w:p>
    <w:p>
      <w:pPr>
        <w:spacing w:after="0" w:line="209"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NOW THEREFORE, in consideration of the foregoing, and for and in consideration of the mutual promises and covenants set forth in this Agreement, and for other good and valuable consideration, the receipt and sufficiency of which are hereby expressly acknowledged, the Corporation and the Independent Contractor hereby agree to amend the Agreement as follows:</w:t>
      </w:r>
    </w:p>
    <w:p>
      <w:pPr>
        <w:spacing w:after="0" w:line="210" w:lineRule="exact"/>
        <w:rPr>
          <w:sz w:val="20"/>
          <w:szCs w:val="20"/>
          <w:color w:val="auto"/>
        </w:rPr>
      </w:pPr>
    </w:p>
    <w:p>
      <w:pPr>
        <w:ind w:right="3039" w:firstLine="737"/>
        <w:spacing w:after="0" w:line="268" w:lineRule="auto"/>
        <w:rPr>
          <w:sz w:val="20"/>
          <w:szCs w:val="20"/>
          <w:color w:val="auto"/>
        </w:rPr>
      </w:pPr>
      <w:r>
        <w:rPr>
          <w:rFonts w:ascii="Courier New" w:cs="Courier New" w:eastAsia="Courier New" w:hAnsi="Courier New"/>
          <w:sz w:val="16"/>
          <w:szCs w:val="16"/>
          <w:color w:val="auto"/>
        </w:rPr>
        <w:t>1.Effective as of May 1, 2004, subject to the provisions of Section 4 of the Agreement, the consideration to be furnished to the Independent Contractor by the Corporation for the Services rendered by the Independent Contractor under the Agreement shall consist of</w:t>
      </w:r>
    </w:p>
    <w:p>
      <w:pPr>
        <w:spacing w:after="0" w:line="1" w:lineRule="exact"/>
        <w:rPr>
          <w:sz w:val="20"/>
          <w:szCs w:val="20"/>
          <w:color w:val="auto"/>
        </w:rPr>
      </w:pPr>
    </w:p>
    <w:p>
      <w:pPr>
        <w:ind w:right="3039" w:firstLine="8"/>
        <w:spacing w:after="0" w:line="237" w:lineRule="auto"/>
        <w:tabs>
          <w:tab w:leader="none" w:pos="4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compensation of $392,000 payable, at the election of the Independent Contractor, either in cash or in non-forfeitable, fully paid and non-assessable shares of Common Stock of the Corporation, the number of which shares of Common Stock shall be valued as of, and determined by, the last closing price immediately preceding the Commencement Date, and on each anniversary date thereafter, during the term of the Agreement, and (b) $24,000 payable in monthly installments of $2,000 per month for the reimbursement of expenses incurred by the Independent Contractor in the rendering of Services under the Agreement.</w:t>
      </w:r>
    </w:p>
    <w:p>
      <w:pPr>
        <w:spacing w:after="0" w:line="200" w:lineRule="exact"/>
        <w:rPr>
          <w:sz w:val="20"/>
          <w:szCs w:val="20"/>
          <w:color w:val="auto"/>
        </w:rPr>
      </w:pPr>
    </w:p>
    <w:p>
      <w:pPr>
        <w:spacing w:after="0" w:line="21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Section 4 of the Agreement is further amended to add the following provision:</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4.5 Bonus</w:t>
      </w:r>
    </w:p>
    <w:p>
      <w:pPr>
        <w:spacing w:after="0" w:line="200" w:lineRule="exact"/>
        <w:rPr>
          <w:sz w:val="20"/>
          <w:szCs w:val="20"/>
          <w:color w:val="auto"/>
        </w:rPr>
      </w:pPr>
    </w:p>
    <w:p>
      <w:pPr>
        <w:spacing w:after="0" w:line="209" w:lineRule="exact"/>
        <w:rPr>
          <w:sz w:val="20"/>
          <w:szCs w:val="20"/>
          <w:color w:val="auto"/>
        </w:rPr>
      </w:pPr>
    </w:p>
    <w:p>
      <w:pPr>
        <w:ind w:right="3259"/>
        <w:spacing w:after="0" w:line="268" w:lineRule="auto"/>
        <w:rPr>
          <w:sz w:val="20"/>
          <w:szCs w:val="20"/>
          <w:color w:val="auto"/>
        </w:rPr>
      </w:pPr>
      <w:r>
        <w:rPr>
          <w:rFonts w:ascii="Courier New" w:cs="Courier New" w:eastAsia="Courier New" w:hAnsi="Courier New"/>
          <w:sz w:val="16"/>
          <w:szCs w:val="16"/>
          <w:color w:val="auto"/>
        </w:rPr>
        <w:t>The Independent Contraction is eligible to participate in the Company's Executive Incentive Program, pursuant to which the Independent Contractor may earn a receive a Bonus Award Payout up to $440,000, if the Company achieves certain specific sales and EBITDA thresholds as described in the Executive Incentive Program. A copy of the Executive Incentive Program is attached hereto.</w:t>
      </w:r>
    </w:p>
    <w:p>
      <w:pPr>
        <w:spacing w:after="0" w:line="1"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This Agreement must be in force at the end of the respective fiscal year and at the time the bonus is distributed to be eligible to receive such payout.</w:t>
      </w: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remaining terms of the Agreement shall remain in full force and effect without change. For the avoidance of doubt, the parties hereby agree and acknowledge that the foregoing extension does not change the compensation or other rights or obligations of the parties originally provided in the Agreement with respect to any prior period.</w:t>
      </w:r>
    </w:p>
    <w:p>
      <w:pPr>
        <w:spacing w:after="0" w:line="210"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IN WITNESS WHEREOF, the parties hereto have executed this Amendment to Consulting Agreement as a sealed instrument, in any number of counterpart copies, each of which shall be deemed an original for all purposes, as of the day and year first written above.</w:t>
      </w: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CORPORATION:</w:t>
      </w:r>
    </w:p>
    <w:p>
      <w:pPr>
        <w:ind w:left="640"/>
        <w:spacing w:after="0" w:line="238" w:lineRule="auto"/>
        <w:rPr>
          <w:sz w:val="20"/>
          <w:szCs w:val="20"/>
          <w:color w:val="auto"/>
        </w:rPr>
      </w:pPr>
      <w:r>
        <w:rPr>
          <w:rFonts w:ascii="Courier New" w:cs="Courier New" w:eastAsia="Courier New" w:hAnsi="Courier New"/>
          <w:sz w:val="18"/>
          <w:szCs w:val="18"/>
          <w:color w:val="auto"/>
        </w:rPr>
        <w:t>CASUAL MALE RETAIL GROUP,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Name: David Levin</w:t>
      </w:r>
    </w:p>
    <w:p>
      <w:pPr>
        <w:ind w:left="640"/>
        <w:spacing w:after="0" w:line="238" w:lineRule="auto"/>
        <w:rPr>
          <w:sz w:val="20"/>
          <w:szCs w:val="20"/>
          <w:color w:val="auto"/>
        </w:rPr>
      </w:pPr>
      <w:r>
        <w:rPr>
          <w:rFonts w:ascii="Courier New" w:cs="Courier New" w:eastAsia="Courier New" w:hAnsi="Courier New"/>
          <w:sz w:val="18"/>
          <w:szCs w:val="18"/>
          <w:color w:val="auto"/>
        </w:rPr>
        <w:t>Title: President and Chief Executive Officer</w:t>
      </w:r>
    </w:p>
    <w:p>
      <w:pPr>
        <w:sectPr>
          <w:pgSz w:w="11900" w:h="16838" w:orient="portrait"/>
          <w:cols w:equalWidth="0" w:num="1">
            <w:col w:w="10219"/>
          </w:cols>
          <w:pgMar w:left="240" w:top="136"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Dennis R. Hernreich</w:t>
      </w:r>
    </w:p>
    <w:p>
      <w:pPr>
        <w:spacing w:after="0" w:line="238" w:lineRule="auto"/>
        <w:rPr>
          <w:sz w:val="20"/>
          <w:szCs w:val="20"/>
          <w:color w:val="auto"/>
        </w:rPr>
      </w:pPr>
      <w:r>
        <w:rPr>
          <w:rFonts w:ascii="Courier New" w:cs="Courier New" w:eastAsia="Courier New" w:hAnsi="Courier New"/>
          <w:sz w:val="18"/>
          <w:szCs w:val="18"/>
          <w:color w:val="auto"/>
        </w:rPr>
        <w:t>Title: Executive Vice President, Chief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Officer, Chief Financial Officer, Treasurer and Secretary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CONTRACTOR:</w:t>
      </w:r>
    </w:p>
    <w:p>
      <w:pPr>
        <w:spacing w:after="0" w:line="238" w:lineRule="auto"/>
        <w:rPr>
          <w:sz w:val="20"/>
          <w:szCs w:val="20"/>
          <w:color w:val="auto"/>
        </w:rPr>
      </w:pPr>
      <w:r>
        <w:rPr>
          <w:rFonts w:ascii="Courier New" w:cs="Courier New" w:eastAsia="Courier New" w:hAnsi="Courier New"/>
          <w:sz w:val="18"/>
          <w:szCs w:val="18"/>
          <w:color w:val="auto"/>
        </w:rPr>
        <w:t>JEWELCOR MANAGEMENT,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Seymour Holtzman</w:t>
      </w:r>
    </w:p>
    <w:p>
      <w:pPr>
        <w:spacing w:after="0" w:line="238" w:lineRule="auto"/>
        <w:rPr>
          <w:sz w:val="20"/>
          <w:szCs w:val="20"/>
          <w:color w:val="auto"/>
        </w:rPr>
      </w:pPr>
      <w:r>
        <w:rPr>
          <w:rFonts w:ascii="Courier New" w:cs="Courier New" w:eastAsia="Courier New" w:hAnsi="Courier New"/>
          <w:sz w:val="18"/>
          <w:szCs w:val="18"/>
          <w:color w:val="auto"/>
        </w:rPr>
        <w:t>Title: Chief Executive Officer</w:t>
      </w:r>
    </w:p>
    <w:p>
      <w:pPr>
        <w:sectPr>
          <w:pgSz w:w="11900" w:h="16838" w:orient="portrait"/>
          <w:cols w:equalWidth="0" w:num="1">
            <w:col w:w="9579"/>
          </w:cols>
          <w:pgMar w:left="880" w:top="13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EXHIBIT 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TO CONSULTING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26, 2004</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WHEREAS, Casual Male Retail Group, Inc., (formerly Designs, Inc., the "Corporation") and Jewelcor Management, Inc. (the "Independent Contractor") entered into a certain Consulting Agreement dated as of April 29, 2000, as amended by Letter Agreement dated April 28, 2001, by Letter Agreement dated as of April 28, 2002 and by Amendment to Consulting Agreement dated as of April 29, 2003, (hereinafter referred to as the "Agreement"), and</w:t>
      </w:r>
    </w:p>
    <w:p>
      <w:pPr>
        <w:spacing w:after="0" w:line="210"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WHEREAS, Corporation and Independent Contractor wish to amend, modify and/or restate certain terms, provisions, conditions and covenants of the Agreement.</w:t>
      </w:r>
    </w:p>
    <w:p>
      <w:pPr>
        <w:spacing w:after="0" w:line="17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NOW THEREFORE, in consideration of the foregoing, and for and in consideration of the mutual promises and covenants set forth in this Agreement, and for other good and valuable consideration, the receipt and sufficiency of which are hereby expressly acknowledged, the Corporation and the Independent Contractor hereby agree to amend the Agreement as follows:</w:t>
      </w:r>
    </w:p>
    <w:p>
      <w:pPr>
        <w:spacing w:after="0" w:line="209" w:lineRule="exact"/>
        <w:rPr>
          <w:sz w:val="20"/>
          <w:szCs w:val="20"/>
          <w:color w:val="auto"/>
        </w:rPr>
      </w:pPr>
    </w:p>
    <w:p>
      <w:pPr>
        <w:ind w:left="640" w:right="1879" w:firstLine="105"/>
        <w:spacing w:after="0" w:line="270" w:lineRule="auto"/>
        <w:rPr>
          <w:sz w:val="20"/>
          <w:szCs w:val="20"/>
          <w:color w:val="auto"/>
        </w:rPr>
      </w:pPr>
      <w:r>
        <w:rPr>
          <w:rFonts w:ascii="Courier New" w:cs="Courier New" w:eastAsia="Courier New" w:hAnsi="Courier New"/>
          <w:sz w:val="16"/>
          <w:szCs w:val="16"/>
          <w:color w:val="auto"/>
        </w:rPr>
        <w:t>1.Subject to the provisions of Section 4 of the Agreement, the consideration to be furnished to the Independent Contractor by the Corporation for the Services rendered by the Independent Contractor under the Agreement shall consist of (a) annual compensation of $326,000.00 payable, at the election of the Independent Contractor, either in cash or in non-forfeitable, fully paid and non-assessable shares of Common Stock of the Corporation, the number of which shares of Common Stock shall be valued as of, and determined by, the last closing price immediately preceding the Commencement Date, and on each anniversary date thereafter, during the term of the Agreement, and (b) the reimbursement of actual and direct out-of-pocket expenses incurred by the Independent Contractor in the rendering of Services under the Agreement.</w:t>
      </w:r>
    </w:p>
    <w:p>
      <w:pPr>
        <w:spacing w:after="0" w:line="200" w:lineRule="exact"/>
        <w:rPr>
          <w:sz w:val="20"/>
          <w:szCs w:val="20"/>
          <w:color w:val="auto"/>
        </w:rPr>
      </w:pPr>
    </w:p>
    <w:p>
      <w:pPr>
        <w:spacing w:after="0" w:line="393"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remaining terms of the Agreement shall remain in full force and effect without change. For the avoidance of doubt, the parties hereby agree and acknowledge that the foregoing extension does not change the compensation or other rights or obligations of the parties originally provided in the Agreement with respect to any prior period.</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WITNESS WHEREOF, the parties hereto have executed this Amendment to Consulting Agreement as a sealed instrument, in any number of counterpart copies, each of which shall be deemed an original for all purposes, as of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CORPORATION:</w:t>
      </w:r>
    </w:p>
    <w:p>
      <w:pPr>
        <w:ind w:left="640"/>
        <w:spacing w:after="0" w:line="238" w:lineRule="auto"/>
        <w:rPr>
          <w:sz w:val="20"/>
          <w:szCs w:val="20"/>
          <w:color w:val="auto"/>
        </w:rPr>
      </w:pPr>
      <w:r>
        <w:rPr>
          <w:rFonts w:ascii="Courier New" w:cs="Courier New" w:eastAsia="Courier New" w:hAnsi="Courier New"/>
          <w:sz w:val="18"/>
          <w:szCs w:val="18"/>
          <w:color w:val="auto"/>
        </w:rPr>
        <w:t>CASUAL MALE RETAIL GROUP,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By: /s/ David Levin</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Name: David Levin</w:t>
      </w:r>
    </w:p>
    <w:p>
      <w:pPr>
        <w:ind w:left="640"/>
        <w:spacing w:after="0" w:line="238" w:lineRule="auto"/>
        <w:rPr>
          <w:sz w:val="20"/>
          <w:szCs w:val="20"/>
          <w:color w:val="auto"/>
        </w:rPr>
      </w:pPr>
      <w:r>
        <w:rPr>
          <w:rFonts w:ascii="Courier New" w:cs="Courier New" w:eastAsia="Courier New" w:hAnsi="Courier New"/>
          <w:sz w:val="18"/>
          <w:szCs w:val="18"/>
          <w:color w:val="auto"/>
        </w:rPr>
        <w:t>Title: President and Chief Executive Officer</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By: /s/ Dennis R. Hernreich</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Name: Dennis R. Hernreich</w:t>
      </w:r>
    </w:p>
    <w:p>
      <w:pPr>
        <w:spacing w:after="0" w:line="4" w:lineRule="exact"/>
        <w:rPr>
          <w:sz w:val="20"/>
          <w:szCs w:val="20"/>
          <w:color w:val="auto"/>
        </w:rPr>
      </w:pPr>
    </w:p>
    <w:p>
      <w:pPr>
        <w:ind w:left="640" w:right="1879"/>
        <w:spacing w:after="0" w:line="235" w:lineRule="auto"/>
        <w:rPr>
          <w:sz w:val="20"/>
          <w:szCs w:val="20"/>
          <w:color w:val="auto"/>
        </w:rPr>
      </w:pPr>
      <w:r>
        <w:rPr>
          <w:rFonts w:ascii="Courier New" w:cs="Courier New" w:eastAsia="Courier New" w:hAnsi="Courier New"/>
          <w:sz w:val="18"/>
          <w:szCs w:val="18"/>
          <w:color w:val="auto"/>
        </w:rPr>
        <w:t>Title: Executive Vice President, Chief Operating Officer, Chief Financial Officer, Treasurer and Secretary</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INDEPENDENT CONTRACTOR:</w:t>
      </w:r>
    </w:p>
    <w:p>
      <w:pPr>
        <w:ind w:left="640"/>
        <w:spacing w:after="0" w:line="238" w:lineRule="auto"/>
        <w:rPr>
          <w:sz w:val="20"/>
          <w:szCs w:val="20"/>
          <w:color w:val="auto"/>
        </w:rPr>
      </w:pPr>
      <w:r>
        <w:rPr>
          <w:rFonts w:ascii="Courier New" w:cs="Courier New" w:eastAsia="Courier New" w:hAnsi="Courier New"/>
          <w:sz w:val="18"/>
          <w:szCs w:val="18"/>
          <w:color w:val="auto"/>
        </w:rPr>
        <w:t>JEWELCOR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By: /s/ Seymour Holtzman</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Name: Seymour Holtzman</w:t>
      </w:r>
    </w:p>
    <w:p>
      <w:pPr>
        <w:ind w:left="640"/>
        <w:spacing w:after="0" w:line="238" w:lineRule="auto"/>
        <w:rPr>
          <w:sz w:val="20"/>
          <w:szCs w:val="20"/>
          <w:color w:val="auto"/>
        </w:rPr>
      </w:pPr>
      <w:r>
        <w:rPr>
          <w:rFonts w:ascii="Courier New" w:cs="Courier New" w:eastAsia="Courier New" w:hAnsi="Courier New"/>
          <w:sz w:val="18"/>
          <w:szCs w:val="18"/>
          <w:color w:val="auto"/>
        </w:rPr>
        <w:t>Title: Chief Executive Officer</w:t>
      </w:r>
    </w:p>
    <w:sectPr>
      <w:pgSz w:w="11900" w:h="16838" w:orient="portrait"/>
      <w:cols w:equalWidth="0" w:num="1">
        <w:col w:w="10219"/>
      </w:cols>
      <w:pgMar w:left="240" w:top="136"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bullet"/>
      <w:start w:val="1"/>
    </w:lvl>
  </w:abstractNum>
  <w:abstractNum w:abstractNumId="2">
    <w:nsid w:val="7C83E458"/>
    <w:multiLevelType w:val="hybridMultilevel"/>
    <w:lvl w:ilvl="0">
      <w:lvlJc w:val="left"/>
      <w:lvlText w:val="3"/>
      <w:numFmt w:val="bullet"/>
      <w:start w:val="1"/>
    </w:lvl>
  </w:abstractNum>
  <w:abstractNum w:abstractNumId="3">
    <w:nsid w:val="257130A3"/>
    <w:multiLevelType w:val="hybridMultilevel"/>
    <w:lvl w:ilvl="0">
      <w:lvlJc w:val="left"/>
      <w:lvlText w:val="4"/>
      <w:numFmt w:val="bullet"/>
      <w:start w:val="1"/>
    </w:lvl>
  </w:abstractNum>
  <w:abstractNum w:abstractNumId="4">
    <w:nsid w:val="62BBD95A"/>
    <w:multiLevelType w:val="hybridMultilevel"/>
    <w:lvl w:ilvl="0">
      <w:lvlJc w:val="left"/>
      <w:lvlText w:val="5"/>
      <w:numFmt w:val="bullet"/>
      <w:start w:val="1"/>
    </w:lvl>
  </w:abstractNum>
  <w:abstractNum w:abstractNumId="5">
    <w:nsid w:val="436C6125"/>
    <w:multiLevelType w:val="hybridMultilevel"/>
    <w:lvl w:ilvl="0">
      <w:lvlJc w:val="left"/>
      <w:lvlText w:val="6"/>
      <w:numFmt w:val="bullet"/>
      <w:start w:val="1"/>
    </w:lvl>
  </w:abstractNum>
  <w:abstractNum w:abstractNumId="6">
    <w:nsid w:val="628C895D"/>
    <w:multiLevelType w:val="hybridMultilevel"/>
    <w:lvl w:ilvl="0">
      <w:lvlJc w:val="left"/>
      <w:lvlText w:val="7"/>
      <w:numFmt w:val="bullet"/>
      <w:start w:val="1"/>
    </w:lvl>
  </w:abstractNum>
  <w:abstractNum w:abstractNumId="7">
    <w:nsid w:val="333AB105"/>
    <w:multiLevelType w:val="hybridMultilevel"/>
    <w:lvl w:ilvl="0">
      <w:lvlJc w:val="left"/>
      <w:lvlText w:val="%1"/>
      <w:numFmt w:val="decimal"/>
      <w:start w:val="11"/>
    </w:lvl>
  </w:abstractNum>
  <w:abstractNum w:abstractNumId="8">
    <w:nsid w:val="721DA317"/>
    <w:multiLevelType w:val="hybridMultilevel"/>
    <w:lvl w:ilvl="0">
      <w:lvlJc w:val="left"/>
      <w:lvlText w:val="1"/>
      <w:numFmt w:val="bullet"/>
      <w:start w:val="1"/>
    </w:lvl>
  </w:abstractNum>
  <w:abstractNum w:abstractNumId="9">
    <w:nsid w:val="2443A858"/>
    <w:multiLevelType w:val="hybridMultilevel"/>
    <w:lvl w:ilvl="0">
      <w:lvlJc w:val="left"/>
      <w:lvlText w:val="3"/>
      <w:numFmt w:val="bullet"/>
      <w:start w:val="1"/>
    </w:lvl>
  </w:abstractNum>
  <w:abstractNum w:abstractNumId="10">
    <w:nsid w:val="2D1D5AE9"/>
    <w:multiLevelType w:val="hybridMultilevel"/>
    <w:lvl w:ilvl="0">
      <w:lvlJc w:val="left"/>
      <w:lvlText w:val="4"/>
      <w:numFmt w:val="bullet"/>
      <w:start w:val="1"/>
    </w:lvl>
  </w:abstractNum>
  <w:abstractNum w:abstractNumId="11">
    <w:nsid w:val="6763845E"/>
    <w:multiLevelType w:val="hybridMultilevel"/>
    <w:lvl w:ilvl="0">
      <w:lvlJc w:val="left"/>
      <w:lvlText w:val="5"/>
      <w:numFmt w:val="bullet"/>
      <w:start w:val="1"/>
    </w:lvl>
  </w:abstractNum>
  <w:abstractNum w:abstractNumId="12">
    <w:nsid w:val="75A2A8D4"/>
    <w:multiLevelType w:val="hybridMultilevel"/>
    <w:lvl w:ilvl="0">
      <w:lvlJc w:val="left"/>
      <w:lvlText w:val="6"/>
      <w:numFmt w:val="bullet"/>
      <w:start w:val="1"/>
    </w:lvl>
  </w:abstractNum>
  <w:abstractNum w:abstractNumId="13">
    <w:nsid w:val="8EDBDAB"/>
    <w:multiLevelType w:val="hybridMultilevel"/>
    <w:lvl w:ilvl="0">
      <w:lvlJc w:val="left"/>
      <w:lvlText w:val="7"/>
      <w:numFmt w:val="bullet"/>
      <w:start w:val="1"/>
    </w:lvl>
  </w:abstractNum>
  <w:abstractNum w:abstractNumId="14">
    <w:nsid w:val="79838CB2"/>
    <w:multiLevelType w:val="hybridMultilevel"/>
    <w:lvl w:ilvl="0">
      <w:lvlJc w:val="left"/>
      <w:lvlText w:val="%1"/>
      <w:numFmt w:val="decimal"/>
      <w:start w:val="11"/>
    </w:lvl>
    <w:lvl w:ilvl="1">
      <w:lvlJc w:val="left"/>
      <w:lvlText w:val="-"/>
      <w:numFmt w:val="bullet"/>
      <w:start w:val="1"/>
    </w:lvl>
  </w:abstractNum>
  <w:abstractNum w:abstractNumId="15">
    <w:nsid w:val="4353D0CD"/>
    <w:multiLevelType w:val="hybridMultilevel"/>
    <w:lvl w:ilvl="0">
      <w:lvlJc w:val="left"/>
      <w:lvlText w:val="1"/>
      <w:numFmt w:val="bullet"/>
      <w:start w:val="1"/>
    </w:lvl>
  </w:abstractNum>
  <w:abstractNum w:abstractNumId="16">
    <w:nsid w:val="B03E0C6"/>
    <w:multiLevelType w:val="hybridMultilevel"/>
    <w:lvl w:ilvl="0">
      <w:lvlJc w:val="left"/>
      <w:lvlText w:val="3"/>
      <w:numFmt w:val="bullet"/>
      <w:start w:val="1"/>
    </w:lvl>
  </w:abstractNum>
  <w:abstractNum w:abstractNumId="17">
    <w:nsid w:val="189A769B"/>
    <w:multiLevelType w:val="hybridMultilevel"/>
    <w:lvl w:ilvl="0">
      <w:lvlJc w:val="left"/>
      <w:lvlText w:val="4"/>
      <w:numFmt w:val="bullet"/>
      <w:start w:val="1"/>
    </w:lvl>
  </w:abstractNum>
  <w:abstractNum w:abstractNumId="18">
    <w:nsid w:val="54E49EB4"/>
    <w:multiLevelType w:val="hybridMultilevel"/>
    <w:lvl w:ilvl="0">
      <w:lvlJc w:val="left"/>
      <w:lvlText w:val="5"/>
      <w:numFmt w:val="bullet"/>
      <w:start w:val="1"/>
    </w:lvl>
  </w:abstractNum>
  <w:abstractNum w:abstractNumId="19">
    <w:nsid w:val="71F32454"/>
    <w:multiLevelType w:val="hybridMultilevel"/>
    <w:lvl w:ilvl="0">
      <w:lvlJc w:val="left"/>
      <w:lvlText w:val="6"/>
      <w:numFmt w:val="bullet"/>
      <w:start w:val="1"/>
    </w:lvl>
  </w:abstractNum>
  <w:abstractNum w:abstractNumId="20">
    <w:nsid w:val="2CA88611"/>
    <w:multiLevelType w:val="hybridMultilevel"/>
    <w:lvl w:ilvl="0">
      <w:lvlJc w:val="left"/>
      <w:lvlText w:val="%1"/>
      <w:numFmt w:val="decimal"/>
      <w:start w:val="11"/>
    </w:lvl>
  </w:abstractNum>
  <w:abstractNum w:abstractNumId="21">
    <w:nsid w:val="836C40E"/>
    <w:multiLevelType w:val="hybridMultilevel"/>
    <w:lvl w:ilvl="0">
      <w:lvlJc w:val="left"/>
      <w:lvlText w:val="1"/>
      <w:numFmt w:val="bullet"/>
      <w:start w:val="1"/>
    </w:lvl>
  </w:abstractNum>
  <w:abstractNum w:abstractNumId="22">
    <w:nsid w:val="2901D82"/>
    <w:multiLevelType w:val="hybridMultilevel"/>
    <w:lvl w:ilvl="0">
      <w:lvlJc w:val="left"/>
      <w:lvlText w:val="3"/>
      <w:numFmt w:val="bullet"/>
      <w:start w:val="1"/>
    </w:lvl>
  </w:abstractNum>
  <w:abstractNum w:abstractNumId="23">
    <w:nsid w:val="3A95F874"/>
    <w:multiLevelType w:val="hybridMultilevel"/>
    <w:lvl w:ilvl="0">
      <w:lvlJc w:val="left"/>
      <w:lvlText w:val="4"/>
      <w:numFmt w:val="bullet"/>
      <w:start w:val="1"/>
    </w:lvl>
  </w:abstractNum>
  <w:abstractNum w:abstractNumId="24">
    <w:nsid w:val="8138641"/>
    <w:multiLevelType w:val="hybridMultilevel"/>
    <w:lvl w:ilvl="0">
      <w:lvlJc w:val="left"/>
      <w:lvlText w:val="5"/>
      <w:numFmt w:val="bullet"/>
      <w:start w:val="1"/>
    </w:lvl>
  </w:abstractNum>
  <w:abstractNum w:abstractNumId="25">
    <w:nsid w:val="1E7FF521"/>
    <w:multiLevelType w:val="hybridMultilevel"/>
    <w:lvl w:ilvl="0">
      <w:lvlJc w:val="left"/>
      <w:lvlText w:val="6"/>
      <w:numFmt w:val="bullet"/>
      <w:start w:val="1"/>
    </w:lvl>
  </w:abstractNum>
  <w:abstractNum w:abstractNumId="26">
    <w:nsid w:val="7C3DBD3D"/>
    <w:multiLevelType w:val="hybridMultilevel"/>
    <w:lvl w:ilvl="0">
      <w:lvlJc w:val="left"/>
      <w:lvlText w:val="%1"/>
      <w:numFmt w:val="decimal"/>
      <w:start w:val="11"/>
    </w:lvl>
  </w:abstractNum>
  <w:abstractNum w:abstractNumId="27">
    <w:nsid w:val="737B8DDC"/>
    <w:multiLevelType w:val="hybridMultilevel"/>
    <w:lvl w:ilvl="0">
      <w:lvlJc w:val="left"/>
      <w:lvlText w:val="1"/>
      <w:numFmt w:val="bullet"/>
      <w:start w:val="1"/>
    </w:lvl>
  </w:abstractNum>
  <w:abstractNum w:abstractNumId="28">
    <w:nsid w:val="6CEAF087"/>
    <w:multiLevelType w:val="hybridMultilevel"/>
    <w:lvl w:ilvl="0">
      <w:lvlJc w:val="left"/>
      <w:lvlText w:val="3"/>
      <w:numFmt w:val="bullet"/>
      <w:start w:val="1"/>
    </w:lvl>
  </w:abstractNum>
  <w:abstractNum w:abstractNumId="29">
    <w:nsid w:val="22221A70"/>
    <w:multiLevelType w:val="hybridMultilevel"/>
    <w:lvl w:ilvl="0">
      <w:lvlJc w:val="left"/>
      <w:lvlText w:val="4"/>
      <w:numFmt w:val="bullet"/>
      <w:start w:val="1"/>
    </w:lvl>
  </w:abstractNum>
  <w:abstractNum w:abstractNumId="30">
    <w:nsid w:val="4516DDE9"/>
    <w:multiLevelType w:val="hybridMultilevel"/>
    <w:lvl w:ilvl="0">
      <w:lvlJc w:val="left"/>
      <w:lvlText w:val="5"/>
      <w:numFmt w:val="bullet"/>
      <w:start w:val="1"/>
    </w:lvl>
  </w:abstractNum>
  <w:abstractNum w:abstractNumId="31">
    <w:nsid w:val="3006C83E"/>
    <w:multiLevelType w:val="hybridMultilevel"/>
    <w:lvl w:ilvl="0">
      <w:lvlJc w:val="left"/>
      <w:lvlText w:val="6"/>
      <w:numFmt w:val="bullet"/>
      <w:start w:val="1"/>
    </w:lvl>
  </w:abstractNum>
  <w:abstractNum w:abstractNumId="32">
    <w:nsid w:val="614FD4A1"/>
    <w:multiLevelType w:val="hybridMultilevel"/>
    <w:lvl w:ilvl="0">
      <w:lvlJc w:val="left"/>
      <w:lvlText w:val="%1"/>
      <w:numFmt w:val="decimal"/>
      <w:start w:val="11"/>
    </w:lvl>
  </w:abstractNum>
  <w:abstractNum w:abstractNumId="33">
    <w:nsid w:val="419AC241"/>
    <w:multiLevelType w:val="hybridMultilevel"/>
    <w:lvl w:ilvl="0">
      <w:lvlJc w:val="left"/>
      <w:lvlText w:val="%1"/>
      <w:numFmt w:val="decimal"/>
      <w:start w:val="13"/>
    </w:lvl>
  </w:abstractNum>
  <w:abstractNum w:abstractNumId="34">
    <w:nsid w:val="5577F8E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2019-12-11T21:06:41Z</dcterms:created>
  <dcterms:modified xsi:type="dcterms:W3CDTF">2019-12-11T21:06:41Z</dcterms:modified>
</cp:coreProperties>
</file>