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8793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01/29/2016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2"/>
                <w:szCs w:val="12"/>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500" w:type="dxa"/>
            <w:vAlign w:val="bottom"/>
            <w:vMerge w:val="restart"/>
          </w:tcPr>
          <w:p>
            <w:pPr>
              <w:ind w:left="200"/>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4.29</w:t>
            </w:r>
          </w:p>
        </w:tc>
        <w:tc>
          <w:tcPr>
            <w:tcW w:w="320" w:type="dxa"/>
            <w:vAlign w:val="bottom"/>
            <w:vMerge w:val="restart"/>
          </w:tcPr>
          <w:p>
            <w:pPr>
              <w:jc w:val="right"/>
              <w:ind w:right="124"/>
              <w:spacing w:after="0"/>
              <w:rPr>
                <w:sz w:val="20"/>
                <w:szCs w:val="20"/>
                <w:color w:val="auto"/>
              </w:rPr>
            </w:pPr>
            <w:r>
              <w:rPr>
                <w:rFonts w:ascii="Arial" w:cs="Arial" w:eastAsia="Arial" w:hAnsi="Arial"/>
                <w:sz w:val="11"/>
                <w:szCs w:val="11"/>
                <w:color w:val="008000"/>
                <w:w w:val="88"/>
              </w:rPr>
              <w:t>(2)</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01/29/2016</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01/29/2016</w:t>
            </w: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ind w:left="100"/>
              <w:spacing w:after="0"/>
              <w:rPr>
                <w:sz w:val="20"/>
                <w:szCs w:val="20"/>
                <w:color w:val="auto"/>
              </w:rPr>
            </w:pPr>
            <w:r>
              <w:rPr>
                <w:rFonts w:ascii="Arial" w:cs="Arial" w:eastAsia="Arial" w:hAnsi="Arial"/>
                <w:sz w:val="14"/>
                <w:szCs w:val="14"/>
                <w:color w:val="0000FF"/>
              </w:rPr>
              <w:t>174</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w w:val="96"/>
              </w:rPr>
              <w:t>01/29/2019</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174</w:t>
            </w:r>
          </w:p>
        </w:tc>
        <w:tc>
          <w:tcPr>
            <w:tcW w:w="7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4.29</w:t>
            </w:r>
          </w:p>
        </w:tc>
        <w:tc>
          <w:tcPr>
            <w:tcW w:w="980" w:type="dxa"/>
            <w:vAlign w:val="bottom"/>
            <w:vMerge w:val="restart"/>
          </w:tcPr>
          <w:p>
            <w:pPr>
              <w:ind w:left="380"/>
              <w:spacing w:after="0"/>
              <w:rPr>
                <w:sz w:val="20"/>
                <w:szCs w:val="20"/>
                <w:color w:val="auto"/>
              </w:rPr>
            </w:pPr>
            <w:r>
              <w:rPr>
                <w:rFonts w:ascii="Arial" w:cs="Arial" w:eastAsia="Arial" w:hAnsi="Arial"/>
                <w:sz w:val="14"/>
                <w:szCs w:val="14"/>
                <w:color w:val="0000FF"/>
              </w:rPr>
              <w:t>174</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(1)</w:t>
            </w:r>
          </w:p>
        </w:tc>
        <w:tc>
          <w:tcPr>
            <w:tcW w:w="50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ecoomic equivalent of one share of common stock. The shares of deferred stock become payable in common stock, at the expiration of the 3-year deferral period as elected by the Reporting Person under the terms of the Second Amended and Restated Non-Employee Director Compensation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Second Amended and Restated Non-Employee Director Compensation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02/02/2016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John E. Kyees,</w:t>
      </w:r>
    </w:p>
    <w:p>
      <w:pPr>
        <w:spacing w:after="0" w:line="207"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10"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620" w:val="left"/>
          <w:tab w:leader="none" w:pos="3260" w:val="left"/>
        </w:tabs>
        <w:rPr>
          <w:sz w:val="20"/>
          <w:szCs w:val="20"/>
          <w:color w:val="auto"/>
        </w:rPr>
      </w:pPr>
      <w:r>
        <w:rPr>
          <w:rFonts w:ascii="Courier New" w:cs="Courier New" w:eastAsia="Courier New" w:hAnsi="Courier New"/>
          <w:sz w:val="18"/>
          <w:szCs w:val="18"/>
          <w:color w:val="auto"/>
        </w:rPr>
        <w:t>Date: December 1, 2015</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E. Kyees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JOHN E. KYEES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2019-12-23T15:06:38Z</dcterms:created>
  <dcterms:modified xsi:type="dcterms:W3CDTF">2019-12-23T15:06:38Z</dcterms:modified>
</cp:coreProperties>
</file>