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80"/>
        <w:spacing w:after="0"/>
        <w:rPr>
          <w:sz w:val="20"/>
          <w:szCs w:val="20"/>
          <w:color w:val="auto"/>
        </w:rPr>
      </w:pPr>
      <w:r>
        <w:rPr>
          <w:rFonts w:ascii="Courier New" w:cs="Courier New" w:eastAsia="Courier New" w:hAnsi="Courier New"/>
          <w:sz w:val="18"/>
          <w:szCs w:val="18"/>
          <w:color w:val="auto"/>
        </w:rPr>
        <w:t>Page 1 of 11 Pages</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280"/>
        <w:spacing w:after="0" w:line="238" w:lineRule="auto"/>
        <w:rPr>
          <w:sz w:val="20"/>
          <w:szCs w:val="20"/>
          <w:color w:val="auto"/>
        </w:rPr>
      </w:pPr>
      <w:r>
        <w:rPr>
          <w:rFonts w:ascii="Courier New" w:cs="Courier New" w:eastAsia="Courier New" w:hAnsi="Courier New"/>
          <w:sz w:val="18"/>
          <w:szCs w:val="18"/>
          <w:color w:val="auto"/>
        </w:rPr>
        <w:t>(Amendment No. 6)*</w:t>
      </w:r>
    </w:p>
    <w:p>
      <w:pPr>
        <w:ind w:left="3380"/>
        <w:spacing w:after="0"/>
        <w:rPr>
          <w:sz w:val="20"/>
          <w:szCs w:val="20"/>
          <w:color w:val="auto"/>
        </w:rPr>
      </w:pPr>
      <w:r>
        <w:rPr>
          <w:rFonts w:ascii="Courier New" w:cs="Courier New" w:eastAsia="Courier New" w:hAnsi="Courier New"/>
          <w:sz w:val="18"/>
          <w:szCs w:val="18"/>
          <w:color w:val="auto"/>
        </w:rPr>
        <w:t>**Exit Filing**</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Casual Male Retail Group,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148711104</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4"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Page 2 of 11 Pages</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Schedule 13G Amendment No.6 (continued)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Baron Capital Group,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jc w:val="right"/>
              <w:ind w:right="49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jc w:val="right"/>
              <w:ind w:right="4772"/>
              <w:spacing w:after="0" w:line="203" w:lineRule="exact"/>
              <w:rPr>
                <w:sz w:val="20"/>
                <w:szCs w:val="20"/>
                <w:color w:val="auto"/>
              </w:rPr>
            </w:pPr>
            <w:r>
              <w:rPr>
                <w:rFonts w:ascii="Courier New" w:cs="Courier New" w:eastAsia="Courier New" w:hAnsi="Courier New"/>
                <w:sz w:val="18"/>
                <w:szCs w:val="18"/>
                <w:color w:val="auto"/>
              </w:rPr>
              <w:t>100,000**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6000" w:type="dxa"/>
            <w:vAlign w:val="bottom"/>
          </w:tcPr>
          <w:p>
            <w:pPr>
              <w:jc w:val="right"/>
              <w:ind w:right="49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ectPr>
          <w:pgSz w:w="11900" w:h="16838" w:orient="portrait"/>
          <w:cols w:equalWidth="0" w:num="1">
            <w:col w:w="10219"/>
          </w:cols>
          <w:pgMar w:left="240" w:top="649" w:right="1440" w:bottom="0" w:gutter="0" w:footer="0" w:header="0"/>
        </w:sectPr>
      </w:pPr>
    </w:p>
    <w:bookmarkStart w:id="1" w:name="page2"/>
    <w:bookmarkEnd w:id="1"/>
    <w:p>
      <w:pPr>
        <w:ind w:left="2640"/>
        <w:spacing w:after="0"/>
        <w:rPr>
          <w:sz w:val="20"/>
          <w:szCs w:val="20"/>
          <w:color w:val="auto"/>
        </w:rPr>
      </w:pPr>
      <w:r>
        <w:rPr>
          <w:rFonts w:ascii="Courier New" w:cs="Courier New" w:eastAsia="Courier New" w:hAnsi="Courier New"/>
          <w:sz w:val="18"/>
          <w:szCs w:val="18"/>
          <w:color w:val="auto"/>
        </w:rPr>
        <w:t>100,000**</w:t>
      </w:r>
    </w:p>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100,000**</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0.2%</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**All shares of common stock have been sold. 100,000 represents warrants which may be exercised within 60 days to acquire beneficial ownership.</w:t>
      </w:r>
    </w:p>
    <w:p>
      <w:pPr>
        <w:sectPr>
          <w:pgSz w:w="11900" w:h="16838" w:orient="portrait"/>
          <w:cols w:equalWidth="0" w:num="1">
            <w:col w:w="10219"/>
          </w:cols>
          <w:pgMar w:left="240" w:top="136" w:right="1440" w:bottom="1440" w:gutter="0" w:footer="0" w:header="0"/>
        </w:sectPr>
      </w:pPr>
    </w:p>
    <w:bookmarkStart w:id="2" w:name="page3"/>
    <w:bookmarkEnd w:id="2"/>
    <w:p>
      <w:pPr>
        <w:ind w:left="4640"/>
        <w:spacing w:after="0"/>
        <w:rPr>
          <w:sz w:val="20"/>
          <w:szCs w:val="20"/>
          <w:color w:val="auto"/>
        </w:rPr>
      </w:pPr>
      <w:r>
        <w:rPr>
          <w:rFonts w:ascii="Courier New" w:cs="Courier New" w:eastAsia="Courier New" w:hAnsi="Courier New"/>
          <w:sz w:val="18"/>
          <w:szCs w:val="18"/>
          <w:color w:val="auto"/>
        </w:rPr>
        <w:t>Page 3 of 11 Pages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Schedule 13G Amendment No.6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BAMCO, Inc.</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100,000**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40" w:right="5259" w:hanging="736"/>
        <w:spacing w:after="0" w:line="235" w:lineRule="auto"/>
        <w:tabs>
          <w:tab w:leader="none" w:pos="2429"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100,000**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100,000**</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0.2%</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**All shares of common stock have been sold. 100,000 represents warrants which may be exercised within 60 days to acquire beneficial ownership.</w:t>
      </w:r>
    </w:p>
    <w:p>
      <w:pPr>
        <w:sectPr>
          <w:pgSz w:w="11900" w:h="16838" w:orient="portrait"/>
          <w:cols w:equalWidth="0" w:num="1">
            <w:col w:w="10219"/>
          </w:cols>
          <w:pgMar w:left="240" w:top="514" w:right="1440" w:bottom="1440" w:gutter="0" w:footer="0" w:header="0"/>
        </w:sectPr>
      </w:pPr>
    </w:p>
    <w:bookmarkStart w:id="3" w:name="page4"/>
    <w:bookmarkEnd w:id="3"/>
    <w:p>
      <w:pPr>
        <w:ind w:left="4640"/>
        <w:spacing w:after="0"/>
        <w:rPr>
          <w:sz w:val="20"/>
          <w:szCs w:val="20"/>
          <w:color w:val="auto"/>
        </w:rPr>
      </w:pPr>
      <w:r>
        <w:rPr>
          <w:rFonts w:ascii="Courier New" w:cs="Courier New" w:eastAsia="Courier New" w:hAnsi="Courier New"/>
          <w:sz w:val="18"/>
          <w:szCs w:val="18"/>
          <w:color w:val="auto"/>
        </w:rPr>
        <w:t>Page 4 of 11 Pages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Schedule 13G Amendment No.6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Baron Small Cap Fund</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100,000**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540" w:right="5259" w:hanging="636"/>
        <w:spacing w:after="0" w:line="235" w:lineRule="auto"/>
        <w:tabs>
          <w:tab w:leader="none" w:pos="2435"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100,000**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100,000**</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0.2%</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**All shares of common stock have been sold. 100,000 represents warrants which may be exercised within 60 days to acquire beneficial ownership.</w:t>
      </w:r>
    </w:p>
    <w:p>
      <w:pPr>
        <w:sectPr>
          <w:pgSz w:w="11900" w:h="16838" w:orient="portrait"/>
          <w:cols w:equalWidth="0" w:num="1">
            <w:col w:w="10219"/>
          </w:cols>
          <w:pgMar w:left="240" w:top="514" w:right="1440" w:bottom="1440" w:gutter="0" w:footer="0" w:header="0"/>
        </w:sectPr>
      </w:pPr>
    </w:p>
    <w:bookmarkStart w:id="4" w:name="page5"/>
    <w:bookmarkEnd w:id="4"/>
    <w:p>
      <w:pPr>
        <w:ind w:left="4640"/>
        <w:spacing w:after="0"/>
        <w:rPr>
          <w:sz w:val="20"/>
          <w:szCs w:val="20"/>
          <w:color w:val="auto"/>
        </w:rPr>
      </w:pPr>
      <w:r>
        <w:rPr>
          <w:rFonts w:ascii="Courier New" w:cs="Courier New" w:eastAsia="Courier New" w:hAnsi="Courier New"/>
          <w:sz w:val="18"/>
          <w:szCs w:val="18"/>
          <w:color w:val="auto"/>
        </w:rPr>
        <w:t>Page 5 of 11 Pages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Schedule 13G Amendment No.6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Ronald Baron</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100,000**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40" w:right="5259" w:hanging="736"/>
        <w:spacing w:after="0" w:line="235" w:lineRule="auto"/>
        <w:tabs>
          <w:tab w:leader="none" w:pos="2429"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100,000**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100,000**</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0.2%</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IN</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**All shares of common stock have been sold. 100,000 represents warrants which may be exercised within 60 days to acquire beneficial ownership.</w:t>
      </w:r>
    </w:p>
    <w:p>
      <w:pPr>
        <w:sectPr>
          <w:pgSz w:w="11900" w:h="16838" w:orient="portrait"/>
          <w:cols w:equalWidth="0" w:num="1">
            <w:col w:w="10219"/>
          </w:cols>
          <w:pgMar w:left="240" w:top="514" w:right="1440" w:bottom="1440" w:gutter="0" w:footer="0" w:header="0"/>
        </w:sectPr>
      </w:pPr>
    </w:p>
    <w:bookmarkStart w:id="5" w:name="page6"/>
    <w:bookmarkEnd w:id="5"/>
    <w:p>
      <w:pPr>
        <w:ind w:left="4640"/>
        <w:spacing w:after="0"/>
        <w:rPr>
          <w:sz w:val="20"/>
          <w:szCs w:val="20"/>
          <w:color w:val="auto"/>
        </w:rPr>
      </w:pPr>
      <w:r>
        <w:rPr>
          <w:rFonts w:ascii="Courier New" w:cs="Courier New" w:eastAsia="Courier New" w:hAnsi="Courier New"/>
          <w:sz w:val="18"/>
          <w:szCs w:val="18"/>
          <w:color w:val="auto"/>
        </w:rPr>
        <w:t>Page 6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380" w:hanging="529"/>
        <w:spacing w:after="0"/>
        <w:tabs>
          <w:tab w:leader="none" w:pos="13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Casual Male Retail Group, Inc.</w:t>
      </w:r>
    </w:p>
    <w:p>
      <w:pPr>
        <w:spacing w:after="0" w:line="207" w:lineRule="exact"/>
        <w:rPr>
          <w:rFonts w:ascii="Courier New" w:cs="Courier New" w:eastAsia="Courier New" w:hAnsi="Courier New"/>
          <w:sz w:val="18"/>
          <w:szCs w:val="18"/>
          <w:color w:val="auto"/>
        </w:rPr>
      </w:pPr>
    </w:p>
    <w:p>
      <w:pPr>
        <w:ind w:left="1380" w:right="3779" w:hanging="529"/>
        <w:spacing w:after="0" w:line="235" w:lineRule="auto"/>
        <w:tabs>
          <w:tab w:leader="none" w:pos="13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555 Turnpike Street</w:t>
      </w:r>
    </w:p>
    <w:p>
      <w:pPr>
        <w:spacing w:after="0" w:line="1" w:lineRule="exact"/>
        <w:rPr>
          <w:rFonts w:ascii="Courier New" w:cs="Courier New" w:eastAsia="Courier New" w:hAnsi="Courier New"/>
          <w:sz w:val="18"/>
          <w:szCs w:val="18"/>
          <w:color w:val="auto"/>
        </w:rPr>
      </w:pP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Canton, MA 02021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380" w:hanging="529"/>
        <w:spacing w:after="0"/>
        <w:tabs>
          <w:tab w:leader="none" w:pos="13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Persons Filing:</w:t>
      </w:r>
    </w:p>
    <w:p>
      <w:pPr>
        <w:spacing w:after="0" w:line="4" w:lineRule="exact"/>
        <w:rPr>
          <w:rFonts w:ascii="Courier New" w:cs="Courier New" w:eastAsia="Courier New" w:hAnsi="Courier New"/>
          <w:sz w:val="18"/>
          <w:szCs w:val="18"/>
          <w:color w:val="auto"/>
        </w:rPr>
      </w:pPr>
    </w:p>
    <w:p>
      <w:pPr>
        <w:ind w:left="1380" w:right="5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Baron Capital Group, Inc. ("BCG") BAMCO, Inc. ("BAMCO")</w:t>
      </w:r>
    </w:p>
    <w:p>
      <w:pPr>
        <w:spacing w:after="0" w:line="5" w:lineRule="exact"/>
        <w:rPr>
          <w:rFonts w:ascii="Courier New" w:cs="Courier New" w:eastAsia="Courier New" w:hAnsi="Courier New"/>
          <w:sz w:val="18"/>
          <w:szCs w:val="18"/>
          <w:color w:val="auto"/>
        </w:rPr>
      </w:pPr>
    </w:p>
    <w:p>
      <w:pPr>
        <w:ind w:left="1380" w:right="5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Baron Small Cap Fund ("BSC") Ronald Baron</w:t>
      </w:r>
    </w:p>
    <w:p>
      <w:pPr>
        <w:spacing w:after="0" w:line="5" w:lineRule="exact"/>
        <w:rPr>
          <w:rFonts w:ascii="Courier New" w:cs="Courier New" w:eastAsia="Courier New" w:hAnsi="Courier New"/>
          <w:sz w:val="18"/>
          <w:szCs w:val="18"/>
          <w:color w:val="auto"/>
        </w:rPr>
      </w:pPr>
    </w:p>
    <w:p>
      <w:pPr>
        <w:ind w:left="1580" w:right="4939" w:hanging="729"/>
        <w:spacing w:after="0" w:line="235" w:lineRule="auto"/>
        <w:tabs>
          <w:tab w:leader="none" w:pos="13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767 Fifth Avenue</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10153</w:t>
      </w:r>
    </w:p>
    <w:p>
      <w:pPr>
        <w:ind w:left="1380" w:hanging="529"/>
        <w:spacing w:after="0" w:line="238" w:lineRule="auto"/>
        <w:tabs>
          <w:tab w:leader="none" w:pos="13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5" w:lineRule="exact"/>
        <w:rPr>
          <w:sz w:val="20"/>
          <w:szCs w:val="20"/>
          <w:color w:val="auto"/>
        </w:rPr>
      </w:pPr>
    </w:p>
    <w:p>
      <w:pPr>
        <w:jc w:val="both"/>
        <w:ind w:left="1580" w:right="2099"/>
        <w:spacing w:after="0" w:line="236" w:lineRule="auto"/>
        <w:rPr>
          <w:sz w:val="20"/>
          <w:szCs w:val="20"/>
          <w:color w:val="auto"/>
        </w:rPr>
      </w:pPr>
      <w:r>
        <w:rPr>
          <w:rFonts w:ascii="Courier New" w:cs="Courier New" w:eastAsia="Courier New" w:hAnsi="Courier New"/>
          <w:sz w:val="18"/>
          <w:szCs w:val="18"/>
          <w:color w:val="auto"/>
        </w:rPr>
        <w:t>BCG and BAMCO are New York corporations. Baron Small Cap Fund is a series of a Massachusetts Business Trust. Ronald Baron is a citizen of the United States.</w:t>
      </w:r>
    </w:p>
    <w:p>
      <w:pPr>
        <w:spacing w:after="0" w:line="6" w:lineRule="exact"/>
        <w:rPr>
          <w:sz w:val="20"/>
          <w:szCs w:val="20"/>
          <w:color w:val="auto"/>
        </w:rPr>
      </w:pPr>
    </w:p>
    <w:p>
      <w:pPr>
        <w:ind w:left="1580" w:right="6099" w:hanging="729"/>
        <w:spacing w:after="0" w:line="235"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Securities: Common</w:t>
      </w:r>
    </w:p>
    <w:p>
      <w:pPr>
        <w:spacing w:after="0" w:line="1"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rPr>
          <w:sz w:val="20"/>
          <w:szCs w:val="20"/>
          <w:color w:val="auto"/>
        </w:rPr>
      </w:pPr>
      <w:r>
        <w:rPr>
          <w:rFonts w:ascii="Courier New" w:cs="Courier New" w:eastAsia="Courier New" w:hAnsi="Courier New"/>
          <w:sz w:val="18"/>
          <w:szCs w:val="18"/>
          <w:color w:val="auto"/>
        </w:rPr>
        <w:t>148711104</w:t>
      </w:r>
    </w:p>
    <w:p>
      <w:pPr>
        <w:spacing w:after="0" w:line="200" w:lineRule="exact"/>
        <w:rPr>
          <w:sz w:val="20"/>
          <w:szCs w:val="20"/>
          <w:color w:val="auto"/>
        </w:rPr>
      </w:pP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PERSONS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BCG and Ronald Baron are:</w:t>
      </w:r>
    </w:p>
    <w:p>
      <w:pPr>
        <w:ind w:left="1480"/>
        <w:spacing w:after="0" w:line="238" w:lineRule="auto"/>
        <w:rPr>
          <w:sz w:val="20"/>
          <w:szCs w:val="20"/>
          <w:color w:val="auto"/>
        </w:rPr>
      </w:pPr>
      <w:r>
        <w:rPr>
          <w:rFonts w:ascii="Courier New" w:cs="Courier New" w:eastAsia="Courier New" w:hAnsi="Courier New"/>
          <w:sz w:val="18"/>
          <w:szCs w:val="18"/>
          <w:color w:val="auto"/>
        </w:rPr>
        <w:t>(g) Parent holding companies, in accordance with</w:t>
      </w:r>
    </w:p>
    <w:p>
      <w:pPr>
        <w:ind w:left="1900"/>
        <w:spacing w:after="0"/>
        <w:rPr>
          <w:sz w:val="20"/>
          <w:szCs w:val="20"/>
          <w:color w:val="auto"/>
        </w:rPr>
      </w:pPr>
      <w:r>
        <w:rPr>
          <w:rFonts w:ascii="Courier New" w:cs="Courier New" w:eastAsia="Courier New" w:hAnsi="Courier New"/>
          <w:sz w:val="18"/>
          <w:szCs w:val="18"/>
          <w:color w:val="auto"/>
        </w:rPr>
        <w:t>Section 240.13d-1(b)(ii)(G)</w:t>
      </w:r>
    </w:p>
    <w:p>
      <w:pPr>
        <w:ind w:left="860"/>
        <w:spacing w:after="0" w:line="237" w:lineRule="auto"/>
        <w:rPr>
          <w:sz w:val="20"/>
          <w:szCs w:val="20"/>
          <w:color w:val="auto"/>
        </w:rPr>
      </w:pPr>
      <w:r>
        <w:rPr>
          <w:rFonts w:ascii="Courier New" w:cs="Courier New" w:eastAsia="Courier New" w:hAnsi="Courier New"/>
          <w:sz w:val="18"/>
          <w:szCs w:val="18"/>
          <w:color w:val="auto"/>
        </w:rPr>
        <w:t>BAMCO is:</w:t>
      </w:r>
    </w:p>
    <w:p>
      <w:pPr>
        <w:spacing w:after="0" w:line="5" w:lineRule="exact"/>
        <w:rPr>
          <w:sz w:val="20"/>
          <w:szCs w:val="20"/>
          <w:color w:val="auto"/>
        </w:rPr>
      </w:pPr>
    </w:p>
    <w:p>
      <w:pPr>
        <w:ind w:left="1900" w:right="3039" w:hanging="419"/>
        <w:spacing w:after="0" w:line="235" w:lineRule="auto"/>
        <w:tabs>
          <w:tab w:leader="none" w:pos="1880" w:val="left"/>
        </w:tabs>
        <w:rPr>
          <w:sz w:val="20"/>
          <w:szCs w:val="20"/>
          <w:color w:val="auto"/>
        </w:rPr>
      </w:pPr>
      <w:r>
        <w:rPr>
          <w:rFonts w:ascii="Courier New" w:cs="Courier New" w:eastAsia="Courier New" w:hAnsi="Courier New"/>
          <w:sz w:val="18"/>
          <w:szCs w:val="18"/>
          <w:color w:val="auto"/>
        </w:rPr>
        <w:t>(e)</w:t>
        <w:tab/>
        <w:t>Investment Adviser registered under Section 203 of the Investment Advisers Act of 1940</w:t>
      </w:r>
    </w:p>
    <w:p>
      <w:pPr>
        <w:ind w:left="860"/>
        <w:spacing w:after="0"/>
        <w:rPr>
          <w:sz w:val="20"/>
          <w:szCs w:val="20"/>
          <w:color w:val="auto"/>
        </w:rPr>
      </w:pPr>
      <w:r>
        <w:rPr>
          <w:rFonts w:ascii="Courier New" w:cs="Courier New" w:eastAsia="Courier New" w:hAnsi="Courier New"/>
          <w:sz w:val="18"/>
          <w:szCs w:val="18"/>
          <w:color w:val="auto"/>
        </w:rPr>
        <w:t>BSC is:</w:t>
      </w:r>
    </w:p>
    <w:p>
      <w:pPr>
        <w:spacing w:after="0" w:line="4" w:lineRule="exact"/>
        <w:rPr>
          <w:sz w:val="20"/>
          <w:szCs w:val="20"/>
          <w:color w:val="auto"/>
        </w:rPr>
      </w:pPr>
    </w:p>
    <w:p>
      <w:pPr>
        <w:ind w:left="1900" w:right="2839" w:hanging="417"/>
        <w:spacing w:after="0" w:line="235" w:lineRule="auto"/>
        <w:tabs>
          <w:tab w:leader="none" w:pos="190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w:t>
      </w:r>
    </w:p>
    <w:p>
      <w:pPr>
        <w:ind w:left="860"/>
        <w:spacing w:after="0"/>
        <w:rPr>
          <w:sz w:val="20"/>
          <w:szCs w:val="20"/>
          <w:color w:val="auto"/>
        </w:rPr>
      </w:pPr>
      <w:r>
        <w:rPr>
          <w:rFonts w:ascii="Courier New" w:cs="Courier New" w:eastAsia="Courier New" w:hAnsi="Courier New"/>
          <w:sz w:val="18"/>
          <w:szCs w:val="18"/>
          <w:color w:val="auto"/>
        </w:rPr>
        <w:t>All persons filing are:</w:t>
      </w:r>
    </w:p>
    <w:p>
      <w:pPr>
        <w:ind w:left="1480"/>
        <w:spacing w:after="0" w:line="238" w:lineRule="auto"/>
        <w:rPr>
          <w:sz w:val="20"/>
          <w:szCs w:val="20"/>
          <w:color w:val="auto"/>
        </w:rPr>
      </w:pPr>
      <w:r>
        <w:rPr>
          <w:rFonts w:ascii="Courier New" w:cs="Courier New" w:eastAsia="Courier New" w:hAnsi="Courier New"/>
          <w:sz w:val="18"/>
          <w:szCs w:val="18"/>
          <w:color w:val="auto"/>
        </w:rPr>
        <w:t>(j) Group, in accordance with Rule 13d-1(b)(1)(ii)(J)</w:t>
      </w:r>
    </w:p>
    <w:p>
      <w:pPr>
        <w:sectPr>
          <w:pgSz w:w="11900" w:h="16838" w:orient="portrait"/>
          <w:cols w:equalWidth="0" w:num="1">
            <w:col w:w="10219"/>
          </w:cols>
          <w:pgMar w:left="240" w:top="514"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0" w:type="dxa"/>
            <w:vAlign w:val="bottom"/>
          </w:tcPr>
          <w:p>
            <w:pPr>
              <w:ind w:left="580"/>
              <w:spacing w:after="0"/>
              <w:rPr>
                <w:sz w:val="20"/>
                <w:szCs w:val="20"/>
                <w:color w:val="auto"/>
              </w:rPr>
            </w:pPr>
            <w:r>
              <w:rPr>
                <w:rFonts w:ascii="Courier New" w:cs="Courier New" w:eastAsia="Courier New" w:hAnsi="Courier New"/>
                <w:sz w:val="18"/>
                <w:szCs w:val="18"/>
                <w:color w:val="auto"/>
              </w:rPr>
              <w:t>Page 7 of 11 Pages</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420" w:type="dxa"/>
            <w:vAlign w:val="bottom"/>
          </w:tcPr>
          <w:p>
            <w:pPr>
              <w:ind w:left="300"/>
              <w:spacing w:after="0"/>
              <w:rPr>
                <w:sz w:val="20"/>
                <w:szCs w:val="20"/>
                <w:color w:val="auto"/>
              </w:rPr>
            </w:pPr>
            <w:r>
              <w:rPr>
                <w:rFonts w:ascii="Courier New" w:cs="Courier New" w:eastAsia="Courier New" w:hAnsi="Courier New"/>
                <w:sz w:val="18"/>
                <w:szCs w:val="18"/>
                <w:color w:val="auto"/>
              </w:rPr>
              <w:t>OWNERSHIP^</w:t>
            </w: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320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8"/>
              </w:rPr>
              <w:t>(a) Amount Beneficially Owned</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w w:val="96"/>
              </w:rPr>
              <w:t>as of November 30, 2008:**</w:t>
            </w:r>
          </w:p>
        </w:tc>
      </w:tr>
      <w:tr>
        <w:trPr>
          <w:trHeight w:val="405"/>
        </w:trPr>
        <w:tc>
          <w:tcPr>
            <w:tcW w:w="860" w:type="dxa"/>
            <w:vAlign w:val="bottom"/>
          </w:tcPr>
          <w:p>
            <w:pPr>
              <w:spacing w:after="0"/>
              <w:rPr>
                <w:sz w:val="24"/>
                <w:szCs w:val="24"/>
                <w:color w:val="auto"/>
              </w:rPr>
            </w:pPr>
          </w:p>
        </w:tc>
        <w:tc>
          <w:tcPr>
            <w:tcW w:w="1420" w:type="dxa"/>
            <w:vAlign w:val="bottom"/>
          </w:tcPr>
          <w:p>
            <w:pPr>
              <w:ind w:left="720"/>
              <w:spacing w:after="0"/>
              <w:rPr>
                <w:sz w:val="20"/>
                <w:szCs w:val="20"/>
                <w:color w:val="auto"/>
              </w:rPr>
            </w:pPr>
            <w:r>
              <w:rPr>
                <w:rFonts w:ascii="Courier New" w:cs="Courier New" w:eastAsia="Courier New" w:hAnsi="Courier New"/>
                <w:sz w:val="18"/>
                <w:szCs w:val="18"/>
                <w:color w:val="auto"/>
              </w:rPr>
              <w:t>BCG:</w:t>
            </w:r>
          </w:p>
        </w:tc>
        <w:tc>
          <w:tcPr>
            <w:tcW w:w="10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w w:val="95"/>
              </w:rPr>
              <w:t>100,000</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860" w:type="dxa"/>
            <w:vAlign w:val="bottom"/>
          </w:tcPr>
          <w:p>
            <w:pPr>
              <w:spacing w:after="0"/>
              <w:rPr>
                <w:sz w:val="17"/>
                <w:szCs w:val="17"/>
                <w:color w:val="auto"/>
              </w:rPr>
            </w:pPr>
          </w:p>
        </w:tc>
        <w:tc>
          <w:tcPr>
            <w:tcW w:w="142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BAMCO:</w:t>
            </w:r>
          </w:p>
        </w:tc>
        <w:tc>
          <w:tcPr>
            <w:tcW w:w="10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100,000</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860" w:type="dxa"/>
            <w:vAlign w:val="bottom"/>
          </w:tcPr>
          <w:p>
            <w:pPr>
              <w:spacing w:after="0"/>
              <w:rPr>
                <w:sz w:val="17"/>
                <w:szCs w:val="17"/>
                <w:color w:val="auto"/>
              </w:rPr>
            </w:pPr>
          </w:p>
        </w:tc>
        <w:tc>
          <w:tcPr>
            <w:tcW w:w="142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BSC:</w:t>
            </w:r>
          </w:p>
        </w:tc>
        <w:tc>
          <w:tcPr>
            <w:tcW w:w="10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100,000</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860" w:type="dxa"/>
            <w:vAlign w:val="bottom"/>
          </w:tcPr>
          <w:p>
            <w:pPr>
              <w:spacing w:after="0"/>
              <w:rPr>
                <w:sz w:val="17"/>
                <w:szCs w:val="17"/>
                <w:color w:val="auto"/>
              </w:rPr>
            </w:pPr>
          </w:p>
        </w:tc>
        <w:tc>
          <w:tcPr>
            <w:tcW w:w="142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Ronald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Baron:</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100,000</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405"/>
        </w:trPr>
        <w:tc>
          <w:tcPr>
            <w:tcW w:w="860" w:type="dxa"/>
            <w:vAlign w:val="bottom"/>
          </w:tcPr>
          <w:p>
            <w:pPr>
              <w:spacing w:after="0"/>
              <w:rPr>
                <w:sz w:val="24"/>
                <w:szCs w:val="24"/>
                <w:color w:val="auto"/>
              </w:rPr>
            </w:pPr>
          </w:p>
        </w:tc>
        <w:tc>
          <w:tcPr>
            <w:tcW w:w="242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6"/>
              </w:rPr>
              <w:t>(b) Percent of Class#:</w:t>
            </w:r>
          </w:p>
        </w:tc>
        <w:tc>
          <w:tcPr>
            <w:tcW w:w="7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1420" w:type="dxa"/>
            <w:vAlign w:val="bottom"/>
          </w:tcPr>
          <w:p>
            <w:pPr>
              <w:ind w:left="720"/>
              <w:spacing w:after="0"/>
              <w:rPr>
                <w:sz w:val="20"/>
                <w:szCs w:val="20"/>
                <w:color w:val="auto"/>
              </w:rPr>
            </w:pPr>
            <w:r>
              <w:rPr>
                <w:rFonts w:ascii="Courier New" w:cs="Courier New" w:eastAsia="Courier New" w:hAnsi="Courier New"/>
                <w:sz w:val="18"/>
                <w:szCs w:val="18"/>
                <w:color w:val="auto"/>
              </w:rPr>
              <w:t>BCG:</w:t>
            </w:r>
          </w:p>
        </w:tc>
        <w:tc>
          <w:tcPr>
            <w:tcW w:w="10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0.2%</w:t>
            </w:r>
          </w:p>
        </w:tc>
        <w:tc>
          <w:tcPr>
            <w:tcW w:w="28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142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BAMCO:</w:t>
            </w:r>
          </w:p>
        </w:tc>
        <w:tc>
          <w:tcPr>
            <w:tcW w:w="10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w:t>
            </w:r>
          </w:p>
        </w:tc>
        <w:tc>
          <w:tcPr>
            <w:tcW w:w="28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142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BSC:</w:t>
            </w:r>
          </w:p>
        </w:tc>
        <w:tc>
          <w:tcPr>
            <w:tcW w:w="10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w:t>
            </w:r>
          </w:p>
        </w:tc>
        <w:tc>
          <w:tcPr>
            <w:tcW w:w="28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142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Ronald</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Baron</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w:t>
            </w:r>
          </w:p>
        </w:tc>
        <w:tc>
          <w:tcPr>
            <w:tcW w:w="28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right="3579" w:hanging="104"/>
        <w:spacing w:after="0" w:line="237" w:lineRule="auto"/>
        <w:rPr>
          <w:sz w:val="20"/>
          <w:szCs w:val="20"/>
          <w:color w:val="auto"/>
        </w:rPr>
      </w:pPr>
      <w:r>
        <w:rPr>
          <w:rFonts w:ascii="Courier New" w:cs="Courier New" w:eastAsia="Courier New" w:hAnsi="Courier New"/>
          <w:sz w:val="18"/>
          <w:szCs w:val="18"/>
          <w:color w:val="auto"/>
        </w:rPr>
        <w:t>^BCG and Ronald Baron disclaim beneficial ownership of shares held by their controlled entities (or the investment advisory clients thereof) to the extent such shares are held by persons other than BCG and Ronald Baron. BAMCO disclaims beneficial ownership of shares held by its investment advisory clients to the extent such shares are held by persons other than BAMCO and its affiliates.</w:t>
      </w:r>
    </w:p>
    <w:p>
      <w:pPr>
        <w:spacing w:after="0" w:line="200" w:lineRule="exact"/>
        <w:rPr>
          <w:sz w:val="20"/>
          <w:szCs w:val="20"/>
          <w:color w:val="auto"/>
        </w:rPr>
      </w:pPr>
    </w:p>
    <w:p>
      <w:pPr>
        <w:spacing w:after="0" w:line="21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**All shares of common stock have been sold. 100,000 represents warrants which may be exercised within 60 days to acquire beneficial ownership.</w:t>
      </w:r>
    </w:p>
    <w:p>
      <w:pPr>
        <w:sectPr>
          <w:pgSz w:w="11900" w:h="16838" w:orient="portrait"/>
          <w:cols w:equalWidth="0" w:num="1">
            <w:col w:w="10219"/>
          </w:cols>
          <w:pgMar w:left="240" w:top="514" w:right="1440" w:bottom="1440" w:gutter="0" w:footer="0" w:header="0"/>
        </w:sectPr>
      </w:pPr>
    </w:p>
    <w:bookmarkStart w:id="7" w:name="page8"/>
    <w:bookmarkEnd w:id="7"/>
    <w:p>
      <w:pPr>
        <w:ind w:left="5060"/>
        <w:spacing w:after="0"/>
        <w:rPr>
          <w:sz w:val="20"/>
          <w:szCs w:val="20"/>
          <w:color w:val="auto"/>
        </w:rPr>
      </w:pPr>
      <w:r>
        <w:rPr>
          <w:rFonts w:ascii="Courier New" w:cs="Courier New" w:eastAsia="Courier New" w:hAnsi="Courier New"/>
          <w:sz w:val="18"/>
          <w:szCs w:val="18"/>
          <w:color w:val="auto"/>
        </w:rPr>
        <w:t>Page 8 of 11 Pages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 Number of shares as to which such person has:</w:t>
      </w:r>
    </w:p>
    <w:p>
      <w:pPr>
        <w:ind w:left="2320" w:hanging="627"/>
        <w:spacing w:after="0" w:line="238" w:lineRule="auto"/>
        <w:tabs>
          <w:tab w:leader="none" w:pos="23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0</w:t>
      </w:r>
    </w:p>
    <w:tbl>
      <w:tblPr>
        <w:tblLayout w:type="fixed"/>
        <w:tblInd w:w="2740" w:type="dxa"/>
        <w:tblCellMar>
          <w:top w:w="0" w:type="dxa"/>
          <w:left w:w="0" w:type="dxa"/>
          <w:bottom w:w="0" w:type="dxa"/>
          <w:right w:w="0" w:type="dxa"/>
        </w:tblCellMar>
      </w:tblPr>
      <w:tr>
        <w:trPr>
          <w:trHeight w:val="203"/>
        </w:trPr>
        <w:tc>
          <w:tcPr>
            <w:tcW w:w="1960" w:type="dxa"/>
            <w:vAlign w:val="bottom"/>
          </w:tcPr>
          <w:p>
            <w:pPr>
              <w:spacing w:after="0"/>
              <w:rPr>
                <w:sz w:val="20"/>
                <w:szCs w:val="20"/>
                <w:color w:val="auto"/>
              </w:rPr>
            </w:pPr>
            <w:r>
              <w:rPr>
                <w:rFonts w:ascii="Courier New" w:cs="Courier New" w:eastAsia="Courier New" w:hAnsi="Courier New"/>
                <w:sz w:val="18"/>
                <w:szCs w:val="18"/>
                <w:color w:val="auto"/>
              </w:rPr>
              <w:t>BAMCO:</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BSC:</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ind w:left="2320" w:hanging="627"/>
        <w:spacing w:after="0" w:line="238" w:lineRule="auto"/>
        <w:tabs>
          <w:tab w:leader="none" w:pos="23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100,000</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100,000</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BSC:</w:t>
      </w:r>
      <w:r>
        <w:rPr>
          <w:rFonts w:ascii="Courier New" w:cs="Courier New" w:eastAsia="Courier New" w:hAnsi="Courier New"/>
          <w:sz w:val="16"/>
          <w:szCs w:val="16"/>
          <w:color w:val="auto"/>
        </w:rPr>
        <w:t>100,000</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w:t>
      </w:r>
      <w:r>
        <w:rPr>
          <w:rFonts w:ascii="Courier New" w:cs="Courier New" w:eastAsia="Courier New" w:hAnsi="Courier New"/>
          <w:sz w:val="16"/>
          <w:szCs w:val="16"/>
          <w:color w:val="auto"/>
        </w:rPr>
        <w:t>100,000</w:t>
      </w:r>
    </w:p>
    <w:p>
      <w:pPr>
        <w:spacing w:after="0" w:line="4" w:lineRule="exact"/>
        <w:rPr>
          <w:rFonts w:ascii="Courier New" w:cs="Courier New" w:eastAsia="Courier New" w:hAnsi="Courier New"/>
          <w:sz w:val="18"/>
          <w:szCs w:val="18"/>
          <w:color w:val="auto"/>
        </w:rPr>
      </w:pPr>
    </w:p>
    <w:p>
      <w:pPr>
        <w:ind w:left="2320" w:right="4319" w:hanging="627"/>
        <w:spacing w:after="0" w:line="235" w:lineRule="auto"/>
        <w:tabs>
          <w:tab w:leader="none" w:pos="23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0</w:t>
      </w:r>
    </w:p>
    <w:tbl>
      <w:tblPr>
        <w:tblLayout w:type="fixed"/>
        <w:tblInd w:w="2740" w:type="dxa"/>
        <w:tblCellMar>
          <w:top w:w="0" w:type="dxa"/>
          <w:left w:w="0" w:type="dxa"/>
          <w:bottom w:w="0" w:type="dxa"/>
          <w:right w:w="0" w:type="dxa"/>
        </w:tblCellMar>
      </w:tblPr>
      <w:tr>
        <w:trPr>
          <w:trHeight w:val="203"/>
        </w:trPr>
        <w:tc>
          <w:tcPr>
            <w:tcW w:w="1960" w:type="dxa"/>
            <w:vAlign w:val="bottom"/>
          </w:tcPr>
          <w:p>
            <w:pPr>
              <w:spacing w:after="0"/>
              <w:rPr>
                <w:sz w:val="20"/>
                <w:szCs w:val="20"/>
                <w:color w:val="auto"/>
              </w:rPr>
            </w:pPr>
            <w:r>
              <w:rPr>
                <w:rFonts w:ascii="Courier New" w:cs="Courier New" w:eastAsia="Courier New" w:hAnsi="Courier New"/>
                <w:sz w:val="18"/>
                <w:szCs w:val="18"/>
                <w:color w:val="auto"/>
              </w:rPr>
              <w:t>BAMCO:</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BSC:</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320" w:right="4419" w:hanging="627"/>
        <w:spacing w:after="0" w:line="235" w:lineRule="auto"/>
        <w:tabs>
          <w:tab w:leader="none" w:pos="23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100,000</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100,000</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BSC:</w:t>
      </w:r>
      <w:r>
        <w:rPr>
          <w:rFonts w:ascii="Courier New" w:cs="Courier New" w:eastAsia="Courier New" w:hAnsi="Courier New"/>
          <w:sz w:val="16"/>
          <w:szCs w:val="16"/>
          <w:color w:val="auto"/>
        </w:rPr>
        <w:t>100,000</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w:t>
      </w:r>
      <w:r>
        <w:rPr>
          <w:rFonts w:ascii="Courier New" w:cs="Courier New" w:eastAsia="Courier New" w:hAnsi="Courier New"/>
          <w:sz w:val="16"/>
          <w:szCs w:val="16"/>
          <w:color w:val="auto"/>
        </w:rPr>
        <w:t>100,000</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w:t>
      </w:r>
    </w:p>
    <w:p>
      <w:pPr>
        <w:spacing w:after="0" w:line="4" w:lineRule="exact"/>
        <w:rPr>
          <w:sz w:val="20"/>
          <w:szCs w:val="20"/>
          <w:color w:val="auto"/>
        </w:rPr>
      </w:pPr>
    </w:p>
    <w:p>
      <w:pPr>
        <w:ind w:left="960" w:right="1879"/>
        <w:spacing w:after="0" w:line="235" w:lineRule="auto"/>
        <w:rPr>
          <w:sz w:val="20"/>
          <w:szCs w:val="20"/>
          <w:color w:val="auto"/>
        </w:rPr>
      </w:pPr>
      <w:r>
        <w:rPr>
          <w:rFonts w:ascii="Courier New" w:cs="Courier New" w:eastAsia="Courier New" w:hAnsi="Courier New"/>
          <w:sz w:val="18"/>
          <w:szCs w:val="18"/>
          <w:color w:val="auto"/>
        </w:rPr>
        <w:t>Filing Persons have ceased being the beneficial owners of more than 5% of the filing class of securities reported herein.</w:t>
      </w:r>
    </w:p>
    <w:p>
      <w:pPr>
        <w:spacing w:after="0" w:line="208" w:lineRule="exact"/>
        <w:rPr>
          <w:sz w:val="20"/>
          <w:szCs w:val="20"/>
          <w:color w:val="auto"/>
        </w:rPr>
      </w:pPr>
    </w:p>
    <w:p>
      <w:pPr>
        <w:ind w:left="960" w:right="36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OWNERSHIP OF MORE THAN 5% ON BEHALF OF ANOTHER PERSON Not Applicable.</w:t>
      </w:r>
    </w:p>
    <w:p>
      <w:pPr>
        <w:spacing w:after="0" w:line="208" w:lineRule="exact"/>
        <w:rPr>
          <w:sz w:val="20"/>
          <w:szCs w:val="20"/>
          <w:color w:val="auto"/>
        </w:rPr>
      </w:pPr>
    </w:p>
    <w:p>
      <w:pPr>
        <w:ind w:left="960" w:right="325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9" w:lineRule="exact"/>
        <w:rPr>
          <w:sz w:val="20"/>
          <w:szCs w:val="20"/>
          <w:color w:val="auto"/>
        </w:rPr>
      </w:pPr>
    </w:p>
    <w:p>
      <w:pPr>
        <w:ind w:left="960" w:right="1999"/>
        <w:spacing w:after="0" w:line="235" w:lineRule="auto"/>
        <w:rPr>
          <w:sz w:val="20"/>
          <w:szCs w:val="20"/>
          <w:color w:val="auto"/>
        </w:rPr>
      </w:pPr>
      <w:r>
        <w:rPr>
          <w:rFonts w:ascii="Courier New" w:cs="Courier New" w:eastAsia="Courier New" w:hAnsi="Courier New"/>
          <w:sz w:val="18"/>
          <w:szCs w:val="18"/>
          <w:color w:val="auto"/>
        </w:rPr>
        <w:t>BAMCO is a subsidiary of BCG. BSC is an investment advisory client of BAMCO. Ronald Baron owns a controlling interest in BCG.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3.</w:t>
      </w:r>
    </w:p>
    <w:p>
      <w:pPr>
        <w:spacing w:after="0" w:line="200" w:lineRule="exact"/>
        <w:rPr>
          <w:sz w:val="20"/>
          <w:szCs w:val="20"/>
          <w:color w:val="auto"/>
        </w:rPr>
      </w:pPr>
    </w:p>
    <w:p>
      <w:pPr>
        <w:spacing w:after="0" w:line="209" w:lineRule="exact"/>
        <w:rPr>
          <w:sz w:val="20"/>
          <w:szCs w:val="20"/>
          <w:color w:val="auto"/>
        </w:rPr>
      </w:pPr>
    </w:p>
    <w:p>
      <w:pPr>
        <w:ind w:left="220" w:right="4199" w:hanging="219"/>
        <w:spacing w:after="0" w:line="268" w:lineRule="auto"/>
        <w:tabs>
          <w:tab w:leader="none" w:pos="200" w:val="left"/>
        </w:tabs>
        <w:rPr>
          <w:sz w:val="20"/>
          <w:szCs w:val="20"/>
          <w:color w:val="auto"/>
        </w:rPr>
      </w:pPr>
      <w:r>
        <w:rPr>
          <w:rFonts w:ascii="Courier New" w:cs="Courier New" w:eastAsia="Courier New" w:hAnsi="Courier New"/>
          <w:sz w:val="16"/>
          <w:szCs w:val="16"/>
          <w:color w:val="auto"/>
        </w:rPr>
        <w:t>*</w:t>
        <w:tab/>
        <w:t>By virtue of investment advisory agreements with its clients, BAMCO has been given the discretion to dispose</w:t>
      </w:r>
    </w:p>
    <w:p>
      <w:pPr>
        <w:ind w:left="220"/>
        <w:spacing w:after="0" w:line="233" w:lineRule="auto"/>
        <w:rPr>
          <w:sz w:val="20"/>
          <w:szCs w:val="20"/>
          <w:color w:val="auto"/>
        </w:rPr>
      </w:pPr>
      <w:r>
        <w:rPr>
          <w:rFonts w:ascii="Courier New" w:cs="Courier New" w:eastAsia="Courier New" w:hAnsi="Courier New"/>
          <w:sz w:val="18"/>
          <w:szCs w:val="18"/>
          <w:color w:val="auto"/>
        </w:rPr>
        <w:t>or the disposition of the securities in the advisory accounts.</w:t>
      </w:r>
    </w:p>
    <w:p>
      <w:pPr>
        <w:ind w:left="220"/>
        <w:spacing w:after="0"/>
        <w:rPr>
          <w:sz w:val="20"/>
          <w:szCs w:val="20"/>
          <w:color w:val="auto"/>
        </w:rPr>
      </w:pPr>
      <w:r>
        <w:rPr>
          <w:rFonts w:ascii="Courier New" w:cs="Courier New" w:eastAsia="Courier New" w:hAnsi="Courier New"/>
          <w:sz w:val="18"/>
          <w:szCs w:val="18"/>
          <w:color w:val="auto"/>
        </w:rPr>
        <w:t>All such discretionary agreements, are however, revocable.</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**All shares of common stock have been sold. 100,000 represents warrants which are exercisable anytime</w:t>
      </w:r>
    </w:p>
    <w:p>
      <w:pPr>
        <w:sectPr>
          <w:pgSz w:w="11900" w:h="16838" w:orient="portrait"/>
          <w:cols w:equalWidth="0" w:num="1">
            <w:col w:w="10219"/>
          </w:cols>
          <w:pgMar w:left="240" w:top="514" w:right="1440" w:bottom="1440" w:gutter="0" w:footer="0" w:header="0"/>
        </w:sectPr>
      </w:pPr>
    </w:p>
    <w:bookmarkStart w:id="8" w:name="page9"/>
    <w:bookmarkEnd w:id="8"/>
    <w:p>
      <w:pPr>
        <w:ind w:left="5160"/>
        <w:spacing w:after="0"/>
        <w:tabs>
          <w:tab w:leader="none" w:pos="57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9 of 11 Pages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Date:</w:t>
        <w:tab/>
        <w:t>December 10, 2008</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 and</w:t>
      </w:r>
    </w:p>
    <w:p>
      <w:pPr>
        <w:ind w:left="2540"/>
        <w:spacing w:after="0" w:line="238" w:lineRule="auto"/>
        <w:rPr>
          <w:sz w:val="20"/>
          <w:szCs w:val="20"/>
          <w:color w:val="auto"/>
        </w:rPr>
      </w:pPr>
      <w:r>
        <w:rPr>
          <w:rFonts w:ascii="Courier New" w:cs="Courier New" w:eastAsia="Courier New" w:hAnsi="Courier New"/>
          <w:sz w:val="18"/>
          <w:szCs w:val="18"/>
          <w:color w:val="auto"/>
        </w:rPr>
        <w:t>BAMCO, Inc.</w:t>
      </w:r>
    </w:p>
    <w:p>
      <w:pPr>
        <w:ind w:left="25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Small Cap Fund</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CEO</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p>
      <w:pPr>
        <w:sectPr>
          <w:pgSz w:w="11900" w:h="16838" w:orient="portrait"/>
          <w:cols w:equalWidth="0" w:num="1">
            <w:col w:w="10219"/>
          </w:cols>
          <w:pgMar w:left="240" w:top="514" w:right="1440" w:bottom="1440" w:gutter="0" w:footer="0" w:header="0"/>
        </w:sectPr>
      </w:pPr>
    </w:p>
    <w:bookmarkStart w:id="9" w:name="page10"/>
    <w:bookmarkEnd w:id="9"/>
    <w:p>
      <w:pPr>
        <w:ind w:left="4740"/>
        <w:spacing w:after="0"/>
        <w:rPr>
          <w:sz w:val="20"/>
          <w:szCs w:val="20"/>
          <w:color w:val="auto"/>
        </w:rPr>
      </w:pPr>
      <w:r>
        <w:rPr>
          <w:rFonts w:ascii="Courier New" w:cs="Courier New" w:eastAsia="Courier New" w:hAnsi="Courier New"/>
          <w:sz w:val="18"/>
          <w:szCs w:val="18"/>
          <w:color w:val="auto"/>
        </w:rPr>
        <w:t>Page 10 of 11 Pages</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undersigned each hereby agree that the Schedule 13G Amendment No.6 dated December 10, 2008, which relates to the common stock of Casual Male Retail Group, Inc., to be filed jointly on behalf of each of them for the reasons stated therein, and any amendments thereto shall be filed jointly by the undersigned.</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10, 2008</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 and</w:t>
      </w:r>
    </w:p>
    <w:p>
      <w:pPr>
        <w:ind w:left="2540"/>
        <w:spacing w:after="0" w:line="238" w:lineRule="auto"/>
        <w:rPr>
          <w:sz w:val="20"/>
          <w:szCs w:val="20"/>
          <w:color w:val="auto"/>
        </w:rPr>
      </w:pPr>
      <w:r>
        <w:rPr>
          <w:rFonts w:ascii="Courier New" w:cs="Courier New" w:eastAsia="Courier New" w:hAnsi="Courier New"/>
          <w:sz w:val="18"/>
          <w:szCs w:val="18"/>
          <w:color w:val="auto"/>
        </w:rPr>
        <w:t>BAMCO, Inc.</w:t>
      </w:r>
    </w:p>
    <w:p>
      <w:pPr>
        <w:ind w:left="25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Small Cap Fund</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CEO</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lvl w:ilvl="1">
      <w:lvlJc w:val="left"/>
      <w:lvlText w:val="%2"/>
      <w:numFmt w:val="decimal"/>
      <w:start w:val="1"/>
    </w:lvl>
  </w:abstractNum>
  <w:abstractNum w:abstractNumId="1">
    <w:nsid w:val="6B68079A"/>
    <w:multiLevelType w:val="hybridMultilevel"/>
    <w:lvl w:ilvl="0">
      <w:lvlJc w:val="left"/>
      <w:lvlText w:val="-"/>
      <w:numFmt w:val="bullet"/>
      <w:start w:val="1"/>
    </w:lvl>
    <w:lvl w:ilvl="1">
      <w:lvlJc w:val="left"/>
      <w:lvlText w:val="(%2)"/>
      <w:numFmt w:val="lowerLetter"/>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lvl w:ilvl="1">
      <w:lvlJc w:val="left"/>
      <w:lvlText w:val="%2"/>
      <w:numFmt w:val="decimal"/>
      <w:start w:val="1"/>
    </w:lvl>
  </w:abstractNum>
  <w:abstractNum w:abstractNumId="6">
    <w:nsid w:val="3F2DBA31"/>
    <w:multiLevelType w:val="hybridMultilevel"/>
    <w:lvl w:ilvl="0">
      <w:lvlJc w:val="left"/>
      <w:lvlText w:val="-"/>
      <w:numFmt w:val="bullet"/>
      <w:start w:val="1"/>
    </w:lvl>
    <w:lvl w:ilvl="1">
      <w:lvlJc w:val="left"/>
      <w:lvlText w:val="(%2)"/>
      <w:numFmt w:val="lowerLetter"/>
      <w:start w:val="1"/>
    </w:lvl>
  </w:abstractNum>
  <w:abstractNum w:abstractNumId="7">
    <w:nsid w:val="7C83E458"/>
    <w:multiLevelType w:val="hybridMultilevel"/>
    <w:lvl w:ilvl="0">
      <w:lvlJc w:val="left"/>
      <w:lvlText w:val="-"/>
      <w:numFmt w:val="bullet"/>
      <w:start w:val="1"/>
    </w:lvl>
    <w:lvl w:ilvl="1">
      <w:lvlJc w:val="left"/>
      <w:lvlText w:val="8"/>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lvl w:ilvl="1">
      <w:lvlJc w:val="left"/>
      <w:lvlText w:val="%2"/>
      <w:numFmt w:val="decimal"/>
      <w:start w:val="1"/>
    </w:lvl>
  </w:abstractNum>
  <w:abstractNum w:abstractNumId="12">
    <w:nsid w:val="333AB105"/>
    <w:multiLevelType w:val="hybridMultilevel"/>
    <w:lvl w:ilvl="0">
      <w:lvlJc w:val="left"/>
      <w:lvlText w:val="-"/>
      <w:numFmt w:val="bullet"/>
      <w:start w:val="1"/>
    </w:lvl>
    <w:lvl w:ilvl="1">
      <w:lvlJc w:val="left"/>
      <w:lvlText w:val="(%2)"/>
      <w:numFmt w:val="lowerLetter"/>
      <w:start w:val="1"/>
    </w:lvl>
  </w:abstractNum>
  <w:abstractNum w:abstractNumId="13">
    <w:nsid w:val="721DA317"/>
    <w:multiLevelType w:val="hybridMultilevel"/>
    <w:lvl w:ilvl="0">
      <w:lvlJc w:val="left"/>
      <w:lvlText w:val="-"/>
      <w:numFmt w:val="bullet"/>
      <w:start w:val="1"/>
    </w:lvl>
    <w:lvl w:ilvl="1">
      <w:lvlJc w:val="left"/>
      <w:lvlText w:val="8"/>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lvl w:ilvl="1">
      <w:lvlJc w:val="left"/>
      <w:lvlText w:val="%2"/>
      <w:numFmt w:val="decimal"/>
      <w:start w:val="1"/>
    </w:lvl>
  </w:abstractNum>
  <w:abstractNum w:abstractNumId="18">
    <w:nsid w:val="8EDBDAB"/>
    <w:multiLevelType w:val="hybridMultilevel"/>
    <w:lvl w:ilvl="0">
      <w:lvlJc w:val="left"/>
      <w:lvlText w:val="-"/>
      <w:numFmt w:val="bullet"/>
      <w:start w:val="1"/>
    </w:lvl>
    <w:lvl w:ilvl="1">
      <w:lvlJc w:val="left"/>
      <w:lvlText w:val="(%2)"/>
      <w:numFmt w:val="lowerLetter"/>
      <w:start w:val="1"/>
    </w:lvl>
  </w:abstractNum>
  <w:abstractNum w:abstractNumId="19">
    <w:nsid w:val="79838CB2"/>
    <w:multiLevelType w:val="hybridMultilevel"/>
    <w:lvl w:ilvl="0">
      <w:lvlJc w:val="left"/>
      <w:lvlText w:val="-"/>
      <w:numFmt w:val="bullet"/>
      <w:start w:val="1"/>
    </w:lvl>
    <w:lvl w:ilvl="1">
      <w:lvlJc w:val="left"/>
      <w:lvlText w:val="8"/>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4"/>
    </w:lvl>
  </w:abstractNum>
  <w:abstractNum w:abstractNumId="26">
    <w:nsid w:val="836C40E"/>
    <w:multiLevelType w:val="hybridMultilevel"/>
    <w:lvl w:ilvl="0">
      <w:lvlJc w:val="left"/>
      <w:lvlText w:val="(%1)"/>
      <w:numFmt w:val="lowerLetter"/>
      <w:start w:val="4"/>
    </w:lvl>
  </w:abstractNum>
  <w:abstractNum w:abstractNumId="27">
    <w:nsid w:val="2901D82"/>
    <w:multiLevelType w:val="hybridMultilevel"/>
    <w:lvl w:ilvl="0">
      <w:lvlJc w:val="left"/>
      <w:lvlText w:val="(%1)"/>
      <w:numFmt w:val="lowerRoman"/>
      <w:start w:val="1"/>
    </w:lvl>
  </w:abstractNum>
  <w:abstractNum w:abstractNumId="28">
    <w:nsid w:val="3A95F874"/>
    <w:multiLevelType w:val="hybridMultilevel"/>
    <w:lvl w:ilvl="0">
      <w:lvlJc w:val="left"/>
      <w:lvlText w:val="(%1)"/>
      <w:numFmt w:val="lowerRoman"/>
      <w:start w:val="2"/>
    </w:lvl>
  </w:abstractNum>
  <w:abstractNum w:abstractNumId="29">
    <w:nsid w:val="8138641"/>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2019-12-20T09:53:44Z</dcterms:created>
  <dcterms:modified xsi:type="dcterms:W3CDTF">2019-12-20T09:53:44Z</dcterms:modified>
</cp:coreProperties>
</file>