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5"/>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156210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193675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30"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8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199390</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218440</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0"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85"/>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57"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December 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207010</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38"/>
          <w:szCs w:val="38"/>
          <w:b w:val="1"/>
          <w:bCs w:val="1"/>
          <w:color w:val="auto"/>
        </w:rPr>
        <w:t>DESTINATION XL GROUP, INC.</w:t>
      </w:r>
    </w:p>
    <w:p>
      <w:pPr>
        <w:spacing w:after="0" w:line="44"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203200</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tbl>
      <w:tblPr>
        <w:tblLayout w:type="fixed"/>
        <w:tblInd w:w="1206" w:type="dxa"/>
        <w:tblCellMar>
          <w:top w:w="0" w:type="dxa"/>
          <w:left w:w="0" w:type="dxa"/>
          <w:bottom w:w="0" w:type="dxa"/>
          <w:right w:w="0" w:type="dxa"/>
        </w:tblCellMar>
      </w:tblPr>
      <w:tr>
        <w:trPr>
          <w:trHeight w:val="185"/>
        </w:trPr>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400" w:type="dxa"/>
            <w:vAlign w:val="bottom"/>
          </w:tcPr>
          <w:p>
            <w:pPr>
              <w:jc w:val="center"/>
              <w:ind w:left="772"/>
              <w:spacing w:after="0"/>
              <w:rPr>
                <w:sz w:val="20"/>
                <w:szCs w:val="20"/>
                <w:color w:val="auto"/>
              </w:rPr>
            </w:pPr>
            <w:r>
              <w:rPr>
                <w:rFonts w:ascii="Times New Roman" w:cs="Times New Roman" w:eastAsia="Times New Roman" w:hAnsi="Times New Roman"/>
                <w:sz w:val="16"/>
                <w:szCs w:val="16"/>
                <w:b w:val="1"/>
                <w:bCs w:val="1"/>
                <w:color w:val="auto"/>
                <w:w w:val="97"/>
              </w:rPr>
              <w:t>01-34219</w:t>
            </w:r>
          </w:p>
        </w:tc>
        <w:tc>
          <w:tcPr>
            <w:tcW w:w="198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04-2623104</w:t>
            </w:r>
          </w:p>
        </w:tc>
      </w:tr>
      <w:tr>
        <w:trPr>
          <w:trHeight w:val="129"/>
        </w:trPr>
        <w:tc>
          <w:tcPr>
            <w:tcW w:w="15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5400" w:type="dxa"/>
            <w:vAlign w:val="bottom"/>
          </w:tcPr>
          <w:p>
            <w:pPr>
              <w:jc w:val="center"/>
              <w:ind w:left="792"/>
              <w:spacing w:after="0" w:line="129" w:lineRule="exact"/>
              <w:rPr>
                <w:sz w:val="20"/>
                <w:szCs w:val="20"/>
                <w:color w:val="auto"/>
              </w:rPr>
            </w:pPr>
            <w:r>
              <w:rPr>
                <w:rFonts w:ascii="Times New Roman" w:cs="Times New Roman" w:eastAsia="Times New Roman" w:hAnsi="Times New Roman"/>
                <w:sz w:val="13"/>
                <w:szCs w:val="13"/>
                <w:b w:val="1"/>
                <w:bCs w:val="1"/>
                <w:color w:val="auto"/>
                <w:w w:val="95"/>
              </w:rPr>
              <w:t>(Commission</w:t>
            </w:r>
          </w:p>
        </w:tc>
        <w:tc>
          <w:tcPr>
            <w:tcW w:w="1980" w:type="dxa"/>
            <w:vAlign w:val="bottom"/>
          </w:tcPr>
          <w:p>
            <w:pPr>
              <w:jc w:val="center"/>
              <w:ind w:left="931"/>
              <w:spacing w:after="0" w:line="129"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5400" w:type="dxa"/>
            <w:vAlign w:val="bottom"/>
          </w:tcPr>
          <w:p>
            <w:pPr>
              <w:jc w:val="center"/>
              <w:ind w:left="772"/>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1980" w:type="dxa"/>
            <w:vAlign w:val="bottom"/>
          </w:tcPr>
          <w:p>
            <w:pPr>
              <w:jc w:val="center"/>
              <w:ind w:left="93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40"/>
        </w:trPr>
        <w:tc>
          <w:tcPr>
            <w:tcW w:w="6920" w:type="dxa"/>
            <w:vAlign w:val="bottom"/>
            <w:gridSpan w:val="2"/>
          </w:tcPr>
          <w:p>
            <w:pPr>
              <w:jc w:val="center"/>
              <w:ind w:right="1592"/>
              <w:spacing w:after="0"/>
              <w:rPr>
                <w:sz w:val="20"/>
                <w:szCs w:val="20"/>
                <w:color w:val="auto"/>
              </w:rPr>
            </w:pPr>
            <w:r>
              <w:rPr>
                <w:rFonts w:ascii="Times New Roman" w:cs="Times New Roman" w:eastAsia="Times New Roman" w:hAnsi="Times New Roman"/>
                <w:sz w:val="16"/>
                <w:szCs w:val="16"/>
                <w:b w:val="1"/>
                <w:bCs w:val="1"/>
                <w:color w:val="auto"/>
                <w:w w:val="96"/>
              </w:rPr>
              <w:t>555 Turnpike Street, Canton, Massachusetts</w:t>
            </w:r>
          </w:p>
        </w:tc>
        <w:tc>
          <w:tcPr>
            <w:tcW w:w="1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02021</w:t>
            </w:r>
          </w:p>
        </w:tc>
      </w:tr>
      <w:tr>
        <w:trPr>
          <w:trHeight w:val="166"/>
        </w:trPr>
        <w:tc>
          <w:tcPr>
            <w:tcW w:w="1520" w:type="dxa"/>
            <w:vAlign w:val="bottom"/>
          </w:tcPr>
          <w:p>
            <w:pPr>
              <w:spacing w:after="0"/>
              <w:rPr>
                <w:sz w:val="14"/>
                <w:szCs w:val="14"/>
                <w:color w:val="auto"/>
              </w:rPr>
            </w:pPr>
          </w:p>
        </w:tc>
        <w:tc>
          <w:tcPr>
            <w:tcW w:w="5400" w:type="dxa"/>
            <w:vAlign w:val="bottom"/>
          </w:tcPr>
          <w:p>
            <w:pPr>
              <w:jc w:val="center"/>
              <w:ind w:right="311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980" w:type="dxa"/>
            <w:vAlign w:val="bottom"/>
          </w:tcPr>
          <w:p>
            <w:pPr>
              <w:jc w:val="center"/>
              <w:ind w:left="931"/>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40"/>
        </w:trPr>
        <w:tc>
          <w:tcPr>
            <w:tcW w:w="1520" w:type="dxa"/>
            <w:vAlign w:val="bottom"/>
          </w:tcPr>
          <w:p>
            <w:pPr>
              <w:spacing w:after="0"/>
              <w:rPr>
                <w:sz w:val="24"/>
                <w:szCs w:val="24"/>
                <w:color w:val="auto"/>
              </w:rPr>
            </w:pPr>
          </w:p>
        </w:tc>
        <w:tc>
          <w:tcPr>
            <w:tcW w:w="5400" w:type="dxa"/>
            <w:vAlign w:val="bottom"/>
          </w:tcPr>
          <w:p>
            <w:pPr>
              <w:jc w:val="right"/>
              <w:ind w:right="1852"/>
              <w:spacing w:after="0"/>
              <w:rPr>
                <w:sz w:val="20"/>
                <w:szCs w:val="20"/>
                <w:color w:val="auto"/>
              </w:rPr>
            </w:pPr>
            <w:r>
              <w:rPr>
                <w:rFonts w:ascii="Times New Roman" w:cs="Times New Roman" w:eastAsia="Times New Roman" w:hAnsi="Times New Roman"/>
                <w:sz w:val="16"/>
                <w:szCs w:val="16"/>
                <w:b w:val="1"/>
                <w:bCs w:val="1"/>
                <w:color w:val="auto"/>
              </w:rPr>
              <w:t>(781) 828-9300</w:t>
            </w:r>
          </w:p>
        </w:tc>
        <w:tc>
          <w:tcPr>
            <w:tcW w:w="1980" w:type="dxa"/>
            <w:vAlign w:val="bottom"/>
          </w:tcPr>
          <w:p>
            <w:pPr>
              <w:spacing w:after="0"/>
              <w:rPr>
                <w:sz w:val="24"/>
                <w:szCs w:val="24"/>
                <w:color w:val="auto"/>
              </w:rPr>
            </w:pPr>
          </w:p>
        </w:tc>
      </w:tr>
      <w:tr>
        <w:trPr>
          <w:trHeight w:val="166"/>
        </w:trPr>
        <w:tc>
          <w:tcPr>
            <w:tcW w:w="1520" w:type="dxa"/>
            <w:vAlign w:val="bottom"/>
          </w:tcPr>
          <w:p>
            <w:pPr>
              <w:spacing w:after="0"/>
              <w:rPr>
                <w:sz w:val="14"/>
                <w:szCs w:val="14"/>
                <w:color w:val="auto"/>
              </w:rPr>
            </w:pPr>
          </w:p>
        </w:tc>
        <w:tc>
          <w:tcPr>
            <w:tcW w:w="5400" w:type="dxa"/>
            <w:vAlign w:val="bottom"/>
          </w:tcPr>
          <w:p>
            <w:pPr>
              <w:jc w:val="center"/>
              <w:ind w:left="512"/>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w:t>
            </w:r>
          </w:p>
        </w:tc>
        <w:tc>
          <w:tcPr>
            <w:tcW w:w="19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192405</wp:posOffset>
            </wp:positionV>
            <wp:extent cx="15303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6"/>
        <w:spacing w:after="0" w:line="271"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u w:val="single" w:color="auto"/>
          <w:color w:val="auto"/>
        </w:rPr>
        <w:t>see</w:t>
      </w:r>
      <w:r>
        <w:rPr>
          <w:rFonts w:ascii="Times New Roman" w:cs="Times New Roman" w:eastAsia="Times New Roman" w:hAnsi="Times New Roman"/>
          <w:sz w:val="16"/>
          <w:szCs w:val="16"/>
          <w:color w:val="auto"/>
        </w:rPr>
        <w:t xml:space="preserve"> General Instruction A.2. below):</w:t>
      </w:r>
    </w:p>
    <w:p>
      <w:pPr>
        <w:spacing w:after="0" w:line="67"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09" w:lineRule="exact"/>
        <w:rPr>
          <w:rFonts w:ascii="MS PGothic" w:cs="MS PGothic" w:eastAsia="MS PGothic" w:hAnsi="MS PGothic"/>
          <w:sz w:val="16"/>
          <w:szCs w:val="16"/>
          <w:color w:val="auto"/>
        </w:rPr>
      </w:pPr>
    </w:p>
    <w:p>
      <w:pPr>
        <w:ind w:left="446" w:hanging="446"/>
        <w:spacing w:after="0"/>
        <w:tabs>
          <w:tab w:leader="none" w:pos="44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09" w:lineRule="exact"/>
        <w:rPr>
          <w:rFonts w:ascii="MS PGothic" w:cs="MS PGothic" w:eastAsia="MS PGothic" w:hAnsi="MS PGothic"/>
          <w:sz w:val="16"/>
          <w:szCs w:val="16"/>
          <w:color w:val="auto"/>
        </w:rPr>
      </w:pPr>
    </w:p>
    <w:p>
      <w:pPr>
        <w:ind w:left="446" w:hanging="446"/>
        <w:spacing w:after="0"/>
        <w:tabs>
          <w:tab w:leader="none" w:pos="44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09" w:lineRule="exact"/>
        <w:rPr>
          <w:rFonts w:ascii="MS PGothic" w:cs="MS PGothic" w:eastAsia="MS PGothic" w:hAnsi="MS PGothic"/>
          <w:sz w:val="16"/>
          <w:szCs w:val="16"/>
          <w:color w:val="auto"/>
        </w:rPr>
      </w:pPr>
    </w:p>
    <w:p>
      <w:pPr>
        <w:ind w:left="446" w:hanging="446"/>
        <w:spacing w:after="0"/>
        <w:tabs>
          <w:tab w:leader="none" w:pos="44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7264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346"/>
          </w:cols>
          <w:pgMar w:left="234" w:top="332" w:right="319" w:bottom="1440" w:gutter="0" w:footer="0" w:header="0"/>
        </w:sectPr>
      </w:pPr>
    </w:p>
    <w:bookmarkStart w:id="1" w:name="page2"/>
    <w:bookmarkEnd w:id="1"/>
    <w:p>
      <w:pPr>
        <w:ind w:left="6"/>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7.01 -Regulation FD Disclosure</w:t>
      </w:r>
    </w:p>
    <w:p>
      <w:pPr>
        <w:spacing w:after="0" w:line="100" w:lineRule="exact"/>
        <w:rPr>
          <w:sz w:val="20"/>
          <w:szCs w:val="20"/>
          <w:color w:val="auto"/>
        </w:rPr>
      </w:pPr>
    </w:p>
    <w:p>
      <w:pPr>
        <w:ind w:left="6" w:right="20"/>
        <w:spacing w:after="0" w:line="271" w:lineRule="auto"/>
        <w:rPr>
          <w:sz w:val="20"/>
          <w:szCs w:val="20"/>
          <w:color w:val="auto"/>
        </w:rPr>
      </w:pPr>
      <w:r>
        <w:rPr>
          <w:rFonts w:ascii="Times New Roman" w:cs="Times New Roman" w:eastAsia="Times New Roman" w:hAnsi="Times New Roman"/>
          <w:sz w:val="16"/>
          <w:szCs w:val="16"/>
          <w:color w:val="auto"/>
        </w:rPr>
        <w:t>The Company will be presenting a slide presentation to various investment groups at upcoming investor conferences beginning today. A copy of the slides to be presented at those conferences is attached to this report as Exhibit 99.1 and is incorporated by reference herein.</w:t>
      </w:r>
    </w:p>
    <w:p>
      <w:pPr>
        <w:spacing w:after="0" w:line="149" w:lineRule="exact"/>
        <w:rPr>
          <w:sz w:val="20"/>
          <w:szCs w:val="20"/>
          <w:color w:val="auto"/>
        </w:rPr>
      </w:pPr>
    </w:p>
    <w:p>
      <w:pPr>
        <w:ind w:left="6"/>
        <w:spacing w:after="0" w:line="272" w:lineRule="auto"/>
        <w:rPr>
          <w:sz w:val="20"/>
          <w:szCs w:val="20"/>
          <w:color w:val="auto"/>
        </w:rPr>
      </w:pPr>
      <w:r>
        <w:rPr>
          <w:rFonts w:ascii="Times New Roman" w:cs="Times New Roman" w:eastAsia="Times New Roman" w:hAnsi="Times New Roman"/>
          <w:sz w:val="15"/>
          <w:szCs w:val="15"/>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279" w:lineRule="exact"/>
        <w:rPr>
          <w:sz w:val="20"/>
          <w:szCs w:val="20"/>
          <w:color w:val="auto"/>
        </w:rPr>
      </w:pPr>
    </w:p>
    <w:p>
      <w:pPr>
        <w:ind w:left="6"/>
        <w:spacing w:after="0"/>
        <w:tabs>
          <w:tab w:leader="none" w:pos="1126"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12" w:lineRule="exact"/>
        <w:rPr>
          <w:sz w:val="20"/>
          <w:szCs w:val="20"/>
          <w:color w:val="auto"/>
        </w:rPr>
      </w:pPr>
    </w:p>
    <w:p>
      <w:pPr>
        <w:ind w:left="446" w:hanging="446"/>
        <w:spacing w:after="0"/>
        <w:tabs>
          <w:tab w:leader="none" w:pos="446"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20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Exhibit</w:t>
      </w:r>
    </w:p>
    <w:p>
      <w:pPr>
        <w:ind w:left="86"/>
        <w:spacing w:after="0"/>
        <w:tabs>
          <w:tab w:leader="none" w:pos="906" w:val="left"/>
        </w:tabs>
        <w:rPr>
          <w:sz w:val="20"/>
          <w:szCs w:val="20"/>
          <w:color w:val="auto"/>
        </w:rPr>
      </w:pPr>
      <w:r>
        <w:rPr>
          <w:rFonts w:ascii="Times New Roman" w:cs="Times New Roman" w:eastAsia="Times New Roman" w:hAnsi="Times New Roman"/>
          <w:sz w:val="13"/>
          <w:szCs w:val="13"/>
          <w:color w:val="auto"/>
        </w:rPr>
        <w:t>No.</w:t>
      </w:r>
      <w:r>
        <w:rPr>
          <w:sz w:val="20"/>
          <w:szCs w:val="20"/>
          <w:color w:val="auto"/>
        </w:rPr>
        <w:tab/>
      </w:r>
      <w:r>
        <w:rPr>
          <w:rFonts w:ascii="Times New Roman" w:cs="Times New Roman" w:eastAsia="Times New Roman" w:hAnsi="Times New Roman"/>
          <w:sz w:val="13"/>
          <w:szCs w:val="13"/>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2387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760" cy="7620"/>
                    </a:xfrm>
                    <a:prstGeom prst="rect">
                      <a:avLst/>
                    </a:prstGeom>
                    <a:noFill/>
                  </pic:spPr>
                </pic:pic>
              </a:graphicData>
            </a:graphic>
          </wp:anchor>
        </w:drawing>
      </w:r>
    </w:p>
    <w:p>
      <w:pPr>
        <w:spacing w:after="0" w:line="55" w:lineRule="exact"/>
        <w:rPr>
          <w:sz w:val="20"/>
          <w:szCs w:val="20"/>
          <w:color w:val="auto"/>
        </w:rPr>
      </w:pPr>
    </w:p>
    <w:p>
      <w:pPr>
        <w:ind w:left="46"/>
        <w:spacing w:after="0"/>
        <w:tabs>
          <w:tab w:leader="none" w:pos="906"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color w:val="auto"/>
        </w:rPr>
        <w:t>Investor Slide Presentation dated December 2013.</w:t>
      </w:r>
    </w:p>
    <w:p>
      <w:pPr>
        <w:sectPr>
          <w:pgSz w:w="11900" w:h="16838" w:orient="portrait"/>
          <w:cols w:equalWidth="0" w:num="1">
            <w:col w:w="11206"/>
          </w:cols>
          <w:pgMar w:left="234" w:top="250" w:right="45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w:t>
      </w:r>
    </w:p>
    <w:p>
      <w:pPr>
        <w:spacing w:after="0" w:line="194" w:lineRule="exact"/>
        <w:rPr>
          <w:sz w:val="20"/>
          <w:szCs w:val="20"/>
          <w:color w:val="auto"/>
        </w:rPr>
      </w:pPr>
    </w:p>
    <w:p>
      <w:pPr>
        <w:ind w:firstLine="457"/>
        <w:spacing w:after="0" w:line="27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7120" w:type="dxa"/>
            <w:vAlign w:val="bottom"/>
            <w:gridSpan w:val="2"/>
          </w:tcPr>
          <w:p>
            <w:pPr>
              <w:ind w:left="1820"/>
              <w:spacing w:after="0"/>
              <w:rPr>
                <w:sz w:val="20"/>
                <w:szCs w:val="20"/>
                <w:color w:val="auto"/>
              </w:rPr>
            </w:pPr>
            <w:r>
              <w:rPr>
                <w:rFonts w:ascii="Times New Roman" w:cs="Times New Roman" w:eastAsia="Times New Roman" w:hAnsi="Times New Roman"/>
                <w:sz w:val="16"/>
                <w:szCs w:val="16"/>
                <w:color w:val="auto"/>
              </w:rPr>
              <w:t>DESTINATION XL GROUP, INC.</w:t>
            </w:r>
          </w:p>
        </w:tc>
      </w:tr>
      <w:tr>
        <w:trPr>
          <w:trHeight w:val="377"/>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3, 2013</w:t>
            </w:r>
          </w:p>
        </w:tc>
        <w:tc>
          <w:tcPr>
            <w:tcW w:w="23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Dennis R. Hernreich</w:t>
            </w:r>
          </w:p>
        </w:tc>
      </w:tr>
      <w:tr>
        <w:trPr>
          <w:trHeight w:val="175"/>
        </w:trPr>
        <w:tc>
          <w:tcPr>
            <w:tcW w:w="3320" w:type="dxa"/>
            <w:vAlign w:val="bottom"/>
          </w:tcPr>
          <w:p>
            <w:pPr>
              <w:spacing w:after="0"/>
              <w:rPr>
                <w:sz w:val="15"/>
                <w:szCs w:val="15"/>
                <w:color w:val="auto"/>
              </w:rPr>
            </w:pPr>
          </w:p>
        </w:tc>
        <w:tc>
          <w:tcPr>
            <w:tcW w:w="2320" w:type="dxa"/>
            <w:vAlign w:val="bottom"/>
          </w:tcPr>
          <w:p>
            <w:pPr>
              <w:ind w:left="182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48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Dennis R. Hernreich</w:t>
            </w:r>
          </w:p>
        </w:tc>
      </w:tr>
      <w:tr>
        <w:trPr>
          <w:trHeight w:val="188"/>
        </w:trPr>
        <w:tc>
          <w:tcPr>
            <w:tcW w:w="3320" w:type="dxa"/>
            <w:vAlign w:val="bottom"/>
          </w:tcPr>
          <w:p>
            <w:pPr>
              <w:spacing w:after="0"/>
              <w:rPr>
                <w:sz w:val="16"/>
                <w:szCs w:val="16"/>
                <w:color w:val="auto"/>
              </w:rPr>
            </w:pPr>
          </w:p>
        </w:tc>
        <w:tc>
          <w:tcPr>
            <w:tcW w:w="23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w:t>
            </w:r>
          </w:p>
        </w:tc>
      </w:tr>
      <w:tr>
        <w:trPr>
          <w:trHeight w:val="204"/>
        </w:trPr>
        <w:tc>
          <w:tcPr>
            <w:tcW w:w="3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Financial Officer</w:t>
            </w:r>
          </w:p>
        </w:tc>
      </w:tr>
    </w:tbl>
    <w:p>
      <w:pPr>
        <w:sectPr>
          <w:pgSz w:w="11900" w:h="16838" w:orient="portrait"/>
          <w:cols w:equalWidth="0" w:num="1">
            <w:col w:w="11160"/>
          </w:cols>
          <w:pgMar w:left="240" w:top="250"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51"/>
          <w:szCs w:val="51"/>
          <w:color w:val="FFFFFF"/>
        </w:rPr>
        <w:t>Investor Presentation</w:t>
      </w:r>
    </w:p>
    <w:p>
      <w:pPr>
        <w:spacing w:after="0" w:line="125" w:lineRule="exact"/>
        <w:rPr>
          <w:sz w:val="20"/>
          <w:szCs w:val="20"/>
          <w:color w:val="auto"/>
        </w:rPr>
      </w:pPr>
    </w:p>
    <w:p>
      <w:pPr>
        <w:jc w:val="center"/>
        <w:ind w:right="80"/>
        <w:spacing w:after="0"/>
        <w:rPr>
          <w:sz w:val="20"/>
          <w:szCs w:val="20"/>
          <w:color w:val="auto"/>
        </w:rPr>
      </w:pPr>
      <w:r>
        <w:rPr>
          <w:rFonts w:ascii="Arial" w:cs="Arial" w:eastAsia="Arial" w:hAnsi="Arial"/>
          <w:sz w:val="38"/>
          <w:szCs w:val="38"/>
          <w:color w:val="FFFFFF"/>
        </w:rPr>
        <w:t>December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FFFFFF"/>
        </w:rPr>
        <w:t>Destination XL Group, Inc.</w:t>
      </w:r>
    </w:p>
    <w:p>
      <w:pPr>
        <w:sectPr>
          <w:pgSz w:w="11900" w:h="16838" w:orient="portrait"/>
          <w:cols w:equalWidth="0" w:num="1">
            <w:col w:w="10940"/>
          </w:cols>
          <w:pgMar w:left="480" w:top="296" w:right="479" w:bottom="1440" w:gutter="0" w:footer="0" w:header="0"/>
        </w:sectPr>
      </w:pPr>
    </w:p>
    <w:bookmarkStart w:id="4" w:name="page5"/>
    <w:bookmarkEnd w:id="4"/>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SAFE HARBOR</w:t>
      </w:r>
    </w:p>
    <w:p>
      <w:pPr>
        <w:spacing w:after="0" w:line="200" w:lineRule="exact"/>
        <w:rPr>
          <w:sz w:val="20"/>
          <w:szCs w:val="20"/>
          <w:color w:val="auto"/>
        </w:rPr>
      </w:pPr>
    </w:p>
    <w:p>
      <w:pPr>
        <w:spacing w:after="0" w:line="378" w:lineRule="exact"/>
        <w:rPr>
          <w:sz w:val="20"/>
          <w:szCs w:val="20"/>
          <w:color w:val="auto"/>
        </w:rPr>
      </w:pPr>
    </w:p>
    <w:p>
      <w:pPr>
        <w:ind w:left="200" w:right="240"/>
        <w:spacing w:after="0" w:line="248" w:lineRule="auto"/>
        <w:rPr>
          <w:sz w:val="20"/>
          <w:szCs w:val="20"/>
          <w:color w:val="auto"/>
        </w:rPr>
      </w:pPr>
      <w:r>
        <w:rPr>
          <w:rFonts w:ascii="Arial" w:cs="Arial" w:eastAsia="Arial" w:hAnsi="Arial"/>
          <w:sz w:val="22"/>
          <w:szCs w:val="22"/>
          <w:color w:val="354047"/>
        </w:rPr>
        <w:t>Certain information contained in this presentation, including, but not limited to, sales, cash flows, operating margins and store counts for fiscal 2013 and estimates through fiscal 2016,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Such forward-looking statements are subject to various risks and uncertainties that could cause actual results to differ materially from those indicated. Such risks and uncertainties may include, but are not limited to: the failure to implement the Company's business plan for increased profitability and growth in the Company's retail stores sales and direct-to-consumer business, the failure to achieve improvement in the Company's competitive position, changes in or miscalculation of fashion trends, extreme or unseasonable weather conditions, economic downturns, a weakness in overall consumer demand, trade and security restrictions and political or financial instability in countries where goods are manufactured, increases in raw material costs from inflation and other factors, the interruption of merchandise flow from the Company's distribution facility, competitive pressures, and the adverse effects of natural disasters, war, acts of terrorism or threats of either, or other armed conflict, on the United States and international economies. These, and other risks and uncertainties, are detailed in the Company's Annual Report on Form 10-K filed with the Securities and Exchange Commission for the fiscal year ended February 2, 2013 filed on March 15, 2013 and other Company filings with the Securities and Exchange Commission. Casual Male assumes no duty to update or revise its forward-looking statements even if experience or future changes make it clear that any projected results expressed or implied therein will not be realized.</w:t>
      </w:r>
    </w:p>
    <w:p>
      <w:pPr>
        <w:spacing w:after="0" w:line="200" w:lineRule="exact"/>
        <w:rPr>
          <w:sz w:val="20"/>
          <w:szCs w:val="20"/>
          <w:color w:val="auto"/>
        </w:rPr>
      </w:pPr>
    </w:p>
    <w:p>
      <w:pPr>
        <w:spacing w:after="0" w:line="246" w:lineRule="exact"/>
        <w:rPr>
          <w:sz w:val="20"/>
          <w:szCs w:val="20"/>
          <w:color w:val="auto"/>
        </w:rPr>
      </w:pPr>
    </w:p>
    <w:tbl>
      <w:tblPr>
        <w:tblLayout w:type="fixed"/>
        <w:tblInd w:w="4060" w:type="dxa"/>
        <w:tblCellMar>
          <w:top w:w="0" w:type="dxa"/>
          <w:left w:w="0" w:type="dxa"/>
          <w:bottom w:w="0" w:type="dxa"/>
          <w:right w:w="0" w:type="dxa"/>
        </w:tblCellMar>
      </w:tblPr>
      <w:tr>
        <w:trPr>
          <w:trHeight w:val="254"/>
        </w:trPr>
        <w:tc>
          <w:tcPr>
            <w:tcW w:w="384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140" w:type="dxa"/>
            <w:vAlign w:val="bottom"/>
          </w:tcPr>
          <w:p>
            <w:pPr>
              <w:jc w:val="right"/>
              <w:spacing w:after="0"/>
              <w:rPr>
                <w:sz w:val="20"/>
                <w:szCs w:val="20"/>
                <w:color w:val="auto"/>
              </w:rPr>
            </w:pPr>
            <w:r>
              <w:rPr>
                <w:rFonts w:ascii="Arial" w:cs="Arial" w:eastAsia="Arial" w:hAnsi="Arial"/>
                <w:sz w:val="19"/>
                <w:szCs w:val="19"/>
                <w:color w:val="8CA1A5"/>
              </w:rPr>
              <w:t>2</w:t>
            </w:r>
          </w:p>
        </w:tc>
      </w:tr>
    </w:tbl>
    <w:p>
      <w:pPr>
        <w:sectPr>
          <w:pgSz w:w="11900" w:h="16838" w:orient="portrait"/>
          <w:cols w:equalWidth="0" w:num="1">
            <w:col w:w="10040"/>
          </w:cols>
          <w:pgMar w:left="860" w:top="1012" w:right="999" w:bottom="1440" w:gutter="0" w:footer="0" w:header="0"/>
        </w:sectPr>
      </w:pPr>
    </w:p>
    <w:bookmarkStart w:id="5" w:name="page6"/>
    <w:bookmarkEnd w:id="5"/>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0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5480050"/>
                    </a:xfrm>
                    <a:prstGeom prst="rect">
                      <a:avLst/>
                    </a:prstGeom>
                    <a:noFill/>
                  </pic:spPr>
                </pic:pic>
              </a:graphicData>
            </a:graphic>
          </wp:anchor>
        </w:drawing>
        <w:t>WHO IS DESTINATION XL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00"/>
        <w:spacing w:after="0"/>
        <w:rPr>
          <w:sz w:val="20"/>
          <w:szCs w:val="20"/>
          <w:color w:val="auto"/>
        </w:rPr>
      </w:pPr>
      <w:r>
        <w:rPr>
          <w:rFonts w:ascii="Arial" w:cs="Arial" w:eastAsia="Arial" w:hAnsi="Arial"/>
          <w:sz w:val="28"/>
          <w:szCs w:val="28"/>
          <w:color w:val="354047"/>
        </w:rPr>
        <w:t>Largest multi-channel specialty</w:t>
      </w:r>
    </w:p>
    <w:p>
      <w:pPr>
        <w:spacing w:after="0" w:line="55" w:lineRule="exact"/>
        <w:rPr>
          <w:sz w:val="20"/>
          <w:szCs w:val="20"/>
          <w:color w:val="auto"/>
        </w:rPr>
      </w:pPr>
    </w:p>
    <w:p>
      <w:pPr>
        <w:ind w:left="4900"/>
        <w:spacing w:after="0"/>
        <w:rPr>
          <w:sz w:val="20"/>
          <w:szCs w:val="20"/>
          <w:color w:val="auto"/>
        </w:rPr>
      </w:pPr>
      <w:r>
        <w:rPr>
          <w:rFonts w:ascii="Arial" w:cs="Arial" w:eastAsia="Arial" w:hAnsi="Arial"/>
          <w:sz w:val="28"/>
          <w:szCs w:val="28"/>
          <w:color w:val="354047"/>
        </w:rPr>
        <w:t>retailer in niche men’s big and tall</w:t>
      </w:r>
    </w:p>
    <w:p>
      <w:pPr>
        <w:spacing w:after="0" w:line="19" w:lineRule="exact"/>
        <w:rPr>
          <w:sz w:val="20"/>
          <w:szCs w:val="20"/>
          <w:color w:val="auto"/>
        </w:rPr>
      </w:pPr>
    </w:p>
    <w:p>
      <w:pPr>
        <w:ind w:left="4900"/>
        <w:spacing w:after="0"/>
        <w:rPr>
          <w:sz w:val="20"/>
          <w:szCs w:val="20"/>
          <w:color w:val="auto"/>
        </w:rPr>
      </w:pPr>
      <w:r>
        <w:rPr>
          <w:rFonts w:ascii="Arial" w:cs="Arial" w:eastAsia="Arial" w:hAnsi="Arial"/>
          <w:sz w:val="28"/>
          <w:szCs w:val="28"/>
          <w:color w:val="354047"/>
        </w:rPr>
        <w:t>(B&amp;T)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900"/>
        <w:spacing w:after="0"/>
        <w:rPr>
          <w:sz w:val="20"/>
          <w:szCs w:val="20"/>
          <w:color w:val="auto"/>
        </w:rPr>
      </w:pPr>
      <w:r>
        <w:rPr>
          <w:rFonts w:ascii="Arial" w:cs="Arial" w:eastAsia="Arial" w:hAnsi="Arial"/>
          <w:sz w:val="28"/>
          <w:szCs w:val="28"/>
          <w:color w:val="354047"/>
        </w:rPr>
        <w:t>Offers unique blend of wardrobe</w:t>
      </w:r>
    </w:p>
    <w:p>
      <w:pPr>
        <w:spacing w:after="0" w:line="55" w:lineRule="exact"/>
        <w:rPr>
          <w:sz w:val="20"/>
          <w:szCs w:val="20"/>
          <w:color w:val="auto"/>
        </w:rPr>
      </w:pPr>
    </w:p>
    <w:p>
      <w:pPr>
        <w:ind w:left="4900"/>
        <w:spacing w:after="0"/>
        <w:rPr>
          <w:sz w:val="20"/>
          <w:szCs w:val="20"/>
          <w:color w:val="auto"/>
        </w:rPr>
      </w:pPr>
      <w:r>
        <w:rPr>
          <w:rFonts w:ascii="Arial" w:cs="Arial" w:eastAsia="Arial" w:hAnsi="Arial"/>
          <w:sz w:val="28"/>
          <w:szCs w:val="28"/>
          <w:color w:val="354047"/>
        </w:rPr>
        <w:t>solutions – Private label &amp; leading</w:t>
      </w:r>
    </w:p>
    <w:p>
      <w:pPr>
        <w:spacing w:after="0" w:line="19" w:lineRule="exact"/>
        <w:rPr>
          <w:sz w:val="20"/>
          <w:szCs w:val="20"/>
          <w:color w:val="auto"/>
        </w:rPr>
      </w:pPr>
    </w:p>
    <w:p>
      <w:pPr>
        <w:ind w:left="4900"/>
        <w:spacing w:after="0"/>
        <w:rPr>
          <w:sz w:val="20"/>
          <w:szCs w:val="20"/>
          <w:color w:val="auto"/>
        </w:rPr>
      </w:pPr>
      <w:r>
        <w:rPr>
          <w:rFonts w:ascii="Arial" w:cs="Arial" w:eastAsia="Arial" w:hAnsi="Arial"/>
          <w:sz w:val="28"/>
          <w:szCs w:val="28"/>
          <w:color w:val="354047"/>
        </w:rPr>
        <w:t>apparel name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4060" w:type="dxa"/>
        <w:tblCellMar>
          <w:top w:w="0" w:type="dxa"/>
          <w:left w:w="0" w:type="dxa"/>
          <w:bottom w:w="0" w:type="dxa"/>
          <w:right w:w="0" w:type="dxa"/>
        </w:tblCellMar>
      </w:tblPr>
      <w:tr>
        <w:trPr>
          <w:trHeight w:val="254"/>
        </w:trPr>
        <w:tc>
          <w:tcPr>
            <w:tcW w:w="384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140" w:type="dxa"/>
            <w:vAlign w:val="bottom"/>
          </w:tcPr>
          <w:p>
            <w:pPr>
              <w:jc w:val="right"/>
              <w:spacing w:after="0"/>
              <w:rPr>
                <w:sz w:val="20"/>
                <w:szCs w:val="20"/>
                <w:color w:val="auto"/>
              </w:rPr>
            </w:pPr>
            <w:r>
              <w:rPr>
                <w:rFonts w:ascii="Arial" w:cs="Arial" w:eastAsia="Arial" w:hAnsi="Arial"/>
                <w:sz w:val="19"/>
                <w:szCs w:val="19"/>
                <w:color w:val="8CA1A5"/>
              </w:rPr>
              <w:t>3</w:t>
            </w:r>
          </w:p>
        </w:tc>
      </w:tr>
    </w:tbl>
    <w:p>
      <w:pPr>
        <w:sectPr>
          <w:pgSz w:w="11900" w:h="16838" w:orient="portrait"/>
          <w:cols w:equalWidth="0" w:num="1">
            <w:col w:w="10040"/>
          </w:cols>
          <w:pgMar w:left="860" w:top="1012" w:right="999" w:bottom="1440" w:gutter="0" w:footer="0" w:header="0"/>
        </w:sectPr>
      </w:pPr>
    </w:p>
    <w:bookmarkStart w:id="6" w:name="page7"/>
    <w:bookmarkEnd w:id="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ind w:left="60"/>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0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5480050"/>
                    </a:xfrm>
                    <a:prstGeom prst="rect">
                      <a:avLst/>
                    </a:prstGeom>
                    <a:noFill/>
                  </pic:spPr>
                </pic:pic>
              </a:graphicData>
            </a:graphic>
          </wp:anchor>
        </w:drawing>
        <w:t>DXLG BY THE NUMBERS</w:t>
      </w:r>
    </w:p>
    <w:p>
      <w:pPr>
        <w:spacing w:after="0" w:line="200" w:lineRule="exact"/>
        <w:rPr>
          <w:sz w:val="20"/>
          <w:szCs w:val="20"/>
          <w:color w:val="auto"/>
        </w:rPr>
      </w:pP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624"/>
        </w:trPr>
        <w:tc>
          <w:tcPr>
            <w:tcW w:w="2560" w:type="dxa"/>
            <w:vAlign w:val="bottom"/>
          </w:tcPr>
          <w:p>
            <w:pPr>
              <w:spacing w:after="0"/>
              <w:rPr>
                <w:sz w:val="20"/>
                <w:szCs w:val="20"/>
                <w:color w:val="auto"/>
              </w:rPr>
            </w:pPr>
            <w:r>
              <w:rPr>
                <w:rFonts w:ascii="Arial" w:cs="Arial" w:eastAsia="Arial" w:hAnsi="Arial"/>
                <w:sz w:val="51"/>
                <w:szCs w:val="51"/>
                <w:b w:val="1"/>
                <w:bCs w:val="1"/>
                <w:color w:val="417C27"/>
              </w:rPr>
              <w:t xml:space="preserve">80% </w:t>
            </w:r>
            <w:r>
              <w:rPr>
                <w:rFonts w:ascii="Arial" w:cs="Arial" w:eastAsia="Arial" w:hAnsi="Arial"/>
                <w:sz w:val="21"/>
                <w:szCs w:val="21"/>
                <w:b w:val="1"/>
                <w:bCs w:val="1"/>
                <w:color w:val="354047"/>
              </w:rPr>
              <w:t>RETAIL</w:t>
            </w:r>
          </w:p>
        </w:tc>
        <w:tc>
          <w:tcPr>
            <w:tcW w:w="7300" w:type="dxa"/>
            <w:vAlign w:val="bottom"/>
          </w:tcPr>
          <w:p>
            <w:pPr>
              <w:ind w:left="640"/>
              <w:spacing w:after="0"/>
              <w:rPr>
                <w:sz w:val="20"/>
                <w:szCs w:val="20"/>
                <w:color w:val="auto"/>
              </w:rPr>
            </w:pPr>
            <w:r>
              <w:rPr>
                <w:rFonts w:ascii="Arial" w:cs="Arial" w:eastAsia="Arial" w:hAnsi="Arial"/>
                <w:sz w:val="51"/>
                <w:szCs w:val="51"/>
                <w:b w:val="1"/>
                <w:bCs w:val="1"/>
                <w:color w:val="417C27"/>
              </w:rPr>
              <w:t xml:space="preserve">1.4M </w:t>
            </w:r>
            <w:r>
              <w:rPr>
                <w:rFonts w:ascii="Arial" w:cs="Arial" w:eastAsia="Arial" w:hAnsi="Arial"/>
                <w:sz w:val="21"/>
                <w:szCs w:val="21"/>
                <w:b w:val="1"/>
                <w:bCs w:val="1"/>
                <w:color w:val="354047"/>
              </w:rPr>
              <w:t>ACTIVE CUSTOMERS</w:t>
            </w:r>
          </w:p>
        </w:tc>
      </w:tr>
      <w:tr>
        <w:trPr>
          <w:trHeight w:val="718"/>
        </w:trPr>
        <w:tc>
          <w:tcPr>
            <w:tcW w:w="2560" w:type="dxa"/>
            <w:vAlign w:val="bottom"/>
          </w:tcPr>
          <w:p>
            <w:pPr>
              <w:spacing w:after="0"/>
              <w:rPr>
                <w:sz w:val="24"/>
                <w:szCs w:val="24"/>
                <w:color w:val="auto"/>
              </w:rPr>
            </w:pPr>
          </w:p>
        </w:tc>
        <w:tc>
          <w:tcPr>
            <w:tcW w:w="7300" w:type="dxa"/>
            <w:vAlign w:val="bottom"/>
          </w:tcPr>
          <w:p>
            <w:pPr>
              <w:ind w:left="4640"/>
              <w:spacing w:after="0"/>
              <w:rPr>
                <w:sz w:val="20"/>
                <w:szCs w:val="20"/>
                <w:color w:val="auto"/>
              </w:rPr>
            </w:pPr>
            <w:r>
              <w:rPr>
                <w:rFonts w:ascii="Arial" w:cs="Arial" w:eastAsia="Arial" w:hAnsi="Arial"/>
                <w:sz w:val="51"/>
                <w:szCs w:val="51"/>
                <w:b w:val="1"/>
                <w:bCs w:val="1"/>
                <w:color w:val="417C27"/>
                <w:w w:val="98"/>
              </w:rPr>
              <w:t xml:space="preserve">375 </w:t>
            </w:r>
            <w:r>
              <w:rPr>
                <w:rFonts w:ascii="Arial" w:cs="Arial" w:eastAsia="Arial" w:hAnsi="Arial"/>
                <w:sz w:val="21"/>
                <w:szCs w:val="21"/>
                <w:b w:val="1"/>
                <w:bCs w:val="1"/>
                <w:color w:val="354047"/>
                <w:w w:val="98"/>
              </w:rPr>
              <w:t>RETAIL STORES</w:t>
            </w:r>
          </w:p>
        </w:tc>
      </w:tr>
    </w:tbl>
    <w:p>
      <w:pPr>
        <w:spacing w:after="0" w:line="318" w:lineRule="exact"/>
        <w:rPr>
          <w:sz w:val="20"/>
          <w:szCs w:val="20"/>
          <w:color w:val="auto"/>
        </w:rPr>
      </w:pPr>
    </w:p>
    <w:p>
      <w:pPr>
        <w:ind w:left="1040"/>
        <w:spacing w:after="0"/>
        <w:rPr>
          <w:sz w:val="20"/>
          <w:szCs w:val="20"/>
          <w:color w:val="auto"/>
        </w:rPr>
      </w:pPr>
      <w:r>
        <w:rPr>
          <w:rFonts w:ascii="Arial" w:cs="Arial" w:eastAsia="Arial" w:hAnsi="Arial"/>
          <w:sz w:val="25"/>
          <w:szCs w:val="25"/>
          <w:b w:val="1"/>
          <w:bCs w:val="1"/>
          <w:color w:val="FFFFFF"/>
        </w:rPr>
        <w:t>SALES</w:t>
      </w:r>
    </w:p>
    <w:p>
      <w:pPr>
        <w:spacing w:after="0" w:line="200" w:lineRule="exact"/>
        <w:rPr>
          <w:sz w:val="20"/>
          <w:szCs w:val="20"/>
          <w:color w:val="auto"/>
        </w:rPr>
      </w:pPr>
    </w:p>
    <w:p>
      <w:pPr>
        <w:spacing w:after="0" w:line="205" w:lineRule="exact"/>
        <w:rPr>
          <w:sz w:val="20"/>
          <w:szCs w:val="20"/>
          <w:color w:val="auto"/>
        </w:rPr>
      </w:pPr>
    </w:p>
    <w:p>
      <w:pPr>
        <w:ind w:left="500"/>
        <w:spacing w:after="0"/>
        <w:tabs>
          <w:tab w:leader="none" w:pos="3160" w:val="left"/>
        </w:tabs>
        <w:rPr>
          <w:sz w:val="20"/>
          <w:szCs w:val="20"/>
          <w:color w:val="auto"/>
        </w:rPr>
      </w:pPr>
      <w:r>
        <w:rPr>
          <w:rFonts w:ascii="Arial" w:cs="Arial" w:eastAsia="Arial" w:hAnsi="Arial"/>
          <w:sz w:val="51"/>
          <w:szCs w:val="51"/>
          <w:b w:val="1"/>
          <w:bCs w:val="1"/>
          <w:color w:val="417C27"/>
        </w:rPr>
        <w:t xml:space="preserve">20% </w:t>
      </w:r>
      <w:r>
        <w:rPr>
          <w:rFonts w:ascii="Arial" w:cs="Arial" w:eastAsia="Arial" w:hAnsi="Arial"/>
          <w:sz w:val="21"/>
          <w:szCs w:val="21"/>
          <w:b w:val="1"/>
          <w:bCs w:val="1"/>
          <w:color w:val="354047"/>
        </w:rPr>
        <w:t>DIRECT</w:t>
      </w:r>
      <w:r>
        <w:rPr>
          <w:sz w:val="20"/>
          <w:szCs w:val="20"/>
          <w:color w:val="auto"/>
        </w:rPr>
        <w:tab/>
      </w:r>
      <w:r>
        <w:rPr>
          <w:rFonts w:ascii="Arial" w:cs="Arial" w:eastAsia="Arial" w:hAnsi="Arial"/>
          <w:sz w:val="16"/>
          <w:szCs w:val="16"/>
          <w:b w:val="1"/>
          <w:bCs w:val="1"/>
          <w:color w:val="417C27"/>
        </w:rPr>
        <w:t>90%</w:t>
      </w:r>
      <w:r>
        <w:rPr>
          <w:rFonts w:ascii="Arial" w:cs="Arial" w:eastAsia="Arial" w:hAnsi="Arial"/>
          <w:sz w:val="11"/>
          <w:szCs w:val="11"/>
          <w:b w:val="1"/>
          <w:bCs w:val="1"/>
          <w:color w:val="354047"/>
        </w:rPr>
        <w:t>ENROLLED</w:t>
      </w:r>
      <w:r>
        <w:rPr>
          <w:rFonts w:ascii="Arial" w:cs="Arial" w:eastAsia="Arial" w:hAnsi="Arial"/>
          <w:sz w:val="11"/>
          <w:szCs w:val="11"/>
          <w:b w:val="1"/>
          <w:bCs w:val="1"/>
          <w:color w:val="C0C0C0"/>
        </w:rPr>
        <w:t>ENROLLED</w:t>
      </w:r>
      <w:r>
        <w:rPr>
          <w:rFonts w:ascii="Arial" w:cs="Arial" w:eastAsia="Arial" w:hAnsi="Arial"/>
          <w:sz w:val="11"/>
          <w:szCs w:val="11"/>
          <w:b w:val="1"/>
          <w:bCs w:val="1"/>
          <w:color w:val="354047"/>
        </w:rPr>
        <w:t>IN</w:t>
      </w:r>
      <w:r>
        <w:rPr>
          <w:rFonts w:ascii="Arial" w:cs="Arial" w:eastAsia="Arial" w:hAnsi="Arial"/>
          <w:sz w:val="11"/>
          <w:szCs w:val="11"/>
          <w:b w:val="1"/>
          <w:bCs w:val="1"/>
          <w:color w:val="C0C0C0"/>
        </w:rPr>
        <w:t>IN</w:t>
      </w:r>
      <w:r>
        <w:rPr>
          <w:rFonts w:ascii="Arial" w:cs="Arial" w:eastAsia="Arial" w:hAnsi="Arial"/>
          <w:sz w:val="11"/>
          <w:szCs w:val="11"/>
          <w:b w:val="1"/>
          <w:bCs w:val="1"/>
          <w:color w:val="354047"/>
        </w:rPr>
        <w:t>LOYALTY</w:t>
      </w:r>
      <w:r>
        <w:rPr>
          <w:rFonts w:ascii="Arial" w:cs="Arial" w:eastAsia="Arial" w:hAnsi="Arial"/>
          <w:sz w:val="11"/>
          <w:szCs w:val="11"/>
          <w:b w:val="1"/>
          <w:bCs w:val="1"/>
          <w:color w:val="C0C0C0"/>
        </w:rPr>
        <w:t>LOYALTY</w:t>
      </w:r>
      <w:r>
        <w:rPr>
          <w:rFonts w:ascii="Arial" w:cs="Arial" w:eastAsia="Arial" w:hAnsi="Arial"/>
          <w:sz w:val="11"/>
          <w:szCs w:val="11"/>
          <w:b w:val="1"/>
          <w:bCs w:val="1"/>
          <w:color w:val="354047"/>
        </w:rPr>
        <w:t>PROGRAM</w:t>
      </w:r>
      <w:r>
        <w:rPr>
          <w:rFonts w:ascii="Arial" w:cs="Arial" w:eastAsia="Arial" w:hAnsi="Arial"/>
          <w:sz w:val="11"/>
          <w:szCs w:val="11"/>
          <w:b w:val="1"/>
          <w:bCs w:val="1"/>
          <w:color w:val="C0C0C0"/>
        </w:rPr>
        <w:t>PROGRAM</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51"/>
          <w:szCs w:val="51"/>
          <w:b w:val="1"/>
          <w:bCs w:val="1"/>
          <w:color w:val="417C27"/>
        </w:rPr>
        <w:t>85%</w:t>
      </w:r>
    </w:p>
    <w:p>
      <w:pPr>
        <w:ind w:left="1500"/>
        <w:spacing w:after="0" w:line="180" w:lineRule="auto"/>
        <w:rPr>
          <w:sz w:val="20"/>
          <w:szCs w:val="20"/>
          <w:color w:val="auto"/>
        </w:rPr>
      </w:pPr>
      <w:r>
        <w:rPr>
          <w:rFonts w:ascii="Arial" w:cs="Arial" w:eastAsia="Arial" w:hAnsi="Arial"/>
          <w:sz w:val="99"/>
          <w:szCs w:val="99"/>
          <w:b w:val="1"/>
          <w:bCs w:val="1"/>
          <w:color w:val="354047"/>
          <w:vertAlign w:val="superscript"/>
        </w:rPr>
        <w:t>#</w:t>
      </w:r>
      <w:r>
        <w:rPr>
          <w:rFonts w:ascii="Arial" w:cs="Arial" w:eastAsia="Arial" w:hAnsi="Arial"/>
          <w:sz w:val="188"/>
          <w:szCs w:val="188"/>
          <w:b w:val="1"/>
          <w:bCs w:val="1"/>
          <w:color w:val="354047"/>
        </w:rPr>
        <w:t>1</w:t>
      </w:r>
      <w:r>
        <w:rPr>
          <w:rFonts w:ascii="Arial" w:cs="Arial" w:eastAsia="Arial" w:hAnsi="Arial"/>
          <w:sz w:val="22"/>
          <w:szCs w:val="22"/>
          <w:b w:val="1"/>
          <w:bCs w:val="1"/>
          <w:color w:val="FFFFFF"/>
        </w:rPr>
        <w:t>Customer</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22"/>
          <w:szCs w:val="22"/>
          <w:b w:val="1"/>
          <w:bCs w:val="1"/>
          <w:color w:val="FFFFFF"/>
        </w:rPr>
        <w:t>Satisfaction</w:t>
      </w:r>
    </w:p>
    <w:p>
      <w:pPr>
        <w:spacing w:after="0" w:line="200" w:lineRule="exact"/>
        <w:rPr>
          <w:sz w:val="20"/>
          <w:szCs w:val="20"/>
          <w:color w:val="auto"/>
        </w:rPr>
      </w:pPr>
    </w:p>
    <w:p>
      <w:pPr>
        <w:spacing w:after="0" w:line="314" w:lineRule="exact"/>
        <w:rPr>
          <w:sz w:val="20"/>
          <w:szCs w:val="20"/>
          <w:color w:val="auto"/>
        </w:rPr>
      </w:pPr>
    </w:p>
    <w:tbl>
      <w:tblPr>
        <w:tblLayout w:type="fixed"/>
        <w:tblInd w:w="4120" w:type="dxa"/>
        <w:tblCellMar>
          <w:top w:w="0" w:type="dxa"/>
          <w:left w:w="0" w:type="dxa"/>
          <w:bottom w:w="0" w:type="dxa"/>
          <w:right w:w="0" w:type="dxa"/>
        </w:tblCellMar>
      </w:tblPr>
      <w:tr>
        <w:trPr>
          <w:trHeight w:val="247"/>
        </w:trPr>
        <w:tc>
          <w:tcPr>
            <w:tcW w:w="384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140" w:type="dxa"/>
            <w:vAlign w:val="bottom"/>
          </w:tcPr>
          <w:p>
            <w:pPr>
              <w:jc w:val="right"/>
              <w:spacing w:after="0"/>
              <w:rPr>
                <w:sz w:val="20"/>
                <w:szCs w:val="20"/>
                <w:color w:val="auto"/>
              </w:rPr>
            </w:pPr>
            <w:r>
              <w:rPr>
                <w:rFonts w:ascii="Times New Roman" w:cs="Times New Roman" w:eastAsia="Times New Roman" w:hAnsi="Times New Roman"/>
                <w:sz w:val="19"/>
                <w:szCs w:val="19"/>
                <w:color w:val="8CA1A5"/>
              </w:rPr>
              <w:t>5</w:t>
            </w:r>
          </w:p>
        </w:tc>
      </w:tr>
    </w:tbl>
    <w:p>
      <w:pPr>
        <w:sectPr>
          <w:pgSz w:w="11900" w:h="16838" w:orient="portrait"/>
          <w:cols w:equalWidth="0" w:num="1">
            <w:col w:w="10160"/>
          </w:cols>
          <w:pgMar w:left="800" w:top="871" w:right="939" w:bottom="1440" w:gutter="0" w:footer="0" w:header="0"/>
        </w:sectPr>
      </w:pPr>
    </w:p>
    <w:bookmarkStart w:id="8" w:name="page9"/>
    <w:bookmarkEnd w:id="8"/>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WHO IS OUR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460"/>
        <w:spacing w:after="0"/>
        <w:rPr>
          <w:sz w:val="20"/>
          <w:szCs w:val="20"/>
          <w:color w:val="auto"/>
        </w:rPr>
      </w:pPr>
      <w:r>
        <w:rPr>
          <w:rFonts w:ascii="Arial" w:cs="Arial" w:eastAsia="Arial" w:hAnsi="Arial"/>
          <w:sz w:val="28"/>
          <w:szCs w:val="28"/>
          <w:color w:val="FFFFFF"/>
        </w:rPr>
        <w:t>Males with</w:t>
      </w:r>
    </w:p>
    <w:p>
      <w:pPr>
        <w:spacing w:after="0" w:line="3" w:lineRule="exact"/>
        <w:rPr>
          <w:sz w:val="20"/>
          <w:szCs w:val="20"/>
          <w:color w:val="auto"/>
        </w:rPr>
      </w:pPr>
    </w:p>
    <w:p>
      <w:pPr>
        <w:jc w:val="center"/>
        <w:ind w:right="5440"/>
        <w:spacing w:after="0"/>
        <w:rPr>
          <w:sz w:val="20"/>
          <w:szCs w:val="20"/>
          <w:color w:val="auto"/>
        </w:rPr>
      </w:pPr>
      <w:r>
        <w:rPr>
          <w:rFonts w:ascii="Arial" w:cs="Arial" w:eastAsia="Arial" w:hAnsi="Arial"/>
          <w:sz w:val="28"/>
          <w:szCs w:val="28"/>
          <w:color w:val="FFFFFF"/>
        </w:rPr>
        <w:t>a waist size</w:t>
      </w:r>
    </w:p>
    <w:p>
      <w:pPr>
        <w:jc w:val="center"/>
        <w:ind w:right="5480"/>
        <w:spacing w:after="0" w:line="227" w:lineRule="auto"/>
        <w:rPr>
          <w:sz w:val="20"/>
          <w:szCs w:val="20"/>
          <w:color w:val="auto"/>
        </w:rPr>
      </w:pPr>
      <w:r>
        <w:rPr>
          <w:rFonts w:ascii="Arial" w:cs="Arial" w:eastAsia="Arial" w:hAnsi="Arial"/>
          <w:sz w:val="28"/>
          <w:szCs w:val="28"/>
          <w:color w:val="FFFFFF"/>
        </w:rPr>
        <w:t>40” and</w:t>
      </w:r>
    </w:p>
    <w:p>
      <w:pPr>
        <w:jc w:val="center"/>
        <w:ind w:right="5460"/>
        <w:spacing w:after="0" w:line="228" w:lineRule="auto"/>
        <w:rPr>
          <w:sz w:val="20"/>
          <w:szCs w:val="20"/>
          <w:color w:val="auto"/>
        </w:rPr>
      </w:pPr>
      <w:r>
        <w:rPr>
          <w:rFonts w:ascii="Arial" w:cs="Arial" w:eastAsia="Arial" w:hAnsi="Arial"/>
          <w:sz w:val="28"/>
          <w:szCs w:val="28"/>
          <w:color w:val="FFFFFF"/>
        </w:rPr>
        <w:t>greater</w:t>
      </w:r>
    </w:p>
    <w:p>
      <w:pPr>
        <w:spacing w:after="0" w:line="1" w:lineRule="exact"/>
        <w:rPr>
          <w:sz w:val="20"/>
          <w:szCs w:val="20"/>
          <w:color w:val="auto"/>
        </w:rPr>
      </w:pPr>
    </w:p>
    <w:p>
      <w:pPr>
        <w:jc w:val="center"/>
        <w:ind w:right="5460"/>
        <w:spacing w:after="0"/>
        <w:rPr>
          <w:sz w:val="20"/>
          <w:szCs w:val="20"/>
          <w:color w:val="auto"/>
        </w:rPr>
      </w:pPr>
      <w:r>
        <w:rPr>
          <w:rFonts w:ascii="Arial" w:cs="Arial" w:eastAsia="Arial" w:hAnsi="Arial"/>
          <w:sz w:val="28"/>
          <w:szCs w:val="28"/>
          <w:color w:val="FFFFFF"/>
        </w:rPr>
        <w:t>(40M men)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620"/>
        <w:spacing w:after="0"/>
        <w:rPr>
          <w:sz w:val="20"/>
          <w:szCs w:val="20"/>
          <w:color w:val="auto"/>
        </w:rPr>
      </w:pPr>
      <w:r>
        <w:rPr>
          <w:rFonts w:ascii="Arial" w:cs="Arial" w:eastAsia="Arial" w:hAnsi="Arial"/>
          <w:sz w:val="28"/>
          <w:szCs w:val="28"/>
          <w:color w:val="FFFFFF"/>
        </w:rPr>
        <w:t>Determined</w:t>
      </w:r>
    </w:p>
    <w:p>
      <w:pPr>
        <w:spacing w:after="0" w:line="3" w:lineRule="exact"/>
        <w:rPr>
          <w:sz w:val="20"/>
          <w:szCs w:val="20"/>
          <w:color w:val="auto"/>
        </w:rPr>
      </w:pPr>
    </w:p>
    <w:p>
      <w:pPr>
        <w:jc w:val="center"/>
        <w:ind w:right="1600"/>
        <w:spacing w:after="0"/>
        <w:rPr>
          <w:sz w:val="20"/>
          <w:szCs w:val="20"/>
          <w:color w:val="auto"/>
        </w:rPr>
      </w:pPr>
      <w:r>
        <w:rPr>
          <w:rFonts w:ascii="Arial" w:cs="Arial" w:eastAsia="Arial" w:hAnsi="Arial"/>
          <w:sz w:val="28"/>
          <w:szCs w:val="28"/>
          <w:color w:val="FFFFFF"/>
        </w:rPr>
        <w:t>by physical</w:t>
      </w:r>
    </w:p>
    <w:p>
      <w:pPr>
        <w:jc w:val="center"/>
        <w:ind w:right="1620"/>
        <w:spacing w:after="0" w:line="227" w:lineRule="auto"/>
        <w:rPr>
          <w:sz w:val="20"/>
          <w:szCs w:val="20"/>
          <w:color w:val="auto"/>
        </w:rPr>
      </w:pPr>
      <w:r>
        <w:rPr>
          <w:rFonts w:ascii="Arial" w:cs="Arial" w:eastAsia="Arial" w:hAnsi="Arial"/>
          <w:sz w:val="28"/>
          <w:szCs w:val="28"/>
          <w:color w:val="FFFFFF"/>
        </w:rPr>
        <w:t>characteristic,</w:t>
      </w:r>
    </w:p>
    <w:p>
      <w:pPr>
        <w:spacing w:after="0" w:line="1" w:lineRule="exact"/>
        <w:rPr>
          <w:sz w:val="20"/>
          <w:szCs w:val="20"/>
          <w:color w:val="auto"/>
        </w:rPr>
      </w:pPr>
    </w:p>
    <w:p>
      <w:pPr>
        <w:jc w:val="center"/>
        <w:ind w:right="1540"/>
        <w:spacing w:after="0"/>
        <w:rPr>
          <w:sz w:val="20"/>
          <w:szCs w:val="20"/>
          <w:color w:val="auto"/>
        </w:rPr>
      </w:pPr>
      <w:r>
        <w:rPr>
          <w:rFonts w:ascii="Arial" w:cs="Arial" w:eastAsia="Arial" w:hAnsi="Arial"/>
          <w:sz w:val="28"/>
          <w:szCs w:val="28"/>
          <w:color w:val="FFFFFF"/>
        </w:rPr>
        <w:t>not demographic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300" w:type="dxa"/>
        <w:tblCellMar>
          <w:top w:w="0" w:type="dxa"/>
          <w:left w:w="0" w:type="dxa"/>
          <w:bottom w:w="0" w:type="dxa"/>
          <w:right w:w="0" w:type="dxa"/>
        </w:tblCellMar>
      </w:tblPr>
      <w:tr>
        <w:trPr>
          <w:trHeight w:val="322"/>
        </w:trPr>
        <w:tc>
          <w:tcPr>
            <w:tcW w:w="2900" w:type="dxa"/>
            <w:vAlign w:val="bottom"/>
            <w:vMerge w:val="restart"/>
          </w:tcPr>
          <w:p>
            <w:pPr>
              <w:jc w:val="center"/>
              <w:ind w:right="1619"/>
              <w:spacing w:after="0"/>
              <w:rPr>
                <w:sz w:val="20"/>
                <w:szCs w:val="20"/>
                <w:color w:val="auto"/>
              </w:rPr>
            </w:pPr>
            <w:r>
              <w:rPr>
                <w:rFonts w:ascii="Arial" w:cs="Arial" w:eastAsia="Arial" w:hAnsi="Arial"/>
                <w:sz w:val="28"/>
                <w:szCs w:val="28"/>
                <w:color w:val="FFFFFF"/>
              </w:rPr>
              <w:t>Seeking</w:t>
            </w:r>
          </w:p>
        </w:tc>
        <w:tc>
          <w:tcPr>
            <w:tcW w:w="3620" w:type="dxa"/>
            <w:vAlign w:val="bottom"/>
          </w:tcPr>
          <w:p>
            <w:pPr>
              <w:jc w:val="center"/>
              <w:ind w:left="1619"/>
              <w:spacing w:after="0"/>
              <w:rPr>
                <w:sz w:val="20"/>
                <w:szCs w:val="20"/>
                <w:color w:val="auto"/>
              </w:rPr>
            </w:pPr>
            <w:r>
              <w:rPr>
                <w:rFonts w:ascii="Arial" w:cs="Arial" w:eastAsia="Arial" w:hAnsi="Arial"/>
                <w:sz w:val="28"/>
                <w:szCs w:val="28"/>
                <w:color w:val="FFFFFF"/>
              </w:rPr>
              <w:t>Not dependent</w:t>
            </w:r>
          </w:p>
        </w:tc>
        <w:tc>
          <w:tcPr>
            <w:tcW w:w="0" w:type="dxa"/>
            <w:vAlign w:val="bottom"/>
          </w:tcPr>
          <w:p>
            <w:pPr>
              <w:spacing w:after="0"/>
              <w:rPr>
                <w:sz w:val="1"/>
                <w:szCs w:val="1"/>
                <w:color w:val="auto"/>
              </w:rPr>
            </w:pPr>
          </w:p>
        </w:tc>
      </w:tr>
      <w:tr>
        <w:trPr>
          <w:trHeight w:val="165"/>
        </w:trPr>
        <w:tc>
          <w:tcPr>
            <w:tcW w:w="2900" w:type="dxa"/>
            <w:vAlign w:val="bottom"/>
            <w:vMerge w:val="continue"/>
          </w:tcPr>
          <w:p>
            <w:pPr>
              <w:spacing w:after="0"/>
              <w:rPr>
                <w:sz w:val="14"/>
                <w:szCs w:val="14"/>
                <w:color w:val="auto"/>
              </w:rPr>
            </w:pPr>
          </w:p>
        </w:tc>
        <w:tc>
          <w:tcPr>
            <w:tcW w:w="3620" w:type="dxa"/>
            <w:vAlign w:val="bottom"/>
            <w:vMerge w:val="restart"/>
          </w:tcPr>
          <w:p>
            <w:pPr>
              <w:jc w:val="center"/>
              <w:ind w:left="1619"/>
              <w:spacing w:after="0" w:line="305" w:lineRule="exact"/>
              <w:rPr>
                <w:sz w:val="20"/>
                <w:szCs w:val="20"/>
                <w:color w:val="auto"/>
              </w:rPr>
            </w:pPr>
            <w:r>
              <w:rPr>
                <w:rFonts w:ascii="Arial" w:cs="Arial" w:eastAsia="Arial" w:hAnsi="Arial"/>
                <w:sz w:val="28"/>
                <w:szCs w:val="28"/>
                <w:color w:val="FFFFFF"/>
              </w:rPr>
              <w:t>on age,</w:t>
            </w:r>
          </w:p>
        </w:tc>
        <w:tc>
          <w:tcPr>
            <w:tcW w:w="0" w:type="dxa"/>
            <w:vAlign w:val="bottom"/>
          </w:tcPr>
          <w:p>
            <w:pPr>
              <w:spacing w:after="0"/>
              <w:rPr>
                <w:sz w:val="1"/>
                <w:szCs w:val="1"/>
                <w:color w:val="auto"/>
              </w:rPr>
            </w:pPr>
          </w:p>
        </w:tc>
      </w:tr>
      <w:tr>
        <w:trPr>
          <w:trHeight w:val="141"/>
        </w:trPr>
        <w:tc>
          <w:tcPr>
            <w:tcW w:w="2900" w:type="dxa"/>
            <w:vAlign w:val="bottom"/>
            <w:vMerge w:val="restart"/>
          </w:tcPr>
          <w:p>
            <w:pPr>
              <w:jc w:val="center"/>
              <w:ind w:right="1639"/>
              <w:spacing w:after="0"/>
              <w:rPr>
                <w:sz w:val="20"/>
                <w:szCs w:val="20"/>
                <w:color w:val="auto"/>
              </w:rPr>
            </w:pPr>
            <w:r>
              <w:rPr>
                <w:rFonts w:ascii="Arial" w:cs="Arial" w:eastAsia="Arial" w:hAnsi="Arial"/>
                <w:sz w:val="28"/>
                <w:szCs w:val="28"/>
                <w:color w:val="FFFFFF"/>
                <w:w w:val="99"/>
              </w:rPr>
              <w:t>greater</w:t>
            </w:r>
          </w:p>
        </w:tc>
        <w:tc>
          <w:tcPr>
            <w:tcW w:w="3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900" w:type="dxa"/>
            <w:vAlign w:val="bottom"/>
            <w:vMerge w:val="continue"/>
          </w:tcPr>
          <w:p>
            <w:pPr>
              <w:spacing w:after="0"/>
              <w:rPr>
                <w:sz w:val="17"/>
                <w:szCs w:val="17"/>
                <w:color w:val="auto"/>
              </w:rPr>
            </w:pPr>
          </w:p>
        </w:tc>
        <w:tc>
          <w:tcPr>
            <w:tcW w:w="3620" w:type="dxa"/>
            <w:vAlign w:val="bottom"/>
            <w:vMerge w:val="restart"/>
          </w:tcPr>
          <w:p>
            <w:pPr>
              <w:jc w:val="center"/>
              <w:ind w:left="1619"/>
              <w:spacing w:after="0" w:line="305" w:lineRule="exact"/>
              <w:rPr>
                <w:sz w:val="20"/>
                <w:szCs w:val="20"/>
                <w:color w:val="auto"/>
              </w:rPr>
            </w:pPr>
            <w:r>
              <w:rPr>
                <w:rFonts w:ascii="Arial" w:cs="Arial" w:eastAsia="Arial" w:hAnsi="Arial"/>
                <w:sz w:val="28"/>
                <w:szCs w:val="28"/>
                <w:color w:val="FFFFFF"/>
              </w:rPr>
              <w:t>income, race</w:t>
            </w:r>
          </w:p>
        </w:tc>
        <w:tc>
          <w:tcPr>
            <w:tcW w:w="0" w:type="dxa"/>
            <w:vAlign w:val="bottom"/>
          </w:tcPr>
          <w:p>
            <w:pPr>
              <w:spacing w:after="0"/>
              <w:rPr>
                <w:sz w:val="1"/>
                <w:szCs w:val="1"/>
                <w:color w:val="auto"/>
              </w:rPr>
            </w:pPr>
          </w:p>
        </w:tc>
      </w:tr>
      <w:tr>
        <w:trPr>
          <w:trHeight w:val="106"/>
        </w:trPr>
        <w:tc>
          <w:tcPr>
            <w:tcW w:w="2900" w:type="dxa"/>
            <w:vAlign w:val="bottom"/>
            <w:vMerge w:val="restart"/>
          </w:tcPr>
          <w:p>
            <w:pPr>
              <w:jc w:val="center"/>
              <w:ind w:right="1639"/>
              <w:spacing w:after="0"/>
              <w:rPr>
                <w:sz w:val="20"/>
                <w:szCs w:val="20"/>
                <w:color w:val="auto"/>
              </w:rPr>
            </w:pPr>
            <w:r>
              <w:rPr>
                <w:rFonts w:ascii="Arial" w:cs="Arial" w:eastAsia="Arial" w:hAnsi="Arial"/>
                <w:sz w:val="28"/>
                <w:szCs w:val="28"/>
                <w:color w:val="FFFFFF"/>
              </w:rPr>
              <w:t>selection</w:t>
            </w: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900" w:type="dxa"/>
            <w:vAlign w:val="bottom"/>
            <w:vMerge w:val="continue"/>
          </w:tcPr>
          <w:p>
            <w:pPr>
              <w:spacing w:after="0"/>
              <w:rPr>
                <w:sz w:val="20"/>
                <w:szCs w:val="20"/>
                <w:color w:val="auto"/>
              </w:rPr>
            </w:pPr>
          </w:p>
        </w:tc>
        <w:tc>
          <w:tcPr>
            <w:tcW w:w="3620" w:type="dxa"/>
            <w:vAlign w:val="bottom"/>
            <w:vMerge w:val="restart"/>
          </w:tcPr>
          <w:p>
            <w:pPr>
              <w:jc w:val="center"/>
              <w:ind w:left="1599"/>
              <w:spacing w:after="0"/>
              <w:rPr>
                <w:sz w:val="20"/>
                <w:szCs w:val="20"/>
                <w:color w:val="auto"/>
              </w:rPr>
            </w:pPr>
            <w:r>
              <w:rPr>
                <w:rFonts w:ascii="Arial" w:cs="Arial" w:eastAsia="Arial" w:hAnsi="Arial"/>
                <w:sz w:val="28"/>
                <w:szCs w:val="28"/>
                <w:color w:val="FFFFFF"/>
              </w:rPr>
              <w:t>or nationality</w:t>
            </w:r>
          </w:p>
        </w:tc>
        <w:tc>
          <w:tcPr>
            <w:tcW w:w="0" w:type="dxa"/>
            <w:vAlign w:val="bottom"/>
          </w:tcPr>
          <w:p>
            <w:pPr>
              <w:spacing w:after="0"/>
              <w:rPr>
                <w:sz w:val="1"/>
                <w:szCs w:val="1"/>
                <w:color w:val="auto"/>
              </w:rPr>
            </w:pPr>
          </w:p>
        </w:tc>
      </w:tr>
      <w:tr>
        <w:trPr>
          <w:trHeight w:val="146"/>
        </w:trPr>
        <w:tc>
          <w:tcPr>
            <w:tcW w:w="2900" w:type="dxa"/>
            <w:vAlign w:val="bottom"/>
            <w:vMerge w:val="restart"/>
          </w:tcPr>
          <w:p>
            <w:pPr>
              <w:jc w:val="center"/>
              <w:ind w:right="1639"/>
              <w:spacing w:after="0"/>
              <w:rPr>
                <w:sz w:val="20"/>
                <w:szCs w:val="20"/>
                <w:color w:val="auto"/>
              </w:rPr>
            </w:pPr>
            <w:r>
              <w:rPr>
                <w:rFonts w:ascii="Arial" w:cs="Arial" w:eastAsia="Arial" w:hAnsi="Arial"/>
                <w:sz w:val="28"/>
                <w:szCs w:val="28"/>
                <w:color w:val="FFFFFF"/>
              </w:rPr>
              <w:t>in size</w:t>
            </w:r>
          </w:p>
        </w:tc>
        <w:tc>
          <w:tcPr>
            <w:tcW w:w="3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90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8"/>
          <w:szCs w:val="28"/>
          <w:color w:val="FFFFFF"/>
        </w:rPr>
        <w:t>Values convenience, selection and fit over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9"/>
          <w:szCs w:val="19"/>
          <w:color w:val="8CA1A5"/>
        </w:rPr>
        <w:t>6</w:t>
      </w:r>
    </w:p>
    <w:p>
      <w:pPr>
        <w:sectPr>
          <w:pgSz w:w="11900" w:h="16838" w:orient="portrait"/>
          <w:cols w:equalWidth="0" w:num="2">
            <w:col w:w="7740" w:space="720"/>
            <w:col w:w="1660"/>
          </w:cols>
          <w:pgMar w:left="960" w:top="824" w:right="819" w:bottom="1440" w:gutter="0" w:footer="0" w:header="0"/>
        </w:sectPr>
      </w:pPr>
    </w:p>
    <w:bookmarkStart w:id="9" w:name="page10"/>
    <w:bookmarkEnd w:id="9"/>
    <w:p>
      <w:pPr>
        <w:spacing w:after="0"/>
        <w:rPr>
          <w:sz w:val="20"/>
          <w:szCs w:val="20"/>
          <w:color w:val="auto"/>
        </w:rPr>
      </w:pPr>
      <w:r>
        <w:rPr>
          <w:rFonts w:ascii="Arial" w:cs="Arial" w:eastAsia="Arial" w:hAnsi="Arial"/>
          <w:sz w:val="42"/>
          <w:szCs w:val="42"/>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CURRENT CASUAL MALE XL STORES</w:t>
      </w:r>
    </w:p>
    <w:p>
      <w:pPr>
        <w:sectPr>
          <w:pgSz w:w="11900" w:h="16838" w:orient="portrait"/>
          <w:cols w:equalWidth="0" w:num="1">
            <w:col w:w="9499"/>
          </w:cols>
          <w:pgMar w:left="960" w:top="918" w:right="1440" w:bottom="1440" w:gutter="0" w:footer="0" w:header="0"/>
        </w:sectPr>
      </w:pPr>
    </w:p>
    <w:bookmarkStart w:id="10" w:name="page11"/>
    <w:bookmarkEnd w:id="10"/>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0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5480050"/>
                    </a:xfrm>
                    <a:prstGeom prst="rect">
                      <a:avLst/>
                    </a:prstGeom>
                    <a:noFill/>
                  </pic:spPr>
                </pic:pic>
              </a:graphicData>
            </a:graphic>
          </wp:anchor>
        </w:drawing>
        <w:t>WHAT OUR CUSTOMERS WANT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740"/>
        <w:spacing w:after="0"/>
        <w:rPr>
          <w:sz w:val="20"/>
          <w:szCs w:val="20"/>
          <w:color w:val="auto"/>
        </w:rPr>
      </w:pPr>
      <w:r>
        <w:rPr>
          <w:rFonts w:ascii="Arial" w:cs="Arial" w:eastAsia="Arial" w:hAnsi="Arial"/>
          <w:sz w:val="19"/>
          <w:szCs w:val="19"/>
          <w:color w:val="FFFFFF"/>
        </w:rPr>
        <w:t>Wide</w:t>
      </w:r>
    </w:p>
    <w:p>
      <w:pPr>
        <w:spacing w:after="0" w:line="5" w:lineRule="exact"/>
        <w:rPr>
          <w:sz w:val="20"/>
          <w:szCs w:val="20"/>
          <w:color w:val="auto"/>
        </w:rPr>
      </w:pPr>
    </w:p>
    <w:p>
      <w:pPr>
        <w:ind w:left="4720"/>
        <w:spacing w:after="0"/>
        <w:rPr>
          <w:sz w:val="20"/>
          <w:szCs w:val="20"/>
          <w:color w:val="auto"/>
        </w:rPr>
      </w:pPr>
      <w:r>
        <w:rPr>
          <w:rFonts w:ascii="Arial" w:cs="Arial" w:eastAsia="Arial" w:hAnsi="Arial"/>
          <w:sz w:val="19"/>
          <w:szCs w:val="19"/>
          <w:color w:val="FFFFFF"/>
        </w:rPr>
        <w:t>aisles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360"/>
        <w:spacing w:after="0"/>
        <w:rPr>
          <w:sz w:val="20"/>
          <w:szCs w:val="20"/>
          <w:color w:val="auto"/>
        </w:rPr>
      </w:pPr>
      <w:r>
        <w:rPr>
          <w:rFonts w:ascii="Arial" w:cs="Arial" w:eastAsia="Arial" w:hAnsi="Arial"/>
          <w:sz w:val="19"/>
          <w:szCs w:val="19"/>
          <w:color w:val="FFFFFF"/>
        </w:rPr>
        <w:t>Large</w:t>
      </w:r>
    </w:p>
    <w:p>
      <w:pPr>
        <w:jc w:val="right"/>
        <w:ind w:right="2140"/>
        <w:spacing w:after="0" w:line="212" w:lineRule="auto"/>
        <w:rPr>
          <w:sz w:val="20"/>
          <w:szCs w:val="20"/>
          <w:color w:val="auto"/>
        </w:rPr>
      </w:pPr>
      <w:r>
        <w:rPr>
          <w:rFonts w:ascii="Arial" w:cs="Arial" w:eastAsia="Arial" w:hAnsi="Arial"/>
          <w:sz w:val="19"/>
          <w:szCs w:val="19"/>
          <w:color w:val="FFFFFF"/>
        </w:rPr>
        <w:t>changing</w:t>
      </w:r>
    </w:p>
    <w:p>
      <w:pPr>
        <w:spacing w:after="0" w:line="1" w:lineRule="exact"/>
        <w:rPr>
          <w:sz w:val="20"/>
          <w:szCs w:val="20"/>
          <w:color w:val="auto"/>
        </w:rPr>
      </w:pPr>
    </w:p>
    <w:p>
      <w:pPr>
        <w:ind w:left="1780" w:right="2280" w:hanging="11"/>
        <w:spacing w:after="0"/>
        <w:rPr>
          <w:sz w:val="20"/>
          <w:szCs w:val="20"/>
          <w:color w:val="auto"/>
        </w:rPr>
      </w:pPr>
      <w:r>
        <w:rPr>
          <w:rFonts w:ascii="Arial" w:cs="Arial" w:eastAsia="Arial" w:hAnsi="Arial"/>
          <w:sz w:val="19"/>
          <w:szCs w:val="19"/>
          <w:color w:val="FFFFFF"/>
        </w:rPr>
        <w:t>One-stop</w:t>
      </w:r>
      <w:r>
        <w:rPr>
          <w:sz w:val="20"/>
          <w:szCs w:val="20"/>
          <w:color w:val="auto"/>
        </w:rPr>
        <w:t xml:space="preserve"> </w:t>
      </w:r>
      <w:r>
        <w:rPr>
          <w:rFonts w:ascii="Arial" w:cs="Arial" w:eastAsia="Arial" w:hAnsi="Arial"/>
          <w:sz w:val="19"/>
          <w:szCs w:val="19"/>
          <w:color w:val="FFFFFF"/>
        </w:rPr>
        <w:t>rooms shopping</w:t>
      </w: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FFFFFF"/>
        </w:rPr>
        <w:t>More</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FFFFFF"/>
        </w:rPr>
        <w:t>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40"/>
        <w:spacing w:after="0"/>
        <w:rPr>
          <w:sz w:val="20"/>
          <w:szCs w:val="20"/>
          <w:color w:val="auto"/>
        </w:rPr>
      </w:pPr>
      <w:r>
        <w:rPr>
          <w:rFonts w:ascii="Arial" w:cs="Arial" w:eastAsia="Arial" w:hAnsi="Arial"/>
          <w:sz w:val="19"/>
          <w:szCs w:val="19"/>
          <w:color w:val="FFFFFF"/>
        </w:rPr>
        <w:t>Bright</w:t>
      </w:r>
    </w:p>
    <w:p>
      <w:pPr>
        <w:ind w:left="2180"/>
        <w:spacing w:after="0" w:line="219" w:lineRule="auto"/>
        <w:tabs>
          <w:tab w:leader="none" w:pos="6940" w:val="left"/>
        </w:tabs>
        <w:rPr>
          <w:sz w:val="20"/>
          <w:szCs w:val="20"/>
          <w:color w:val="auto"/>
        </w:rPr>
      </w:pPr>
      <w:r>
        <w:rPr>
          <w:rFonts w:ascii="Arial" w:cs="Arial" w:eastAsia="Arial" w:hAnsi="Arial"/>
          <w:sz w:val="19"/>
          <w:szCs w:val="19"/>
          <w:color w:val="FFFFFF"/>
        </w:rPr>
        <w:t>Atmosphere</w:t>
      </w:r>
      <w:r>
        <w:rPr>
          <w:sz w:val="20"/>
          <w:szCs w:val="20"/>
          <w:color w:val="auto"/>
        </w:rPr>
        <w:tab/>
      </w:r>
      <w:r>
        <w:rPr>
          <w:rFonts w:ascii="Arial" w:cs="Arial" w:eastAsia="Arial" w:hAnsi="Arial"/>
          <w:sz w:val="19"/>
          <w:szCs w:val="19"/>
          <w:color w:val="FFFFFF"/>
        </w:rPr>
        <w:t>Onsite</w:t>
      </w:r>
    </w:p>
    <w:p>
      <w:pPr>
        <w:spacing w:after="0" w:line="1" w:lineRule="exact"/>
        <w:rPr>
          <w:sz w:val="20"/>
          <w:szCs w:val="20"/>
          <w:color w:val="auto"/>
        </w:rPr>
      </w:pPr>
    </w:p>
    <w:p>
      <w:pPr>
        <w:ind w:left="6900"/>
        <w:spacing w:after="0"/>
        <w:rPr>
          <w:sz w:val="20"/>
          <w:szCs w:val="20"/>
          <w:color w:val="auto"/>
        </w:rPr>
      </w:pPr>
      <w:r>
        <w:rPr>
          <w:rFonts w:ascii="Arial" w:cs="Arial" w:eastAsia="Arial" w:hAnsi="Arial"/>
          <w:sz w:val="19"/>
          <w:szCs w:val="19"/>
          <w:color w:val="FFFFFF"/>
        </w:rPr>
        <w:t>tailoring</w:t>
      </w:r>
    </w:p>
    <w:p>
      <w:pPr>
        <w:spacing w:after="0" w:line="157" w:lineRule="exact"/>
        <w:rPr>
          <w:sz w:val="20"/>
          <w:szCs w:val="20"/>
          <w:color w:val="auto"/>
        </w:rPr>
      </w:pPr>
    </w:p>
    <w:tbl>
      <w:tblPr>
        <w:tblLayout w:type="fixed"/>
        <w:tblInd w:w="4060" w:type="dxa"/>
        <w:tblCellMar>
          <w:top w:w="0" w:type="dxa"/>
          <w:left w:w="0" w:type="dxa"/>
          <w:bottom w:w="0" w:type="dxa"/>
          <w:right w:w="0" w:type="dxa"/>
        </w:tblCellMar>
      </w:tblPr>
      <w:tr>
        <w:trPr>
          <w:trHeight w:val="254"/>
        </w:trPr>
        <w:tc>
          <w:tcPr>
            <w:tcW w:w="388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8</w:t>
            </w:r>
          </w:p>
        </w:tc>
      </w:tr>
    </w:tbl>
    <w:p>
      <w:pPr>
        <w:sectPr>
          <w:pgSz w:w="11900" w:h="16838" w:orient="portrait"/>
          <w:cols w:equalWidth="0" w:num="1">
            <w:col w:w="10140"/>
          </w:cols>
          <w:pgMar w:left="860" w:top="1012" w:right="899" w:bottom="1440" w:gutter="0" w:footer="0" w:header="0"/>
        </w:sectPr>
      </w:pPr>
    </w:p>
    <w:bookmarkStart w:id="11" w:name="page12"/>
    <w:bookmarkEnd w:id="11"/>
    <w:p>
      <w:pPr>
        <w:ind w:left="460"/>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RESPONDING WITH DESTINATION XL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384"/>
        </w:trPr>
        <w:tc>
          <w:tcPr>
            <w:tcW w:w="5640" w:type="dxa"/>
            <w:vAlign w:val="bottom"/>
          </w:tcPr>
          <w:p>
            <w:pPr>
              <w:jc w:val="right"/>
              <w:ind w:right="3914"/>
              <w:spacing w:after="0"/>
              <w:rPr>
                <w:sz w:val="20"/>
                <w:szCs w:val="20"/>
                <w:color w:val="auto"/>
              </w:rPr>
            </w:pPr>
            <w:r>
              <w:rPr>
                <w:rFonts w:ascii="Arial" w:cs="Arial" w:eastAsia="Arial" w:hAnsi="Arial"/>
                <w:sz w:val="32"/>
                <w:szCs w:val="32"/>
                <w:b w:val="1"/>
                <w:bCs w:val="1"/>
                <w:color w:val="417C27"/>
              </w:rPr>
              <w:t>2010</w:t>
            </w:r>
          </w:p>
        </w:tc>
        <w:tc>
          <w:tcPr>
            <w:tcW w:w="5160" w:type="dxa"/>
            <w:vAlign w:val="bottom"/>
          </w:tcPr>
          <w:p>
            <w:pPr>
              <w:jc w:val="right"/>
              <w:ind w:right="3334"/>
              <w:spacing w:after="0"/>
              <w:rPr>
                <w:sz w:val="20"/>
                <w:szCs w:val="20"/>
                <w:color w:val="auto"/>
              </w:rPr>
            </w:pPr>
            <w:r>
              <w:rPr>
                <w:rFonts w:ascii="Arial" w:cs="Arial" w:eastAsia="Arial" w:hAnsi="Arial"/>
                <w:sz w:val="32"/>
                <w:szCs w:val="32"/>
                <w:b w:val="1"/>
                <w:bCs w:val="1"/>
                <w:color w:val="417C27"/>
              </w:rPr>
              <w:t>2012</w:t>
            </w:r>
          </w:p>
        </w:tc>
      </w:tr>
      <w:tr>
        <w:trPr>
          <w:trHeight w:val="290"/>
        </w:trPr>
        <w:tc>
          <w:tcPr>
            <w:tcW w:w="5640" w:type="dxa"/>
            <w:vAlign w:val="bottom"/>
          </w:tcPr>
          <w:p>
            <w:pPr>
              <w:jc w:val="center"/>
              <w:ind w:right="2994"/>
              <w:spacing w:after="0"/>
              <w:rPr>
                <w:sz w:val="20"/>
                <w:szCs w:val="20"/>
                <w:color w:val="auto"/>
              </w:rPr>
            </w:pPr>
            <w:r>
              <w:rPr>
                <w:rFonts w:ascii="Arial" w:cs="Arial" w:eastAsia="Arial" w:hAnsi="Arial"/>
                <w:sz w:val="19"/>
                <w:szCs w:val="19"/>
                <w:color w:val="354047"/>
                <w:w w:val="98"/>
              </w:rPr>
              <w:t>Opened 4 DXL concept stores</w:t>
            </w:r>
          </w:p>
        </w:tc>
        <w:tc>
          <w:tcPr>
            <w:tcW w:w="5160" w:type="dxa"/>
            <w:vAlign w:val="bottom"/>
          </w:tcPr>
          <w:p>
            <w:pPr>
              <w:jc w:val="center"/>
              <w:ind w:right="2374"/>
              <w:spacing w:after="0"/>
              <w:rPr>
                <w:sz w:val="20"/>
                <w:szCs w:val="20"/>
                <w:color w:val="auto"/>
              </w:rPr>
            </w:pPr>
            <w:r>
              <w:rPr>
                <w:rFonts w:ascii="Arial" w:cs="Arial" w:eastAsia="Arial" w:hAnsi="Arial"/>
                <w:sz w:val="19"/>
                <w:szCs w:val="19"/>
                <w:color w:val="354047"/>
                <w:w w:val="98"/>
              </w:rPr>
              <w:t>Opened 32 DXL stores</w:t>
            </w:r>
          </w:p>
        </w:tc>
      </w:tr>
      <w:tr>
        <w:trPr>
          <w:trHeight w:val="745"/>
        </w:trPr>
        <w:tc>
          <w:tcPr>
            <w:tcW w:w="5640" w:type="dxa"/>
            <w:vAlign w:val="bottom"/>
          </w:tcPr>
          <w:p>
            <w:pPr>
              <w:jc w:val="right"/>
              <w:ind w:right="874"/>
              <w:spacing w:after="0"/>
              <w:rPr>
                <w:sz w:val="20"/>
                <w:szCs w:val="20"/>
                <w:color w:val="auto"/>
              </w:rPr>
            </w:pPr>
            <w:r>
              <w:rPr>
                <w:rFonts w:ascii="Arial" w:cs="Arial" w:eastAsia="Arial" w:hAnsi="Arial"/>
                <w:sz w:val="32"/>
                <w:szCs w:val="32"/>
                <w:b w:val="1"/>
                <w:bCs w:val="1"/>
                <w:color w:val="417C27"/>
              </w:rPr>
              <w:t>2011</w:t>
            </w:r>
          </w:p>
        </w:tc>
        <w:tc>
          <w:tcPr>
            <w:tcW w:w="5160" w:type="dxa"/>
            <w:vAlign w:val="bottom"/>
          </w:tcPr>
          <w:p>
            <w:pPr>
              <w:jc w:val="right"/>
              <w:ind w:right="454"/>
              <w:spacing w:after="0"/>
              <w:rPr>
                <w:sz w:val="20"/>
                <w:szCs w:val="20"/>
                <w:color w:val="auto"/>
              </w:rPr>
            </w:pPr>
            <w:r>
              <w:rPr>
                <w:rFonts w:ascii="Arial" w:cs="Arial" w:eastAsia="Arial" w:hAnsi="Arial"/>
                <w:sz w:val="32"/>
                <w:szCs w:val="32"/>
                <w:b w:val="1"/>
                <w:bCs w:val="1"/>
                <w:color w:val="417C27"/>
              </w:rPr>
              <w:t>2013</w:t>
            </w:r>
          </w:p>
        </w:tc>
      </w:tr>
      <w:tr>
        <w:trPr>
          <w:trHeight w:val="290"/>
        </w:trPr>
        <w:tc>
          <w:tcPr>
            <w:tcW w:w="5640" w:type="dxa"/>
            <w:vAlign w:val="bottom"/>
          </w:tcPr>
          <w:p>
            <w:pPr>
              <w:jc w:val="center"/>
              <w:ind w:left="2874"/>
              <w:spacing w:after="0"/>
              <w:rPr>
                <w:sz w:val="20"/>
                <w:szCs w:val="20"/>
                <w:color w:val="auto"/>
              </w:rPr>
            </w:pPr>
            <w:r>
              <w:rPr>
                <w:rFonts w:ascii="Arial" w:cs="Arial" w:eastAsia="Arial" w:hAnsi="Arial"/>
                <w:sz w:val="19"/>
                <w:szCs w:val="19"/>
                <w:color w:val="354047"/>
                <w:w w:val="99"/>
              </w:rPr>
              <w:t>Opened 12 DXL stores</w:t>
            </w:r>
          </w:p>
        </w:tc>
        <w:tc>
          <w:tcPr>
            <w:tcW w:w="5160" w:type="dxa"/>
            <w:vAlign w:val="bottom"/>
          </w:tcPr>
          <w:p>
            <w:pPr>
              <w:jc w:val="right"/>
              <w:spacing w:after="0"/>
              <w:rPr>
                <w:sz w:val="20"/>
                <w:szCs w:val="20"/>
                <w:color w:val="auto"/>
              </w:rPr>
            </w:pPr>
            <w:r>
              <w:rPr>
                <w:rFonts w:ascii="Arial" w:cs="Arial" w:eastAsia="Arial" w:hAnsi="Arial"/>
                <w:sz w:val="19"/>
                <w:szCs w:val="19"/>
                <w:color w:val="354047"/>
              </w:rPr>
              <w:t>Expect to open 53 stores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40"/>
        <w:spacing w:after="0"/>
        <w:rPr>
          <w:sz w:val="20"/>
          <w:szCs w:val="20"/>
          <w:color w:val="auto"/>
        </w:rPr>
      </w:pPr>
      <w:r>
        <w:rPr>
          <w:rFonts w:ascii="Arial" w:cs="Arial" w:eastAsia="Arial" w:hAnsi="Arial"/>
          <w:sz w:val="32"/>
          <w:szCs w:val="32"/>
          <w:color w:val="5C6F7C"/>
        </w:rPr>
        <w:t>Opportunity for accelerated growth and profitability</w:t>
      </w:r>
    </w:p>
    <w:p>
      <w:pPr>
        <w:spacing w:after="0" w:line="365" w:lineRule="exact"/>
        <w:rPr>
          <w:sz w:val="20"/>
          <w:szCs w:val="20"/>
          <w:color w:val="auto"/>
        </w:rPr>
      </w:pPr>
    </w:p>
    <w:tbl>
      <w:tblPr>
        <w:tblLayout w:type="fixed"/>
        <w:tblInd w:w="4520" w:type="dxa"/>
        <w:tblCellMar>
          <w:top w:w="0" w:type="dxa"/>
          <w:left w:w="0" w:type="dxa"/>
          <w:bottom w:w="0" w:type="dxa"/>
          <w:right w:w="0" w:type="dxa"/>
        </w:tblCellMar>
      </w:tblPr>
      <w:tr>
        <w:trPr>
          <w:trHeight w:val="254"/>
        </w:trPr>
        <w:tc>
          <w:tcPr>
            <w:tcW w:w="384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140" w:type="dxa"/>
            <w:vAlign w:val="bottom"/>
          </w:tcPr>
          <w:p>
            <w:pPr>
              <w:jc w:val="right"/>
              <w:spacing w:after="0"/>
              <w:rPr>
                <w:sz w:val="20"/>
                <w:szCs w:val="20"/>
                <w:color w:val="auto"/>
              </w:rPr>
            </w:pPr>
            <w:r>
              <w:rPr>
                <w:rFonts w:ascii="Arial" w:cs="Arial" w:eastAsia="Arial" w:hAnsi="Arial"/>
                <w:sz w:val="19"/>
                <w:szCs w:val="19"/>
                <w:color w:val="8CA1A5"/>
              </w:rPr>
              <w:t>9</w:t>
            </w:r>
          </w:p>
        </w:tc>
      </w:tr>
    </w:tbl>
    <w:p>
      <w:pPr>
        <w:sectPr>
          <w:pgSz w:w="11900" w:h="16838" w:orient="portrait"/>
          <w:cols w:equalWidth="0" w:num="1">
            <w:col w:w="10800"/>
          </w:cols>
          <w:pgMar w:left="580" w:top="1012" w:right="5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480"/>
        <w:spacing w:after="0"/>
        <w:rPr>
          <w:sz w:val="20"/>
          <w:szCs w:val="20"/>
          <w:color w:val="auto"/>
        </w:rPr>
      </w:pPr>
      <w:r>
        <w:rPr>
          <w:rFonts w:ascii="Arial" w:cs="Arial" w:eastAsia="Arial" w:hAnsi="Arial"/>
          <w:sz w:val="18"/>
          <w:szCs w:val="18"/>
          <w:color w:val="FFFFFF"/>
        </w:rPr>
        <w:t>Schaumburg, IL</w:t>
      </w:r>
    </w:p>
    <w:p>
      <w:pPr>
        <w:sectPr>
          <w:pgSz w:w="11900" w:h="16838" w:orient="portrait"/>
          <w:cols w:equalWidth="0" w:num="1">
            <w:col w:w="9800"/>
          </w:cols>
          <w:pgMar w:left="1440" w:top="1440" w:right="6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720"/>
        <w:spacing w:after="0"/>
        <w:rPr>
          <w:sz w:val="20"/>
          <w:szCs w:val="20"/>
          <w:color w:val="auto"/>
        </w:rPr>
      </w:pPr>
      <w:r>
        <w:rPr>
          <w:rFonts w:ascii="Arial" w:cs="Arial" w:eastAsia="Arial" w:hAnsi="Arial"/>
          <w:sz w:val="18"/>
          <w:szCs w:val="18"/>
          <w:color w:val="FFFFFF"/>
        </w:rPr>
        <w:t>Traditional Section, POLO</w:t>
      </w:r>
    </w:p>
    <w:p>
      <w:pPr>
        <w:sectPr>
          <w:pgSz w:w="11900" w:h="16838" w:orient="portrait"/>
          <w:cols w:equalWidth="0" w:num="1">
            <w:col w:w="9900"/>
          </w:cols>
          <w:pgMar w:left="1440" w:top="1440" w:right="5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820"/>
        <w:spacing w:after="0"/>
        <w:rPr>
          <w:sz w:val="20"/>
          <w:szCs w:val="20"/>
          <w:color w:val="auto"/>
        </w:rPr>
      </w:pPr>
      <w:r>
        <w:rPr>
          <w:rFonts w:ascii="Arial" w:cs="Arial" w:eastAsia="Arial" w:hAnsi="Arial"/>
          <w:sz w:val="18"/>
          <w:szCs w:val="18"/>
          <w:color w:val="FFFFFF"/>
        </w:rPr>
        <w:t>Studio Section, Runway</w:t>
      </w:r>
    </w:p>
    <w:p>
      <w:pPr>
        <w:sectPr>
          <w:pgSz w:w="11900" w:h="16838" w:orient="portrait"/>
          <w:cols w:equalWidth="0" w:num="1">
            <w:col w:w="9800"/>
          </w:cols>
          <w:pgMar w:left="1440" w:top="1440" w:right="6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100"/>
        <w:spacing w:after="0"/>
        <w:rPr>
          <w:sz w:val="20"/>
          <w:szCs w:val="20"/>
          <w:color w:val="auto"/>
        </w:rPr>
      </w:pPr>
      <w:r>
        <w:rPr>
          <w:rFonts w:ascii="Arial" w:cs="Arial" w:eastAsia="Arial" w:hAnsi="Arial"/>
          <w:sz w:val="18"/>
          <w:szCs w:val="18"/>
          <w:color w:val="FFFFFF"/>
        </w:rPr>
        <w:t>Club Department</w:t>
      </w:r>
    </w:p>
    <w:p>
      <w:pPr>
        <w:sectPr>
          <w:pgSz w:w="11900" w:h="16838" w:orient="portrait"/>
          <w:cols w:equalWidth="0" w:num="1">
            <w:col w:w="9520"/>
          </w:cols>
          <w:pgMar w:left="1440" w:top="1440" w:right="9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20"/>
        <w:spacing w:after="0"/>
        <w:rPr>
          <w:sz w:val="20"/>
          <w:szCs w:val="20"/>
          <w:color w:val="auto"/>
        </w:rPr>
      </w:pPr>
      <w:r>
        <w:rPr>
          <w:rFonts w:ascii="Arial" w:cs="Arial" w:eastAsia="Arial" w:hAnsi="Arial"/>
          <w:sz w:val="18"/>
          <w:szCs w:val="18"/>
          <w:color w:val="FFFFFF"/>
        </w:rPr>
        <w:t>Studio Department</w:t>
      </w:r>
    </w:p>
    <w:p>
      <w:pPr>
        <w:sectPr>
          <w:pgSz w:w="11900" w:h="16838" w:orient="portrait"/>
          <w:cols w:equalWidth="0" w:num="1">
            <w:col w:w="9600"/>
          </w:cols>
          <w:pgMar w:left="1440" w:top="1440" w:right="859" w:bottom="1440" w:gutter="0" w:footer="0" w:header="0"/>
        </w:sectPr>
      </w:pPr>
    </w:p>
    <w:bookmarkStart w:id="17" w:name="page18"/>
    <w:bookmarkEnd w:id="17"/>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0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5480050"/>
                    </a:xfrm>
                    <a:prstGeom prst="rect">
                      <a:avLst/>
                    </a:prstGeom>
                    <a:noFill/>
                  </pic:spPr>
                </pic:pic>
              </a:graphicData>
            </a:graphic>
          </wp:anchor>
        </w:drawing>
        <w:t>LARGE SELECTION OF NAME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4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15</w:t>
            </w:r>
          </w:p>
        </w:tc>
      </w:tr>
    </w:tbl>
    <w:p>
      <w:pPr>
        <w:sectPr>
          <w:pgSz w:w="11900" w:h="16838" w:orient="portrait"/>
          <w:cols w:equalWidth="0" w:num="1">
            <w:col w:w="10040"/>
          </w:cols>
          <w:pgMar w:left="960" w:top="1012" w:right="899" w:bottom="1440" w:gutter="0" w:footer="0" w:header="0"/>
        </w:sectPr>
      </w:pPr>
    </w:p>
    <w:bookmarkStart w:id="18" w:name="page19"/>
    <w:bookmarkEnd w:id="18"/>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CASUAL MALE XL vs. DESTINATION XL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040" w:type="dxa"/>
        <w:tblCellMar>
          <w:top w:w="0" w:type="dxa"/>
          <w:left w:w="0" w:type="dxa"/>
          <w:bottom w:w="0" w:type="dxa"/>
          <w:right w:w="0" w:type="dxa"/>
        </w:tblCellMar>
      </w:tblPr>
      <w:tr>
        <w:trPr>
          <w:trHeight w:val="314"/>
        </w:trPr>
        <w:tc>
          <w:tcPr>
            <w:tcW w:w="2740" w:type="dxa"/>
            <w:vAlign w:val="bottom"/>
          </w:tcPr>
          <w:p>
            <w:pPr>
              <w:jc w:val="center"/>
              <w:ind w:right="208"/>
              <w:spacing w:after="0"/>
              <w:rPr>
                <w:sz w:val="20"/>
                <w:szCs w:val="20"/>
                <w:color w:val="auto"/>
              </w:rPr>
            </w:pPr>
            <w:r>
              <w:rPr>
                <w:rFonts w:ascii="Arial" w:cs="Arial" w:eastAsia="Arial" w:hAnsi="Arial"/>
                <w:sz w:val="22"/>
                <w:szCs w:val="22"/>
                <w:b w:val="1"/>
                <w:bCs w:val="1"/>
                <w:color w:val="354047"/>
              </w:rPr>
              <w:t>Store size</w:t>
            </w:r>
          </w:p>
        </w:tc>
        <w:tc>
          <w:tcPr>
            <w:tcW w:w="2840" w:type="dxa"/>
            <w:vAlign w:val="bottom"/>
          </w:tcPr>
          <w:p>
            <w:pPr>
              <w:ind w:left="1080"/>
              <w:spacing w:after="0"/>
              <w:rPr>
                <w:sz w:val="20"/>
                <w:szCs w:val="20"/>
                <w:color w:val="auto"/>
              </w:rPr>
            </w:pPr>
            <w:r>
              <w:rPr>
                <w:rFonts w:ascii="Arial" w:cs="Arial" w:eastAsia="Arial" w:hAnsi="Arial"/>
                <w:sz w:val="22"/>
                <w:szCs w:val="22"/>
                <w:color w:val="354047"/>
              </w:rPr>
              <w:t>3,600 sq. ft.</w:t>
            </w:r>
          </w:p>
        </w:tc>
        <w:tc>
          <w:tcPr>
            <w:tcW w:w="3480" w:type="dxa"/>
            <w:vAlign w:val="bottom"/>
          </w:tcPr>
          <w:p>
            <w:pPr>
              <w:jc w:val="center"/>
              <w:spacing w:after="0"/>
              <w:rPr>
                <w:sz w:val="20"/>
                <w:szCs w:val="20"/>
                <w:color w:val="auto"/>
              </w:rPr>
            </w:pPr>
            <w:r>
              <w:rPr>
                <w:rFonts w:ascii="Arial" w:cs="Arial" w:eastAsia="Arial" w:hAnsi="Arial"/>
                <w:sz w:val="22"/>
                <w:szCs w:val="22"/>
                <w:color w:val="354047"/>
              </w:rPr>
              <w:t>8,400 sq. ft.</w:t>
            </w:r>
          </w:p>
        </w:tc>
      </w:tr>
      <w:tr>
        <w:trPr>
          <w:trHeight w:val="564"/>
        </w:trPr>
        <w:tc>
          <w:tcPr>
            <w:tcW w:w="2740" w:type="dxa"/>
            <w:vAlign w:val="bottom"/>
          </w:tcPr>
          <w:p>
            <w:pPr>
              <w:jc w:val="center"/>
              <w:ind w:right="188"/>
              <w:spacing w:after="0"/>
              <w:rPr>
                <w:sz w:val="20"/>
                <w:szCs w:val="20"/>
                <w:color w:val="auto"/>
              </w:rPr>
            </w:pPr>
            <w:r>
              <w:rPr>
                <w:rFonts w:ascii="Arial" w:cs="Arial" w:eastAsia="Arial" w:hAnsi="Arial"/>
                <w:sz w:val="22"/>
                <w:szCs w:val="22"/>
                <w:b w:val="1"/>
                <w:bCs w:val="1"/>
                <w:color w:val="354047"/>
              </w:rPr>
              <w:t>Sales per sq. ft.</w:t>
            </w:r>
          </w:p>
        </w:tc>
        <w:tc>
          <w:tcPr>
            <w:tcW w:w="2840" w:type="dxa"/>
            <w:vAlign w:val="bottom"/>
          </w:tcPr>
          <w:p>
            <w:pPr>
              <w:jc w:val="center"/>
              <w:ind w:left="392"/>
              <w:spacing w:after="0"/>
              <w:rPr>
                <w:sz w:val="20"/>
                <w:szCs w:val="20"/>
                <w:color w:val="auto"/>
              </w:rPr>
            </w:pPr>
            <w:r>
              <w:rPr>
                <w:rFonts w:ascii="Arial" w:cs="Arial" w:eastAsia="Arial" w:hAnsi="Arial"/>
                <w:sz w:val="22"/>
                <w:szCs w:val="22"/>
                <w:color w:val="354047"/>
              </w:rPr>
              <w:t>$172</w:t>
            </w:r>
          </w:p>
        </w:tc>
        <w:tc>
          <w:tcPr>
            <w:tcW w:w="3480" w:type="dxa"/>
            <w:vAlign w:val="bottom"/>
          </w:tcPr>
          <w:p>
            <w:pPr>
              <w:jc w:val="center"/>
              <w:spacing w:after="0"/>
              <w:rPr>
                <w:sz w:val="20"/>
                <w:szCs w:val="20"/>
                <w:color w:val="auto"/>
              </w:rPr>
            </w:pPr>
            <w:r>
              <w:rPr>
                <w:rFonts w:ascii="Arial" w:cs="Arial" w:eastAsia="Arial" w:hAnsi="Arial"/>
                <w:sz w:val="22"/>
                <w:szCs w:val="22"/>
                <w:color w:val="354047"/>
              </w:rPr>
              <w:t>$147 (maturing to $230)</w:t>
            </w:r>
          </w:p>
        </w:tc>
      </w:tr>
      <w:tr>
        <w:trPr>
          <w:trHeight w:val="564"/>
        </w:trPr>
        <w:tc>
          <w:tcPr>
            <w:tcW w:w="2740" w:type="dxa"/>
            <w:vAlign w:val="bottom"/>
          </w:tcPr>
          <w:p>
            <w:pPr>
              <w:jc w:val="center"/>
              <w:ind w:right="188"/>
              <w:spacing w:after="0"/>
              <w:rPr>
                <w:sz w:val="20"/>
                <w:szCs w:val="20"/>
                <w:color w:val="auto"/>
              </w:rPr>
            </w:pPr>
            <w:r>
              <w:rPr>
                <w:rFonts w:ascii="Arial" w:cs="Arial" w:eastAsia="Arial" w:hAnsi="Arial"/>
                <w:sz w:val="22"/>
                <w:szCs w:val="22"/>
                <w:b w:val="1"/>
                <w:bCs w:val="1"/>
                <w:color w:val="354047"/>
              </w:rPr>
              <w:t>Build out costs</w:t>
            </w:r>
          </w:p>
        </w:tc>
        <w:tc>
          <w:tcPr>
            <w:tcW w:w="2840" w:type="dxa"/>
            <w:vAlign w:val="bottom"/>
          </w:tcPr>
          <w:p>
            <w:pPr>
              <w:jc w:val="center"/>
              <w:ind w:left="372"/>
              <w:spacing w:after="0"/>
              <w:rPr>
                <w:sz w:val="20"/>
                <w:szCs w:val="20"/>
                <w:color w:val="auto"/>
              </w:rPr>
            </w:pPr>
            <w:r>
              <w:rPr>
                <w:rFonts w:ascii="Arial" w:cs="Arial" w:eastAsia="Arial" w:hAnsi="Arial"/>
                <w:sz w:val="22"/>
                <w:szCs w:val="22"/>
                <w:color w:val="354047"/>
                <w:w w:val="97"/>
              </w:rPr>
              <w:t>$50</w:t>
            </w:r>
          </w:p>
        </w:tc>
        <w:tc>
          <w:tcPr>
            <w:tcW w:w="3480" w:type="dxa"/>
            <w:vAlign w:val="bottom"/>
          </w:tcPr>
          <w:p>
            <w:pPr>
              <w:jc w:val="center"/>
              <w:spacing w:after="0"/>
              <w:rPr>
                <w:sz w:val="20"/>
                <w:szCs w:val="20"/>
                <w:color w:val="auto"/>
              </w:rPr>
            </w:pPr>
            <w:r>
              <w:rPr>
                <w:rFonts w:ascii="Arial" w:cs="Arial" w:eastAsia="Arial" w:hAnsi="Arial"/>
                <w:sz w:val="22"/>
                <w:szCs w:val="22"/>
                <w:color w:val="354047"/>
              </w:rPr>
              <w:t>$70</w:t>
            </w:r>
          </w:p>
        </w:tc>
      </w:tr>
      <w:tr>
        <w:trPr>
          <w:trHeight w:val="576"/>
        </w:trPr>
        <w:tc>
          <w:tcPr>
            <w:tcW w:w="2740" w:type="dxa"/>
            <w:vAlign w:val="bottom"/>
          </w:tcPr>
          <w:p>
            <w:pPr>
              <w:jc w:val="center"/>
              <w:ind w:right="188"/>
              <w:spacing w:after="0"/>
              <w:rPr>
                <w:sz w:val="20"/>
                <w:szCs w:val="20"/>
                <w:color w:val="auto"/>
              </w:rPr>
            </w:pPr>
            <w:r>
              <w:rPr>
                <w:rFonts w:ascii="Arial" w:cs="Arial" w:eastAsia="Arial" w:hAnsi="Arial"/>
                <w:sz w:val="22"/>
                <w:szCs w:val="22"/>
                <w:b w:val="1"/>
                <w:bCs w:val="1"/>
                <w:color w:val="354047"/>
              </w:rPr>
              <w:t>Occupancy costs</w:t>
            </w:r>
          </w:p>
        </w:tc>
        <w:tc>
          <w:tcPr>
            <w:tcW w:w="2840" w:type="dxa"/>
            <w:vAlign w:val="bottom"/>
          </w:tcPr>
          <w:p>
            <w:pPr>
              <w:jc w:val="center"/>
              <w:ind w:left="372"/>
              <w:spacing w:after="0"/>
              <w:rPr>
                <w:sz w:val="20"/>
                <w:szCs w:val="20"/>
                <w:color w:val="auto"/>
              </w:rPr>
            </w:pPr>
            <w:r>
              <w:rPr>
                <w:rFonts w:ascii="Arial" w:cs="Arial" w:eastAsia="Arial" w:hAnsi="Arial"/>
                <w:sz w:val="22"/>
                <w:szCs w:val="22"/>
                <w:color w:val="354047"/>
                <w:w w:val="97"/>
              </w:rPr>
              <w:t>$30</w:t>
            </w:r>
          </w:p>
        </w:tc>
        <w:tc>
          <w:tcPr>
            <w:tcW w:w="3480" w:type="dxa"/>
            <w:vAlign w:val="bottom"/>
          </w:tcPr>
          <w:p>
            <w:pPr>
              <w:jc w:val="center"/>
              <w:spacing w:after="0"/>
              <w:rPr>
                <w:sz w:val="20"/>
                <w:szCs w:val="20"/>
                <w:color w:val="auto"/>
              </w:rPr>
            </w:pPr>
            <w:r>
              <w:rPr>
                <w:rFonts w:ascii="Arial" w:cs="Arial" w:eastAsia="Arial" w:hAnsi="Arial"/>
                <w:sz w:val="22"/>
                <w:szCs w:val="22"/>
                <w:color w:val="354047"/>
              </w:rPr>
              <w:t>$30</w:t>
            </w:r>
          </w:p>
        </w:tc>
      </w:tr>
      <w:tr>
        <w:trPr>
          <w:trHeight w:val="564"/>
        </w:trPr>
        <w:tc>
          <w:tcPr>
            <w:tcW w:w="2740" w:type="dxa"/>
            <w:vAlign w:val="bottom"/>
          </w:tcPr>
          <w:p>
            <w:pPr>
              <w:jc w:val="center"/>
              <w:ind w:right="188"/>
              <w:spacing w:after="0"/>
              <w:rPr>
                <w:sz w:val="20"/>
                <w:szCs w:val="20"/>
                <w:color w:val="auto"/>
              </w:rPr>
            </w:pPr>
            <w:r>
              <w:rPr>
                <w:rFonts w:ascii="Arial" w:cs="Arial" w:eastAsia="Arial" w:hAnsi="Arial"/>
                <w:sz w:val="22"/>
                <w:szCs w:val="22"/>
                <w:b w:val="1"/>
                <w:bCs w:val="1"/>
                <w:color w:val="354047"/>
              </w:rPr>
              <w:t>Dollars per transaction</w:t>
            </w:r>
          </w:p>
        </w:tc>
        <w:tc>
          <w:tcPr>
            <w:tcW w:w="2840" w:type="dxa"/>
            <w:vAlign w:val="bottom"/>
          </w:tcPr>
          <w:p>
            <w:pPr>
              <w:jc w:val="center"/>
              <w:ind w:left="392"/>
              <w:spacing w:after="0"/>
              <w:rPr>
                <w:sz w:val="20"/>
                <w:szCs w:val="20"/>
                <w:color w:val="auto"/>
              </w:rPr>
            </w:pPr>
            <w:r>
              <w:rPr>
                <w:rFonts w:ascii="Arial" w:cs="Arial" w:eastAsia="Arial" w:hAnsi="Arial"/>
                <w:sz w:val="22"/>
                <w:szCs w:val="22"/>
                <w:color w:val="354047"/>
              </w:rPr>
              <w:t>$102</w:t>
            </w:r>
          </w:p>
        </w:tc>
        <w:tc>
          <w:tcPr>
            <w:tcW w:w="3480" w:type="dxa"/>
            <w:vAlign w:val="bottom"/>
          </w:tcPr>
          <w:p>
            <w:pPr>
              <w:jc w:val="center"/>
              <w:spacing w:after="0"/>
              <w:rPr>
                <w:sz w:val="20"/>
                <w:szCs w:val="20"/>
                <w:color w:val="auto"/>
              </w:rPr>
            </w:pPr>
            <w:r>
              <w:rPr>
                <w:rFonts w:ascii="Arial" w:cs="Arial" w:eastAsia="Arial" w:hAnsi="Arial"/>
                <w:sz w:val="22"/>
                <w:szCs w:val="22"/>
                <w:color w:val="354047"/>
              </w:rPr>
              <w:t>$150</w:t>
            </w:r>
          </w:p>
        </w:tc>
      </w:tr>
      <w:tr>
        <w:trPr>
          <w:trHeight w:val="564"/>
        </w:trPr>
        <w:tc>
          <w:tcPr>
            <w:tcW w:w="2740" w:type="dxa"/>
            <w:vAlign w:val="bottom"/>
          </w:tcPr>
          <w:p>
            <w:pPr>
              <w:jc w:val="center"/>
              <w:ind w:right="208"/>
              <w:spacing w:after="0"/>
              <w:rPr>
                <w:sz w:val="20"/>
                <w:szCs w:val="20"/>
                <w:color w:val="auto"/>
              </w:rPr>
            </w:pPr>
            <w:r>
              <w:rPr>
                <w:rFonts w:ascii="Arial" w:cs="Arial" w:eastAsia="Arial" w:hAnsi="Arial"/>
                <w:sz w:val="22"/>
                <w:szCs w:val="22"/>
                <w:b w:val="1"/>
                <w:bCs w:val="1"/>
                <w:color w:val="354047"/>
              </w:rPr>
              <w:t>Style choices</w:t>
            </w:r>
          </w:p>
        </w:tc>
        <w:tc>
          <w:tcPr>
            <w:tcW w:w="2840" w:type="dxa"/>
            <w:vAlign w:val="bottom"/>
          </w:tcPr>
          <w:p>
            <w:pPr>
              <w:jc w:val="center"/>
              <w:ind w:left="372"/>
              <w:spacing w:after="0"/>
              <w:rPr>
                <w:sz w:val="20"/>
                <w:szCs w:val="20"/>
                <w:color w:val="auto"/>
              </w:rPr>
            </w:pPr>
            <w:r>
              <w:rPr>
                <w:rFonts w:ascii="Arial" w:cs="Arial" w:eastAsia="Arial" w:hAnsi="Arial"/>
                <w:sz w:val="22"/>
                <w:szCs w:val="22"/>
                <w:color w:val="354047"/>
                <w:w w:val="97"/>
              </w:rPr>
              <w:t>600</w:t>
            </w:r>
          </w:p>
        </w:tc>
        <w:tc>
          <w:tcPr>
            <w:tcW w:w="3480" w:type="dxa"/>
            <w:vAlign w:val="bottom"/>
          </w:tcPr>
          <w:p>
            <w:pPr>
              <w:jc w:val="center"/>
              <w:spacing w:after="0"/>
              <w:rPr>
                <w:sz w:val="20"/>
                <w:szCs w:val="20"/>
                <w:color w:val="auto"/>
              </w:rPr>
            </w:pPr>
            <w:r>
              <w:rPr>
                <w:rFonts w:ascii="Arial" w:cs="Arial" w:eastAsia="Arial" w:hAnsi="Arial"/>
                <w:sz w:val="22"/>
                <w:szCs w:val="22"/>
                <w:color w:val="354047"/>
              </w:rPr>
              <w:t>2,000</w:t>
            </w:r>
          </w:p>
        </w:tc>
      </w:tr>
      <w:tr>
        <w:trPr>
          <w:trHeight w:val="576"/>
        </w:trPr>
        <w:tc>
          <w:tcPr>
            <w:tcW w:w="2740" w:type="dxa"/>
            <w:vAlign w:val="bottom"/>
          </w:tcPr>
          <w:p>
            <w:pPr>
              <w:jc w:val="center"/>
              <w:ind w:right="188"/>
              <w:spacing w:after="0"/>
              <w:rPr>
                <w:sz w:val="20"/>
                <w:szCs w:val="20"/>
                <w:color w:val="auto"/>
              </w:rPr>
            </w:pPr>
            <w:r>
              <w:rPr>
                <w:rFonts w:ascii="Arial" w:cs="Arial" w:eastAsia="Arial" w:hAnsi="Arial"/>
                <w:sz w:val="22"/>
                <w:szCs w:val="22"/>
                <w:b w:val="1"/>
                <w:bCs w:val="1"/>
                <w:color w:val="354047"/>
              </w:rPr>
              <w:t>Private label brands</w:t>
            </w:r>
          </w:p>
        </w:tc>
        <w:tc>
          <w:tcPr>
            <w:tcW w:w="2840" w:type="dxa"/>
            <w:vAlign w:val="bottom"/>
          </w:tcPr>
          <w:p>
            <w:pPr>
              <w:jc w:val="center"/>
              <w:ind w:left="372"/>
              <w:spacing w:after="0"/>
              <w:rPr>
                <w:sz w:val="20"/>
                <w:szCs w:val="20"/>
                <w:color w:val="auto"/>
              </w:rPr>
            </w:pPr>
            <w:r>
              <w:rPr>
                <w:rFonts w:ascii="Arial" w:cs="Arial" w:eastAsia="Arial" w:hAnsi="Arial"/>
                <w:sz w:val="22"/>
                <w:szCs w:val="22"/>
                <w:color w:val="354047"/>
                <w:w w:val="97"/>
              </w:rPr>
              <w:t>10</w:t>
            </w:r>
          </w:p>
        </w:tc>
        <w:tc>
          <w:tcPr>
            <w:tcW w:w="3480" w:type="dxa"/>
            <w:vAlign w:val="bottom"/>
          </w:tcPr>
          <w:p>
            <w:pPr>
              <w:jc w:val="center"/>
              <w:spacing w:after="0"/>
              <w:rPr>
                <w:sz w:val="20"/>
                <w:szCs w:val="20"/>
                <w:color w:val="auto"/>
              </w:rPr>
            </w:pPr>
            <w:r>
              <w:rPr>
                <w:rFonts w:ascii="Arial" w:cs="Arial" w:eastAsia="Arial" w:hAnsi="Arial"/>
                <w:sz w:val="22"/>
                <w:szCs w:val="22"/>
                <w:color w:val="354047"/>
              </w:rPr>
              <w:t>15</w:t>
            </w:r>
          </w:p>
        </w:tc>
      </w:tr>
      <w:tr>
        <w:trPr>
          <w:trHeight w:val="564"/>
        </w:trPr>
        <w:tc>
          <w:tcPr>
            <w:tcW w:w="2740" w:type="dxa"/>
            <w:vAlign w:val="bottom"/>
          </w:tcPr>
          <w:p>
            <w:pPr>
              <w:jc w:val="center"/>
              <w:ind w:right="208"/>
              <w:spacing w:after="0"/>
              <w:rPr>
                <w:sz w:val="20"/>
                <w:szCs w:val="20"/>
                <w:color w:val="auto"/>
              </w:rPr>
            </w:pPr>
            <w:r>
              <w:rPr>
                <w:rFonts w:ascii="Arial" w:cs="Arial" w:eastAsia="Arial" w:hAnsi="Arial"/>
                <w:sz w:val="22"/>
                <w:szCs w:val="22"/>
                <w:b w:val="1"/>
                <w:bCs w:val="1"/>
                <w:color w:val="354047"/>
              </w:rPr>
              <w:t>Name brands</w:t>
            </w:r>
          </w:p>
        </w:tc>
        <w:tc>
          <w:tcPr>
            <w:tcW w:w="2840" w:type="dxa"/>
            <w:vAlign w:val="bottom"/>
          </w:tcPr>
          <w:p>
            <w:pPr>
              <w:jc w:val="center"/>
              <w:ind w:left="372"/>
              <w:spacing w:after="0"/>
              <w:rPr>
                <w:sz w:val="20"/>
                <w:szCs w:val="20"/>
                <w:color w:val="auto"/>
              </w:rPr>
            </w:pPr>
            <w:r>
              <w:rPr>
                <w:rFonts w:ascii="Arial" w:cs="Arial" w:eastAsia="Arial" w:hAnsi="Arial"/>
                <w:sz w:val="22"/>
                <w:szCs w:val="22"/>
                <w:color w:val="354047"/>
                <w:w w:val="97"/>
              </w:rPr>
              <w:t>8</w:t>
            </w:r>
          </w:p>
        </w:tc>
        <w:tc>
          <w:tcPr>
            <w:tcW w:w="3480" w:type="dxa"/>
            <w:vAlign w:val="bottom"/>
          </w:tcPr>
          <w:p>
            <w:pPr>
              <w:jc w:val="center"/>
              <w:spacing w:after="0"/>
              <w:rPr>
                <w:sz w:val="20"/>
                <w:szCs w:val="20"/>
                <w:color w:val="auto"/>
              </w:rPr>
            </w:pPr>
            <w:r>
              <w:rPr>
                <w:rFonts w:ascii="Arial" w:cs="Arial" w:eastAsia="Arial" w:hAnsi="Arial"/>
                <w:sz w:val="22"/>
                <w:szCs w:val="22"/>
                <w:color w:val="354047"/>
              </w:rPr>
              <w:t>30</w:t>
            </w:r>
          </w:p>
        </w:tc>
      </w:tr>
      <w:tr>
        <w:trPr>
          <w:trHeight w:val="589"/>
        </w:trPr>
        <w:tc>
          <w:tcPr>
            <w:tcW w:w="27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9"/>
                <w:szCs w:val="19"/>
                <w:color w:val="23282B"/>
              </w:rPr>
              <w:t>*Average store</w:t>
            </w:r>
          </w:p>
        </w:tc>
      </w:tr>
      <w:tr>
        <w:trPr>
          <w:trHeight w:val="541"/>
        </w:trPr>
        <w:tc>
          <w:tcPr>
            <w:tcW w:w="2740" w:type="dxa"/>
            <w:vAlign w:val="bottom"/>
          </w:tcPr>
          <w:p>
            <w:pPr>
              <w:spacing w:after="0"/>
              <w:rPr>
                <w:sz w:val="24"/>
                <w:szCs w:val="24"/>
                <w:color w:val="auto"/>
              </w:rPr>
            </w:pPr>
          </w:p>
        </w:tc>
        <w:tc>
          <w:tcPr>
            <w:tcW w:w="2840" w:type="dxa"/>
            <w:vAlign w:val="bottom"/>
          </w:tcPr>
          <w:p>
            <w:pPr>
              <w:ind w:left="280"/>
              <w:spacing w:after="0"/>
              <w:rPr>
                <w:sz w:val="20"/>
                <w:szCs w:val="20"/>
                <w:color w:val="auto"/>
              </w:rPr>
            </w:pPr>
            <w:r>
              <w:rPr>
                <w:rFonts w:ascii="Arial" w:cs="Arial" w:eastAsia="Arial" w:hAnsi="Arial"/>
                <w:sz w:val="15"/>
                <w:szCs w:val="15"/>
                <w:color w:val="4D5D67"/>
              </w:rPr>
              <w:t>Destination XL Group, Inc.</w:t>
            </w:r>
          </w:p>
        </w:tc>
        <w:tc>
          <w:tcPr>
            <w:tcW w:w="3480" w:type="dxa"/>
            <w:vAlign w:val="bottom"/>
          </w:tcPr>
          <w:p>
            <w:pPr>
              <w:jc w:val="right"/>
              <w:spacing w:after="0"/>
              <w:rPr>
                <w:sz w:val="20"/>
                <w:szCs w:val="20"/>
                <w:color w:val="auto"/>
              </w:rPr>
            </w:pPr>
            <w:r>
              <w:rPr>
                <w:rFonts w:ascii="Arial" w:cs="Arial" w:eastAsia="Arial" w:hAnsi="Arial"/>
                <w:sz w:val="19"/>
                <w:szCs w:val="19"/>
                <w:color w:val="8CA1A5"/>
              </w:rPr>
              <w:t>16</w:t>
            </w:r>
          </w:p>
        </w:tc>
      </w:tr>
    </w:tbl>
    <w:p>
      <w:pPr>
        <w:sectPr>
          <w:pgSz w:w="11900" w:h="16838" w:orient="portrait"/>
          <w:cols w:equalWidth="0" w:num="1">
            <w:col w:w="10100"/>
          </w:cols>
          <w:pgMar w:left="860" w:top="1059" w:right="939" w:bottom="1440" w:gutter="0" w:footer="0" w:header="0"/>
        </w:sectPr>
      </w:pPr>
    </w:p>
    <w:bookmarkStart w:id="19" w:name="page20"/>
    <w:bookmarkEnd w:id="19"/>
    <w:p>
      <w:pPr>
        <w:spacing w:after="0"/>
        <w:rPr>
          <w:sz w:val="20"/>
          <w:szCs w:val="20"/>
          <w:color w:val="auto"/>
        </w:rPr>
      </w:pPr>
      <w:r>
        <w:rPr>
          <w:rFonts w:ascii="Arial" w:cs="Arial" w:eastAsia="Arial" w:hAnsi="Arial"/>
          <w:sz w:val="42"/>
          <w:szCs w:val="42"/>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0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5480050"/>
                    </a:xfrm>
                    <a:prstGeom prst="rect">
                      <a:avLst/>
                    </a:prstGeom>
                    <a:noFill/>
                  </pic:spPr>
                </pic:pic>
              </a:graphicData>
            </a:graphic>
          </wp:anchor>
        </w:drawing>
        <w:t>MARKET CONSOLIDATION TO DXL</w:t>
      </w:r>
    </w:p>
    <w:p>
      <w:pPr>
        <w:sectPr>
          <w:pgSz w:w="11900" w:h="16838" w:orient="portrait"/>
          <w:cols w:equalWidth="0" w:num="1">
            <w:col w:w="10060"/>
          </w:cols>
          <w:pgMar w:left="860" w:top="1012"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00"/>
        <w:spacing w:after="0"/>
        <w:tabs>
          <w:tab w:leader="none" w:pos="4180" w:val="left"/>
        </w:tabs>
        <w:rPr>
          <w:sz w:val="20"/>
          <w:szCs w:val="20"/>
          <w:color w:val="auto"/>
        </w:rPr>
      </w:pPr>
      <w:r>
        <w:rPr>
          <w:rFonts w:ascii="Arial" w:cs="Arial" w:eastAsia="Arial" w:hAnsi="Arial"/>
          <w:sz w:val="14"/>
          <w:szCs w:val="14"/>
          <w:b w:val="1"/>
          <w:bCs w:val="1"/>
          <w:color w:val="FFFFFF"/>
        </w:rPr>
        <w:t>9451 Schaumburg, IL</w:t>
      </w:r>
      <w:r>
        <w:rPr>
          <w:sz w:val="20"/>
          <w:szCs w:val="20"/>
          <w:color w:val="auto"/>
        </w:rPr>
        <w:tab/>
      </w:r>
      <w:r>
        <w:rPr>
          <w:rFonts w:ascii="Arial" w:cs="Arial" w:eastAsia="Arial" w:hAnsi="Arial"/>
          <w:sz w:val="15"/>
          <w:szCs w:val="15"/>
          <w:b w:val="1"/>
          <w:bCs w:val="1"/>
          <w:color w:val="354047"/>
        </w:rPr>
        <w:t>Schaumburg, IL</w:t>
      </w:r>
    </w:p>
    <w:p>
      <w:pPr>
        <w:spacing w:after="0" w:line="110"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354047"/>
        </w:rPr>
        <w:t>0.9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FFFFFF"/>
        </w:rPr>
        <w:t>9183 Niles, IL</w:t>
      </w:r>
    </w:p>
    <w:p>
      <w:pPr>
        <w:spacing w:after="0" w:line="98"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FFFFFF"/>
        </w:rPr>
        <w:t>11.4 Miles</w:t>
      </w:r>
    </w:p>
    <w:p>
      <w:pPr>
        <w:spacing w:after="0" w:line="333" w:lineRule="exact"/>
        <w:rPr>
          <w:sz w:val="20"/>
          <w:szCs w:val="20"/>
          <w:color w:val="auto"/>
        </w:rPr>
      </w:pPr>
    </w:p>
    <w:p>
      <w:pPr>
        <w:jc w:val="center"/>
        <w:ind w:right="3760"/>
        <w:spacing w:after="0"/>
        <w:rPr>
          <w:sz w:val="20"/>
          <w:szCs w:val="20"/>
          <w:color w:val="auto"/>
        </w:rPr>
      </w:pPr>
      <w:r>
        <w:rPr>
          <w:rFonts w:ascii="Arial" w:cs="Arial" w:eastAsia="Arial" w:hAnsi="Arial"/>
          <w:sz w:val="14"/>
          <w:szCs w:val="14"/>
          <w:b w:val="1"/>
          <w:bCs w:val="1"/>
          <w:color w:val="FFFFFF"/>
        </w:rPr>
        <w:t>9512 Bloomingdale, IL</w:t>
      </w:r>
    </w:p>
    <w:p>
      <w:pPr>
        <w:spacing w:after="0" w:line="98" w:lineRule="exact"/>
        <w:rPr>
          <w:sz w:val="20"/>
          <w:szCs w:val="20"/>
          <w:color w:val="auto"/>
        </w:rPr>
      </w:pPr>
    </w:p>
    <w:p>
      <w:pPr>
        <w:jc w:val="center"/>
        <w:ind w:right="3780"/>
        <w:spacing w:after="0"/>
        <w:rPr>
          <w:sz w:val="20"/>
          <w:szCs w:val="20"/>
          <w:color w:val="auto"/>
        </w:rPr>
      </w:pPr>
      <w:r>
        <w:rPr>
          <w:rFonts w:ascii="Arial" w:cs="Arial" w:eastAsia="Arial" w:hAnsi="Arial"/>
          <w:sz w:val="14"/>
          <w:szCs w:val="14"/>
          <w:b w:val="1"/>
          <w:bCs w:val="1"/>
          <w:color w:val="FFFFFF"/>
        </w:rPr>
        <w:t>11.2 miles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42"/>
          <w:szCs w:val="42"/>
          <w:b w:val="1"/>
          <w:bCs w:val="1"/>
          <w:color w:val="354047"/>
        </w:rPr>
        <w:t>Chicago</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44"/>
          <w:szCs w:val="44"/>
          <w:b w:val="1"/>
          <w:bCs w:val="1"/>
          <w:color w:val="354047"/>
        </w:rPr>
        <w:t>Metro</w:t>
      </w:r>
    </w:p>
    <w:p>
      <w:pPr>
        <w:spacing w:after="0" w:line="2746" w:lineRule="exact"/>
        <w:rPr>
          <w:sz w:val="20"/>
          <w:szCs w:val="20"/>
          <w:color w:val="auto"/>
        </w:rPr>
      </w:pPr>
    </w:p>
    <w:p>
      <w:pPr>
        <w:sectPr>
          <w:pgSz w:w="11900" w:h="16838" w:orient="portrait"/>
          <w:cols w:equalWidth="0" w:num="2">
            <w:col w:w="7500" w:space="540"/>
            <w:col w:w="2020"/>
          </w:cols>
          <w:pgMar w:left="860" w:top="1012"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660"/>
        <w:spacing w:after="0"/>
        <w:rPr>
          <w:sz w:val="20"/>
          <w:szCs w:val="20"/>
          <w:color w:val="auto"/>
        </w:rPr>
      </w:pPr>
      <w:r>
        <w:rPr>
          <w:rFonts w:ascii="Arial" w:cs="Arial" w:eastAsia="Arial" w:hAnsi="Arial"/>
          <w:sz w:val="25"/>
          <w:szCs w:val="25"/>
          <w:color w:val="FFFFFF"/>
        </w:rPr>
        <w:t>Customers are</w:t>
      </w:r>
    </w:p>
    <w:p>
      <w:pPr>
        <w:ind w:left="7700"/>
        <w:spacing w:after="0" w:line="238" w:lineRule="auto"/>
        <w:rPr>
          <w:sz w:val="20"/>
          <w:szCs w:val="20"/>
          <w:color w:val="auto"/>
        </w:rPr>
      </w:pPr>
      <w:r>
        <w:rPr>
          <w:rFonts w:ascii="Arial" w:cs="Arial" w:eastAsia="Arial" w:hAnsi="Arial"/>
          <w:sz w:val="25"/>
          <w:szCs w:val="25"/>
          <w:color w:val="FFFFFF"/>
        </w:rPr>
        <w:t>willing to drive</w:t>
      </w:r>
    </w:p>
    <w:p>
      <w:pPr>
        <w:ind w:left="7700"/>
        <w:spacing w:after="0"/>
        <w:rPr>
          <w:sz w:val="20"/>
          <w:szCs w:val="20"/>
          <w:color w:val="auto"/>
        </w:rPr>
      </w:pPr>
      <w:r>
        <w:rPr>
          <w:rFonts w:ascii="Arial" w:cs="Arial" w:eastAsia="Arial" w:hAnsi="Arial"/>
          <w:sz w:val="25"/>
          <w:szCs w:val="25"/>
          <w:color w:val="FFFFFF"/>
        </w:rPr>
        <w:t>up to 20 miles</w:t>
      </w: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Arial" w:cs="Arial" w:eastAsia="Arial" w:hAnsi="Arial"/>
          <w:sz w:val="15"/>
          <w:szCs w:val="15"/>
          <w:color w:val="23282B"/>
        </w:rPr>
        <w:t>*Customers are willing to drive up to 20 miles</w:t>
      </w:r>
    </w:p>
    <w:p>
      <w:pPr>
        <w:spacing w:after="0" w:line="156" w:lineRule="exact"/>
        <w:rPr>
          <w:sz w:val="20"/>
          <w:szCs w:val="20"/>
          <w:color w:val="auto"/>
        </w:rPr>
      </w:pPr>
    </w:p>
    <w:tbl>
      <w:tblPr>
        <w:tblLayout w:type="fixed"/>
        <w:tblInd w:w="406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17</w:t>
            </w:r>
          </w:p>
        </w:tc>
      </w:tr>
    </w:tbl>
    <w:p>
      <w:pPr>
        <w:sectPr>
          <w:pgSz w:w="11900" w:h="16838" w:orient="portrait"/>
          <w:cols w:equalWidth="0" w:num="1">
            <w:col w:w="10060"/>
          </w:cols>
          <w:pgMar w:left="860" w:top="1012" w:right="979" w:bottom="1440" w:gutter="0" w:footer="0" w:header="0"/>
          <w:type w:val="continuous"/>
        </w:sectPr>
      </w:pPr>
    </w:p>
    <w:bookmarkStart w:id="20" w:name="page21"/>
    <w:bookmarkEnd w:id="20"/>
    <w:p>
      <w:pPr>
        <w:ind w:left="280"/>
        <w:spacing w:after="0"/>
        <w:rPr>
          <w:sz w:val="20"/>
          <w:szCs w:val="20"/>
          <w:color w:val="auto"/>
        </w:rPr>
      </w:pPr>
      <w:r>
        <w:rPr>
          <w:rFonts w:ascii="Arial" w:cs="Arial" w:eastAsia="Arial" w:hAnsi="Arial"/>
          <w:sz w:val="42"/>
          <w:szCs w:val="42"/>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DXL COMPS REFLECT GROWTH OPPORTUNITY</w:t>
      </w:r>
    </w:p>
    <w:p>
      <w:pPr>
        <w:spacing w:after="0" w:line="379" w:lineRule="exact"/>
        <w:rPr>
          <w:sz w:val="20"/>
          <w:szCs w:val="20"/>
          <w:color w:val="auto"/>
        </w:rPr>
      </w:pPr>
    </w:p>
    <w:p>
      <w:pPr>
        <w:ind w:left="8300"/>
        <w:spacing w:after="0"/>
        <w:rPr>
          <w:sz w:val="20"/>
          <w:szCs w:val="20"/>
          <w:color w:val="auto"/>
        </w:rPr>
      </w:pPr>
      <w:r>
        <w:rPr>
          <w:rFonts w:ascii="Arial" w:cs="Arial" w:eastAsia="Arial" w:hAnsi="Arial"/>
          <w:sz w:val="15"/>
          <w:szCs w:val="15"/>
          <w:b w:val="1"/>
          <w:bCs w:val="1"/>
          <w:color w:val="697D88"/>
        </w:rPr>
        <w:t>28.8%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80" w:type="dxa"/>
            <w:vAlign w:val="bottom"/>
            <w:vMerge w:val="restart"/>
          </w:tcPr>
          <w:p>
            <w:pPr>
              <w:ind w:left="80"/>
              <w:spacing w:after="0"/>
              <w:rPr>
                <w:sz w:val="20"/>
                <w:szCs w:val="20"/>
                <w:color w:val="auto"/>
              </w:rPr>
            </w:pPr>
            <w:r>
              <w:rPr>
                <w:rFonts w:ascii="Arial" w:cs="Arial" w:eastAsia="Arial" w:hAnsi="Arial"/>
                <w:sz w:val="15"/>
                <w:szCs w:val="15"/>
                <w:b w:val="1"/>
                <w:bCs w:val="1"/>
                <w:color w:val="697D88"/>
              </w:rPr>
              <w:t>16 .3%</w:t>
            </w:r>
          </w:p>
        </w:tc>
        <w:tc>
          <w:tcPr>
            <w:tcW w:w="82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697D88"/>
              </w:rPr>
              <w:t>17.1%</w:t>
            </w:r>
          </w:p>
        </w:tc>
        <w:tc>
          <w:tcPr>
            <w:tcW w:w="1640" w:type="dxa"/>
            <w:vAlign w:val="bottom"/>
          </w:tcPr>
          <w:p>
            <w:pPr>
              <w:spacing w:after="0"/>
              <w:rPr>
                <w:sz w:val="20"/>
                <w:szCs w:val="20"/>
                <w:color w:val="auto"/>
              </w:rPr>
            </w:pPr>
          </w:p>
        </w:tc>
        <w:tc>
          <w:tcPr>
            <w:tcW w:w="1680" w:type="dxa"/>
            <w:vAlign w:val="bottom"/>
          </w:tcPr>
          <w:p>
            <w:pPr>
              <w:jc w:val="right"/>
              <w:ind w:right="304"/>
              <w:spacing w:after="0"/>
              <w:rPr>
                <w:sz w:val="20"/>
                <w:szCs w:val="20"/>
                <w:color w:val="auto"/>
              </w:rPr>
            </w:pPr>
            <w:r>
              <w:rPr>
                <w:rFonts w:ascii="Arial" w:cs="Arial" w:eastAsia="Arial" w:hAnsi="Arial"/>
                <w:sz w:val="15"/>
                <w:szCs w:val="15"/>
                <w:b w:val="1"/>
                <w:bCs w:val="1"/>
                <w:color w:val="697D88"/>
              </w:rPr>
              <w:t>17.7%</w:t>
            </w:r>
          </w:p>
        </w:tc>
        <w:tc>
          <w:tcPr>
            <w:tcW w:w="760" w:type="dxa"/>
            <w:vAlign w:val="bottom"/>
          </w:tcPr>
          <w:p>
            <w:pPr>
              <w:spacing w:after="0"/>
              <w:rPr>
                <w:sz w:val="20"/>
                <w:szCs w:val="20"/>
                <w:color w:val="auto"/>
              </w:rPr>
            </w:pPr>
          </w:p>
        </w:tc>
        <w:tc>
          <w:tcPr>
            <w:tcW w:w="1260" w:type="dxa"/>
            <w:vAlign w:val="bottom"/>
          </w:tcPr>
          <w:p>
            <w:pPr>
              <w:jc w:val="right"/>
              <w:ind w:right="678"/>
              <w:spacing w:after="0"/>
              <w:rPr>
                <w:sz w:val="20"/>
                <w:szCs w:val="20"/>
                <w:color w:val="auto"/>
              </w:rPr>
            </w:pPr>
            <w:r>
              <w:rPr>
                <w:rFonts w:ascii="Arial" w:cs="Arial" w:eastAsia="Arial" w:hAnsi="Arial"/>
                <w:sz w:val="15"/>
                <w:szCs w:val="15"/>
                <w:b w:val="1"/>
                <w:bCs w:val="1"/>
                <w:color w:val="697D88"/>
              </w:rPr>
              <w:t>17.7%</w:t>
            </w:r>
          </w:p>
        </w:tc>
        <w:tc>
          <w:tcPr>
            <w:tcW w:w="0" w:type="dxa"/>
            <w:vAlign w:val="bottom"/>
          </w:tcPr>
          <w:p>
            <w:pPr>
              <w:spacing w:after="0"/>
              <w:rPr>
                <w:sz w:val="1"/>
                <w:szCs w:val="1"/>
                <w:color w:val="auto"/>
              </w:rPr>
            </w:pPr>
          </w:p>
        </w:tc>
      </w:tr>
      <w:tr>
        <w:trPr>
          <w:trHeight w:val="106"/>
        </w:trPr>
        <w:tc>
          <w:tcPr>
            <w:tcW w:w="17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697D88"/>
              </w:rPr>
              <w:t>15.6%</w:t>
            </w:r>
          </w:p>
        </w:tc>
        <w:tc>
          <w:tcPr>
            <w:tcW w:w="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7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697D88"/>
              </w:rPr>
              <w:t>15 .0%</w:t>
            </w:r>
          </w:p>
        </w:tc>
        <w:tc>
          <w:tcPr>
            <w:tcW w:w="1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760" w:type="dxa"/>
            <w:vAlign w:val="bottom"/>
            <w:vMerge w:val="restart"/>
          </w:tcPr>
          <w:p>
            <w:pPr>
              <w:ind w:left="1000"/>
              <w:spacing w:after="0"/>
              <w:rPr>
                <w:sz w:val="20"/>
                <w:szCs w:val="20"/>
                <w:color w:val="auto"/>
              </w:rPr>
            </w:pPr>
            <w:r>
              <w:rPr>
                <w:rFonts w:ascii="Arial" w:cs="Arial" w:eastAsia="Arial" w:hAnsi="Arial"/>
                <w:sz w:val="15"/>
                <w:szCs w:val="15"/>
                <w:b w:val="1"/>
                <w:bCs w:val="1"/>
                <w:color w:val="697D88"/>
              </w:rPr>
              <w:t>14.5%</w:t>
            </w:r>
          </w:p>
        </w:tc>
        <w:tc>
          <w:tcPr>
            <w:tcW w:w="1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760" w:type="dxa"/>
            <w:vAlign w:val="bottom"/>
            <w:vMerge w:val="continue"/>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76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40" w:type="dxa"/>
            <w:vAlign w:val="bottom"/>
            <w:vMerge w:val="restart"/>
          </w:tcPr>
          <w:p>
            <w:pPr>
              <w:jc w:val="right"/>
              <w:ind w:right="1064"/>
              <w:spacing w:after="0"/>
              <w:rPr>
                <w:sz w:val="20"/>
                <w:szCs w:val="20"/>
                <w:color w:val="auto"/>
              </w:rPr>
            </w:pPr>
            <w:r>
              <w:rPr>
                <w:rFonts w:ascii="Arial" w:cs="Arial" w:eastAsia="Arial" w:hAnsi="Arial"/>
                <w:sz w:val="15"/>
                <w:szCs w:val="15"/>
                <w:b w:val="1"/>
                <w:bCs w:val="1"/>
                <w:color w:val="697D88"/>
              </w:rPr>
              <w:t>13 .8%</w:t>
            </w:r>
          </w:p>
        </w:tc>
        <w:tc>
          <w:tcPr>
            <w:tcW w:w="1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760" w:type="dxa"/>
            <w:vAlign w:val="bottom"/>
          </w:tcPr>
          <w:p>
            <w:pPr>
              <w:spacing w:after="0"/>
              <w:rPr>
                <w:sz w:val="7"/>
                <w:szCs w:val="7"/>
                <w:color w:val="auto"/>
              </w:rPr>
            </w:pPr>
          </w:p>
        </w:tc>
        <w:tc>
          <w:tcPr>
            <w:tcW w:w="164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697D88"/>
              </w:rPr>
              <w:t>12.8%</w:t>
            </w: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1"/>
        </w:trPr>
        <w:tc>
          <w:tcPr>
            <w:tcW w:w="1760" w:type="dxa"/>
            <w:vAlign w:val="bottom"/>
          </w:tcPr>
          <w:p>
            <w:pPr>
              <w:spacing w:after="0"/>
              <w:rPr>
                <w:sz w:val="24"/>
                <w:szCs w:val="24"/>
                <w:color w:val="auto"/>
              </w:rPr>
            </w:pPr>
          </w:p>
        </w:tc>
        <w:tc>
          <w:tcPr>
            <w:tcW w:w="1640" w:type="dxa"/>
            <w:vAlign w:val="bottom"/>
          </w:tcPr>
          <w:p>
            <w:pPr>
              <w:jc w:val="right"/>
              <w:ind w:right="1104"/>
              <w:spacing w:after="0"/>
              <w:rPr>
                <w:sz w:val="20"/>
                <w:szCs w:val="20"/>
                <w:color w:val="auto"/>
              </w:rPr>
            </w:pPr>
            <w:r>
              <w:rPr>
                <w:rFonts w:ascii="Arial" w:cs="Arial" w:eastAsia="Arial" w:hAnsi="Arial"/>
                <w:sz w:val="15"/>
                <w:szCs w:val="15"/>
                <w:b w:val="1"/>
                <w:bCs w:val="1"/>
                <w:color w:val="697D88"/>
              </w:rPr>
              <w:t>9.0%</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697D88"/>
              </w:rPr>
              <w:t>3.8%</w:t>
            </w:r>
          </w:p>
        </w:tc>
        <w:tc>
          <w:tcPr>
            <w:tcW w:w="1260" w:type="dxa"/>
            <w:vAlign w:val="bottom"/>
          </w:tcPr>
          <w:p>
            <w:pPr>
              <w:jc w:val="right"/>
              <w:ind w:right="418"/>
              <w:spacing w:after="0"/>
              <w:rPr>
                <w:sz w:val="20"/>
                <w:szCs w:val="20"/>
                <w:color w:val="auto"/>
              </w:rPr>
            </w:pPr>
            <w:r>
              <w:rPr>
                <w:rFonts w:ascii="Arial" w:cs="Arial" w:eastAsia="Arial" w:hAnsi="Arial"/>
                <w:sz w:val="15"/>
                <w:szCs w:val="15"/>
                <w:b w:val="1"/>
                <w:bCs w:val="1"/>
                <w:color w:val="697D88"/>
              </w:rPr>
              <w:t>4.4%</w:t>
            </w:r>
          </w:p>
        </w:tc>
        <w:tc>
          <w:tcPr>
            <w:tcW w:w="0" w:type="dxa"/>
            <w:vAlign w:val="bottom"/>
          </w:tcPr>
          <w:p>
            <w:pPr>
              <w:spacing w:after="0"/>
              <w:rPr>
                <w:sz w:val="1"/>
                <w:szCs w:val="1"/>
                <w:color w:val="auto"/>
              </w:rPr>
            </w:pPr>
          </w:p>
        </w:tc>
      </w:tr>
      <w:tr>
        <w:trPr>
          <w:trHeight w:val="106"/>
        </w:trPr>
        <w:tc>
          <w:tcPr>
            <w:tcW w:w="17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1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697D88"/>
              </w:rPr>
              <w:t>0.7%</w:t>
            </w:r>
          </w:p>
        </w:tc>
        <w:tc>
          <w:tcPr>
            <w:tcW w:w="1640" w:type="dxa"/>
            <w:vAlign w:val="bottom"/>
          </w:tcPr>
          <w:p>
            <w:pPr>
              <w:ind w:left="1200"/>
              <w:spacing w:after="0"/>
              <w:rPr>
                <w:sz w:val="20"/>
                <w:szCs w:val="20"/>
                <w:color w:val="auto"/>
              </w:rPr>
            </w:pPr>
            <w:r>
              <w:rPr>
                <w:rFonts w:ascii="Arial" w:cs="Arial" w:eastAsia="Arial" w:hAnsi="Arial"/>
                <w:sz w:val="15"/>
                <w:szCs w:val="15"/>
                <w:b w:val="1"/>
                <w:bCs w:val="1"/>
                <w:color w:val="697D88"/>
              </w:rPr>
              <w:t>2.1%</w:t>
            </w: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697D88"/>
              </w:rPr>
              <w:t>2.0%</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697D88"/>
              </w:rPr>
              <w:t>2.0%</w:t>
            </w:r>
          </w:p>
        </w:tc>
        <w:tc>
          <w:tcPr>
            <w:tcW w:w="1640" w:type="dxa"/>
            <w:vAlign w:val="bottom"/>
          </w:tcPr>
          <w:p>
            <w:pPr>
              <w:jc w:val="right"/>
              <w:ind w:right="804"/>
              <w:spacing w:after="0"/>
              <w:rPr>
                <w:sz w:val="20"/>
                <w:szCs w:val="20"/>
                <w:color w:val="auto"/>
              </w:rPr>
            </w:pPr>
            <w:r>
              <w:rPr>
                <w:rFonts w:ascii="Arial" w:cs="Arial" w:eastAsia="Arial" w:hAnsi="Arial"/>
                <w:sz w:val="15"/>
                <w:szCs w:val="15"/>
                <w:b w:val="1"/>
                <w:bCs w:val="1"/>
                <w:color w:val="697D88"/>
              </w:rPr>
              <w:t>1.5%</w:t>
            </w:r>
          </w:p>
        </w:tc>
        <w:tc>
          <w:tcPr>
            <w:tcW w:w="1680" w:type="dxa"/>
            <w:vAlign w:val="bottom"/>
          </w:tcPr>
          <w:p>
            <w:pPr>
              <w:jc w:val="right"/>
              <w:ind w:right="864"/>
              <w:spacing w:after="0"/>
              <w:rPr>
                <w:sz w:val="20"/>
                <w:szCs w:val="20"/>
                <w:color w:val="auto"/>
              </w:rPr>
            </w:pPr>
            <w:r>
              <w:rPr>
                <w:rFonts w:ascii="Arial" w:cs="Arial" w:eastAsia="Arial" w:hAnsi="Arial"/>
                <w:sz w:val="15"/>
                <w:szCs w:val="15"/>
                <w:b w:val="1"/>
                <w:bCs w:val="1"/>
                <w:color w:val="697D88"/>
              </w:rPr>
              <w:t>1.5%</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760" w:type="dxa"/>
            <w:vAlign w:val="bottom"/>
            <w:vMerge w:val="continue"/>
          </w:tcPr>
          <w:p>
            <w:pPr>
              <w:spacing w:after="0"/>
              <w:rPr>
                <w:sz w:val="18"/>
                <w:szCs w:val="18"/>
                <w:color w:val="auto"/>
              </w:rPr>
            </w:pPr>
          </w:p>
        </w:tc>
        <w:tc>
          <w:tcPr>
            <w:tcW w:w="1640" w:type="dxa"/>
            <w:vAlign w:val="bottom"/>
          </w:tcPr>
          <w:p>
            <w:pPr>
              <w:jc w:val="right"/>
              <w:ind w:right="804"/>
              <w:spacing w:after="0"/>
              <w:rPr>
                <w:sz w:val="20"/>
                <w:szCs w:val="20"/>
                <w:color w:val="auto"/>
              </w:rPr>
            </w:pPr>
            <w:r>
              <w:rPr>
                <w:rFonts w:ascii="Arial" w:cs="Arial" w:eastAsia="Arial" w:hAnsi="Arial"/>
                <w:sz w:val="15"/>
                <w:szCs w:val="15"/>
                <w:b w:val="1"/>
                <w:bCs w:val="1"/>
                <w:color w:val="697D88"/>
              </w:rPr>
              <w:t>0.8%</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40" w:type="dxa"/>
            <w:vAlign w:val="bottom"/>
          </w:tcPr>
          <w:p>
            <w:pPr>
              <w:jc w:val="right"/>
              <w:ind w:right="4"/>
              <w:spacing w:after="0"/>
              <w:rPr>
                <w:sz w:val="20"/>
                <w:szCs w:val="20"/>
                <w:color w:val="auto"/>
              </w:rPr>
            </w:pPr>
            <w:r>
              <w:rPr>
                <w:rFonts w:ascii="Arial" w:cs="Arial" w:eastAsia="Arial" w:hAnsi="Arial"/>
                <w:sz w:val="15"/>
                <w:szCs w:val="15"/>
                <w:b w:val="1"/>
                <w:bCs w:val="1"/>
                <w:color w:val="697D88"/>
              </w:rPr>
              <w:t>0.5%</w:t>
            </w: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jc w:val="right"/>
              <w:ind w:right="4"/>
              <w:spacing w:after="0"/>
              <w:rPr>
                <w:sz w:val="20"/>
                <w:szCs w:val="20"/>
                <w:color w:val="auto"/>
              </w:rPr>
            </w:pPr>
            <w:r>
              <w:rPr>
                <w:rFonts w:ascii="Arial" w:cs="Arial" w:eastAsia="Arial" w:hAnsi="Arial"/>
                <w:sz w:val="15"/>
                <w:szCs w:val="15"/>
                <w:b w:val="1"/>
                <w:bCs w:val="1"/>
                <w:color w:val="697D88"/>
              </w:rPr>
              <w:t>-0.5%</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760" w:type="dxa"/>
            <w:vAlign w:val="bottom"/>
          </w:tcPr>
          <w:p>
            <w:pPr>
              <w:ind w:left="1000"/>
              <w:spacing w:after="0"/>
              <w:rPr>
                <w:sz w:val="20"/>
                <w:szCs w:val="20"/>
                <w:color w:val="auto"/>
              </w:rPr>
            </w:pPr>
            <w:r>
              <w:rPr>
                <w:rFonts w:ascii="Arial" w:cs="Arial" w:eastAsia="Arial" w:hAnsi="Arial"/>
                <w:sz w:val="15"/>
                <w:szCs w:val="15"/>
                <w:b w:val="1"/>
                <w:bCs w:val="1"/>
                <w:color w:val="697D88"/>
              </w:rPr>
              <w:t>Q3 2011</w:t>
            </w:r>
          </w:p>
        </w:tc>
        <w:tc>
          <w:tcPr>
            <w:tcW w:w="1640" w:type="dxa"/>
            <w:vAlign w:val="bottom"/>
          </w:tcPr>
          <w:p>
            <w:pPr>
              <w:ind w:left="60"/>
              <w:spacing w:after="0"/>
              <w:rPr>
                <w:sz w:val="20"/>
                <w:szCs w:val="20"/>
                <w:color w:val="auto"/>
              </w:rPr>
            </w:pPr>
            <w:r>
              <w:rPr>
                <w:rFonts w:ascii="Arial" w:cs="Arial" w:eastAsia="Arial" w:hAnsi="Arial"/>
                <w:sz w:val="15"/>
                <w:szCs w:val="15"/>
                <w:b w:val="1"/>
                <w:bCs w:val="1"/>
                <w:color w:val="697D88"/>
              </w:rPr>
              <w:t>Q4 2011   FY 2011</w:t>
            </w:r>
          </w:p>
        </w:tc>
        <w:tc>
          <w:tcPr>
            <w:tcW w:w="780" w:type="dxa"/>
            <w:vAlign w:val="bottom"/>
          </w:tcPr>
          <w:p>
            <w:pPr>
              <w:ind w:left="60"/>
              <w:spacing w:after="0"/>
              <w:rPr>
                <w:sz w:val="20"/>
                <w:szCs w:val="20"/>
                <w:color w:val="auto"/>
              </w:rPr>
            </w:pPr>
            <w:r>
              <w:rPr>
                <w:rFonts w:ascii="Arial" w:cs="Arial" w:eastAsia="Arial" w:hAnsi="Arial"/>
                <w:sz w:val="15"/>
                <w:szCs w:val="15"/>
                <w:b w:val="1"/>
                <w:bCs w:val="1"/>
                <w:color w:val="697D88"/>
              </w:rPr>
              <w:t>Q1 2012</w:t>
            </w:r>
          </w:p>
        </w:tc>
        <w:tc>
          <w:tcPr>
            <w:tcW w:w="820" w:type="dxa"/>
            <w:vAlign w:val="bottom"/>
          </w:tcPr>
          <w:p>
            <w:pPr>
              <w:jc w:val="right"/>
              <w:ind w:right="44"/>
              <w:spacing w:after="0"/>
              <w:rPr>
                <w:sz w:val="20"/>
                <w:szCs w:val="20"/>
                <w:color w:val="auto"/>
              </w:rPr>
            </w:pPr>
            <w:r>
              <w:rPr>
                <w:rFonts w:ascii="Arial" w:cs="Arial" w:eastAsia="Arial" w:hAnsi="Arial"/>
                <w:sz w:val="15"/>
                <w:szCs w:val="15"/>
                <w:b w:val="1"/>
                <w:bCs w:val="1"/>
                <w:color w:val="697D88"/>
              </w:rPr>
              <w:t>Q2 2012</w:t>
            </w:r>
          </w:p>
        </w:tc>
        <w:tc>
          <w:tcPr>
            <w:tcW w:w="1640" w:type="dxa"/>
            <w:vAlign w:val="bottom"/>
          </w:tcPr>
          <w:p>
            <w:pPr>
              <w:jc w:val="right"/>
              <w:ind w:right="64"/>
              <w:spacing w:after="0"/>
              <w:rPr>
                <w:sz w:val="20"/>
                <w:szCs w:val="20"/>
                <w:color w:val="auto"/>
              </w:rPr>
            </w:pPr>
            <w:r>
              <w:rPr>
                <w:rFonts w:ascii="Arial" w:cs="Arial" w:eastAsia="Arial" w:hAnsi="Arial"/>
                <w:sz w:val="15"/>
                <w:szCs w:val="15"/>
                <w:b w:val="1"/>
                <w:bCs w:val="1"/>
                <w:color w:val="697D88"/>
              </w:rPr>
              <w:t>Q3 2012   Q4 2012</w:t>
            </w:r>
          </w:p>
        </w:tc>
        <w:tc>
          <w:tcPr>
            <w:tcW w:w="1680" w:type="dxa"/>
            <w:vAlign w:val="bottom"/>
          </w:tcPr>
          <w:p>
            <w:pPr>
              <w:ind w:left="100"/>
              <w:spacing w:after="0"/>
              <w:rPr>
                <w:sz w:val="20"/>
                <w:szCs w:val="20"/>
                <w:color w:val="auto"/>
              </w:rPr>
            </w:pPr>
            <w:r>
              <w:rPr>
                <w:rFonts w:ascii="Arial" w:cs="Arial" w:eastAsia="Arial" w:hAnsi="Arial"/>
                <w:sz w:val="15"/>
                <w:szCs w:val="15"/>
                <w:b w:val="1"/>
                <w:bCs w:val="1"/>
                <w:color w:val="697D88"/>
              </w:rPr>
              <w:t>FY 2012   Q1 2013</w:t>
            </w:r>
          </w:p>
        </w:tc>
        <w:tc>
          <w:tcPr>
            <w:tcW w:w="2020" w:type="dxa"/>
            <w:vAlign w:val="bottom"/>
            <w:gridSpan w:val="2"/>
          </w:tcPr>
          <w:p>
            <w:pPr>
              <w:jc w:val="right"/>
              <w:ind w:right="478"/>
              <w:spacing w:after="0"/>
              <w:rPr>
                <w:sz w:val="20"/>
                <w:szCs w:val="20"/>
                <w:color w:val="auto"/>
              </w:rPr>
            </w:pPr>
            <w:r>
              <w:rPr>
                <w:rFonts w:ascii="Arial" w:cs="Arial" w:eastAsia="Arial" w:hAnsi="Arial"/>
                <w:sz w:val="15"/>
                <w:szCs w:val="15"/>
                <w:b w:val="1"/>
                <w:bCs w:val="1"/>
                <w:color w:val="697D88"/>
              </w:rPr>
              <w:t>Q2 2013   Q3 2013</w:t>
            </w:r>
          </w:p>
        </w:tc>
        <w:tc>
          <w:tcPr>
            <w:tcW w:w="0" w:type="dxa"/>
            <w:vAlign w:val="bottom"/>
          </w:tcPr>
          <w:p>
            <w:pPr>
              <w:spacing w:after="0"/>
              <w:rPr>
                <w:sz w:val="1"/>
                <w:szCs w:val="1"/>
                <w:color w:val="auto"/>
              </w:rPr>
            </w:pPr>
          </w:p>
        </w:tc>
      </w:tr>
      <w:tr>
        <w:trPr>
          <w:trHeight w:val="741"/>
        </w:trPr>
        <w:tc>
          <w:tcPr>
            <w:tcW w:w="1760" w:type="dxa"/>
            <w:vAlign w:val="bottom"/>
          </w:tcPr>
          <w:p>
            <w:pPr>
              <w:spacing w:after="0"/>
              <w:rPr>
                <w:sz w:val="24"/>
                <w:szCs w:val="24"/>
                <w:color w:val="auto"/>
              </w:rPr>
            </w:pPr>
          </w:p>
        </w:tc>
        <w:tc>
          <w:tcPr>
            <w:tcW w:w="3240" w:type="dxa"/>
            <w:vAlign w:val="bottom"/>
            <w:gridSpan w:val="3"/>
          </w:tcPr>
          <w:p>
            <w:pPr>
              <w:ind w:left="1200"/>
              <w:spacing w:after="0"/>
              <w:rPr>
                <w:sz w:val="20"/>
                <w:szCs w:val="20"/>
                <w:color w:val="auto"/>
              </w:rPr>
            </w:pPr>
            <w:r>
              <w:rPr>
                <w:rFonts w:ascii="Arial" w:cs="Arial" w:eastAsia="Arial" w:hAnsi="Arial"/>
                <w:sz w:val="15"/>
                <w:szCs w:val="15"/>
                <w:b w:val="1"/>
                <w:bCs w:val="1"/>
                <w:color w:val="697D88"/>
              </w:rPr>
              <w:t>DXL Comparables</w:t>
            </w:r>
          </w:p>
        </w:tc>
        <w:tc>
          <w:tcPr>
            <w:tcW w:w="3320" w:type="dxa"/>
            <w:vAlign w:val="bottom"/>
            <w:gridSpan w:val="2"/>
          </w:tcPr>
          <w:p>
            <w:pPr>
              <w:jc w:val="right"/>
              <w:ind w:right="1164"/>
              <w:spacing w:after="0"/>
              <w:rPr>
                <w:sz w:val="20"/>
                <w:szCs w:val="20"/>
                <w:color w:val="auto"/>
              </w:rPr>
            </w:pPr>
            <w:r>
              <w:rPr>
                <w:rFonts w:ascii="Arial" w:cs="Arial" w:eastAsia="Arial" w:hAnsi="Arial"/>
                <w:sz w:val="15"/>
                <w:szCs w:val="15"/>
                <w:b w:val="1"/>
                <w:bCs w:val="1"/>
                <w:color w:val="697D88"/>
              </w:rPr>
              <w:t>Total DXLG Comparables*</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640" w:type="dxa"/>
            <w:vAlign w:val="bottom"/>
            <w:gridSpan w:val="5"/>
          </w:tcPr>
          <w:p>
            <w:pPr>
              <w:spacing w:after="0"/>
              <w:rPr>
                <w:sz w:val="20"/>
                <w:szCs w:val="20"/>
                <w:color w:val="auto"/>
              </w:rPr>
            </w:pPr>
            <w:r>
              <w:rPr>
                <w:rFonts w:ascii="Arial" w:cs="Arial" w:eastAsia="Arial" w:hAnsi="Arial"/>
                <w:sz w:val="15"/>
                <w:szCs w:val="15"/>
                <w:i w:val="1"/>
                <w:iCs w:val="1"/>
                <w:color w:val="23282B"/>
              </w:rPr>
              <w:t>*Total DXLG Comparables consist of all stores, including DXL stores and direct channel</w:t>
            </w: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60" w:type="dxa"/>
            <w:vAlign w:val="bottom"/>
            <w:gridSpan w:val="2"/>
          </w:tcPr>
          <w:p>
            <w:pPr>
              <w:jc w:val="right"/>
              <w:ind w:right="424"/>
              <w:spacing w:after="0"/>
              <w:rPr>
                <w:sz w:val="20"/>
                <w:szCs w:val="20"/>
                <w:color w:val="auto"/>
              </w:rPr>
            </w:pPr>
            <w:r>
              <w:rPr>
                <w:rFonts w:ascii="Arial" w:cs="Arial" w:eastAsia="Arial" w:hAnsi="Arial"/>
                <w:sz w:val="15"/>
                <w:szCs w:val="15"/>
                <w:color w:val="4D5D67"/>
              </w:rPr>
              <w:t>Destination XL Group, Inc.</w:t>
            </w: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8CA1A5"/>
              </w:rPr>
              <w:t>18</w:t>
            </w:r>
          </w:p>
        </w:tc>
        <w:tc>
          <w:tcPr>
            <w:tcW w:w="0" w:type="dxa"/>
            <w:vAlign w:val="bottom"/>
          </w:tcPr>
          <w:p>
            <w:pPr>
              <w:spacing w:after="0"/>
              <w:rPr>
                <w:sz w:val="1"/>
                <w:szCs w:val="1"/>
                <w:color w:val="auto"/>
              </w:rPr>
            </w:pPr>
          </w:p>
        </w:tc>
      </w:tr>
    </w:tbl>
    <w:p>
      <w:pPr>
        <w:sectPr>
          <w:pgSz w:w="11900" w:h="16838" w:orient="portrait"/>
          <w:cols w:equalWidth="0" w:num="1">
            <w:col w:w="10360"/>
          </w:cols>
          <w:pgMar w:left="580" w:top="1048" w:right="959" w:bottom="1440" w:gutter="0" w:footer="0" w:header="0"/>
        </w:sectPr>
      </w:pPr>
    </w:p>
    <w:bookmarkStart w:id="21" w:name="page22"/>
    <w:bookmarkEnd w:id="21"/>
    <w:p>
      <w:pPr>
        <w:spacing w:after="0"/>
        <w:rPr>
          <w:sz w:val="20"/>
          <w:szCs w:val="20"/>
          <w:color w:val="auto"/>
        </w:rPr>
      </w:pPr>
      <w:r>
        <w:rPr>
          <w:rFonts w:ascii="Arial" w:cs="Arial" w:eastAsia="Arial" w:hAnsi="Arial"/>
          <w:sz w:val="42"/>
          <w:szCs w:val="42"/>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COMPARABLE SALES FOR DXL OPEN &gt; 1 YEAR</w:t>
      </w:r>
    </w:p>
    <w:p>
      <w:pPr>
        <w:sectPr>
          <w:pgSz w:w="11900" w:h="16838" w:orient="portrait"/>
          <w:cols w:equalWidth="0" w:num="1">
            <w:col w:w="10100"/>
          </w:cols>
          <w:pgMar w:left="840" w:top="1012"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9"/>
          <w:szCs w:val="19"/>
          <w:b w:val="1"/>
          <w:bCs w:val="1"/>
          <w:color w:val="666699"/>
        </w:rPr>
        <w:t>20%</w:t>
      </w:r>
    </w:p>
    <w:p>
      <w:pPr>
        <w:spacing w:after="0" w:line="170" w:lineRule="exact"/>
        <w:rPr>
          <w:sz w:val="20"/>
          <w:szCs w:val="20"/>
          <w:color w:val="auto"/>
        </w:rPr>
      </w:pPr>
    </w:p>
    <w:tbl>
      <w:tblPr>
        <w:tblLayout w:type="fixed"/>
        <w:tblInd w:w="1020" w:type="dxa"/>
        <w:tblCellMar>
          <w:top w:w="0" w:type="dxa"/>
          <w:left w:w="0" w:type="dxa"/>
          <w:bottom w:w="0" w:type="dxa"/>
          <w:right w:w="0" w:type="dxa"/>
        </w:tblCellMar>
      </w:tblPr>
      <w:tr>
        <w:trPr>
          <w:trHeight w:val="266"/>
        </w:trPr>
        <w:tc>
          <w:tcPr>
            <w:tcW w:w="19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40" w:type="dxa"/>
            <w:vAlign w:val="bottom"/>
          </w:tcPr>
          <w:p>
            <w:pPr>
              <w:jc w:val="right"/>
              <w:ind w:right="319"/>
              <w:spacing w:after="0"/>
              <w:rPr>
                <w:sz w:val="20"/>
                <w:szCs w:val="20"/>
                <w:color w:val="auto"/>
              </w:rPr>
            </w:pPr>
            <w:r>
              <w:rPr>
                <w:rFonts w:ascii="Arial" w:cs="Arial" w:eastAsia="Arial" w:hAnsi="Arial"/>
                <w:sz w:val="19"/>
                <w:szCs w:val="19"/>
                <w:b w:val="1"/>
                <w:bCs w:val="1"/>
                <w:color w:val="666699"/>
              </w:rPr>
              <w:t>16.5%</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1960" w:type="dxa"/>
            <w:vAlign w:val="bottom"/>
          </w:tcPr>
          <w:p>
            <w:pPr>
              <w:jc w:val="center"/>
              <w:ind w:right="1489"/>
              <w:spacing w:after="0"/>
              <w:rPr>
                <w:sz w:val="20"/>
                <w:szCs w:val="20"/>
                <w:color w:val="auto"/>
              </w:rPr>
            </w:pPr>
            <w:r>
              <w:rPr>
                <w:rFonts w:ascii="Arial" w:cs="Arial" w:eastAsia="Arial" w:hAnsi="Arial"/>
                <w:sz w:val="19"/>
                <w:szCs w:val="19"/>
                <w:b w:val="1"/>
                <w:bCs w:val="1"/>
                <w:color w:val="666699"/>
                <w:w w:val="99"/>
              </w:rPr>
              <w:t>15%</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9"/>
                <w:szCs w:val="19"/>
                <w:b w:val="1"/>
                <w:bCs w:val="1"/>
                <w:color w:val="666699"/>
              </w:rPr>
              <w:t>11.3%</w:t>
            </w:r>
          </w:p>
        </w:tc>
        <w:tc>
          <w:tcPr>
            <w:tcW w:w="0" w:type="dxa"/>
            <w:vAlign w:val="bottom"/>
          </w:tcPr>
          <w:p>
            <w:pPr>
              <w:spacing w:after="0"/>
              <w:rPr>
                <w:sz w:val="1"/>
                <w:szCs w:val="1"/>
                <w:color w:val="auto"/>
              </w:rPr>
            </w:pPr>
          </w:p>
        </w:tc>
      </w:tr>
      <w:tr>
        <w:trPr>
          <w:trHeight w:val="341"/>
        </w:trPr>
        <w:tc>
          <w:tcPr>
            <w:tcW w:w="1960" w:type="dxa"/>
            <w:vAlign w:val="bottom"/>
          </w:tcPr>
          <w:p>
            <w:pPr>
              <w:jc w:val="center"/>
              <w:ind w:right="1489"/>
              <w:spacing w:after="0"/>
              <w:rPr>
                <w:sz w:val="20"/>
                <w:szCs w:val="20"/>
                <w:color w:val="auto"/>
              </w:rPr>
            </w:pPr>
            <w:r>
              <w:rPr>
                <w:rFonts w:ascii="Arial" w:cs="Arial" w:eastAsia="Arial" w:hAnsi="Arial"/>
                <w:sz w:val="19"/>
                <w:szCs w:val="19"/>
                <w:b w:val="1"/>
                <w:bCs w:val="1"/>
                <w:color w:val="666699"/>
                <w:w w:val="99"/>
              </w:rPr>
              <w:t>10%</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9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9"/>
                <w:szCs w:val="19"/>
                <w:b w:val="1"/>
                <w:bCs w:val="1"/>
                <w:color w:val="666699"/>
              </w:rPr>
              <w:t>5.9%</w:t>
            </w:r>
          </w:p>
        </w:tc>
        <w:tc>
          <w:tcPr>
            <w:tcW w:w="1420" w:type="dxa"/>
            <w:vAlign w:val="bottom"/>
            <w:vMerge w:val="restart"/>
          </w:tcPr>
          <w:p>
            <w:pPr>
              <w:jc w:val="right"/>
              <w:ind w:right="394"/>
              <w:spacing w:after="0"/>
              <w:rPr>
                <w:sz w:val="20"/>
                <w:szCs w:val="20"/>
                <w:color w:val="auto"/>
              </w:rPr>
            </w:pPr>
            <w:r>
              <w:rPr>
                <w:rFonts w:ascii="Arial" w:cs="Arial" w:eastAsia="Arial" w:hAnsi="Arial"/>
                <w:sz w:val="19"/>
                <w:szCs w:val="19"/>
                <w:b w:val="1"/>
                <w:bCs w:val="1"/>
                <w:color w:val="666699"/>
              </w:rPr>
              <w:t>4.7%</w:t>
            </w: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960" w:type="dxa"/>
            <w:vAlign w:val="bottom"/>
            <w:vMerge w:val="restart"/>
          </w:tcPr>
          <w:p>
            <w:pPr>
              <w:jc w:val="right"/>
              <w:ind w:right="1509"/>
              <w:spacing w:after="0"/>
              <w:rPr>
                <w:sz w:val="20"/>
                <w:szCs w:val="20"/>
                <w:color w:val="auto"/>
              </w:rPr>
            </w:pPr>
            <w:r>
              <w:rPr>
                <w:rFonts w:ascii="Arial" w:cs="Arial" w:eastAsia="Arial" w:hAnsi="Arial"/>
                <w:sz w:val="19"/>
                <w:szCs w:val="19"/>
                <w:b w:val="1"/>
                <w:bCs w:val="1"/>
                <w:color w:val="666699"/>
              </w:rPr>
              <w:t>5%</w:t>
            </w:r>
          </w:p>
        </w:tc>
        <w:tc>
          <w:tcPr>
            <w:tcW w:w="14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96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6"/>
        </w:trPr>
        <w:tc>
          <w:tcPr>
            <w:tcW w:w="1960" w:type="dxa"/>
            <w:vAlign w:val="bottom"/>
          </w:tcPr>
          <w:p>
            <w:pPr>
              <w:jc w:val="right"/>
              <w:ind w:right="1509"/>
              <w:spacing w:after="0"/>
              <w:rPr>
                <w:sz w:val="20"/>
                <w:szCs w:val="20"/>
                <w:color w:val="auto"/>
              </w:rPr>
            </w:pPr>
            <w:r>
              <w:rPr>
                <w:rFonts w:ascii="Arial" w:cs="Arial" w:eastAsia="Arial" w:hAnsi="Arial"/>
                <w:sz w:val="19"/>
                <w:szCs w:val="19"/>
                <w:b w:val="1"/>
                <w:bCs w:val="1"/>
                <w:color w:val="666699"/>
              </w:rPr>
              <w:t>0%</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1960" w:type="dxa"/>
            <w:vAlign w:val="bottom"/>
          </w:tcPr>
          <w:p>
            <w:pPr>
              <w:jc w:val="right"/>
              <w:ind w:right="329"/>
              <w:spacing w:after="0"/>
              <w:rPr>
                <w:sz w:val="20"/>
                <w:szCs w:val="20"/>
                <w:color w:val="auto"/>
              </w:rPr>
            </w:pPr>
            <w:r>
              <w:rPr>
                <w:rFonts w:ascii="Arial" w:cs="Arial" w:eastAsia="Arial" w:hAnsi="Arial"/>
                <w:sz w:val="19"/>
                <w:szCs w:val="19"/>
                <w:b w:val="1"/>
                <w:bCs w:val="1"/>
                <w:color w:val="666699"/>
              </w:rPr>
              <w:t>(2.7)%</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960" w:type="dxa"/>
            <w:vAlign w:val="bottom"/>
          </w:tcPr>
          <w:p>
            <w:pPr>
              <w:jc w:val="center"/>
              <w:ind w:right="1489"/>
              <w:spacing w:after="0" w:line="215" w:lineRule="exact"/>
              <w:rPr>
                <w:sz w:val="20"/>
                <w:szCs w:val="20"/>
                <w:color w:val="auto"/>
              </w:rPr>
            </w:pPr>
            <w:r>
              <w:rPr>
                <w:rFonts w:ascii="Arial" w:cs="Arial" w:eastAsia="Arial" w:hAnsi="Arial"/>
                <w:sz w:val="19"/>
                <w:szCs w:val="19"/>
                <w:b w:val="1"/>
                <w:bCs w:val="1"/>
                <w:color w:val="666699"/>
              </w:rPr>
              <w:t>-5%</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vMerge w:val="restart"/>
          </w:tcPr>
          <w:p>
            <w:pPr>
              <w:jc w:val="right"/>
              <w:ind w:right="279"/>
              <w:spacing w:after="0"/>
              <w:rPr>
                <w:sz w:val="20"/>
                <w:szCs w:val="20"/>
                <w:color w:val="auto"/>
              </w:rPr>
            </w:pPr>
            <w:r>
              <w:rPr>
                <w:rFonts w:ascii="Arial" w:cs="Arial" w:eastAsia="Arial" w:hAnsi="Arial"/>
                <w:sz w:val="13"/>
                <w:szCs w:val="13"/>
                <w:b w:val="1"/>
                <w:bCs w:val="1"/>
                <w:color w:val="5C6F7C"/>
              </w:rPr>
              <w:t>1</w:t>
            </w:r>
          </w:p>
        </w:tc>
        <w:tc>
          <w:tcPr>
            <w:tcW w:w="1080" w:type="dxa"/>
            <w:vAlign w:val="bottom"/>
            <w:vMerge w:val="restart"/>
          </w:tcPr>
          <w:p>
            <w:pPr>
              <w:jc w:val="right"/>
              <w:spacing w:after="0"/>
              <w:rPr>
                <w:sz w:val="20"/>
                <w:szCs w:val="20"/>
                <w:color w:val="auto"/>
              </w:rPr>
            </w:pPr>
            <w:r>
              <w:rPr>
                <w:rFonts w:ascii="Arial" w:cs="Arial" w:eastAsia="Arial" w:hAnsi="Arial"/>
                <w:sz w:val="13"/>
                <w:szCs w:val="13"/>
                <w:b w:val="1"/>
                <w:bCs w:val="1"/>
                <w:color w:val="5C6F7C"/>
              </w:rPr>
              <w:t>2</w:t>
            </w:r>
          </w:p>
        </w:tc>
        <w:tc>
          <w:tcPr>
            <w:tcW w:w="0" w:type="dxa"/>
            <w:vAlign w:val="bottom"/>
          </w:tcPr>
          <w:p>
            <w:pPr>
              <w:spacing w:after="0"/>
              <w:rPr>
                <w:sz w:val="1"/>
                <w:szCs w:val="1"/>
                <w:color w:val="auto"/>
              </w:rPr>
            </w:pPr>
          </w:p>
        </w:tc>
      </w:tr>
      <w:tr>
        <w:trPr>
          <w:trHeight w:val="126"/>
        </w:trPr>
        <w:tc>
          <w:tcPr>
            <w:tcW w:w="1960" w:type="dxa"/>
            <w:vAlign w:val="bottom"/>
            <w:vMerge w:val="restart"/>
          </w:tcPr>
          <w:p>
            <w:pPr>
              <w:jc w:val="right"/>
              <w:ind w:right="269"/>
              <w:spacing w:after="0"/>
              <w:rPr>
                <w:sz w:val="20"/>
                <w:szCs w:val="20"/>
                <w:color w:val="auto"/>
              </w:rPr>
            </w:pPr>
            <w:r>
              <w:rPr>
                <w:rFonts w:ascii="Arial" w:cs="Arial" w:eastAsia="Arial" w:hAnsi="Arial"/>
                <w:sz w:val="19"/>
                <w:szCs w:val="19"/>
                <w:b w:val="1"/>
                <w:bCs w:val="1"/>
                <w:color w:val="666699"/>
              </w:rPr>
              <w:t>Q3 2012</w:t>
            </w:r>
          </w:p>
        </w:tc>
        <w:tc>
          <w:tcPr>
            <w:tcW w:w="1400" w:type="dxa"/>
            <w:vAlign w:val="bottom"/>
            <w:vMerge w:val="restart"/>
          </w:tcPr>
          <w:p>
            <w:pPr>
              <w:jc w:val="center"/>
              <w:spacing w:after="0"/>
              <w:rPr>
                <w:sz w:val="20"/>
                <w:szCs w:val="20"/>
                <w:color w:val="auto"/>
              </w:rPr>
            </w:pPr>
            <w:r>
              <w:rPr>
                <w:rFonts w:ascii="Arial" w:cs="Arial" w:eastAsia="Arial" w:hAnsi="Arial"/>
                <w:sz w:val="19"/>
                <w:szCs w:val="19"/>
                <w:b w:val="1"/>
                <w:bCs w:val="1"/>
                <w:color w:val="666699"/>
                <w:w w:val="98"/>
              </w:rPr>
              <w:t>Q4 2012</w:t>
            </w:r>
          </w:p>
        </w:tc>
        <w:tc>
          <w:tcPr>
            <w:tcW w:w="1420" w:type="dxa"/>
            <w:vAlign w:val="bottom"/>
            <w:vMerge w:val="restart"/>
          </w:tcPr>
          <w:p>
            <w:pPr>
              <w:jc w:val="center"/>
              <w:spacing w:after="0"/>
              <w:rPr>
                <w:sz w:val="20"/>
                <w:szCs w:val="20"/>
                <w:color w:val="auto"/>
              </w:rPr>
            </w:pPr>
            <w:r>
              <w:rPr>
                <w:rFonts w:ascii="Arial" w:cs="Arial" w:eastAsia="Arial" w:hAnsi="Arial"/>
                <w:sz w:val="19"/>
                <w:szCs w:val="19"/>
                <w:b w:val="1"/>
                <w:bCs w:val="1"/>
                <w:color w:val="666699"/>
                <w:w w:val="98"/>
              </w:rPr>
              <w:t>Q1 2013</w:t>
            </w:r>
          </w:p>
        </w:tc>
        <w:tc>
          <w:tcPr>
            <w:tcW w:w="14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96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9"/>
                <w:szCs w:val="19"/>
                <w:b w:val="1"/>
                <w:bCs w:val="1"/>
                <w:color w:val="666699"/>
              </w:rPr>
              <w:t>Q2 2013</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666699"/>
              </w:rPr>
              <w:t>Q3 2013</w:t>
            </w:r>
          </w:p>
        </w:tc>
        <w:tc>
          <w:tcPr>
            <w:tcW w:w="0" w:type="dxa"/>
            <w:vAlign w:val="bottom"/>
          </w:tcPr>
          <w:p>
            <w:pPr>
              <w:spacing w:after="0"/>
              <w:rPr>
                <w:sz w:val="1"/>
                <w:szCs w:val="1"/>
                <w:color w:val="auto"/>
              </w:rPr>
            </w:pPr>
          </w:p>
        </w:tc>
      </w:tr>
      <w:tr>
        <w:trPr>
          <w:trHeight w:val="200"/>
        </w:trPr>
        <w:tc>
          <w:tcPr>
            <w:tcW w:w="1960" w:type="dxa"/>
            <w:vAlign w:val="bottom"/>
          </w:tcPr>
          <w:p>
            <w:pPr>
              <w:jc w:val="right"/>
              <w:ind w:right="329"/>
              <w:spacing w:after="0"/>
              <w:rPr>
                <w:sz w:val="20"/>
                <w:szCs w:val="20"/>
                <w:color w:val="auto"/>
              </w:rPr>
            </w:pPr>
            <w:r>
              <w:rPr>
                <w:rFonts w:ascii="Arial" w:cs="Arial" w:eastAsia="Arial" w:hAnsi="Arial"/>
                <w:sz w:val="14"/>
                <w:szCs w:val="14"/>
                <w:b w:val="1"/>
                <w:bCs w:val="1"/>
                <w:color w:val="23282B"/>
              </w:rPr>
              <w:t>(11 stores)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23282B"/>
              </w:rPr>
              <w:t>(16 stores)</w:t>
            </w:r>
          </w:p>
        </w:tc>
        <w:tc>
          <w:tcPr>
            <w:tcW w:w="1420" w:type="dxa"/>
            <w:vAlign w:val="bottom"/>
          </w:tcPr>
          <w:p>
            <w:pPr>
              <w:ind w:left="300"/>
              <w:spacing w:after="0"/>
              <w:rPr>
                <w:sz w:val="20"/>
                <w:szCs w:val="20"/>
                <w:color w:val="auto"/>
              </w:rPr>
            </w:pPr>
            <w:r>
              <w:rPr>
                <w:rFonts w:ascii="Arial" w:cs="Arial" w:eastAsia="Arial" w:hAnsi="Arial"/>
                <w:sz w:val="14"/>
                <w:szCs w:val="14"/>
                <w:b w:val="1"/>
                <w:bCs w:val="1"/>
                <w:color w:val="23282B"/>
              </w:rPr>
              <w:t>(23 stores)</w:t>
            </w:r>
          </w:p>
        </w:tc>
        <w:tc>
          <w:tcPr>
            <w:tcW w:w="1440" w:type="dxa"/>
            <w:vAlign w:val="bottom"/>
          </w:tcPr>
          <w:p>
            <w:pPr>
              <w:jc w:val="right"/>
              <w:ind w:right="299"/>
              <w:spacing w:after="0"/>
              <w:rPr>
                <w:sz w:val="20"/>
                <w:szCs w:val="20"/>
                <w:color w:val="auto"/>
              </w:rPr>
            </w:pPr>
            <w:r>
              <w:rPr>
                <w:rFonts w:ascii="Arial" w:cs="Arial" w:eastAsia="Arial" w:hAnsi="Arial"/>
                <w:sz w:val="14"/>
                <w:szCs w:val="14"/>
                <w:b w:val="1"/>
                <w:bCs w:val="1"/>
                <w:color w:val="23282B"/>
              </w:rPr>
              <w:t>(29 stores)</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23282B"/>
              </w:rPr>
              <w:t>(36 stores)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800"/>
        <w:spacing w:after="0"/>
        <w:rPr>
          <w:sz w:val="20"/>
          <w:szCs w:val="20"/>
          <w:color w:val="auto"/>
        </w:rPr>
      </w:pPr>
      <w:r>
        <w:rPr>
          <w:rFonts w:ascii="Arial" w:cs="Arial" w:eastAsia="Arial" w:hAnsi="Arial"/>
          <w:sz w:val="30"/>
          <w:szCs w:val="30"/>
          <w:b w:val="1"/>
          <w:bCs w:val="1"/>
          <w:color w:val="5C6F7C"/>
          <w:vertAlign w:val="superscript"/>
        </w:rPr>
        <w:t>1</w:t>
      </w:r>
      <w:r>
        <w:rPr>
          <w:rFonts w:ascii="Arial" w:cs="Arial" w:eastAsia="Arial" w:hAnsi="Arial"/>
          <w:sz w:val="24"/>
          <w:szCs w:val="24"/>
          <w:b w:val="1"/>
          <w:bCs w:val="1"/>
          <w:color w:val="5C6F7C"/>
        </w:rPr>
        <w:t>Spring market campaign ran from 5/5/13 to 6/14/13</w:t>
      </w:r>
    </w:p>
    <w:p>
      <w:pPr>
        <w:ind w:left="2240" w:right="800" w:firstLine="435"/>
        <w:spacing w:after="0" w:line="237" w:lineRule="auto"/>
        <w:rPr>
          <w:sz w:val="20"/>
          <w:szCs w:val="20"/>
          <w:color w:val="auto"/>
        </w:rPr>
      </w:pPr>
      <w:r>
        <w:rPr>
          <w:rFonts w:ascii="Arial" w:cs="Arial" w:eastAsia="Arial" w:hAnsi="Arial"/>
          <w:sz w:val="29"/>
          <w:szCs w:val="29"/>
          <w:b w:val="1"/>
          <w:bCs w:val="1"/>
          <w:color w:val="5C6F7C"/>
          <w:vertAlign w:val="superscript"/>
        </w:rPr>
        <w:t>2</w:t>
      </w:r>
      <w:r>
        <w:rPr>
          <w:rFonts w:ascii="Arial" w:cs="Arial" w:eastAsia="Arial" w:hAnsi="Arial"/>
          <w:sz w:val="23"/>
          <w:szCs w:val="23"/>
          <w:b w:val="1"/>
          <w:bCs w:val="1"/>
          <w:color w:val="5C6F7C"/>
        </w:rPr>
        <w:t>Fall marketing campaign ran from 9/28/13 to 11/23/13 Reported 25.3% increase at DXLs open &gt;1 year in October 2013</w:t>
      </w:r>
    </w:p>
    <w:p>
      <w:pPr>
        <w:spacing w:after="0" w:line="165" w:lineRule="exact"/>
        <w:rPr>
          <w:sz w:val="20"/>
          <w:szCs w:val="20"/>
          <w:color w:val="auto"/>
        </w:rPr>
      </w:pPr>
    </w:p>
    <w:tbl>
      <w:tblPr>
        <w:tblLayout w:type="fixed"/>
        <w:tblInd w:w="408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19</w:t>
            </w:r>
          </w:p>
        </w:tc>
      </w:tr>
    </w:tbl>
    <w:p>
      <w:pPr>
        <w:sectPr>
          <w:pgSz w:w="11900" w:h="16838" w:orient="portrait"/>
          <w:cols w:equalWidth="0" w:num="1">
            <w:col w:w="10100"/>
          </w:cols>
          <w:pgMar w:left="840" w:top="1012" w:right="9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42"/>
          <w:szCs w:val="42"/>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COMPELLING DXL RETURNS</w:t>
      </w:r>
    </w:p>
    <w:p>
      <w:pPr>
        <w:sectPr>
          <w:pgSz w:w="11900" w:h="16838" w:orient="portrait"/>
          <w:cols w:equalWidth="0" w:num="1">
            <w:col w:w="10060"/>
          </w:cols>
          <w:pgMar w:left="860" w:top="989"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 w:right="100"/>
        <w:spacing w:after="0" w:line="314" w:lineRule="auto"/>
        <w:rPr>
          <w:sz w:val="20"/>
          <w:szCs w:val="20"/>
          <w:color w:val="auto"/>
        </w:rPr>
      </w:pPr>
      <w:r>
        <w:rPr>
          <w:rFonts w:ascii="Arial" w:cs="Arial" w:eastAsia="Arial" w:hAnsi="Arial"/>
          <w:sz w:val="22"/>
          <w:szCs w:val="22"/>
          <w:b w:val="1"/>
          <w:bCs w:val="1"/>
          <w:color w:val="354047"/>
        </w:rPr>
        <w:t>Expect greater store productivity and profitability</w:t>
      </w:r>
    </w:p>
    <w:p>
      <w:pPr>
        <w:spacing w:after="0" w:line="200" w:lineRule="exact"/>
        <w:rPr>
          <w:sz w:val="20"/>
          <w:szCs w:val="20"/>
          <w:color w:val="auto"/>
        </w:rPr>
      </w:pPr>
    </w:p>
    <w:p>
      <w:pPr>
        <w:spacing w:after="0" w:line="384" w:lineRule="exact"/>
        <w:rPr>
          <w:sz w:val="20"/>
          <w:szCs w:val="20"/>
          <w:color w:val="auto"/>
        </w:rPr>
      </w:pPr>
    </w:p>
    <w:p>
      <w:pPr>
        <w:ind w:left="300" w:right="140"/>
        <w:spacing w:after="0" w:line="314" w:lineRule="auto"/>
        <w:rPr>
          <w:sz w:val="20"/>
          <w:szCs w:val="20"/>
          <w:color w:val="auto"/>
        </w:rPr>
      </w:pPr>
      <w:r>
        <w:rPr>
          <w:rFonts w:ascii="Arial" w:cs="Arial" w:eastAsia="Arial" w:hAnsi="Arial"/>
          <w:sz w:val="22"/>
          <w:szCs w:val="22"/>
          <w:b w:val="1"/>
          <w:bCs w:val="1"/>
          <w:color w:val="354047"/>
        </w:rPr>
        <w:t>Projecting higher 4-wall profits than combined profits of individual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 w:right="860"/>
        <w:spacing w:after="0" w:line="314" w:lineRule="auto"/>
        <w:rPr>
          <w:sz w:val="20"/>
          <w:szCs w:val="20"/>
          <w:color w:val="auto"/>
        </w:rPr>
      </w:pPr>
      <w:r>
        <w:rPr>
          <w:rFonts w:ascii="Arial" w:cs="Arial" w:eastAsia="Arial" w:hAnsi="Arial"/>
          <w:sz w:val="22"/>
          <w:szCs w:val="22"/>
          <w:b w:val="1"/>
          <w:bCs w:val="1"/>
          <w:color w:val="354047"/>
        </w:rPr>
        <w:t>Potential to capture additional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354047"/>
        </w:rPr>
        <w:t>Opportunity to improve</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354047"/>
        </w:rPr>
        <w:t>operating margins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303" w:lineRule="auto"/>
        <w:rPr>
          <w:sz w:val="20"/>
          <w:szCs w:val="20"/>
          <w:color w:val="auto"/>
        </w:rPr>
      </w:pPr>
      <w:r>
        <w:rPr>
          <w:rFonts w:ascii="Arial" w:cs="Arial" w:eastAsia="Arial" w:hAnsi="Arial"/>
          <w:sz w:val="22"/>
          <w:szCs w:val="22"/>
          <w:color w:val="354047"/>
        </w:rPr>
        <w:t>Better leveraging of expenses -- occupancy, labor productivity and local/district management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60"/>
        <w:spacing w:after="0" w:line="303" w:lineRule="auto"/>
        <w:rPr>
          <w:sz w:val="20"/>
          <w:szCs w:val="20"/>
          <w:color w:val="auto"/>
        </w:rPr>
      </w:pPr>
      <w:r>
        <w:rPr>
          <w:rFonts w:ascii="Arial" w:cs="Arial" w:eastAsia="Arial" w:hAnsi="Arial"/>
          <w:sz w:val="22"/>
          <w:szCs w:val="22"/>
          <w:color w:val="354047"/>
        </w:rPr>
        <w:t>Targeting between 25%-30% store operating margin</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354047"/>
        </w:rPr>
        <w:t>Attract new customers</w:t>
      </w:r>
    </w:p>
    <w:p>
      <w:pPr>
        <w:spacing w:after="0" w:line="276" w:lineRule="exact"/>
        <w:rPr>
          <w:sz w:val="20"/>
          <w:szCs w:val="20"/>
          <w:color w:val="auto"/>
        </w:rPr>
      </w:pPr>
    </w:p>
    <w:p>
      <w:pPr>
        <w:jc w:val="both"/>
        <w:ind w:right="620"/>
        <w:spacing w:after="0" w:line="268" w:lineRule="auto"/>
        <w:rPr>
          <w:sz w:val="20"/>
          <w:szCs w:val="20"/>
          <w:color w:val="auto"/>
        </w:rPr>
      </w:pPr>
      <w:r>
        <w:rPr>
          <w:rFonts w:ascii="Arial" w:cs="Arial" w:eastAsia="Arial" w:hAnsi="Arial"/>
          <w:sz w:val="22"/>
          <w:szCs w:val="22"/>
          <w:color w:val="354047"/>
        </w:rPr>
        <w:t>Better cross-selling environment to capture greater share of apparel wallet from existing customers</w:t>
      </w:r>
    </w:p>
    <w:p>
      <w:pPr>
        <w:spacing w:after="0" w:line="200" w:lineRule="exact"/>
        <w:rPr>
          <w:sz w:val="20"/>
          <w:szCs w:val="20"/>
          <w:color w:val="auto"/>
        </w:rPr>
      </w:pPr>
    </w:p>
    <w:p>
      <w:pPr>
        <w:spacing w:after="0" w:line="352" w:lineRule="exact"/>
        <w:rPr>
          <w:sz w:val="20"/>
          <w:szCs w:val="20"/>
          <w:color w:val="auto"/>
        </w:rPr>
      </w:pPr>
    </w:p>
    <w:p>
      <w:pPr>
        <w:ind w:right="180"/>
        <w:spacing w:after="0" w:line="292" w:lineRule="auto"/>
        <w:rPr>
          <w:sz w:val="20"/>
          <w:szCs w:val="20"/>
          <w:color w:val="auto"/>
        </w:rPr>
      </w:pPr>
      <w:r>
        <w:rPr>
          <w:rFonts w:ascii="Arial" w:cs="Arial" w:eastAsia="Arial" w:hAnsi="Arial"/>
          <w:sz w:val="22"/>
          <w:szCs w:val="22"/>
          <w:color w:val="354047"/>
        </w:rPr>
        <w:t>Expect to increase margins significantly after the transition to DXL is complete</w:t>
      </w:r>
    </w:p>
    <w:p>
      <w:pPr>
        <w:spacing w:after="0" w:line="200" w:lineRule="exact"/>
        <w:rPr>
          <w:sz w:val="20"/>
          <w:szCs w:val="20"/>
          <w:color w:val="auto"/>
        </w:rPr>
      </w:pPr>
    </w:p>
    <w:p>
      <w:pPr>
        <w:sectPr>
          <w:pgSz w:w="11900" w:h="16838" w:orient="portrait"/>
          <w:cols w:equalWidth="0" w:num="2">
            <w:col w:w="4360" w:space="720"/>
            <w:col w:w="4980"/>
          </w:cols>
          <w:pgMar w:left="860" w:top="989"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6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20</w:t>
            </w:r>
          </w:p>
        </w:tc>
      </w:tr>
    </w:tbl>
    <w:p>
      <w:pPr>
        <w:sectPr>
          <w:pgSz w:w="11900" w:h="16838" w:orient="portrait"/>
          <w:cols w:equalWidth="0" w:num="1">
            <w:col w:w="10060"/>
          </w:cols>
          <w:pgMar w:left="860" w:top="989" w:right="979" w:bottom="1440" w:gutter="0" w:footer="0" w:header="0"/>
          <w:type w:val="continuous"/>
        </w:sectPr>
      </w:pPr>
    </w:p>
    <w:bookmarkStart w:id="23" w:name="page24"/>
    <w:bookmarkEnd w:id="23"/>
    <w:p>
      <w:pPr>
        <w:ind w:left="160"/>
        <w:spacing w:after="0"/>
        <w:rPr>
          <w:sz w:val="20"/>
          <w:szCs w:val="20"/>
          <w:color w:val="auto"/>
        </w:rPr>
      </w:pPr>
      <w:r>
        <w:rPr>
          <w:rFonts w:ascii="Arial" w:cs="Arial" w:eastAsia="Arial" w:hAnsi="Arial"/>
          <w:sz w:val="42"/>
          <w:szCs w:val="42"/>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0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5480050"/>
                    </a:xfrm>
                    <a:prstGeom prst="rect">
                      <a:avLst/>
                    </a:prstGeom>
                    <a:noFill/>
                  </pic:spPr>
                </pic:pic>
              </a:graphicData>
            </a:graphic>
          </wp:anchor>
        </w:drawing>
        <w:t>ACCELERATED DXL OPENINGS</w:t>
      </w:r>
    </w:p>
    <w:p>
      <w:pPr>
        <w:sectPr>
          <w:pgSz w:w="11900" w:h="16838" w:orient="portrait"/>
          <w:cols w:equalWidth="0" w:num="1">
            <w:col w:w="10220"/>
          </w:cols>
          <w:pgMar w:left="700" w:top="1012"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354047"/>
        </w:rPr>
        <w:t>500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354047"/>
        </w:rPr>
        <w:t>450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354047"/>
        </w:rPr>
        <w:t>400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354047"/>
        </w:rPr>
        <w:t>350</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354047"/>
        </w:rPr>
        <w:t>300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354047"/>
        </w:rPr>
        <w:t>250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354047"/>
        </w:rPr>
        <w:t>200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354047"/>
        </w:rPr>
        <w:t>150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354047"/>
        </w:rPr>
        <w:t>100</w:t>
      </w:r>
    </w:p>
    <w:p>
      <w:pPr>
        <w:spacing w:after="0" w:line="205" w:lineRule="exact"/>
        <w:rPr>
          <w:sz w:val="20"/>
          <w:szCs w:val="20"/>
          <w:color w:val="auto"/>
        </w:rPr>
      </w:pPr>
    </w:p>
    <w:p>
      <w:pPr>
        <w:jc w:val="right"/>
        <w:ind w:right="20"/>
        <w:spacing w:after="0"/>
        <w:rPr>
          <w:sz w:val="20"/>
          <w:szCs w:val="20"/>
          <w:color w:val="auto"/>
        </w:rPr>
      </w:pPr>
      <w:r>
        <w:rPr>
          <w:rFonts w:ascii="Arial" w:cs="Arial" w:eastAsia="Arial" w:hAnsi="Arial"/>
          <w:sz w:val="19"/>
          <w:szCs w:val="19"/>
          <w:b w:val="1"/>
          <w:bCs w:val="1"/>
          <w:color w:val="354047"/>
        </w:rPr>
        <w:t>50</w:t>
      </w:r>
    </w:p>
    <w:p>
      <w:pPr>
        <w:spacing w:after="0" w:line="205" w:lineRule="exact"/>
        <w:rPr>
          <w:sz w:val="20"/>
          <w:szCs w:val="20"/>
          <w:color w:val="auto"/>
        </w:rPr>
      </w:pPr>
    </w:p>
    <w:p>
      <w:pPr>
        <w:jc w:val="right"/>
        <w:ind w:right="20"/>
        <w:spacing w:after="0"/>
        <w:rPr>
          <w:sz w:val="20"/>
          <w:szCs w:val="20"/>
          <w:color w:val="auto"/>
        </w:rPr>
      </w:pPr>
      <w:r>
        <w:rPr>
          <w:rFonts w:ascii="Arial" w:cs="Arial" w:eastAsia="Arial" w:hAnsi="Arial"/>
          <w:sz w:val="19"/>
          <w:szCs w:val="19"/>
          <w:b w:val="1"/>
          <w:bCs w:val="1"/>
          <w:color w:val="354047"/>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40"/>
        <w:spacing w:after="0"/>
        <w:rPr>
          <w:sz w:val="20"/>
          <w:szCs w:val="20"/>
          <w:color w:val="auto"/>
        </w:rPr>
      </w:pPr>
      <w:r>
        <w:rPr>
          <w:rFonts w:ascii="Arial" w:cs="Arial" w:eastAsia="Arial" w:hAnsi="Arial"/>
          <w:sz w:val="19"/>
          <w:szCs w:val="19"/>
          <w:b w:val="1"/>
          <w:bCs w:val="1"/>
          <w:color w:val="354047"/>
        </w:rPr>
        <w:t>2015 Store Count Target</w:t>
      </w:r>
    </w:p>
    <w:p>
      <w:pPr>
        <w:spacing w:after="0" w:line="219" w:lineRule="exact"/>
        <w:rPr>
          <w:sz w:val="20"/>
          <w:szCs w:val="20"/>
          <w:color w:val="auto"/>
        </w:rPr>
      </w:pPr>
    </w:p>
    <w:tbl>
      <w:tblPr>
        <w:tblLayout w:type="fixed"/>
        <w:tblInd w:w="5360" w:type="dxa"/>
        <w:tblCellMar>
          <w:top w:w="0" w:type="dxa"/>
          <w:left w:w="0" w:type="dxa"/>
          <w:bottom w:w="0" w:type="dxa"/>
          <w:right w:w="0" w:type="dxa"/>
        </w:tblCellMar>
      </w:tblPr>
      <w:tr>
        <w:trPr>
          <w:trHeight w:val="214"/>
        </w:trPr>
        <w:tc>
          <w:tcPr>
            <w:tcW w:w="1860" w:type="dxa"/>
            <w:vAlign w:val="bottom"/>
          </w:tcPr>
          <w:p>
            <w:pPr>
              <w:jc w:val="center"/>
              <w:ind w:right="244"/>
              <w:spacing w:after="0"/>
              <w:rPr>
                <w:sz w:val="20"/>
                <w:szCs w:val="20"/>
                <w:color w:val="auto"/>
              </w:rPr>
            </w:pPr>
            <w:r>
              <w:rPr>
                <w:rFonts w:ascii="Arial" w:cs="Arial" w:eastAsia="Arial" w:hAnsi="Arial"/>
                <w:sz w:val="15"/>
                <w:szCs w:val="15"/>
                <w:color w:val="354047"/>
              </w:rPr>
              <w:t>Destination XL</w:t>
            </w:r>
          </w:p>
        </w:tc>
        <w:tc>
          <w:tcPr>
            <w:tcW w:w="900" w:type="dxa"/>
            <w:vAlign w:val="bottom"/>
          </w:tcPr>
          <w:p>
            <w:pPr>
              <w:jc w:val="center"/>
              <w:ind w:left="244"/>
              <w:spacing w:after="0"/>
              <w:rPr>
                <w:sz w:val="20"/>
                <w:szCs w:val="20"/>
                <w:color w:val="auto"/>
              </w:rPr>
            </w:pPr>
            <w:r>
              <w:rPr>
                <w:rFonts w:ascii="Arial" w:cs="Arial" w:eastAsia="Arial" w:hAnsi="Arial"/>
                <w:sz w:val="15"/>
                <w:szCs w:val="15"/>
                <w:b w:val="1"/>
                <w:bCs w:val="1"/>
                <w:color w:val="354047"/>
              </w:rPr>
              <w:t>215-230</w:t>
            </w:r>
          </w:p>
        </w:tc>
      </w:tr>
      <w:tr>
        <w:trPr>
          <w:trHeight w:val="459"/>
        </w:trPr>
        <w:tc>
          <w:tcPr>
            <w:tcW w:w="1860" w:type="dxa"/>
            <w:vAlign w:val="bottom"/>
          </w:tcPr>
          <w:p>
            <w:pPr>
              <w:jc w:val="center"/>
              <w:ind w:right="244"/>
              <w:spacing w:after="0"/>
              <w:rPr>
                <w:sz w:val="20"/>
                <w:szCs w:val="20"/>
                <w:color w:val="auto"/>
              </w:rPr>
            </w:pPr>
            <w:r>
              <w:rPr>
                <w:rFonts w:ascii="Arial" w:cs="Arial" w:eastAsia="Arial" w:hAnsi="Arial"/>
                <w:sz w:val="15"/>
                <w:szCs w:val="15"/>
                <w:color w:val="354047"/>
              </w:rPr>
              <w:t>Casual Male XL Outlet</w:t>
            </w:r>
          </w:p>
        </w:tc>
        <w:tc>
          <w:tcPr>
            <w:tcW w:w="900" w:type="dxa"/>
            <w:vAlign w:val="bottom"/>
          </w:tcPr>
          <w:p>
            <w:pPr>
              <w:jc w:val="center"/>
              <w:ind w:left="244"/>
              <w:spacing w:after="0"/>
              <w:rPr>
                <w:sz w:val="20"/>
                <w:szCs w:val="20"/>
                <w:color w:val="auto"/>
              </w:rPr>
            </w:pPr>
            <w:r>
              <w:rPr>
                <w:rFonts w:ascii="Arial" w:cs="Arial" w:eastAsia="Arial" w:hAnsi="Arial"/>
                <w:sz w:val="15"/>
                <w:szCs w:val="15"/>
                <w:b w:val="1"/>
                <w:bCs w:val="1"/>
                <w:color w:val="354047"/>
                <w:w w:val="98"/>
              </w:rPr>
              <w:t>55-60</w:t>
            </w:r>
          </w:p>
        </w:tc>
      </w:tr>
      <w:tr>
        <w:trPr>
          <w:trHeight w:val="459"/>
        </w:trPr>
        <w:tc>
          <w:tcPr>
            <w:tcW w:w="1860" w:type="dxa"/>
            <w:vAlign w:val="bottom"/>
          </w:tcPr>
          <w:p>
            <w:pPr>
              <w:jc w:val="center"/>
              <w:ind w:right="244"/>
              <w:spacing w:after="0"/>
              <w:rPr>
                <w:sz w:val="20"/>
                <w:szCs w:val="20"/>
                <w:color w:val="auto"/>
              </w:rPr>
            </w:pPr>
            <w:r>
              <w:rPr>
                <w:rFonts w:ascii="Arial" w:cs="Arial" w:eastAsia="Arial" w:hAnsi="Arial"/>
                <w:sz w:val="15"/>
                <w:szCs w:val="15"/>
                <w:color w:val="354047"/>
              </w:rPr>
              <w:t>Rochester Clothing</w:t>
            </w:r>
          </w:p>
        </w:tc>
        <w:tc>
          <w:tcPr>
            <w:tcW w:w="900" w:type="dxa"/>
            <w:vAlign w:val="bottom"/>
          </w:tcPr>
          <w:p>
            <w:pPr>
              <w:jc w:val="center"/>
              <w:ind w:left="224"/>
              <w:spacing w:after="0"/>
              <w:rPr>
                <w:sz w:val="20"/>
                <w:szCs w:val="20"/>
                <w:color w:val="auto"/>
              </w:rPr>
            </w:pPr>
            <w:r>
              <w:rPr>
                <w:rFonts w:ascii="Arial" w:cs="Arial" w:eastAsia="Arial" w:hAnsi="Arial"/>
                <w:sz w:val="15"/>
                <w:szCs w:val="15"/>
                <w:b w:val="1"/>
                <w:bCs w:val="1"/>
                <w:color w:val="354047"/>
                <w:w w:val="95"/>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160" w:val="left"/>
          <w:tab w:leader="none" w:pos="2360" w:val="left"/>
          <w:tab w:leader="none" w:pos="3560" w:val="left"/>
          <w:tab w:leader="none" w:pos="4740" w:val="left"/>
          <w:tab w:leader="none" w:pos="5940" w:val="left"/>
        </w:tabs>
        <w:rPr>
          <w:sz w:val="20"/>
          <w:szCs w:val="20"/>
          <w:color w:val="auto"/>
        </w:rPr>
      </w:pPr>
      <w:r>
        <w:rPr>
          <w:rFonts w:ascii="Arial" w:cs="Arial" w:eastAsia="Arial" w:hAnsi="Arial"/>
          <w:sz w:val="19"/>
          <w:szCs w:val="19"/>
          <w:b w:val="1"/>
          <w:bCs w:val="1"/>
          <w:color w:val="354047"/>
        </w:rPr>
        <w:t>2010</w:t>
      </w:r>
      <w:r>
        <w:rPr>
          <w:sz w:val="20"/>
          <w:szCs w:val="20"/>
          <w:color w:val="auto"/>
        </w:rPr>
        <w:tab/>
      </w:r>
      <w:r>
        <w:rPr>
          <w:rFonts w:ascii="Arial" w:cs="Arial" w:eastAsia="Arial" w:hAnsi="Arial"/>
          <w:sz w:val="19"/>
          <w:szCs w:val="19"/>
          <w:b w:val="1"/>
          <w:bCs w:val="1"/>
          <w:color w:val="354047"/>
        </w:rPr>
        <w:t>2011</w:t>
      </w:r>
      <w:r>
        <w:rPr>
          <w:sz w:val="20"/>
          <w:szCs w:val="20"/>
          <w:color w:val="auto"/>
        </w:rPr>
        <w:tab/>
      </w:r>
      <w:r>
        <w:rPr>
          <w:rFonts w:ascii="Arial" w:cs="Arial" w:eastAsia="Arial" w:hAnsi="Arial"/>
          <w:sz w:val="19"/>
          <w:szCs w:val="19"/>
          <w:b w:val="1"/>
          <w:bCs w:val="1"/>
          <w:color w:val="354047"/>
        </w:rPr>
        <w:t>2012</w:t>
      </w:r>
      <w:r>
        <w:rPr>
          <w:sz w:val="20"/>
          <w:szCs w:val="20"/>
          <w:color w:val="auto"/>
        </w:rPr>
        <w:tab/>
      </w:r>
      <w:r>
        <w:rPr>
          <w:rFonts w:ascii="Arial" w:cs="Arial" w:eastAsia="Arial" w:hAnsi="Arial"/>
          <w:sz w:val="19"/>
          <w:szCs w:val="19"/>
          <w:b w:val="1"/>
          <w:bCs w:val="1"/>
          <w:color w:val="354047"/>
        </w:rPr>
        <w:t>2013</w:t>
      </w:r>
      <w:r>
        <w:rPr>
          <w:sz w:val="20"/>
          <w:szCs w:val="20"/>
          <w:color w:val="auto"/>
        </w:rPr>
        <w:tab/>
      </w:r>
      <w:r>
        <w:rPr>
          <w:rFonts w:ascii="Arial" w:cs="Arial" w:eastAsia="Arial" w:hAnsi="Arial"/>
          <w:sz w:val="19"/>
          <w:szCs w:val="19"/>
          <w:b w:val="1"/>
          <w:bCs w:val="1"/>
          <w:color w:val="354047"/>
        </w:rPr>
        <w:t>2014</w:t>
      </w:r>
      <w:r>
        <w:rPr>
          <w:sz w:val="20"/>
          <w:szCs w:val="20"/>
          <w:color w:val="auto"/>
        </w:rPr>
        <w:tab/>
      </w:r>
      <w:r>
        <w:rPr>
          <w:rFonts w:ascii="Arial" w:cs="Arial" w:eastAsia="Arial" w:hAnsi="Arial"/>
          <w:sz w:val="17"/>
          <w:szCs w:val="17"/>
          <w:b w:val="1"/>
          <w:bCs w:val="1"/>
          <w:color w:val="354047"/>
        </w:rPr>
        <w:t>2015</w:t>
      </w:r>
    </w:p>
    <w:p>
      <w:pPr>
        <w:spacing w:after="0" w:line="149" w:lineRule="exact"/>
        <w:rPr>
          <w:sz w:val="20"/>
          <w:szCs w:val="20"/>
          <w:color w:val="auto"/>
        </w:rPr>
      </w:pPr>
    </w:p>
    <w:p>
      <w:pPr>
        <w:sectPr>
          <w:pgSz w:w="11900" w:h="16838" w:orient="portrait"/>
          <w:cols w:equalWidth="0" w:num="2">
            <w:col w:w="780" w:space="540"/>
            <w:col w:w="8900"/>
          </w:cols>
          <w:pgMar w:left="700" w:top="1012" w:right="97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5"/>
                <w:szCs w:val="15"/>
                <w:color w:val="354047"/>
              </w:rPr>
              <w:t>Total Stores:</w:t>
            </w:r>
          </w:p>
        </w:tc>
        <w:tc>
          <w:tcPr>
            <w:tcW w:w="1020" w:type="dxa"/>
            <w:vAlign w:val="bottom"/>
          </w:tcPr>
          <w:p>
            <w:pPr>
              <w:jc w:val="right"/>
              <w:ind w:right="344"/>
              <w:spacing w:after="0"/>
              <w:rPr>
                <w:sz w:val="20"/>
                <w:szCs w:val="20"/>
                <w:color w:val="auto"/>
              </w:rPr>
            </w:pPr>
            <w:r>
              <w:rPr>
                <w:rFonts w:ascii="Arial" w:cs="Arial" w:eastAsia="Arial" w:hAnsi="Arial"/>
                <w:sz w:val="15"/>
                <w:szCs w:val="15"/>
                <w:color w:val="354047"/>
              </w:rPr>
              <w:t>(460)</w:t>
            </w:r>
          </w:p>
        </w:tc>
        <w:tc>
          <w:tcPr>
            <w:tcW w:w="1180" w:type="dxa"/>
            <w:vAlign w:val="bottom"/>
          </w:tcPr>
          <w:p>
            <w:pPr>
              <w:jc w:val="right"/>
              <w:ind w:right="344"/>
              <w:spacing w:after="0"/>
              <w:rPr>
                <w:sz w:val="20"/>
                <w:szCs w:val="20"/>
                <w:color w:val="auto"/>
              </w:rPr>
            </w:pPr>
            <w:r>
              <w:rPr>
                <w:rFonts w:ascii="Arial" w:cs="Arial" w:eastAsia="Arial" w:hAnsi="Arial"/>
                <w:sz w:val="15"/>
                <w:szCs w:val="15"/>
                <w:color w:val="354047"/>
              </w:rPr>
              <w:t>(450)</w:t>
            </w:r>
          </w:p>
        </w:tc>
        <w:tc>
          <w:tcPr>
            <w:tcW w:w="1160" w:type="dxa"/>
            <w:vAlign w:val="bottom"/>
          </w:tcPr>
          <w:p>
            <w:pPr>
              <w:jc w:val="right"/>
              <w:ind w:right="324"/>
              <w:spacing w:after="0"/>
              <w:rPr>
                <w:sz w:val="20"/>
                <w:szCs w:val="20"/>
                <w:color w:val="auto"/>
              </w:rPr>
            </w:pPr>
            <w:r>
              <w:rPr>
                <w:rFonts w:ascii="Arial" w:cs="Arial" w:eastAsia="Arial" w:hAnsi="Arial"/>
                <w:sz w:val="15"/>
                <w:szCs w:val="15"/>
                <w:color w:val="354047"/>
              </w:rPr>
              <w:t>(412)</w:t>
            </w:r>
          </w:p>
        </w:tc>
        <w:tc>
          <w:tcPr>
            <w:tcW w:w="1180" w:type="dxa"/>
            <w:vAlign w:val="bottom"/>
          </w:tcPr>
          <w:p>
            <w:pPr>
              <w:jc w:val="right"/>
              <w:ind w:right="264"/>
              <w:spacing w:after="0"/>
              <w:rPr>
                <w:sz w:val="20"/>
                <w:szCs w:val="20"/>
                <w:color w:val="auto"/>
              </w:rPr>
            </w:pPr>
            <w:r>
              <w:rPr>
                <w:rFonts w:ascii="Arial" w:cs="Arial" w:eastAsia="Arial" w:hAnsi="Arial"/>
                <w:sz w:val="15"/>
                <w:szCs w:val="15"/>
                <w:color w:val="354047"/>
              </w:rPr>
              <w:t>(~363)</w:t>
            </w:r>
          </w:p>
        </w:tc>
        <w:tc>
          <w:tcPr>
            <w:tcW w:w="1260" w:type="dxa"/>
            <w:vAlign w:val="bottom"/>
          </w:tcPr>
          <w:p>
            <w:pPr>
              <w:jc w:val="right"/>
              <w:ind w:right="164"/>
              <w:spacing w:after="0"/>
              <w:rPr>
                <w:sz w:val="20"/>
                <w:szCs w:val="20"/>
                <w:color w:val="auto"/>
              </w:rPr>
            </w:pPr>
            <w:r>
              <w:rPr>
                <w:rFonts w:ascii="Arial" w:cs="Arial" w:eastAsia="Arial" w:hAnsi="Arial"/>
                <w:sz w:val="15"/>
                <w:szCs w:val="15"/>
                <w:color w:val="23282B"/>
              </w:rPr>
              <w:t>(315-330)</w:t>
            </w:r>
          </w:p>
        </w:tc>
        <w:tc>
          <w:tcPr>
            <w:tcW w:w="900" w:type="dxa"/>
            <w:vAlign w:val="bottom"/>
          </w:tcPr>
          <w:p>
            <w:pPr>
              <w:jc w:val="right"/>
              <w:spacing w:after="0"/>
              <w:rPr>
                <w:sz w:val="20"/>
                <w:szCs w:val="20"/>
                <w:color w:val="auto"/>
              </w:rPr>
            </w:pPr>
            <w:r>
              <w:rPr>
                <w:rFonts w:ascii="Arial" w:cs="Arial" w:eastAsia="Arial" w:hAnsi="Arial"/>
                <w:sz w:val="15"/>
                <w:szCs w:val="15"/>
                <w:color w:val="354047"/>
              </w:rPr>
              <w:t>(275-295)</w:t>
            </w:r>
          </w:p>
        </w:tc>
      </w:tr>
    </w:tbl>
    <w:p>
      <w:pPr>
        <w:spacing w:after="0" w:line="200" w:lineRule="exact"/>
        <w:rPr>
          <w:sz w:val="20"/>
          <w:szCs w:val="20"/>
          <w:color w:val="auto"/>
        </w:rPr>
      </w:pPr>
    </w:p>
    <w:p>
      <w:pPr>
        <w:spacing w:after="0" w:line="221" w:lineRule="exact"/>
        <w:rPr>
          <w:sz w:val="20"/>
          <w:szCs w:val="20"/>
          <w:color w:val="auto"/>
        </w:rPr>
      </w:pPr>
    </w:p>
    <w:p>
      <w:pPr>
        <w:ind w:left="1900"/>
        <w:spacing w:after="0"/>
        <w:rPr>
          <w:sz w:val="20"/>
          <w:szCs w:val="20"/>
          <w:color w:val="auto"/>
        </w:rPr>
      </w:pPr>
      <w:r>
        <w:rPr>
          <w:rFonts w:ascii="Arial" w:cs="Arial" w:eastAsia="Arial" w:hAnsi="Arial"/>
          <w:sz w:val="28"/>
          <w:szCs w:val="28"/>
          <w:b w:val="1"/>
          <w:bCs w:val="1"/>
          <w:color w:val="5C6F7C"/>
        </w:rPr>
        <w:t>Accelerated rollout based on success of DXL stores in 2011</w:t>
      </w:r>
    </w:p>
    <w:p>
      <w:pPr>
        <w:spacing w:after="0" w:line="261" w:lineRule="exact"/>
        <w:rPr>
          <w:sz w:val="20"/>
          <w:szCs w:val="20"/>
          <w:color w:val="auto"/>
        </w:rPr>
      </w:pPr>
    </w:p>
    <w:tbl>
      <w:tblPr>
        <w:tblLayout w:type="fixed"/>
        <w:tblInd w:w="422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21</w:t>
            </w:r>
          </w:p>
        </w:tc>
      </w:tr>
    </w:tbl>
    <w:p>
      <w:pPr>
        <w:sectPr>
          <w:pgSz w:w="11900" w:h="16838" w:orient="portrait"/>
          <w:cols w:equalWidth="0" w:num="1">
            <w:col w:w="10220"/>
          </w:cols>
          <w:pgMar w:left="700" w:top="1012" w:right="979" w:bottom="1440" w:gutter="0" w:footer="0" w:header="0"/>
          <w:type w:val="continuous"/>
        </w:sectPr>
      </w:pPr>
    </w:p>
    <w:bookmarkStart w:id="24" w:name="page25"/>
    <w:bookmarkEnd w:id="24"/>
    <w:p>
      <w:pPr>
        <w:ind w:left="560"/>
        <w:spacing w:after="0"/>
        <w:rPr>
          <w:sz w:val="20"/>
          <w:szCs w:val="20"/>
          <w:color w:val="auto"/>
        </w:rPr>
      </w:pPr>
      <w:r>
        <w:rPr>
          <w:rFonts w:ascii="Arial" w:cs="Arial" w:eastAsia="Arial" w:hAnsi="Arial"/>
          <w:sz w:val="42"/>
          <w:szCs w:val="42"/>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DXL SALES INCREASE AS % OF TOTAL REVENUE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100" w:type="dxa"/>
        <w:tblCellMar>
          <w:top w:w="0" w:type="dxa"/>
          <w:left w:w="0" w:type="dxa"/>
          <w:bottom w:w="0" w:type="dxa"/>
          <w:right w:w="0" w:type="dxa"/>
        </w:tblCellMar>
      </w:tblPr>
      <w:tr>
        <w:trPr>
          <w:trHeight w:val="266"/>
        </w:trPr>
        <w:tc>
          <w:tcPr>
            <w:tcW w:w="1760" w:type="dxa"/>
            <w:vAlign w:val="bottom"/>
          </w:tcPr>
          <w:p>
            <w:pPr>
              <w:jc w:val="right"/>
              <w:ind w:right="1186"/>
              <w:spacing w:after="0"/>
              <w:rPr>
                <w:sz w:val="20"/>
                <w:szCs w:val="20"/>
                <w:color w:val="auto"/>
              </w:rPr>
            </w:pPr>
            <w:r>
              <w:rPr>
                <w:rFonts w:ascii="Arial" w:cs="Arial" w:eastAsia="Arial" w:hAnsi="Arial"/>
                <w:sz w:val="19"/>
                <w:szCs w:val="19"/>
                <w:b w:val="1"/>
                <w:bCs w:val="1"/>
                <w:color w:val="354047"/>
                <w:w w:val="94"/>
              </w:rPr>
              <w:t>100%</w:t>
            </w: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3"/>
        </w:trPr>
        <w:tc>
          <w:tcPr>
            <w:tcW w:w="1760" w:type="dxa"/>
            <w:vAlign w:val="bottom"/>
            <w:vMerge w:val="restart"/>
          </w:tcPr>
          <w:p>
            <w:pPr>
              <w:jc w:val="right"/>
              <w:ind w:right="1206"/>
              <w:spacing w:after="0"/>
              <w:rPr>
                <w:sz w:val="20"/>
                <w:szCs w:val="20"/>
                <w:color w:val="auto"/>
              </w:rPr>
            </w:pPr>
            <w:r>
              <w:rPr>
                <w:rFonts w:ascii="Arial" w:cs="Arial" w:eastAsia="Arial" w:hAnsi="Arial"/>
                <w:sz w:val="19"/>
                <w:szCs w:val="19"/>
                <w:b w:val="1"/>
                <w:bCs w:val="1"/>
                <w:color w:val="354047"/>
              </w:rPr>
              <w:t>90%</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475057"/>
              </w:rPr>
              <w:t>88%</w:t>
            </w:r>
          </w:p>
        </w:tc>
        <w:tc>
          <w:tcPr>
            <w:tcW w:w="0" w:type="dxa"/>
            <w:vAlign w:val="bottom"/>
          </w:tcPr>
          <w:p>
            <w:pPr>
              <w:spacing w:after="0"/>
              <w:rPr>
                <w:sz w:val="1"/>
                <w:szCs w:val="1"/>
                <w:color w:val="auto"/>
              </w:rPr>
            </w:pPr>
          </w:p>
        </w:tc>
      </w:tr>
      <w:tr>
        <w:trPr>
          <w:trHeight w:val="82"/>
        </w:trPr>
        <w:tc>
          <w:tcPr>
            <w:tcW w:w="176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vMerge w:val="restart"/>
          </w:tcPr>
          <w:p>
            <w:pPr>
              <w:jc w:val="right"/>
              <w:ind w:right="306"/>
              <w:spacing w:after="0"/>
              <w:rPr>
                <w:sz w:val="20"/>
                <w:szCs w:val="20"/>
                <w:color w:val="auto"/>
              </w:rPr>
            </w:pPr>
            <w:r>
              <w:rPr>
                <w:rFonts w:ascii="Arial" w:cs="Arial" w:eastAsia="Arial" w:hAnsi="Arial"/>
                <w:sz w:val="19"/>
                <w:szCs w:val="19"/>
                <w:b w:val="1"/>
                <w:bCs w:val="1"/>
                <w:color w:val="475057"/>
              </w:rPr>
              <w:t>80%</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jc w:val="right"/>
              <w:ind w:right="1206"/>
              <w:spacing w:after="0"/>
              <w:rPr>
                <w:sz w:val="20"/>
                <w:szCs w:val="20"/>
                <w:color w:val="auto"/>
              </w:rPr>
            </w:pPr>
            <w:r>
              <w:rPr>
                <w:rFonts w:ascii="Arial" w:cs="Arial" w:eastAsia="Arial" w:hAnsi="Arial"/>
                <w:sz w:val="19"/>
                <w:szCs w:val="19"/>
                <w:b w:val="1"/>
                <w:bCs w:val="1"/>
                <w:color w:val="354047"/>
              </w:rPr>
              <w:t>80%</w:t>
            </w:r>
          </w:p>
        </w:tc>
        <w:tc>
          <w:tcPr>
            <w:tcW w:w="1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76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2"/>
        </w:trPr>
        <w:tc>
          <w:tcPr>
            <w:tcW w:w="1760" w:type="dxa"/>
            <w:vAlign w:val="bottom"/>
          </w:tcPr>
          <w:p>
            <w:pPr>
              <w:jc w:val="right"/>
              <w:ind w:right="1206"/>
              <w:spacing w:after="0"/>
              <w:rPr>
                <w:sz w:val="20"/>
                <w:szCs w:val="20"/>
                <w:color w:val="auto"/>
              </w:rPr>
            </w:pPr>
            <w:r>
              <w:rPr>
                <w:rFonts w:ascii="Arial" w:cs="Arial" w:eastAsia="Arial" w:hAnsi="Arial"/>
                <w:sz w:val="19"/>
                <w:szCs w:val="19"/>
                <w:b w:val="1"/>
                <w:bCs w:val="1"/>
                <w:color w:val="354047"/>
              </w:rPr>
              <w:t>70%</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jc w:val="right"/>
              <w:ind w:right="286"/>
              <w:spacing w:after="0"/>
              <w:rPr>
                <w:sz w:val="20"/>
                <w:szCs w:val="20"/>
                <w:color w:val="auto"/>
              </w:rPr>
            </w:pPr>
            <w:r>
              <w:rPr>
                <w:rFonts w:ascii="Arial" w:cs="Arial" w:eastAsia="Arial" w:hAnsi="Arial"/>
                <w:sz w:val="19"/>
                <w:szCs w:val="19"/>
                <w:b w:val="1"/>
                <w:bCs w:val="1"/>
                <w:color w:val="475057"/>
              </w:rPr>
              <w:t>65%</w:t>
            </w: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760" w:type="dxa"/>
            <w:vAlign w:val="bottom"/>
          </w:tcPr>
          <w:p>
            <w:pPr>
              <w:jc w:val="right"/>
              <w:ind w:right="1206"/>
              <w:spacing w:after="0"/>
              <w:rPr>
                <w:sz w:val="20"/>
                <w:szCs w:val="20"/>
                <w:color w:val="auto"/>
              </w:rPr>
            </w:pPr>
            <w:r>
              <w:rPr>
                <w:rFonts w:ascii="Arial" w:cs="Arial" w:eastAsia="Arial" w:hAnsi="Arial"/>
                <w:sz w:val="19"/>
                <w:szCs w:val="19"/>
                <w:b w:val="1"/>
                <w:bCs w:val="1"/>
                <w:color w:val="354047"/>
              </w:rPr>
              <w:t>60%</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760" w:type="dxa"/>
            <w:vAlign w:val="bottom"/>
          </w:tcPr>
          <w:p>
            <w:pPr>
              <w:jc w:val="right"/>
              <w:ind w:right="1206"/>
              <w:spacing w:after="0"/>
              <w:rPr>
                <w:sz w:val="20"/>
                <w:szCs w:val="20"/>
                <w:color w:val="auto"/>
              </w:rPr>
            </w:pPr>
            <w:r>
              <w:rPr>
                <w:rFonts w:ascii="Arial" w:cs="Arial" w:eastAsia="Arial" w:hAnsi="Arial"/>
                <w:sz w:val="19"/>
                <w:szCs w:val="19"/>
                <w:b w:val="1"/>
                <w:bCs w:val="1"/>
                <w:color w:val="354047"/>
              </w:rPr>
              <w:t>50%</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vMerge w:val="restart"/>
          </w:tcPr>
          <w:p>
            <w:pPr>
              <w:jc w:val="right"/>
              <w:ind w:right="286"/>
              <w:spacing w:after="0"/>
              <w:rPr>
                <w:sz w:val="20"/>
                <w:szCs w:val="20"/>
                <w:color w:val="auto"/>
              </w:rPr>
            </w:pPr>
            <w:r>
              <w:rPr>
                <w:rFonts w:ascii="Arial" w:cs="Arial" w:eastAsia="Arial" w:hAnsi="Arial"/>
                <w:sz w:val="19"/>
                <w:szCs w:val="19"/>
                <w:b w:val="1"/>
                <w:bCs w:val="1"/>
                <w:color w:val="475057"/>
              </w:rPr>
              <w:t>44%</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3"/>
        </w:trPr>
        <w:tc>
          <w:tcPr>
            <w:tcW w:w="1760" w:type="dxa"/>
            <w:vAlign w:val="bottom"/>
          </w:tcPr>
          <w:p>
            <w:pPr>
              <w:jc w:val="right"/>
              <w:ind w:right="1206"/>
              <w:spacing w:after="0"/>
              <w:rPr>
                <w:sz w:val="20"/>
                <w:szCs w:val="20"/>
                <w:color w:val="auto"/>
              </w:rPr>
            </w:pPr>
            <w:r>
              <w:rPr>
                <w:rFonts w:ascii="Arial" w:cs="Arial" w:eastAsia="Arial" w:hAnsi="Arial"/>
                <w:sz w:val="19"/>
                <w:szCs w:val="19"/>
                <w:b w:val="1"/>
                <w:bCs w:val="1"/>
                <w:color w:val="354047"/>
              </w:rPr>
              <w:t>40%</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760" w:type="dxa"/>
            <w:vAlign w:val="bottom"/>
            <w:vMerge w:val="restart"/>
          </w:tcPr>
          <w:p>
            <w:pPr>
              <w:jc w:val="right"/>
              <w:ind w:right="1206"/>
              <w:spacing w:after="0"/>
              <w:rPr>
                <w:sz w:val="20"/>
                <w:szCs w:val="20"/>
                <w:color w:val="auto"/>
              </w:rPr>
            </w:pPr>
            <w:r>
              <w:rPr>
                <w:rFonts w:ascii="Arial" w:cs="Arial" w:eastAsia="Arial" w:hAnsi="Arial"/>
                <w:sz w:val="19"/>
                <w:szCs w:val="19"/>
                <w:b w:val="1"/>
                <w:bCs w:val="1"/>
                <w:color w:val="354047"/>
              </w:rPr>
              <w:t>30%</w:t>
            </w:r>
          </w:p>
        </w:tc>
        <w:tc>
          <w:tcPr>
            <w:tcW w:w="1160" w:type="dxa"/>
            <w:vAlign w:val="bottom"/>
          </w:tcPr>
          <w:p>
            <w:pPr>
              <w:spacing w:after="0"/>
              <w:rPr>
                <w:sz w:val="24"/>
                <w:szCs w:val="24"/>
                <w:color w:val="auto"/>
              </w:rPr>
            </w:pPr>
          </w:p>
        </w:tc>
        <w:tc>
          <w:tcPr>
            <w:tcW w:w="1160" w:type="dxa"/>
            <w:vAlign w:val="bottom"/>
          </w:tcPr>
          <w:p>
            <w:pPr>
              <w:jc w:val="right"/>
              <w:ind w:right="306"/>
              <w:spacing w:after="0"/>
              <w:rPr>
                <w:sz w:val="20"/>
                <w:szCs w:val="20"/>
                <w:color w:val="auto"/>
              </w:rPr>
            </w:pPr>
            <w:r>
              <w:rPr>
                <w:rFonts w:ascii="Arial" w:cs="Arial" w:eastAsia="Arial" w:hAnsi="Arial"/>
                <w:sz w:val="19"/>
                <w:szCs w:val="19"/>
                <w:b w:val="1"/>
                <w:bCs w:val="1"/>
                <w:color w:val="475057"/>
              </w:rPr>
              <w:t>28%</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76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5"/>
        </w:trPr>
        <w:tc>
          <w:tcPr>
            <w:tcW w:w="1760" w:type="dxa"/>
            <w:vAlign w:val="bottom"/>
          </w:tcPr>
          <w:p>
            <w:pPr>
              <w:jc w:val="right"/>
              <w:ind w:right="1206"/>
              <w:spacing w:after="0"/>
              <w:rPr>
                <w:sz w:val="20"/>
                <w:szCs w:val="20"/>
                <w:color w:val="auto"/>
              </w:rPr>
            </w:pPr>
            <w:r>
              <w:rPr>
                <w:rFonts w:ascii="Arial" w:cs="Arial" w:eastAsia="Arial" w:hAnsi="Arial"/>
                <w:sz w:val="19"/>
                <w:szCs w:val="19"/>
                <w:b w:val="1"/>
                <w:bCs w:val="1"/>
                <w:color w:val="354047"/>
              </w:rPr>
              <w:t>20%</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760" w:type="dxa"/>
            <w:vAlign w:val="bottom"/>
          </w:tcPr>
          <w:p>
            <w:pPr>
              <w:jc w:val="right"/>
              <w:ind w:right="1206"/>
              <w:spacing w:after="0"/>
              <w:rPr>
                <w:sz w:val="20"/>
                <w:szCs w:val="20"/>
                <w:color w:val="auto"/>
              </w:rPr>
            </w:pPr>
            <w:r>
              <w:rPr>
                <w:rFonts w:ascii="Arial" w:cs="Arial" w:eastAsia="Arial" w:hAnsi="Arial"/>
                <w:sz w:val="19"/>
                <w:szCs w:val="19"/>
                <w:b w:val="1"/>
                <w:bCs w:val="1"/>
                <w:color w:val="354047"/>
              </w:rPr>
              <w:t>10%</w:t>
            </w:r>
          </w:p>
        </w:tc>
        <w:tc>
          <w:tcPr>
            <w:tcW w:w="1160" w:type="dxa"/>
            <w:vAlign w:val="bottom"/>
          </w:tcPr>
          <w:p>
            <w:pPr>
              <w:jc w:val="right"/>
              <w:ind w:right="346"/>
              <w:spacing w:after="0"/>
              <w:rPr>
                <w:sz w:val="20"/>
                <w:szCs w:val="20"/>
                <w:color w:val="auto"/>
              </w:rPr>
            </w:pPr>
            <w:r>
              <w:rPr>
                <w:rFonts w:ascii="Arial" w:cs="Arial" w:eastAsia="Arial" w:hAnsi="Arial"/>
                <w:sz w:val="19"/>
                <w:szCs w:val="19"/>
                <w:b w:val="1"/>
                <w:bCs w:val="1"/>
                <w:color w:val="475057"/>
              </w:rPr>
              <w:t>5%</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760" w:type="dxa"/>
            <w:vAlign w:val="bottom"/>
          </w:tcPr>
          <w:p>
            <w:pPr>
              <w:jc w:val="right"/>
              <w:ind w:right="346"/>
              <w:spacing w:after="0" w:line="204" w:lineRule="exact"/>
              <w:rPr>
                <w:sz w:val="20"/>
                <w:szCs w:val="20"/>
                <w:color w:val="auto"/>
              </w:rPr>
            </w:pPr>
            <w:r>
              <w:rPr>
                <w:rFonts w:ascii="Arial" w:cs="Arial" w:eastAsia="Arial" w:hAnsi="Arial"/>
                <w:sz w:val="19"/>
                <w:szCs w:val="19"/>
                <w:b w:val="1"/>
                <w:bCs w:val="1"/>
                <w:color w:val="475057"/>
              </w:rPr>
              <w:t>1%</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760" w:type="dxa"/>
            <w:vAlign w:val="bottom"/>
          </w:tcPr>
          <w:p>
            <w:pPr>
              <w:jc w:val="right"/>
              <w:ind w:right="1206"/>
              <w:spacing w:after="0"/>
              <w:rPr>
                <w:sz w:val="20"/>
                <w:szCs w:val="20"/>
                <w:color w:val="auto"/>
              </w:rPr>
            </w:pPr>
            <w:r>
              <w:rPr>
                <w:rFonts w:ascii="Arial" w:cs="Arial" w:eastAsia="Arial" w:hAnsi="Arial"/>
                <w:sz w:val="19"/>
                <w:szCs w:val="19"/>
                <w:b w:val="1"/>
                <w:bCs w:val="1"/>
                <w:color w:val="354047"/>
              </w:rPr>
              <w:t>0%</w:t>
            </w: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760" w:type="dxa"/>
            <w:vAlign w:val="bottom"/>
          </w:tcPr>
          <w:p>
            <w:pPr>
              <w:jc w:val="right"/>
              <w:ind w:right="266"/>
              <w:spacing w:after="0"/>
              <w:rPr>
                <w:sz w:val="20"/>
                <w:szCs w:val="20"/>
                <w:color w:val="auto"/>
              </w:rPr>
            </w:pPr>
            <w:r>
              <w:rPr>
                <w:rFonts w:ascii="Arial" w:cs="Arial" w:eastAsia="Arial" w:hAnsi="Arial"/>
                <w:sz w:val="19"/>
                <w:szCs w:val="19"/>
                <w:b w:val="1"/>
                <w:bCs w:val="1"/>
                <w:color w:val="354047"/>
              </w:rPr>
              <w:t>2010</w:t>
            </w:r>
          </w:p>
        </w:tc>
        <w:tc>
          <w:tcPr>
            <w:tcW w:w="1160" w:type="dxa"/>
            <w:vAlign w:val="bottom"/>
          </w:tcPr>
          <w:p>
            <w:pPr>
              <w:jc w:val="right"/>
              <w:ind w:right="286"/>
              <w:spacing w:after="0"/>
              <w:rPr>
                <w:sz w:val="20"/>
                <w:szCs w:val="20"/>
                <w:color w:val="auto"/>
              </w:rPr>
            </w:pPr>
            <w:r>
              <w:rPr>
                <w:rFonts w:ascii="Arial" w:cs="Arial" w:eastAsia="Arial" w:hAnsi="Arial"/>
                <w:sz w:val="19"/>
                <w:szCs w:val="19"/>
                <w:b w:val="1"/>
                <w:bCs w:val="1"/>
                <w:color w:val="354047"/>
              </w:rPr>
              <w:t>2011</w:t>
            </w:r>
          </w:p>
        </w:tc>
        <w:tc>
          <w:tcPr>
            <w:tcW w:w="1160" w:type="dxa"/>
            <w:vAlign w:val="bottom"/>
          </w:tcPr>
          <w:p>
            <w:pPr>
              <w:jc w:val="right"/>
              <w:ind w:right="286"/>
              <w:spacing w:after="0"/>
              <w:rPr>
                <w:sz w:val="20"/>
                <w:szCs w:val="20"/>
                <w:color w:val="auto"/>
              </w:rPr>
            </w:pPr>
            <w:r>
              <w:rPr>
                <w:rFonts w:ascii="Arial" w:cs="Arial" w:eastAsia="Arial" w:hAnsi="Arial"/>
                <w:sz w:val="19"/>
                <w:szCs w:val="19"/>
                <w:b w:val="1"/>
                <w:bCs w:val="1"/>
                <w:color w:val="354047"/>
              </w:rPr>
              <w:t>2012</w:t>
            </w:r>
          </w:p>
        </w:tc>
        <w:tc>
          <w:tcPr>
            <w:tcW w:w="1140" w:type="dxa"/>
            <w:vAlign w:val="bottom"/>
          </w:tcPr>
          <w:p>
            <w:pPr>
              <w:jc w:val="right"/>
              <w:ind w:right="266"/>
              <w:spacing w:after="0"/>
              <w:rPr>
                <w:sz w:val="20"/>
                <w:szCs w:val="20"/>
                <w:color w:val="auto"/>
              </w:rPr>
            </w:pPr>
            <w:r>
              <w:rPr>
                <w:rFonts w:ascii="Arial" w:cs="Arial" w:eastAsia="Arial" w:hAnsi="Arial"/>
                <w:sz w:val="19"/>
                <w:szCs w:val="19"/>
                <w:b w:val="1"/>
                <w:bCs w:val="1"/>
                <w:color w:val="354047"/>
              </w:rPr>
              <w:t>2013</w:t>
            </w:r>
          </w:p>
        </w:tc>
        <w:tc>
          <w:tcPr>
            <w:tcW w:w="1160" w:type="dxa"/>
            <w:vAlign w:val="bottom"/>
          </w:tcPr>
          <w:p>
            <w:pPr>
              <w:jc w:val="right"/>
              <w:ind w:right="266"/>
              <w:spacing w:after="0"/>
              <w:rPr>
                <w:sz w:val="20"/>
                <w:szCs w:val="20"/>
                <w:color w:val="auto"/>
              </w:rPr>
            </w:pPr>
            <w:r>
              <w:rPr>
                <w:rFonts w:ascii="Arial" w:cs="Arial" w:eastAsia="Arial" w:hAnsi="Arial"/>
                <w:sz w:val="19"/>
                <w:szCs w:val="19"/>
                <w:b w:val="1"/>
                <w:bCs w:val="1"/>
                <w:color w:val="354047"/>
              </w:rPr>
              <w:t>2014</w:t>
            </w:r>
          </w:p>
        </w:tc>
        <w:tc>
          <w:tcPr>
            <w:tcW w:w="1160" w:type="dxa"/>
            <w:vAlign w:val="bottom"/>
          </w:tcPr>
          <w:p>
            <w:pPr>
              <w:jc w:val="right"/>
              <w:ind w:right="286"/>
              <w:spacing w:after="0"/>
              <w:rPr>
                <w:sz w:val="20"/>
                <w:szCs w:val="20"/>
                <w:color w:val="auto"/>
              </w:rPr>
            </w:pPr>
            <w:r>
              <w:rPr>
                <w:rFonts w:ascii="Arial" w:cs="Arial" w:eastAsia="Arial" w:hAnsi="Arial"/>
                <w:sz w:val="19"/>
                <w:szCs w:val="19"/>
                <w:b w:val="1"/>
                <w:bCs w:val="1"/>
                <w:color w:val="354047"/>
              </w:rPr>
              <w:t>2015</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354047"/>
              </w:rPr>
              <w:t>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34464A"/>
        </w:rPr>
        <w:t>* DXL sales include direct sales via the DestinationXL.com website.</w:t>
      </w:r>
    </w:p>
    <w:p>
      <w:pPr>
        <w:spacing w:after="0" w:line="200" w:lineRule="exact"/>
        <w:rPr>
          <w:sz w:val="20"/>
          <w:szCs w:val="20"/>
          <w:color w:val="auto"/>
        </w:rPr>
      </w:pPr>
    </w:p>
    <w:p>
      <w:pPr>
        <w:spacing w:after="0" w:line="215" w:lineRule="exact"/>
        <w:rPr>
          <w:sz w:val="20"/>
          <w:szCs w:val="20"/>
          <w:color w:val="auto"/>
        </w:rPr>
      </w:pPr>
    </w:p>
    <w:tbl>
      <w:tblPr>
        <w:tblLayout w:type="fixed"/>
        <w:tblInd w:w="462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22</w:t>
            </w:r>
          </w:p>
        </w:tc>
      </w:tr>
    </w:tbl>
    <w:p>
      <w:pPr>
        <w:sectPr>
          <w:pgSz w:w="11900" w:h="16838" w:orient="portrait"/>
          <w:cols w:equalWidth="0" w:num="1">
            <w:col w:w="10800"/>
          </w:cols>
          <w:pgMar w:left="360" w:top="1049" w:right="739" w:bottom="1440" w:gutter="0" w:footer="0" w:header="0"/>
        </w:sectPr>
      </w:pPr>
    </w:p>
    <w:bookmarkStart w:id="25" w:name="page26"/>
    <w:bookmarkEnd w:id="25"/>
    <w:p>
      <w:pPr>
        <w:ind w:left="180"/>
        <w:spacing w:after="0"/>
        <w:rPr>
          <w:sz w:val="20"/>
          <w:szCs w:val="20"/>
          <w:color w:val="auto"/>
        </w:rPr>
      </w:pPr>
      <w:r>
        <w:rPr>
          <w:rFonts w:ascii="Arial" w:cs="Arial" w:eastAsia="Arial" w:hAnsi="Arial"/>
          <w:sz w:val="42"/>
          <w:szCs w:val="42"/>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 xml:space="preserve">INCREASED AWARENESS = </w:t>
      </w:r>
      <w:r>
        <w:rPr>
          <w:rFonts w:ascii="Arial" w:cs="Arial" w:eastAsia="Arial" w:hAnsi="Arial"/>
          <w:sz w:val="42"/>
          <w:szCs w:val="42"/>
          <w:b w:val="1"/>
          <w:bCs w:val="1"/>
          <w:color w:val="417C27"/>
        </w:rPr>
        <w:t>OPPORTUNITY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0"/>
        <w:spacing w:after="0"/>
        <w:rPr>
          <w:sz w:val="20"/>
          <w:szCs w:val="20"/>
          <w:color w:val="auto"/>
        </w:rPr>
      </w:pPr>
      <w:r>
        <w:rPr>
          <w:rFonts w:ascii="Arial" w:cs="Arial" w:eastAsia="Arial" w:hAnsi="Arial"/>
          <w:sz w:val="19"/>
          <w:szCs w:val="19"/>
          <w:color w:val="354047"/>
        </w:rPr>
        <w:t>DXL Customer Purchase Funnel*</w:t>
      </w:r>
    </w:p>
    <w:p>
      <w:pPr>
        <w:sectPr>
          <w:pgSz w:w="11900" w:h="16838" w:orient="portrait"/>
          <w:cols w:equalWidth="0" w:num="1">
            <w:col w:w="10240"/>
          </w:cols>
          <w:pgMar w:left="680" w:top="954"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0"/>
        <w:spacing w:after="0"/>
        <w:rPr>
          <w:sz w:val="20"/>
          <w:szCs w:val="20"/>
          <w:color w:val="auto"/>
        </w:rPr>
      </w:pPr>
      <w:r>
        <w:rPr>
          <w:rFonts w:ascii="Arial" w:cs="Arial" w:eastAsia="Arial" w:hAnsi="Arial"/>
          <w:sz w:val="32"/>
          <w:szCs w:val="32"/>
          <w:color w:val="354047"/>
        </w:rPr>
        <w:t>17%</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32"/>
          <w:szCs w:val="32"/>
          <w:color w:val="354047"/>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Addressable Population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FFFFFF"/>
        </w:rPr>
        <w:t>Aware of DXL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FFFFFF"/>
        </w:rPr>
        <w:t>Visiting DXL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940" w:right="100"/>
        <w:spacing w:after="0" w:line="303" w:lineRule="auto"/>
        <w:rPr>
          <w:sz w:val="20"/>
          <w:szCs w:val="20"/>
          <w:color w:val="auto"/>
        </w:rPr>
      </w:pPr>
      <w:r>
        <w:rPr>
          <w:rFonts w:ascii="Arial" w:cs="Arial" w:eastAsia="Arial" w:hAnsi="Arial"/>
          <w:sz w:val="22"/>
          <w:szCs w:val="22"/>
          <w:color w:val="354047"/>
        </w:rPr>
        <w:t>DXL’s addressable market is primarily men with over 40” waist</w:t>
      </w:r>
    </w:p>
    <w:p>
      <w:pPr>
        <w:spacing w:after="0" w:line="396" w:lineRule="exact"/>
        <w:rPr>
          <w:sz w:val="20"/>
          <w:szCs w:val="20"/>
          <w:color w:val="auto"/>
        </w:rPr>
      </w:pPr>
    </w:p>
    <w:p>
      <w:pPr>
        <w:ind w:left="460" w:right="100"/>
        <w:spacing w:after="0" w:line="303" w:lineRule="auto"/>
        <w:rPr>
          <w:sz w:val="20"/>
          <w:szCs w:val="20"/>
          <w:color w:val="auto"/>
        </w:rPr>
      </w:pPr>
      <w:r>
        <w:rPr>
          <w:rFonts w:ascii="Arial" w:cs="Arial" w:eastAsia="Arial" w:hAnsi="Arial"/>
          <w:sz w:val="22"/>
          <w:szCs w:val="22"/>
          <w:color w:val="354047"/>
        </w:rPr>
        <w:t>Awareness of DXL is low across its markets, directly impacting 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354047"/>
        </w:rPr>
        <w:t>Of those aware of DXL, only 8% are visiting the store</w:t>
      </w:r>
    </w:p>
    <w:p>
      <w:pPr>
        <w:spacing w:after="0" w:line="200" w:lineRule="exact"/>
        <w:rPr>
          <w:sz w:val="20"/>
          <w:szCs w:val="20"/>
          <w:color w:val="auto"/>
        </w:rPr>
      </w:pPr>
    </w:p>
    <w:p>
      <w:pPr>
        <w:sectPr>
          <w:pgSz w:w="11900" w:h="16838" w:orient="portrait"/>
          <w:cols w:equalWidth="0" w:num="3">
            <w:col w:w="1440" w:space="200"/>
            <w:col w:w="2560" w:space="320"/>
            <w:col w:w="5720"/>
          </w:cols>
          <w:pgMar w:left="680" w:top="954" w:right="97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1400"/>
        <w:spacing w:after="0"/>
        <w:rPr>
          <w:sz w:val="20"/>
          <w:szCs w:val="20"/>
          <w:color w:val="auto"/>
        </w:rPr>
      </w:pPr>
      <w:r>
        <w:rPr>
          <w:rFonts w:ascii="Arial" w:cs="Arial" w:eastAsia="Arial" w:hAnsi="Arial"/>
          <w:sz w:val="32"/>
          <w:szCs w:val="32"/>
          <w:color w:val="354047"/>
        </w:rPr>
        <w:t>73%</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32"/>
          <w:szCs w:val="32"/>
          <w:color w:val="354047"/>
        </w:rPr>
        <w:t>89%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300" w:type="dxa"/>
            <w:vAlign w:val="bottom"/>
          </w:tcPr>
          <w:p>
            <w:pPr>
              <w:jc w:val="center"/>
              <w:ind w:right="186"/>
              <w:spacing w:after="0"/>
              <w:rPr>
                <w:sz w:val="20"/>
                <w:szCs w:val="20"/>
                <w:color w:val="auto"/>
              </w:rPr>
            </w:pPr>
            <w:r>
              <w:rPr>
                <w:rFonts w:ascii="Arial" w:cs="Arial" w:eastAsia="Arial" w:hAnsi="Arial"/>
                <w:sz w:val="19"/>
                <w:szCs w:val="19"/>
                <w:b w:val="1"/>
                <w:bCs w:val="1"/>
                <w:color w:val="FFFFFF"/>
                <w:w w:val="98"/>
              </w:rPr>
              <w:t>Purchasing</w:t>
            </w:r>
          </w:p>
        </w:tc>
        <w:tc>
          <w:tcPr>
            <w:tcW w:w="5160" w:type="dxa"/>
            <w:vAlign w:val="bottom"/>
            <w:vMerge w:val="restart"/>
          </w:tcPr>
          <w:p>
            <w:pPr>
              <w:ind w:left="280"/>
              <w:spacing w:after="0"/>
              <w:rPr>
                <w:sz w:val="20"/>
                <w:szCs w:val="20"/>
                <w:color w:val="auto"/>
              </w:rPr>
            </w:pPr>
            <w:r>
              <w:rPr>
                <w:rFonts w:ascii="Arial" w:cs="Arial" w:eastAsia="Arial" w:hAnsi="Arial"/>
                <w:sz w:val="22"/>
                <w:szCs w:val="22"/>
                <w:color w:val="354047"/>
              </w:rPr>
              <w:t>73% of those that visit the store make a purchase</w:t>
            </w:r>
          </w:p>
        </w:tc>
        <w:tc>
          <w:tcPr>
            <w:tcW w:w="0" w:type="dxa"/>
            <w:vAlign w:val="bottom"/>
          </w:tcPr>
          <w:p>
            <w:pPr>
              <w:spacing w:after="0"/>
              <w:rPr>
                <w:sz w:val="1"/>
                <w:szCs w:val="1"/>
                <w:color w:val="auto"/>
              </w:rPr>
            </w:pPr>
          </w:p>
        </w:tc>
      </w:tr>
      <w:tr>
        <w:trPr>
          <w:trHeight w:val="304"/>
        </w:trPr>
        <w:tc>
          <w:tcPr>
            <w:tcW w:w="1300" w:type="dxa"/>
            <w:vAlign w:val="bottom"/>
          </w:tcPr>
          <w:p>
            <w:pPr>
              <w:jc w:val="center"/>
              <w:ind w:right="186"/>
              <w:spacing w:after="0"/>
              <w:rPr>
                <w:sz w:val="20"/>
                <w:szCs w:val="20"/>
                <w:color w:val="auto"/>
              </w:rPr>
            </w:pPr>
            <w:r>
              <w:rPr>
                <w:rFonts w:ascii="Arial" w:cs="Arial" w:eastAsia="Arial" w:hAnsi="Arial"/>
                <w:sz w:val="19"/>
                <w:szCs w:val="19"/>
                <w:b w:val="1"/>
                <w:bCs w:val="1"/>
                <w:color w:val="FFFFFF"/>
              </w:rPr>
              <w:t>from DXL</w:t>
            </w:r>
          </w:p>
        </w:tc>
        <w:tc>
          <w:tcPr>
            <w:tcW w:w="5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FFFFFF"/>
        </w:rPr>
        <w:t>Repeat</w:t>
      </w:r>
    </w:p>
    <w:p>
      <w:pPr>
        <w:spacing w:after="0" w:line="11" w:lineRule="exact"/>
        <w:rPr>
          <w:sz w:val="20"/>
          <w:szCs w:val="20"/>
          <w:color w:val="auto"/>
        </w:rPr>
      </w:pPr>
    </w:p>
    <w:p>
      <w:pPr>
        <w:ind w:left="1200"/>
        <w:spacing w:after="0"/>
        <w:rPr>
          <w:sz w:val="20"/>
          <w:szCs w:val="20"/>
          <w:color w:val="auto"/>
        </w:rPr>
      </w:pPr>
      <w:r>
        <w:rPr>
          <w:rFonts w:ascii="Arial" w:cs="Arial" w:eastAsia="Arial" w:hAnsi="Arial"/>
          <w:sz w:val="22"/>
          <w:szCs w:val="22"/>
          <w:color w:val="354047"/>
        </w:rPr>
        <w:t>89% of those that make a purchase intend to return</w:t>
      </w:r>
    </w:p>
    <w:p>
      <w:pPr>
        <w:spacing w:after="0" w:line="200" w:lineRule="exact"/>
        <w:rPr>
          <w:sz w:val="20"/>
          <w:szCs w:val="20"/>
          <w:color w:val="auto"/>
        </w:rPr>
      </w:pPr>
    </w:p>
    <w:p>
      <w:pPr>
        <w:sectPr>
          <w:pgSz w:w="11900" w:h="16838" w:orient="portrait"/>
          <w:cols w:equalWidth="0" w:num="2">
            <w:col w:w="2360" w:space="20"/>
            <w:col w:w="7860"/>
          </w:cols>
          <w:pgMar w:left="680" w:top="954" w:right="979" w:bottom="1440" w:gutter="0" w:footer="0" w:header="0"/>
          <w:type w:val="continuous"/>
        </w:sectPr>
      </w:pPr>
    </w:p>
    <w:p>
      <w:pPr>
        <w:spacing w:after="0" w:line="322" w:lineRule="exact"/>
        <w:rPr>
          <w:sz w:val="20"/>
          <w:szCs w:val="20"/>
          <w:color w:val="auto"/>
        </w:rPr>
      </w:pPr>
    </w:p>
    <w:p>
      <w:pPr>
        <w:spacing w:after="0"/>
        <w:rPr>
          <w:sz w:val="20"/>
          <w:szCs w:val="20"/>
          <w:color w:val="auto"/>
        </w:rPr>
      </w:pPr>
      <w:r>
        <w:rPr>
          <w:rFonts w:ascii="Arial" w:cs="Arial" w:eastAsia="Arial" w:hAnsi="Arial"/>
          <w:sz w:val="9"/>
          <w:szCs w:val="9"/>
          <w:color w:val="354047"/>
        </w:rPr>
        <w:t>Source: L.E.K analysis prior to launch of marketing campaign (November 2012)</w:t>
      </w:r>
    </w:p>
    <w:p>
      <w:pPr>
        <w:spacing w:after="0" w:line="14" w:lineRule="exact"/>
        <w:rPr>
          <w:sz w:val="20"/>
          <w:szCs w:val="20"/>
          <w:color w:val="auto"/>
        </w:rPr>
      </w:pPr>
    </w:p>
    <w:p>
      <w:pPr>
        <w:spacing w:after="0"/>
        <w:rPr>
          <w:sz w:val="20"/>
          <w:szCs w:val="20"/>
          <w:color w:val="auto"/>
        </w:rPr>
      </w:pPr>
      <w:r>
        <w:rPr>
          <w:rFonts w:ascii="Arial" w:cs="Arial" w:eastAsia="Arial" w:hAnsi="Arial"/>
          <w:sz w:val="9"/>
          <w:szCs w:val="9"/>
          <w:color w:val="354047"/>
        </w:rPr>
        <w:t>*Based on consumers’ stated responses per L.E.K’s survey within DXL markets</w:t>
      </w:r>
    </w:p>
    <w:p>
      <w:pPr>
        <w:spacing w:after="0" w:line="117" w:lineRule="exact"/>
        <w:rPr>
          <w:sz w:val="20"/>
          <w:szCs w:val="20"/>
          <w:color w:val="auto"/>
        </w:rPr>
      </w:pPr>
    </w:p>
    <w:tbl>
      <w:tblPr>
        <w:tblLayout w:type="fixed"/>
        <w:tblInd w:w="424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23</w:t>
            </w:r>
          </w:p>
        </w:tc>
      </w:tr>
    </w:tbl>
    <w:p>
      <w:pPr>
        <w:sectPr>
          <w:pgSz w:w="11900" w:h="16838" w:orient="portrait"/>
          <w:cols w:equalWidth="0" w:num="1">
            <w:col w:w="10240"/>
          </w:cols>
          <w:pgMar w:left="680" w:top="954" w:right="97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0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5480050"/>
                    </a:xfrm>
                    <a:prstGeom prst="rect">
                      <a:avLst/>
                    </a:prstGeom>
                    <a:noFill/>
                  </pic:spPr>
                </pic:pic>
              </a:graphicData>
            </a:graphic>
          </wp:anchor>
        </w:drawing>
        <w:t>OPPORTUNITY TO GROW MARKET SHARE</w:t>
      </w:r>
    </w:p>
    <w:p>
      <w:pPr>
        <w:spacing w:after="0" w:line="200" w:lineRule="exact"/>
        <w:rPr>
          <w:sz w:val="20"/>
          <w:szCs w:val="20"/>
          <w:color w:val="auto"/>
        </w:rPr>
      </w:pPr>
    </w:p>
    <w:p>
      <w:pPr>
        <w:spacing w:after="0" w:line="400" w:lineRule="exact"/>
        <w:rPr>
          <w:sz w:val="20"/>
          <w:szCs w:val="20"/>
          <w:color w:val="auto"/>
        </w:rPr>
      </w:pPr>
    </w:p>
    <w:p>
      <w:pPr>
        <w:ind w:left="120"/>
        <w:spacing w:after="0"/>
        <w:rPr>
          <w:sz w:val="20"/>
          <w:szCs w:val="20"/>
          <w:color w:val="auto"/>
        </w:rPr>
      </w:pPr>
      <w:r>
        <w:rPr>
          <w:rFonts w:ascii="Arial" w:cs="Arial" w:eastAsia="Arial" w:hAnsi="Arial"/>
          <w:sz w:val="25"/>
          <w:szCs w:val="25"/>
          <w:color w:val="354047"/>
        </w:rPr>
        <w:t>Addressable Market = 40M Customers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25"/>
          <w:szCs w:val="25"/>
          <w:color w:val="354047"/>
        </w:rPr>
        <w:t>1.4M Currently Active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Arial" w:cs="Arial" w:eastAsia="Arial" w:hAnsi="Arial"/>
          <w:sz w:val="25"/>
          <w:szCs w:val="25"/>
          <w:b w:val="1"/>
          <w:bCs w:val="1"/>
          <w:color w:val="354047"/>
        </w:rPr>
        <w:t>Capture greater wallet share with DXL concept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20"/>
        <w:spacing w:after="0"/>
        <w:rPr>
          <w:sz w:val="20"/>
          <w:szCs w:val="20"/>
          <w:color w:val="auto"/>
        </w:rPr>
      </w:pPr>
      <w:r>
        <w:rPr>
          <w:rFonts w:ascii="Arial" w:cs="Arial" w:eastAsia="Arial" w:hAnsi="Arial"/>
          <w:sz w:val="25"/>
          <w:szCs w:val="25"/>
          <w:b w:val="1"/>
          <w:bCs w:val="1"/>
          <w:color w:val="354047"/>
        </w:rPr>
        <w:t>Attract broader customer audience with one-stop-shop</w:t>
      </w:r>
    </w:p>
    <w:p>
      <w:pPr>
        <w:spacing w:after="0" w:line="200" w:lineRule="exact"/>
        <w:rPr>
          <w:sz w:val="20"/>
          <w:szCs w:val="20"/>
          <w:color w:val="auto"/>
        </w:rPr>
      </w:pPr>
    </w:p>
    <w:p>
      <w:pPr>
        <w:spacing w:after="0" w:line="359" w:lineRule="exact"/>
        <w:rPr>
          <w:sz w:val="20"/>
          <w:szCs w:val="20"/>
          <w:color w:val="auto"/>
        </w:rPr>
      </w:pPr>
    </w:p>
    <w:p>
      <w:pPr>
        <w:ind w:left="2920"/>
        <w:spacing w:after="0"/>
        <w:rPr>
          <w:sz w:val="20"/>
          <w:szCs w:val="20"/>
          <w:color w:val="auto"/>
        </w:rPr>
      </w:pPr>
      <w:r>
        <w:rPr>
          <w:rFonts w:ascii="Arial" w:cs="Arial" w:eastAsia="Arial" w:hAnsi="Arial"/>
          <w:sz w:val="25"/>
          <w:szCs w:val="25"/>
          <w:b w:val="1"/>
          <w:bCs w:val="1"/>
          <w:color w:val="354047"/>
        </w:rPr>
        <w:t>Target “end-of-rack” customers</w:t>
      </w:r>
    </w:p>
    <w:p>
      <w:pPr>
        <w:spacing w:after="0" w:line="200" w:lineRule="exact"/>
        <w:rPr>
          <w:sz w:val="20"/>
          <w:szCs w:val="20"/>
          <w:color w:val="auto"/>
        </w:rPr>
      </w:pPr>
    </w:p>
    <w:p>
      <w:pPr>
        <w:spacing w:after="0" w:line="359" w:lineRule="exact"/>
        <w:rPr>
          <w:sz w:val="20"/>
          <w:szCs w:val="20"/>
          <w:color w:val="auto"/>
        </w:rPr>
      </w:pPr>
    </w:p>
    <w:p>
      <w:pPr>
        <w:ind w:left="1060"/>
        <w:spacing w:after="0"/>
        <w:rPr>
          <w:sz w:val="20"/>
          <w:szCs w:val="20"/>
          <w:color w:val="auto"/>
        </w:rPr>
      </w:pPr>
      <w:r>
        <w:rPr>
          <w:rFonts w:ascii="Arial" w:cs="Arial" w:eastAsia="Arial" w:hAnsi="Arial"/>
          <w:sz w:val="25"/>
          <w:szCs w:val="25"/>
          <w:b w:val="1"/>
          <w:bCs w:val="1"/>
          <w:color w:val="354047"/>
        </w:rPr>
        <w:t>Paradigm shift in marketing improves awareness</w:t>
      </w:r>
    </w:p>
    <w:p>
      <w:pPr>
        <w:spacing w:after="0" w:line="200" w:lineRule="exact"/>
        <w:rPr>
          <w:sz w:val="20"/>
          <w:szCs w:val="20"/>
          <w:color w:val="auto"/>
        </w:rPr>
      </w:pPr>
    </w:p>
    <w:p>
      <w:pPr>
        <w:spacing w:after="0" w:line="359" w:lineRule="exact"/>
        <w:rPr>
          <w:sz w:val="20"/>
          <w:szCs w:val="20"/>
          <w:color w:val="auto"/>
        </w:rPr>
      </w:pPr>
    </w:p>
    <w:p>
      <w:pPr>
        <w:ind w:left="700"/>
        <w:spacing w:after="0"/>
        <w:rPr>
          <w:sz w:val="20"/>
          <w:szCs w:val="20"/>
          <w:color w:val="auto"/>
        </w:rPr>
      </w:pPr>
      <w:r>
        <w:rPr>
          <w:rFonts w:ascii="Arial" w:cs="Arial" w:eastAsia="Arial" w:hAnsi="Arial"/>
          <w:sz w:val="25"/>
          <w:szCs w:val="25"/>
          <w:b w:val="1"/>
          <w:bCs w:val="1"/>
          <w:color w:val="354047"/>
        </w:rPr>
        <w:t>Grow direct business with new website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406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24</w:t>
            </w:r>
          </w:p>
        </w:tc>
      </w:tr>
    </w:tbl>
    <w:p>
      <w:pPr>
        <w:sectPr>
          <w:pgSz w:w="11900" w:h="16838" w:orient="portrait"/>
          <w:cols w:equalWidth="0" w:num="1">
            <w:col w:w="10060"/>
          </w:cols>
          <w:pgMar w:left="860" w:top="1095" w:right="979" w:bottom="1440" w:gutter="0" w:footer="0" w:header="0"/>
        </w:sectPr>
      </w:pPr>
    </w:p>
    <w:bookmarkStart w:id="27" w:name="page28"/>
    <w:bookmarkEnd w:id="27"/>
    <w:p>
      <w:pPr>
        <w:ind w:left="277"/>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 ADVERTISING CAMPAIGN</w:t>
      </w:r>
    </w:p>
    <w:p>
      <w:pPr>
        <w:spacing w:after="0" w:line="200" w:lineRule="exact"/>
        <w:rPr>
          <w:sz w:val="20"/>
          <w:szCs w:val="20"/>
          <w:color w:val="auto"/>
        </w:rPr>
      </w:pPr>
    </w:p>
    <w:p>
      <w:pPr>
        <w:spacing w:after="0" w:line="254" w:lineRule="exact"/>
        <w:rPr>
          <w:sz w:val="20"/>
          <w:szCs w:val="20"/>
          <w:color w:val="auto"/>
        </w:rPr>
      </w:pPr>
    </w:p>
    <w:p>
      <w:pPr>
        <w:ind w:left="297" w:hanging="297"/>
        <w:spacing w:after="0"/>
        <w:tabs>
          <w:tab w:leader="none" w:pos="297" w:val="left"/>
        </w:tabs>
        <w:numPr>
          <w:ilvl w:val="0"/>
          <w:numId w:val="3"/>
        </w:numPr>
        <w:rPr>
          <w:rFonts w:ascii="Arial" w:cs="Arial" w:eastAsia="Arial" w:hAnsi="Arial"/>
          <w:sz w:val="28"/>
          <w:szCs w:val="28"/>
          <w:color w:val="FFFFFF"/>
        </w:rPr>
      </w:pPr>
      <w:r>
        <w:rPr>
          <w:rFonts w:ascii="Arial" w:cs="Arial" w:eastAsia="Arial" w:hAnsi="Arial"/>
          <w:sz w:val="28"/>
          <w:szCs w:val="28"/>
          <w:b w:val="1"/>
          <w:bCs w:val="1"/>
          <w:color w:val="FFFFFF"/>
        </w:rPr>
        <w:t>Combination of TV, radio &amp; digital support</w:t>
      </w:r>
    </w:p>
    <w:p>
      <w:pPr>
        <w:spacing w:after="0" w:line="195" w:lineRule="exact"/>
        <w:rPr>
          <w:rFonts w:ascii="Arial" w:cs="Arial" w:eastAsia="Arial" w:hAnsi="Arial"/>
          <w:sz w:val="28"/>
          <w:szCs w:val="28"/>
          <w:color w:val="FFFFFF"/>
        </w:rPr>
      </w:pPr>
    </w:p>
    <w:p>
      <w:pPr>
        <w:ind w:left="297" w:hanging="297"/>
        <w:spacing w:after="0"/>
        <w:tabs>
          <w:tab w:leader="none" w:pos="297" w:val="left"/>
        </w:tabs>
        <w:numPr>
          <w:ilvl w:val="0"/>
          <w:numId w:val="3"/>
        </w:numPr>
        <w:rPr>
          <w:rFonts w:ascii="Arial" w:cs="Arial" w:eastAsia="Arial" w:hAnsi="Arial"/>
          <w:sz w:val="28"/>
          <w:szCs w:val="28"/>
          <w:color w:val="FFFFFF"/>
        </w:rPr>
      </w:pPr>
      <w:r>
        <w:rPr>
          <w:rFonts w:ascii="Arial" w:cs="Arial" w:eastAsia="Arial" w:hAnsi="Arial"/>
          <w:sz w:val="28"/>
          <w:szCs w:val="28"/>
          <w:b w:val="1"/>
          <w:bCs w:val="1"/>
          <w:color w:val="FFFFFF"/>
        </w:rPr>
        <w:t>Built stronger brand to attract and serve customers</w:t>
      </w:r>
    </w:p>
    <w:p>
      <w:pPr>
        <w:spacing w:after="0" w:line="183" w:lineRule="exact"/>
        <w:rPr>
          <w:rFonts w:ascii="Arial" w:cs="Arial" w:eastAsia="Arial" w:hAnsi="Arial"/>
          <w:sz w:val="28"/>
          <w:szCs w:val="28"/>
          <w:color w:val="FFFFFF"/>
        </w:rPr>
      </w:pPr>
    </w:p>
    <w:p>
      <w:pPr>
        <w:ind w:left="297" w:hanging="297"/>
        <w:spacing w:after="0"/>
        <w:tabs>
          <w:tab w:leader="none" w:pos="297" w:val="left"/>
        </w:tabs>
        <w:numPr>
          <w:ilvl w:val="0"/>
          <w:numId w:val="3"/>
        </w:numPr>
        <w:rPr>
          <w:rFonts w:ascii="Arial" w:cs="Arial" w:eastAsia="Arial" w:hAnsi="Arial"/>
          <w:sz w:val="28"/>
          <w:szCs w:val="28"/>
          <w:color w:val="FFFFFF"/>
        </w:rPr>
      </w:pPr>
      <w:r>
        <w:rPr>
          <w:rFonts w:ascii="Arial" w:cs="Arial" w:eastAsia="Arial" w:hAnsi="Arial"/>
          <w:sz w:val="28"/>
          <w:szCs w:val="28"/>
          <w:b w:val="1"/>
          <w:bCs w:val="1"/>
          <w:color w:val="FFFFFF"/>
        </w:rPr>
        <w:t>Results demonstrate ability to grow market share</w:t>
      </w:r>
    </w:p>
    <w:p>
      <w:pPr>
        <w:sectPr>
          <w:pgSz w:w="11900" w:h="16838" w:orient="portrait"/>
          <w:cols w:equalWidth="0" w:num="1">
            <w:col w:w="10457"/>
          </w:cols>
          <w:pgMar w:left="763" w:top="1012"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57"/>
        <w:spacing w:after="0"/>
        <w:rPr>
          <w:sz w:val="20"/>
          <w:szCs w:val="20"/>
          <w:color w:val="auto"/>
        </w:rPr>
      </w:pPr>
      <w:r>
        <w:rPr>
          <w:rFonts w:ascii="Arial" w:cs="Arial" w:eastAsia="Arial" w:hAnsi="Arial"/>
          <w:sz w:val="22"/>
          <w:szCs w:val="22"/>
          <w:b w:val="1"/>
          <w:bCs w:val="1"/>
          <w:color w:val="FFFFFF"/>
        </w:rPr>
        <w:t>Spring Flight (May 5 to June 14)</w:t>
      </w:r>
    </w:p>
    <w:p>
      <w:pPr>
        <w:spacing w:after="0" w:line="184" w:lineRule="exact"/>
        <w:rPr>
          <w:sz w:val="20"/>
          <w:szCs w:val="20"/>
          <w:color w:val="auto"/>
        </w:rPr>
      </w:pPr>
    </w:p>
    <w:p>
      <w:pPr>
        <w:ind w:left="357" w:right="1222" w:hanging="192"/>
        <w:spacing w:after="0" w:line="303" w:lineRule="auto"/>
        <w:tabs>
          <w:tab w:leader="none" w:pos="357" w:val="left"/>
        </w:tabs>
        <w:numPr>
          <w:ilvl w:val="0"/>
          <w:numId w:val="4"/>
        </w:numPr>
        <w:rPr>
          <w:rFonts w:ascii="Arial" w:cs="Arial" w:eastAsia="Arial" w:hAnsi="Arial"/>
          <w:sz w:val="22"/>
          <w:szCs w:val="22"/>
          <w:color w:val="FFFFFF"/>
        </w:rPr>
      </w:pPr>
      <w:r>
        <w:rPr>
          <w:rFonts w:ascii="Arial" w:cs="Arial" w:eastAsia="Arial" w:hAnsi="Arial"/>
          <w:sz w:val="22"/>
          <w:szCs w:val="22"/>
          <w:color w:val="FFFFFF"/>
        </w:rPr>
        <w:t>Increased market awareness from 13% to 18%</w:t>
      </w:r>
    </w:p>
    <w:p>
      <w:pPr>
        <w:spacing w:after="0" w:line="137" w:lineRule="exact"/>
        <w:rPr>
          <w:rFonts w:ascii="Arial" w:cs="Arial" w:eastAsia="Arial" w:hAnsi="Arial"/>
          <w:sz w:val="22"/>
          <w:szCs w:val="22"/>
          <w:color w:val="FFFFFF"/>
        </w:rPr>
      </w:pPr>
    </w:p>
    <w:p>
      <w:pPr>
        <w:ind w:left="377" w:hanging="212"/>
        <w:spacing w:after="0"/>
        <w:tabs>
          <w:tab w:leader="none" w:pos="377" w:val="left"/>
        </w:tabs>
        <w:numPr>
          <w:ilvl w:val="0"/>
          <w:numId w:val="4"/>
        </w:numPr>
        <w:rPr>
          <w:rFonts w:ascii="Arial" w:cs="Arial" w:eastAsia="Arial" w:hAnsi="Arial"/>
          <w:sz w:val="22"/>
          <w:szCs w:val="22"/>
          <w:color w:val="FFFFFF"/>
        </w:rPr>
      </w:pPr>
      <w:r>
        <w:rPr>
          <w:rFonts w:ascii="Arial" w:cs="Arial" w:eastAsia="Arial" w:hAnsi="Arial"/>
          <w:sz w:val="22"/>
          <w:szCs w:val="22"/>
          <w:color w:val="FFFFFF"/>
        </w:rPr>
        <w:t>Transaction size increased 23%</w:t>
      </w:r>
    </w:p>
    <w:p>
      <w:pPr>
        <w:spacing w:after="0" w:line="205" w:lineRule="exact"/>
        <w:rPr>
          <w:rFonts w:ascii="Arial" w:cs="Arial" w:eastAsia="Arial" w:hAnsi="Arial"/>
          <w:sz w:val="22"/>
          <w:szCs w:val="22"/>
          <w:color w:val="FFFFFF"/>
        </w:rPr>
      </w:pPr>
    </w:p>
    <w:p>
      <w:pPr>
        <w:ind w:left="377" w:hanging="212"/>
        <w:spacing w:after="0"/>
        <w:tabs>
          <w:tab w:leader="none" w:pos="377" w:val="left"/>
        </w:tabs>
        <w:numPr>
          <w:ilvl w:val="0"/>
          <w:numId w:val="4"/>
        </w:numPr>
        <w:rPr>
          <w:rFonts w:ascii="Arial" w:cs="Arial" w:eastAsia="Arial" w:hAnsi="Arial"/>
          <w:sz w:val="22"/>
          <w:szCs w:val="22"/>
          <w:color w:val="FFFFFF"/>
        </w:rPr>
      </w:pPr>
      <w:r>
        <w:rPr>
          <w:rFonts w:ascii="Arial" w:cs="Arial" w:eastAsia="Arial" w:hAnsi="Arial"/>
          <w:sz w:val="22"/>
          <w:szCs w:val="22"/>
          <w:color w:val="FFFFFF"/>
        </w:rPr>
        <w:t>New customers grew by 26.1%</w:t>
      </w:r>
    </w:p>
    <w:p>
      <w:pPr>
        <w:spacing w:after="0" w:line="193" w:lineRule="exact"/>
        <w:rPr>
          <w:rFonts w:ascii="Arial" w:cs="Arial" w:eastAsia="Arial" w:hAnsi="Arial"/>
          <w:sz w:val="22"/>
          <w:szCs w:val="22"/>
          <w:color w:val="FFFFFF"/>
        </w:rPr>
      </w:pPr>
    </w:p>
    <w:p>
      <w:pPr>
        <w:ind w:left="377" w:hanging="212"/>
        <w:spacing w:after="0"/>
        <w:tabs>
          <w:tab w:leader="none" w:pos="377" w:val="left"/>
        </w:tabs>
        <w:numPr>
          <w:ilvl w:val="0"/>
          <w:numId w:val="4"/>
        </w:numPr>
        <w:rPr>
          <w:rFonts w:ascii="Arial" w:cs="Arial" w:eastAsia="Arial" w:hAnsi="Arial"/>
          <w:sz w:val="22"/>
          <w:szCs w:val="22"/>
          <w:color w:val="FFFFFF"/>
        </w:rPr>
      </w:pPr>
      <w:r>
        <w:rPr>
          <w:rFonts w:ascii="Arial" w:cs="Arial" w:eastAsia="Arial" w:hAnsi="Arial"/>
          <w:sz w:val="22"/>
          <w:szCs w:val="22"/>
          <w:color w:val="FFFFFF"/>
        </w:rPr>
        <w:t>Traffic increased 7.5%</w:t>
      </w:r>
    </w:p>
    <w:p>
      <w:pPr>
        <w:spacing w:after="0" w:line="193" w:lineRule="exact"/>
        <w:rPr>
          <w:rFonts w:ascii="Arial" w:cs="Arial" w:eastAsia="Arial" w:hAnsi="Arial"/>
          <w:sz w:val="22"/>
          <w:szCs w:val="22"/>
          <w:color w:val="FFFFFF"/>
        </w:rPr>
      </w:pPr>
    </w:p>
    <w:p>
      <w:pPr>
        <w:ind w:left="377" w:hanging="212"/>
        <w:spacing w:after="0"/>
        <w:tabs>
          <w:tab w:leader="none" w:pos="377" w:val="left"/>
        </w:tabs>
        <w:numPr>
          <w:ilvl w:val="0"/>
          <w:numId w:val="4"/>
        </w:numPr>
        <w:rPr>
          <w:rFonts w:ascii="Arial" w:cs="Arial" w:eastAsia="Arial" w:hAnsi="Arial"/>
          <w:sz w:val="22"/>
          <w:szCs w:val="22"/>
          <w:color w:val="FFFFFF"/>
        </w:rPr>
      </w:pPr>
      <w:r>
        <w:rPr>
          <w:rFonts w:ascii="Arial" w:cs="Arial" w:eastAsia="Arial" w:hAnsi="Arial"/>
          <w:sz w:val="22"/>
          <w:szCs w:val="22"/>
          <w:color w:val="FFFFFF"/>
        </w:rPr>
        <w:t>“End-of-rack” customer base grew to 40.5%</w:t>
      </w:r>
    </w:p>
    <w:p>
      <w:pPr>
        <w:spacing w:after="0" w:line="205" w:lineRule="exact"/>
        <w:rPr>
          <w:rFonts w:ascii="Arial" w:cs="Arial" w:eastAsia="Arial" w:hAnsi="Arial"/>
          <w:sz w:val="22"/>
          <w:szCs w:val="22"/>
          <w:color w:val="FFFFFF"/>
        </w:rPr>
      </w:pPr>
    </w:p>
    <w:p>
      <w:pPr>
        <w:ind w:left="377" w:hanging="212"/>
        <w:spacing w:after="0"/>
        <w:tabs>
          <w:tab w:leader="none" w:pos="377" w:val="left"/>
        </w:tabs>
        <w:numPr>
          <w:ilvl w:val="0"/>
          <w:numId w:val="4"/>
        </w:numPr>
        <w:rPr>
          <w:rFonts w:ascii="Arial" w:cs="Arial" w:eastAsia="Arial" w:hAnsi="Arial"/>
          <w:sz w:val="22"/>
          <w:szCs w:val="22"/>
          <w:color w:val="FFFFFF"/>
        </w:rPr>
      </w:pPr>
      <w:r>
        <w:rPr>
          <w:rFonts w:ascii="Arial" w:cs="Arial" w:eastAsia="Arial" w:hAnsi="Arial"/>
          <w:sz w:val="22"/>
          <w:szCs w:val="22"/>
          <w:color w:val="FFFFFF"/>
        </w:rPr>
        <w:t>Web traffic increased 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78"/>
        <w:spacing w:after="0"/>
        <w:rPr>
          <w:sz w:val="20"/>
          <w:szCs w:val="20"/>
          <w:color w:val="auto"/>
        </w:rPr>
      </w:pPr>
      <w:r>
        <w:rPr>
          <w:rFonts w:ascii="Arial" w:cs="Arial" w:eastAsia="Arial" w:hAnsi="Arial"/>
          <w:sz w:val="22"/>
          <w:szCs w:val="22"/>
          <w:b w:val="1"/>
          <w:bCs w:val="1"/>
          <w:color w:val="FFFFFF"/>
        </w:rPr>
        <w:t>Fall Flight (Sept 28 – Nov 23)</w:t>
      </w:r>
    </w:p>
    <w:p>
      <w:pPr>
        <w:spacing w:after="0" w:line="196" w:lineRule="exact"/>
        <w:rPr>
          <w:sz w:val="20"/>
          <w:szCs w:val="20"/>
          <w:color w:val="auto"/>
        </w:rPr>
      </w:pPr>
    </w:p>
    <w:p>
      <w:pPr>
        <w:ind w:left="218" w:hanging="206"/>
        <w:spacing w:after="0" w:line="303" w:lineRule="auto"/>
        <w:tabs>
          <w:tab w:leader="none" w:pos="218" w:val="left"/>
        </w:tabs>
        <w:numPr>
          <w:ilvl w:val="1"/>
          <w:numId w:val="5"/>
        </w:numPr>
        <w:rPr>
          <w:rFonts w:ascii="Arial" w:cs="Arial" w:eastAsia="Arial" w:hAnsi="Arial"/>
          <w:sz w:val="22"/>
          <w:szCs w:val="22"/>
          <w:color w:val="FFFFFF"/>
        </w:rPr>
      </w:pPr>
      <w:r>
        <w:rPr>
          <w:rFonts w:ascii="Arial" w:cs="Arial" w:eastAsia="Arial" w:hAnsi="Arial"/>
          <w:sz w:val="22"/>
          <w:szCs w:val="22"/>
          <w:color w:val="FFFFFF"/>
        </w:rPr>
        <w:t>Broadening to include network television ad-buy to supplement national cable presence</w:t>
      </w:r>
    </w:p>
    <w:p>
      <w:pPr>
        <w:spacing w:after="0" w:line="78" w:lineRule="exact"/>
        <w:rPr>
          <w:rFonts w:ascii="Arial" w:cs="Arial" w:eastAsia="Arial" w:hAnsi="Arial"/>
          <w:sz w:val="22"/>
          <w:szCs w:val="22"/>
          <w:color w:val="FFFFFF"/>
        </w:rPr>
      </w:pPr>
    </w:p>
    <w:p>
      <w:pPr>
        <w:jc w:val="both"/>
        <w:ind w:left="218" w:right="260" w:hanging="218"/>
        <w:spacing w:after="0" w:line="274" w:lineRule="auto"/>
        <w:tabs>
          <w:tab w:leader="none" w:pos="218" w:val="left"/>
        </w:tabs>
        <w:numPr>
          <w:ilvl w:val="0"/>
          <w:numId w:val="5"/>
        </w:numPr>
        <w:rPr>
          <w:rFonts w:ascii="Arial" w:cs="Arial" w:eastAsia="Arial" w:hAnsi="Arial"/>
          <w:sz w:val="22"/>
          <w:szCs w:val="22"/>
          <w:color w:val="FFFFFF"/>
        </w:rPr>
      </w:pPr>
      <w:r>
        <w:rPr>
          <w:rFonts w:ascii="Arial" w:cs="Arial" w:eastAsia="Arial" w:hAnsi="Arial"/>
          <w:sz w:val="22"/>
          <w:szCs w:val="22"/>
          <w:color w:val="FFFFFF"/>
        </w:rPr>
        <w:t>Eliminating catalog distribution; introducing smaller 16-page brand mailers to announce seasonal offerings</w:t>
      </w:r>
    </w:p>
    <w:p>
      <w:pPr>
        <w:spacing w:after="0" w:line="109" w:lineRule="exact"/>
        <w:rPr>
          <w:rFonts w:ascii="Arial" w:cs="Arial" w:eastAsia="Arial" w:hAnsi="Arial"/>
          <w:sz w:val="22"/>
          <w:szCs w:val="22"/>
          <w:color w:val="FFFFFF"/>
        </w:rPr>
      </w:pPr>
    </w:p>
    <w:p>
      <w:pPr>
        <w:ind w:left="218" w:right="320" w:hanging="218"/>
        <w:spacing w:after="0" w:line="292" w:lineRule="auto"/>
        <w:tabs>
          <w:tab w:leader="none" w:pos="218" w:val="left"/>
        </w:tabs>
        <w:numPr>
          <w:ilvl w:val="0"/>
          <w:numId w:val="5"/>
        </w:numPr>
        <w:rPr>
          <w:rFonts w:ascii="Arial" w:cs="Arial" w:eastAsia="Arial" w:hAnsi="Arial"/>
          <w:sz w:val="22"/>
          <w:szCs w:val="22"/>
          <w:color w:val="FFFFFF"/>
        </w:rPr>
      </w:pPr>
      <w:r>
        <w:rPr>
          <w:rFonts w:ascii="Arial" w:cs="Arial" w:eastAsia="Arial" w:hAnsi="Arial"/>
          <w:sz w:val="22"/>
          <w:szCs w:val="22"/>
          <w:color w:val="FFFFFF"/>
        </w:rPr>
        <w:t>Reallocating $2 million of marketing dollars to fall advertising campaign</w:t>
      </w:r>
    </w:p>
    <w:p>
      <w:pPr>
        <w:spacing w:after="0" w:line="101" w:lineRule="exact"/>
        <w:rPr>
          <w:rFonts w:ascii="Arial" w:cs="Arial" w:eastAsia="Arial" w:hAnsi="Arial"/>
          <w:sz w:val="22"/>
          <w:szCs w:val="22"/>
          <w:color w:val="FFFFFF"/>
        </w:rPr>
      </w:pPr>
    </w:p>
    <w:p>
      <w:pPr>
        <w:ind w:left="218" w:right="960" w:hanging="206"/>
        <w:spacing w:after="0" w:line="292" w:lineRule="auto"/>
        <w:tabs>
          <w:tab w:leader="none" w:pos="218" w:val="left"/>
        </w:tabs>
        <w:numPr>
          <w:ilvl w:val="1"/>
          <w:numId w:val="5"/>
        </w:numPr>
        <w:rPr>
          <w:rFonts w:ascii="Arial" w:cs="Arial" w:eastAsia="Arial" w:hAnsi="Arial"/>
          <w:sz w:val="22"/>
          <w:szCs w:val="22"/>
          <w:color w:val="FFFFFF"/>
        </w:rPr>
      </w:pPr>
      <w:r>
        <w:rPr>
          <w:rFonts w:ascii="Arial" w:cs="Arial" w:eastAsia="Arial" w:hAnsi="Arial"/>
          <w:sz w:val="22"/>
          <w:szCs w:val="22"/>
          <w:color w:val="FFFFFF"/>
        </w:rPr>
        <w:t>Added additional week to duration of campaign</w:t>
      </w:r>
    </w:p>
    <w:p>
      <w:pPr>
        <w:spacing w:after="0" w:line="200" w:lineRule="exact"/>
        <w:rPr>
          <w:sz w:val="20"/>
          <w:szCs w:val="20"/>
          <w:color w:val="auto"/>
        </w:rPr>
      </w:pPr>
    </w:p>
    <w:p>
      <w:pPr>
        <w:sectPr>
          <w:pgSz w:w="11900" w:h="16838" w:orient="portrait"/>
          <w:cols w:equalWidth="0" w:num="2">
            <w:col w:w="4959" w:space="720"/>
            <w:col w:w="4778"/>
          </w:cols>
          <w:pgMar w:left="763" w:top="1012" w:right="679" w:bottom="1440" w:gutter="0" w:footer="0" w:header="0"/>
          <w:type w:val="continuous"/>
        </w:sectPr>
      </w:pPr>
    </w:p>
    <w:p>
      <w:pPr>
        <w:spacing w:after="0" w:line="279" w:lineRule="exact"/>
        <w:rPr>
          <w:sz w:val="20"/>
          <w:szCs w:val="20"/>
          <w:color w:val="auto"/>
        </w:rPr>
      </w:pPr>
    </w:p>
    <w:p>
      <w:pPr>
        <w:ind w:left="10117"/>
        <w:spacing w:after="0"/>
        <w:rPr>
          <w:sz w:val="20"/>
          <w:szCs w:val="20"/>
          <w:color w:val="auto"/>
        </w:rPr>
      </w:pPr>
      <w:r>
        <w:rPr>
          <w:rFonts w:ascii="Arial" w:cs="Arial" w:eastAsia="Arial" w:hAnsi="Arial"/>
          <w:sz w:val="19"/>
          <w:szCs w:val="19"/>
          <w:color w:val="8CA1A5"/>
        </w:rPr>
        <w:t>25</w:t>
      </w:r>
    </w:p>
    <w:p>
      <w:pPr>
        <w:sectPr>
          <w:pgSz w:w="11900" w:h="16838" w:orient="portrait"/>
          <w:cols w:equalWidth="0" w:num="1">
            <w:col w:w="10457"/>
          </w:cols>
          <w:pgMar w:left="763" w:top="1012" w:right="6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DXL ADVERTISING CAMPAIGN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38"/>
          <w:szCs w:val="38"/>
          <w:b w:val="1"/>
          <w:bCs w:val="1"/>
          <w:color w:val="354047"/>
        </w:rPr>
        <w:t>Marketing to Customers in “No Man’s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6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26</w:t>
            </w:r>
          </w:p>
        </w:tc>
      </w:tr>
    </w:tbl>
    <w:p>
      <w:pPr>
        <w:sectPr>
          <w:pgSz w:w="11900" w:h="16838" w:orient="portrait"/>
          <w:cols w:equalWidth="0" w:num="1">
            <w:col w:w="10060"/>
          </w:cols>
          <w:pgMar w:left="860" w:top="1012" w:right="979" w:bottom="1440" w:gutter="0" w:footer="0" w:header="0"/>
        </w:sectPr>
      </w:pPr>
    </w:p>
    <w:bookmarkStart w:id="29" w:name="page30"/>
    <w:bookmarkEnd w:id="29"/>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0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5480050"/>
                    </a:xfrm>
                    <a:prstGeom prst="rect">
                      <a:avLst/>
                    </a:prstGeom>
                    <a:noFill/>
                  </pic:spPr>
                </pic:pic>
              </a:graphicData>
            </a:graphic>
          </wp:anchor>
        </w:drawing>
        <w:t>2013 MARKETING SPEND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354047"/>
        </w:rPr>
        <w:t>•  Strategically increase marketing spend as percent of sales from 4.5% to 7.0%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40" w:type="dxa"/>
            <w:vAlign w:val="bottom"/>
          </w:tcPr>
          <w:p>
            <w:pPr>
              <w:spacing w:after="0"/>
              <w:rPr>
                <w:sz w:val="20"/>
                <w:szCs w:val="20"/>
                <w:color w:val="auto"/>
              </w:rPr>
            </w:pPr>
            <w:r>
              <w:rPr>
                <w:rFonts w:ascii="Arial" w:cs="Arial" w:eastAsia="Arial" w:hAnsi="Arial"/>
                <w:sz w:val="19"/>
                <w:szCs w:val="19"/>
                <w:color w:val="354047"/>
              </w:rPr>
              <w:t>•</w:t>
            </w:r>
          </w:p>
        </w:tc>
        <w:tc>
          <w:tcPr>
            <w:tcW w:w="6200" w:type="dxa"/>
            <w:vAlign w:val="bottom"/>
          </w:tcPr>
          <w:p>
            <w:pPr>
              <w:ind w:left="80"/>
              <w:spacing w:after="0"/>
              <w:rPr>
                <w:sz w:val="20"/>
                <w:szCs w:val="20"/>
                <w:color w:val="auto"/>
              </w:rPr>
            </w:pPr>
            <w:r>
              <w:rPr>
                <w:rFonts w:ascii="Arial" w:cs="Arial" w:eastAsia="Arial" w:hAnsi="Arial"/>
                <w:sz w:val="19"/>
                <w:szCs w:val="19"/>
                <w:color w:val="354047"/>
              </w:rPr>
              <w:t>Rebalance spend to focus on prospecting and reduce direct marketing</w:t>
            </w:r>
          </w:p>
        </w:tc>
        <w:tc>
          <w:tcPr>
            <w:tcW w:w="1520" w:type="dxa"/>
            <w:vAlign w:val="bottom"/>
          </w:tcPr>
          <w:p>
            <w:pPr>
              <w:jc w:val="right"/>
              <w:ind w:right="257"/>
              <w:spacing w:after="0"/>
              <w:rPr>
                <w:sz w:val="20"/>
                <w:szCs w:val="20"/>
                <w:color w:val="auto"/>
              </w:rPr>
            </w:pPr>
            <w:r>
              <w:rPr>
                <w:rFonts w:ascii="Arial" w:cs="Arial" w:eastAsia="Arial" w:hAnsi="Arial"/>
                <w:sz w:val="22"/>
                <w:szCs w:val="22"/>
                <w:b w:val="1"/>
                <w:bCs w:val="1"/>
                <w:color w:val="23282B"/>
              </w:rPr>
              <w:t>2013</w:t>
            </w:r>
          </w:p>
        </w:tc>
        <w:tc>
          <w:tcPr>
            <w:tcW w:w="0" w:type="dxa"/>
            <w:vAlign w:val="bottom"/>
          </w:tcPr>
          <w:p>
            <w:pPr>
              <w:spacing w:after="0"/>
              <w:rPr>
                <w:sz w:val="1"/>
                <w:szCs w:val="1"/>
                <w:color w:val="auto"/>
              </w:rPr>
            </w:pPr>
          </w:p>
        </w:tc>
      </w:tr>
      <w:tr>
        <w:trPr>
          <w:trHeight w:val="254"/>
        </w:trPr>
        <w:tc>
          <w:tcPr>
            <w:tcW w:w="140" w:type="dxa"/>
            <w:vAlign w:val="bottom"/>
            <w:vMerge w:val="restart"/>
          </w:tcPr>
          <w:p>
            <w:pPr>
              <w:spacing w:after="0"/>
              <w:rPr>
                <w:sz w:val="20"/>
                <w:szCs w:val="20"/>
                <w:color w:val="auto"/>
              </w:rPr>
            </w:pPr>
            <w:r>
              <w:rPr>
                <w:rFonts w:ascii="Arial" w:cs="Arial" w:eastAsia="Arial" w:hAnsi="Arial"/>
                <w:sz w:val="19"/>
                <w:szCs w:val="19"/>
                <w:color w:val="354047"/>
              </w:rPr>
              <w:t>•</w:t>
            </w:r>
          </w:p>
        </w:tc>
        <w:tc>
          <w:tcPr>
            <w:tcW w:w="6200" w:type="dxa"/>
            <w:vAlign w:val="bottom"/>
            <w:vMerge w:val="restart"/>
          </w:tcPr>
          <w:p>
            <w:pPr>
              <w:ind w:left="80"/>
              <w:spacing w:after="0"/>
              <w:rPr>
                <w:sz w:val="20"/>
                <w:szCs w:val="20"/>
                <w:color w:val="auto"/>
              </w:rPr>
            </w:pPr>
            <w:r>
              <w:rPr>
                <w:rFonts w:ascii="Arial" w:cs="Arial" w:eastAsia="Arial" w:hAnsi="Arial"/>
                <w:sz w:val="19"/>
                <w:szCs w:val="19"/>
                <w:color w:val="354047"/>
              </w:rPr>
              <w:t>Increase budget by $10M to support DXL media and digital acquisition</w:t>
            </w:r>
          </w:p>
        </w:tc>
        <w:tc>
          <w:tcPr>
            <w:tcW w:w="1520" w:type="dxa"/>
            <w:vAlign w:val="bottom"/>
          </w:tcPr>
          <w:p>
            <w:pPr>
              <w:jc w:val="center"/>
              <w:ind w:left="177"/>
              <w:spacing w:after="0"/>
              <w:rPr>
                <w:sz w:val="20"/>
                <w:szCs w:val="20"/>
                <w:color w:val="auto"/>
              </w:rPr>
            </w:pPr>
            <w:r>
              <w:rPr>
                <w:rFonts w:ascii="Arial" w:cs="Arial" w:eastAsia="Arial" w:hAnsi="Arial"/>
                <w:sz w:val="19"/>
                <w:szCs w:val="19"/>
                <w:color w:val="23282B"/>
                <w:w w:val="99"/>
              </w:rPr>
              <w:t>$27.1M (7.0%)</w:t>
            </w:r>
          </w:p>
        </w:tc>
        <w:tc>
          <w:tcPr>
            <w:tcW w:w="0" w:type="dxa"/>
            <w:vAlign w:val="bottom"/>
          </w:tcPr>
          <w:p>
            <w:pPr>
              <w:spacing w:after="0"/>
              <w:rPr>
                <w:sz w:val="1"/>
                <w:szCs w:val="1"/>
                <w:color w:val="auto"/>
              </w:rPr>
            </w:pPr>
          </w:p>
        </w:tc>
      </w:tr>
      <w:tr>
        <w:trPr>
          <w:trHeight w:val="118"/>
        </w:trPr>
        <w:tc>
          <w:tcPr>
            <w:tcW w:w="140" w:type="dxa"/>
            <w:vAlign w:val="bottom"/>
            <w:vMerge w:val="continue"/>
          </w:tcPr>
          <w:p>
            <w:pPr>
              <w:spacing w:after="0"/>
              <w:rPr>
                <w:sz w:val="10"/>
                <w:szCs w:val="10"/>
                <w:color w:val="auto"/>
              </w:rPr>
            </w:pPr>
          </w:p>
        </w:tc>
        <w:tc>
          <w:tcPr>
            <w:tcW w:w="620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23282B"/>
        </w:rPr>
        <w:t>+$10M</w:t>
      </w:r>
    </w:p>
    <w:p>
      <w:pPr>
        <w:spacing w:after="0" w:line="24" w:lineRule="exact"/>
        <w:rPr>
          <w:sz w:val="20"/>
          <w:szCs w:val="20"/>
          <w:color w:val="auto"/>
        </w:rPr>
      </w:pPr>
    </w:p>
    <w:p>
      <w:pPr>
        <w:jc w:val="center"/>
        <w:ind w:right="3720"/>
        <w:spacing w:after="0"/>
        <w:rPr>
          <w:sz w:val="20"/>
          <w:szCs w:val="20"/>
          <w:color w:val="auto"/>
        </w:rPr>
      </w:pPr>
      <w:r>
        <w:rPr>
          <w:rFonts w:ascii="Arial" w:cs="Arial" w:eastAsia="Arial" w:hAnsi="Arial"/>
          <w:sz w:val="22"/>
          <w:szCs w:val="22"/>
          <w:b w:val="1"/>
          <w:bCs w:val="1"/>
          <w:color w:val="23282B"/>
        </w:rPr>
        <w:t>2012</w:t>
      </w:r>
    </w:p>
    <w:p>
      <w:pPr>
        <w:spacing w:after="0" w:line="14" w:lineRule="exact"/>
        <w:rPr>
          <w:sz w:val="20"/>
          <w:szCs w:val="20"/>
          <w:color w:val="auto"/>
        </w:rPr>
      </w:pPr>
    </w:p>
    <w:p>
      <w:pPr>
        <w:ind w:left="2540"/>
        <w:spacing w:after="0"/>
        <w:rPr>
          <w:sz w:val="20"/>
          <w:szCs w:val="20"/>
          <w:color w:val="auto"/>
        </w:rPr>
      </w:pPr>
      <w:r>
        <w:rPr>
          <w:rFonts w:ascii="Arial" w:cs="Arial" w:eastAsia="Arial" w:hAnsi="Arial"/>
          <w:sz w:val="19"/>
          <w:szCs w:val="19"/>
          <w:color w:val="23282B"/>
        </w:rPr>
        <w:t>$18.5M (4.6%)</w:t>
      </w:r>
    </w:p>
    <w:p>
      <w:pPr>
        <w:sectPr>
          <w:pgSz w:w="11900" w:h="16838" w:orient="portrait"/>
          <w:cols w:equalWidth="0" w:num="1">
            <w:col w:w="10060"/>
          </w:cols>
          <w:pgMar w:left="860" w:top="1036"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80"/>
        <w:spacing w:after="0"/>
        <w:rPr>
          <w:sz w:val="20"/>
          <w:szCs w:val="20"/>
          <w:color w:val="auto"/>
        </w:rPr>
      </w:pPr>
      <w:r>
        <w:rPr>
          <w:rFonts w:ascii="Arial" w:cs="Arial" w:eastAsia="Arial" w:hAnsi="Arial"/>
          <w:sz w:val="22"/>
          <w:szCs w:val="22"/>
          <w:color w:val="23282B"/>
        </w:rPr>
        <w:t>Direct Marketing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23282B"/>
        </w:rPr>
        <w:t>Digital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23282B"/>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23282B"/>
        </w:rPr>
        <w:t>Visual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23282B"/>
        </w:rPr>
        <w:t>Loyalty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23282B"/>
        </w:rPr>
        <w:t>Media</w:t>
      </w:r>
    </w:p>
    <w:p>
      <w:pPr>
        <w:spacing w:after="0" w:line="194" w:lineRule="exact"/>
        <w:rPr>
          <w:sz w:val="20"/>
          <w:szCs w:val="20"/>
          <w:color w:val="auto"/>
        </w:rPr>
      </w:pPr>
    </w:p>
    <w:p>
      <w:pPr>
        <w:sectPr>
          <w:pgSz w:w="11900" w:h="16838" w:orient="portrait"/>
          <w:cols w:equalWidth="0" w:num="6">
            <w:col w:w="2620" w:space="540"/>
            <w:col w:w="620" w:space="600"/>
            <w:col w:w="560" w:space="640"/>
            <w:col w:w="600" w:space="580"/>
            <w:col w:w="720" w:space="600"/>
            <w:col w:w="1980"/>
          </w:cols>
          <w:pgMar w:left="860" w:top="1036" w:right="979" w:bottom="1440" w:gutter="0" w:footer="0" w:header="0"/>
          <w:type w:val="continuous"/>
        </w:sectPr>
      </w:pPr>
    </w:p>
    <w:p>
      <w:pPr>
        <w:spacing w:after="0" w:line="48" w:lineRule="exact"/>
        <w:rPr>
          <w:sz w:val="20"/>
          <w:szCs w:val="20"/>
          <w:color w:val="auto"/>
        </w:rPr>
      </w:pPr>
    </w:p>
    <w:p>
      <w:pPr>
        <w:jc w:val="center"/>
        <w:ind w:left="800"/>
        <w:spacing w:after="0"/>
        <w:rPr>
          <w:sz w:val="20"/>
          <w:szCs w:val="20"/>
          <w:color w:val="auto"/>
        </w:rPr>
      </w:pPr>
      <w:r>
        <w:rPr>
          <w:rFonts w:ascii="Arial" w:cs="Arial" w:eastAsia="Arial" w:hAnsi="Arial"/>
          <w:sz w:val="15"/>
          <w:szCs w:val="15"/>
          <w:color w:val="4D5D67"/>
        </w:rPr>
        <w:t>Destination XL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8CA1A5"/>
        </w:rPr>
        <w:t>27</w:t>
      </w:r>
    </w:p>
    <w:p>
      <w:pPr>
        <w:sectPr>
          <w:pgSz w:w="11900" w:h="16838" w:orient="portrait"/>
          <w:cols w:equalWidth="0" w:num="2">
            <w:col w:w="9120" w:space="720"/>
            <w:col w:w="220"/>
          </w:cols>
          <w:pgMar w:left="860" w:top="1036" w:right="97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80"/>
        <w:spacing w:after="0"/>
        <w:rPr>
          <w:sz w:val="20"/>
          <w:szCs w:val="20"/>
          <w:color w:val="auto"/>
        </w:rPr>
      </w:pPr>
      <w:r>
        <w:rPr>
          <w:rFonts w:ascii="Arial" w:cs="Arial" w:eastAsia="Arial" w:hAnsi="Arial"/>
          <w:sz w:val="42"/>
          <w:szCs w:val="42"/>
          <w:b w:val="1"/>
          <w:bCs w:val="1"/>
          <w:color w:val="FFFFFF"/>
        </w:rPr>
        <w:t>FINANCIAL PERFORMANCE</w:t>
      </w:r>
    </w:p>
    <w:p>
      <w:pPr>
        <w:sectPr>
          <w:pgSz w:w="11900" w:h="16838" w:orient="portrait"/>
          <w:cols w:equalWidth="0" w:num="1">
            <w:col w:w="11080"/>
          </w:cols>
          <w:pgMar w:left="48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FFFFFF"/>
        </w:rPr>
        <w:t>Destination XL Group,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8C8D8D"/>
        </w:rPr>
        <w:t>28</w:t>
      </w:r>
    </w:p>
    <w:p>
      <w:pPr>
        <w:sectPr>
          <w:pgSz w:w="11900" w:h="16838" w:orient="portrait"/>
          <w:cols w:equalWidth="0" w:num="2">
            <w:col w:w="10160" w:space="720"/>
            <w:col w:w="200"/>
          </w:cols>
          <w:pgMar w:left="480" w:top="144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YTD 2013 RESULTS THROUGH Q3</w:t>
      </w:r>
    </w:p>
    <w:p>
      <w:pPr>
        <w:spacing w:after="0" w:line="375" w:lineRule="exact"/>
        <w:rPr>
          <w:sz w:val="20"/>
          <w:szCs w:val="20"/>
          <w:color w:val="auto"/>
        </w:rPr>
      </w:pPr>
    </w:p>
    <w:p>
      <w:pPr>
        <w:ind w:left="440" w:right="620" w:hanging="431"/>
        <w:spacing w:after="0" w:line="285" w:lineRule="auto"/>
        <w:tabs>
          <w:tab w:leader="none" w:pos="440" w:val="left"/>
        </w:tabs>
        <w:numPr>
          <w:ilvl w:val="0"/>
          <w:numId w:val="6"/>
        </w:numPr>
        <w:rPr>
          <w:rFonts w:ascii="Arial" w:cs="Arial" w:eastAsia="Arial" w:hAnsi="Arial"/>
          <w:sz w:val="32"/>
          <w:szCs w:val="32"/>
          <w:color w:val="658E1A"/>
        </w:rPr>
      </w:pPr>
      <w:r>
        <w:rPr>
          <w:rFonts w:ascii="Arial" w:cs="Arial" w:eastAsia="Arial" w:hAnsi="Arial"/>
          <w:sz w:val="32"/>
          <w:szCs w:val="32"/>
          <w:color w:val="354047"/>
        </w:rPr>
        <w:t>DXL stores comparable sales increased 21.4% and represented 26.5% of total comparable retail sales</w:t>
      </w:r>
    </w:p>
    <w:p>
      <w:pPr>
        <w:spacing w:after="0" w:line="125" w:lineRule="exact"/>
        <w:rPr>
          <w:rFonts w:ascii="Arial" w:cs="Arial" w:eastAsia="Arial" w:hAnsi="Arial"/>
          <w:sz w:val="32"/>
          <w:szCs w:val="32"/>
          <w:color w:val="658E1A"/>
        </w:rPr>
      </w:pPr>
    </w:p>
    <w:p>
      <w:pPr>
        <w:ind w:left="440" w:hanging="431"/>
        <w:spacing w:after="0"/>
        <w:tabs>
          <w:tab w:leader="none" w:pos="440" w:val="left"/>
        </w:tabs>
        <w:numPr>
          <w:ilvl w:val="0"/>
          <w:numId w:val="6"/>
        </w:numPr>
        <w:rPr>
          <w:rFonts w:ascii="Arial" w:cs="Arial" w:eastAsia="Arial" w:hAnsi="Arial"/>
          <w:sz w:val="32"/>
          <w:szCs w:val="32"/>
          <w:color w:val="658E1A"/>
        </w:rPr>
      </w:pPr>
      <w:r>
        <w:rPr>
          <w:rFonts w:ascii="Arial" w:cs="Arial" w:eastAsia="Arial" w:hAnsi="Arial"/>
          <w:sz w:val="32"/>
          <w:szCs w:val="32"/>
          <w:color w:val="354047"/>
        </w:rPr>
        <w:t>36 DXL stores opened 1 year comparable sales increased 11.5%</w:t>
      </w:r>
    </w:p>
    <w:p>
      <w:pPr>
        <w:spacing w:after="0" w:line="266" w:lineRule="exact"/>
        <w:rPr>
          <w:rFonts w:ascii="Arial" w:cs="Arial" w:eastAsia="Arial" w:hAnsi="Arial"/>
          <w:sz w:val="32"/>
          <w:szCs w:val="32"/>
          <w:color w:val="658E1A"/>
        </w:rPr>
      </w:pPr>
    </w:p>
    <w:p>
      <w:pPr>
        <w:ind w:left="440" w:hanging="431"/>
        <w:spacing w:after="0"/>
        <w:tabs>
          <w:tab w:leader="none" w:pos="440" w:val="left"/>
        </w:tabs>
        <w:numPr>
          <w:ilvl w:val="0"/>
          <w:numId w:val="6"/>
        </w:numPr>
        <w:rPr>
          <w:rFonts w:ascii="Arial" w:cs="Arial" w:eastAsia="Arial" w:hAnsi="Arial"/>
          <w:sz w:val="32"/>
          <w:szCs w:val="32"/>
          <w:color w:val="658E1A"/>
        </w:rPr>
      </w:pPr>
      <w:r>
        <w:rPr>
          <w:rFonts w:ascii="Arial" w:cs="Arial" w:eastAsia="Arial" w:hAnsi="Arial"/>
          <w:sz w:val="32"/>
          <w:szCs w:val="32"/>
          <w:color w:val="354047"/>
        </w:rPr>
        <w:t>Dollars per transaction have increased 17.5% over the prior year</w:t>
      </w:r>
    </w:p>
    <w:p>
      <w:pPr>
        <w:spacing w:after="0" w:line="255" w:lineRule="exact"/>
        <w:rPr>
          <w:rFonts w:ascii="Arial" w:cs="Arial" w:eastAsia="Arial" w:hAnsi="Arial"/>
          <w:sz w:val="32"/>
          <w:szCs w:val="32"/>
          <w:color w:val="658E1A"/>
        </w:rPr>
      </w:pPr>
    </w:p>
    <w:p>
      <w:pPr>
        <w:ind w:left="440" w:right="800" w:hanging="431"/>
        <w:spacing w:after="0" w:line="285" w:lineRule="auto"/>
        <w:tabs>
          <w:tab w:leader="none" w:pos="440" w:val="left"/>
        </w:tabs>
        <w:numPr>
          <w:ilvl w:val="0"/>
          <w:numId w:val="6"/>
        </w:numPr>
        <w:rPr>
          <w:rFonts w:ascii="Arial" w:cs="Arial" w:eastAsia="Arial" w:hAnsi="Arial"/>
          <w:sz w:val="32"/>
          <w:szCs w:val="32"/>
          <w:color w:val="658E1A"/>
        </w:rPr>
      </w:pPr>
      <w:r>
        <w:rPr>
          <w:rFonts w:ascii="Arial" w:cs="Arial" w:eastAsia="Arial" w:hAnsi="Arial"/>
          <w:sz w:val="32"/>
          <w:szCs w:val="32"/>
          <w:color w:val="354047"/>
        </w:rPr>
        <w:t>Comp sales for Casual Male XL and Rochester Clothing stores decreased (0.3)%</w:t>
      </w:r>
    </w:p>
    <w:p>
      <w:pPr>
        <w:spacing w:after="0" w:line="125" w:lineRule="exact"/>
        <w:rPr>
          <w:rFonts w:ascii="Arial" w:cs="Arial" w:eastAsia="Arial" w:hAnsi="Arial"/>
          <w:sz w:val="32"/>
          <w:szCs w:val="32"/>
          <w:color w:val="658E1A"/>
        </w:rPr>
      </w:pPr>
    </w:p>
    <w:p>
      <w:pPr>
        <w:ind w:left="440" w:right="80" w:hanging="431"/>
        <w:spacing w:after="0" w:line="285" w:lineRule="auto"/>
        <w:tabs>
          <w:tab w:leader="none" w:pos="440" w:val="left"/>
        </w:tabs>
        <w:numPr>
          <w:ilvl w:val="0"/>
          <w:numId w:val="6"/>
        </w:numPr>
        <w:rPr>
          <w:rFonts w:ascii="Arial" w:cs="Arial" w:eastAsia="Arial" w:hAnsi="Arial"/>
          <w:sz w:val="32"/>
          <w:szCs w:val="32"/>
          <w:color w:val="658E1A"/>
        </w:rPr>
      </w:pPr>
      <w:r>
        <w:rPr>
          <w:rFonts w:ascii="Arial" w:cs="Arial" w:eastAsia="Arial" w:hAnsi="Arial"/>
          <w:sz w:val="32"/>
          <w:szCs w:val="32"/>
          <w:color w:val="354047"/>
        </w:rPr>
        <w:t>Overall comparable retail sales increased 2.5% and total sales were $279.4M</w:t>
      </w:r>
    </w:p>
    <w:p>
      <w:pPr>
        <w:spacing w:after="0" w:line="137" w:lineRule="exact"/>
        <w:rPr>
          <w:rFonts w:ascii="Arial" w:cs="Arial" w:eastAsia="Arial" w:hAnsi="Arial"/>
          <w:sz w:val="32"/>
          <w:szCs w:val="32"/>
          <w:color w:val="658E1A"/>
        </w:rPr>
      </w:pPr>
    </w:p>
    <w:p>
      <w:pPr>
        <w:ind w:left="440" w:hanging="431"/>
        <w:spacing w:after="0"/>
        <w:tabs>
          <w:tab w:leader="none" w:pos="440" w:val="left"/>
        </w:tabs>
        <w:numPr>
          <w:ilvl w:val="0"/>
          <w:numId w:val="6"/>
        </w:numPr>
        <w:rPr>
          <w:rFonts w:ascii="Arial" w:cs="Arial" w:eastAsia="Arial" w:hAnsi="Arial"/>
          <w:sz w:val="32"/>
          <w:szCs w:val="32"/>
          <w:color w:val="658E1A"/>
        </w:rPr>
      </w:pPr>
      <w:r>
        <w:rPr>
          <w:rFonts w:ascii="Arial" w:cs="Arial" w:eastAsia="Arial" w:hAnsi="Arial"/>
          <w:sz w:val="32"/>
          <w:szCs w:val="32"/>
          <w:color w:val="354047"/>
        </w:rPr>
        <w:t>U.S. direct e-commerce sales increased 3.3%</w:t>
      </w:r>
    </w:p>
    <w:p>
      <w:pPr>
        <w:spacing w:after="0" w:line="255" w:lineRule="exact"/>
        <w:rPr>
          <w:rFonts w:ascii="Arial" w:cs="Arial" w:eastAsia="Arial" w:hAnsi="Arial"/>
          <w:sz w:val="32"/>
          <w:szCs w:val="32"/>
          <w:color w:val="658E1A"/>
        </w:rPr>
      </w:pPr>
    </w:p>
    <w:p>
      <w:pPr>
        <w:ind w:left="440" w:right="200" w:hanging="431"/>
        <w:spacing w:after="0" w:line="254" w:lineRule="auto"/>
        <w:tabs>
          <w:tab w:leader="none" w:pos="440" w:val="left"/>
        </w:tabs>
        <w:numPr>
          <w:ilvl w:val="0"/>
          <w:numId w:val="6"/>
        </w:numPr>
        <w:rPr>
          <w:rFonts w:ascii="Arial" w:cs="Arial" w:eastAsia="Arial" w:hAnsi="Arial"/>
          <w:sz w:val="32"/>
          <w:szCs w:val="32"/>
          <w:color w:val="658E1A"/>
        </w:rPr>
      </w:pPr>
      <w:r>
        <w:rPr>
          <w:rFonts w:ascii="Arial" w:cs="Arial" w:eastAsia="Arial" w:hAnsi="Arial"/>
          <w:sz w:val="32"/>
          <w:szCs w:val="32"/>
          <w:color w:val="354047"/>
        </w:rPr>
        <w:t>Loss from continuing operations was ($4.6) million, or ($0.10) per diluted share, which included $9.1 million (after tax), or $0.19 per share, of Transition Costs and incremental marketing expenses</w:t>
      </w:r>
    </w:p>
    <w:p>
      <w:pPr>
        <w:ind w:left="440"/>
        <w:spacing w:after="0" w:line="237" w:lineRule="auto"/>
        <w:rPr>
          <w:sz w:val="20"/>
          <w:szCs w:val="20"/>
          <w:color w:val="auto"/>
        </w:rPr>
      </w:pPr>
      <w:r>
        <w:rPr>
          <w:rFonts w:ascii="Arial" w:cs="Arial" w:eastAsia="Arial" w:hAnsi="Arial"/>
          <w:sz w:val="32"/>
          <w:szCs w:val="32"/>
          <w:color w:val="354047"/>
        </w:rPr>
        <w:t>to support the DXL rollout</w:t>
      </w:r>
    </w:p>
    <w:p>
      <w:pPr>
        <w:spacing w:after="0" w:line="1" w:lineRule="exact"/>
        <w:rPr>
          <w:sz w:val="20"/>
          <w:szCs w:val="20"/>
          <w:color w:val="auto"/>
        </w:rPr>
      </w:pPr>
    </w:p>
    <w:tbl>
      <w:tblPr>
        <w:tblLayout w:type="fixed"/>
        <w:tblInd w:w="406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29</w:t>
            </w:r>
          </w:p>
        </w:tc>
      </w:tr>
    </w:tbl>
    <w:p>
      <w:pPr>
        <w:sectPr>
          <w:pgSz w:w="11900" w:h="16838" w:orient="portrait"/>
          <w:cols w:equalWidth="0" w:num="1">
            <w:col w:w="10060"/>
          </w:cols>
          <w:pgMar w:left="860" w:top="1012" w:right="979" w:bottom="1440" w:gutter="0" w:footer="0" w:header="0"/>
        </w:sectPr>
      </w:pPr>
    </w:p>
    <w:bookmarkStart w:id="32" w:name="page33"/>
    <w:bookmarkEnd w:id="32"/>
    <w:p>
      <w:pPr>
        <w:spacing w:after="0"/>
        <w:rPr>
          <w:sz w:val="20"/>
          <w:szCs w:val="20"/>
          <w:color w:val="auto"/>
        </w:rPr>
      </w:pPr>
      <w:r>
        <w:rPr>
          <w:rFonts w:ascii="Arial" w:cs="Arial" w:eastAsia="Arial" w:hAnsi="Arial"/>
          <w:sz w:val="42"/>
          <w:szCs w:val="42"/>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SALES &amp; GROSS MARGIN</w:t>
      </w:r>
    </w:p>
    <w:p>
      <w:pPr>
        <w:sectPr>
          <w:pgSz w:w="11900" w:h="16838" w:orient="portrait"/>
          <w:cols w:equalWidth="0" w:num="1">
            <w:col w:w="10060"/>
          </w:cols>
          <w:pgMar w:left="860" w:top="965"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auto"/>
        </w:rPr>
        <w:t>Revenue ($MM)</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$500</w:t>
      </w:r>
    </w:p>
    <w:p>
      <w:pPr>
        <w:spacing w:after="0" w:line="3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2660" w:type="dxa"/>
            <w:vAlign w:val="bottom"/>
          </w:tcPr>
          <w:p>
            <w:pPr>
              <w:jc w:val="right"/>
              <w:ind w:right="1732"/>
              <w:spacing w:after="0"/>
              <w:rPr>
                <w:sz w:val="20"/>
                <w:szCs w:val="20"/>
                <w:color w:val="auto"/>
              </w:rPr>
            </w:pPr>
            <w:r>
              <w:rPr>
                <w:rFonts w:ascii="Arial" w:cs="Arial" w:eastAsia="Arial" w:hAnsi="Arial"/>
                <w:sz w:val="18"/>
                <w:szCs w:val="18"/>
                <w:color w:val="auto"/>
              </w:rPr>
              <w:t>$443.9</w:t>
            </w:r>
          </w:p>
        </w:tc>
        <w:tc>
          <w:tcPr>
            <w:tcW w:w="1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680" w:type="dxa"/>
            <w:vAlign w:val="bottom"/>
            <w:vMerge w:val="restart"/>
          </w:tcPr>
          <w:p>
            <w:pPr>
              <w:jc w:val="right"/>
              <w:ind w:right="192"/>
              <w:spacing w:after="0"/>
              <w:rPr>
                <w:sz w:val="20"/>
                <w:szCs w:val="20"/>
                <w:color w:val="auto"/>
              </w:rPr>
            </w:pPr>
            <w:r>
              <w:rPr>
                <w:rFonts w:ascii="Arial" w:cs="Arial" w:eastAsia="Arial" w:hAnsi="Arial"/>
                <w:sz w:val="18"/>
                <w:szCs w:val="18"/>
                <w:color w:val="auto"/>
                <w:w w:val="94"/>
              </w:rPr>
              <w:t>$400</w:t>
            </w:r>
          </w:p>
        </w:tc>
        <w:tc>
          <w:tcPr>
            <w:tcW w:w="2660" w:type="dxa"/>
            <w:vAlign w:val="bottom"/>
          </w:tcPr>
          <w:p>
            <w:pPr>
              <w:jc w:val="right"/>
              <w:ind w:right="332"/>
              <w:spacing w:after="0"/>
              <w:rPr>
                <w:sz w:val="20"/>
                <w:szCs w:val="20"/>
                <w:color w:val="auto"/>
              </w:rPr>
            </w:pPr>
            <w:r>
              <w:rPr>
                <w:rFonts w:ascii="Arial" w:cs="Arial" w:eastAsia="Arial" w:hAnsi="Arial"/>
                <w:sz w:val="18"/>
                <w:szCs w:val="18"/>
                <w:color w:val="auto"/>
              </w:rPr>
              <w:t>$393.9</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$392.0</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$395.9</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$399.6</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97"/>
        </w:trPr>
        <w:tc>
          <w:tcPr>
            <w:tcW w:w="68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0" w:type="dxa"/>
            <w:vAlign w:val="bottom"/>
            <w:vMerge w:val="restart"/>
          </w:tcPr>
          <w:p>
            <w:pPr>
              <w:jc w:val="right"/>
              <w:ind w:right="352"/>
              <w:spacing w:after="0"/>
              <w:rPr>
                <w:sz w:val="20"/>
                <w:szCs w:val="20"/>
                <w:color w:val="auto"/>
              </w:rPr>
            </w:pPr>
            <w:r>
              <w:rPr>
                <w:rFonts w:ascii="Arial" w:cs="Arial" w:eastAsia="Arial" w:hAnsi="Arial"/>
                <w:sz w:val="18"/>
                <w:szCs w:val="18"/>
                <w:color w:val="FFFFFF"/>
              </w:rPr>
              <w:t>46.3%</w:t>
            </w:r>
          </w:p>
        </w:tc>
        <w:tc>
          <w:tcPr>
            <w:tcW w:w="1400" w:type="dxa"/>
            <w:vAlign w:val="bottom"/>
            <w:vMerge w:val="restart"/>
          </w:tcPr>
          <w:p>
            <w:pPr>
              <w:jc w:val="right"/>
              <w:ind w:right="352"/>
              <w:spacing w:after="0"/>
              <w:rPr>
                <w:sz w:val="20"/>
                <w:szCs w:val="20"/>
                <w:color w:val="auto"/>
              </w:rPr>
            </w:pPr>
            <w:r>
              <w:rPr>
                <w:rFonts w:ascii="Arial" w:cs="Arial" w:eastAsia="Arial" w:hAnsi="Arial"/>
                <w:sz w:val="18"/>
                <w:szCs w:val="18"/>
                <w:color w:val="FFFFFF"/>
              </w:rPr>
              <w:t>46.5%</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0" w:type="dxa"/>
            <w:vAlign w:val="bottom"/>
            <w:vMerge w:val="restart"/>
          </w:tcPr>
          <w:p>
            <w:pPr>
              <w:jc w:val="right"/>
              <w:ind w:right="352"/>
              <w:spacing w:after="0"/>
              <w:rPr>
                <w:sz w:val="20"/>
                <w:szCs w:val="20"/>
                <w:color w:val="auto"/>
              </w:rPr>
            </w:pPr>
            <w:r>
              <w:rPr>
                <w:rFonts w:ascii="Arial" w:cs="Arial" w:eastAsia="Arial" w:hAnsi="Arial"/>
                <w:sz w:val="18"/>
                <w:szCs w:val="18"/>
                <w:color w:val="FFFFFF"/>
              </w:rPr>
              <w:t>45.9%</w:t>
            </w:r>
          </w:p>
        </w:tc>
        <w:tc>
          <w:tcPr>
            <w:tcW w:w="14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6"/>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94"/>
              </w:rPr>
              <w:t>$300</w:t>
            </w:r>
          </w:p>
        </w:tc>
        <w:tc>
          <w:tcPr>
            <w:tcW w:w="2660" w:type="dxa"/>
            <w:vAlign w:val="bottom"/>
          </w:tcPr>
          <w:p>
            <w:pPr>
              <w:jc w:val="right"/>
              <w:ind w:right="352"/>
              <w:spacing w:after="0"/>
              <w:rPr>
                <w:sz w:val="20"/>
                <w:szCs w:val="20"/>
                <w:color w:val="auto"/>
              </w:rPr>
            </w:pPr>
            <w:r>
              <w:rPr>
                <w:rFonts w:ascii="Arial" w:cs="Arial" w:eastAsia="Arial" w:hAnsi="Arial"/>
                <w:sz w:val="18"/>
                <w:szCs w:val="18"/>
                <w:color w:val="FFFFFF"/>
              </w:rPr>
              <w:t>44.2%</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360"/>
        <w:spacing w:after="0"/>
        <w:rPr>
          <w:sz w:val="20"/>
          <w:szCs w:val="20"/>
          <w:color w:val="auto"/>
        </w:rPr>
      </w:pPr>
      <w:r>
        <w:rPr>
          <w:rFonts w:ascii="Arial" w:cs="Arial" w:eastAsia="Arial" w:hAnsi="Arial"/>
          <w:sz w:val="18"/>
          <w:szCs w:val="18"/>
          <w:color w:val="FFFFFF"/>
        </w:rPr>
        <w:t>42.7%</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w:t>
      </w: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w:t>
      </w:r>
    </w:p>
    <w:p>
      <w:pPr>
        <w:spacing w:after="0" w:line="200" w:lineRule="exact"/>
        <w:rPr>
          <w:sz w:val="20"/>
          <w:szCs w:val="20"/>
          <w:color w:val="auto"/>
        </w:rPr>
      </w:pPr>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$0</w:t>
      </w:r>
    </w:p>
    <w:p>
      <w:pPr>
        <w:spacing w:after="0" w:line="15" w:lineRule="exact"/>
        <w:rPr>
          <w:sz w:val="20"/>
          <w:szCs w:val="20"/>
          <w:color w:val="auto"/>
        </w:rPr>
      </w:pPr>
    </w:p>
    <w:tbl>
      <w:tblPr>
        <w:tblLayout w:type="fixed"/>
        <w:tblInd w:w="1400" w:type="dxa"/>
        <w:tblCellMar>
          <w:top w:w="0" w:type="dxa"/>
          <w:left w:w="0" w:type="dxa"/>
          <w:bottom w:w="0" w:type="dxa"/>
          <w:right w:w="0" w:type="dxa"/>
        </w:tblCellMar>
      </w:tblPr>
      <w:tr>
        <w:trPr>
          <w:trHeight w:val="238"/>
        </w:trPr>
        <w:tc>
          <w:tcPr>
            <w:tcW w:w="900" w:type="dxa"/>
            <w:vAlign w:val="bottom"/>
          </w:tcPr>
          <w:p>
            <w:pPr>
              <w:jc w:val="right"/>
              <w:ind w:right="412"/>
              <w:spacing w:after="0"/>
              <w:rPr>
                <w:sz w:val="20"/>
                <w:szCs w:val="20"/>
                <w:color w:val="auto"/>
              </w:rPr>
            </w:pPr>
            <w:r>
              <w:rPr>
                <w:rFonts w:ascii="Arial" w:cs="Arial" w:eastAsia="Arial" w:hAnsi="Arial"/>
                <w:sz w:val="18"/>
                <w:szCs w:val="18"/>
                <w:color w:val="auto"/>
                <w:w w:val="94"/>
              </w:rPr>
              <w:t>2008</w:t>
            </w: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2009</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2010</w:t>
            </w:r>
          </w:p>
        </w:tc>
        <w:tc>
          <w:tcPr>
            <w:tcW w:w="1600" w:type="dxa"/>
            <w:vAlign w:val="bottom"/>
          </w:tcPr>
          <w:p>
            <w:pPr>
              <w:jc w:val="right"/>
              <w:ind w:right="612"/>
              <w:spacing w:after="0"/>
              <w:rPr>
                <w:sz w:val="20"/>
                <w:szCs w:val="20"/>
                <w:color w:val="auto"/>
              </w:rPr>
            </w:pPr>
            <w:r>
              <w:rPr>
                <w:rFonts w:ascii="Arial" w:cs="Arial" w:eastAsia="Arial" w:hAnsi="Arial"/>
                <w:sz w:val="18"/>
                <w:szCs w:val="18"/>
                <w:color w:val="auto"/>
              </w:rPr>
              <w:t>2011</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2012</w:t>
            </w:r>
          </w:p>
        </w:tc>
        <w:tc>
          <w:tcPr>
            <w:tcW w:w="1200" w:type="dxa"/>
            <w:vAlign w:val="bottom"/>
          </w:tcPr>
          <w:p>
            <w:pPr>
              <w:ind w:left="400"/>
              <w:spacing w:after="0"/>
              <w:rPr>
                <w:sz w:val="20"/>
                <w:szCs w:val="20"/>
                <w:color w:val="auto"/>
              </w:rPr>
            </w:pPr>
            <w:r>
              <w:rPr>
                <w:rFonts w:ascii="Arial" w:cs="Arial" w:eastAsia="Arial" w:hAnsi="Arial"/>
                <w:sz w:val="18"/>
                <w:szCs w:val="18"/>
                <w:color w:val="auto"/>
                <w:w w:val="96"/>
              </w:rPr>
              <w:t>YTD 2013</w:t>
            </w:r>
          </w:p>
        </w:tc>
      </w:tr>
      <w:tr>
        <w:trPr>
          <w:trHeight w:val="531"/>
        </w:trPr>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Revenue</w:t>
            </w:r>
          </w:p>
        </w:tc>
        <w:tc>
          <w:tcPr>
            <w:tcW w:w="1600" w:type="dxa"/>
            <w:vAlign w:val="bottom"/>
          </w:tcPr>
          <w:p>
            <w:pPr>
              <w:jc w:val="right"/>
              <w:ind w:right="212"/>
              <w:spacing w:after="0"/>
              <w:rPr>
                <w:sz w:val="20"/>
                <w:szCs w:val="20"/>
                <w:color w:val="auto"/>
              </w:rPr>
            </w:pPr>
            <w:r>
              <w:rPr>
                <w:rFonts w:ascii="Arial" w:cs="Arial" w:eastAsia="Arial" w:hAnsi="Arial"/>
                <w:sz w:val="18"/>
                <w:szCs w:val="18"/>
                <w:color w:val="auto"/>
              </w:rPr>
              <w:t>Gross Margin</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92" w:lineRule="exact"/>
        <w:rPr>
          <w:sz w:val="20"/>
          <w:szCs w:val="20"/>
          <w:color w:val="auto"/>
        </w:rPr>
      </w:pPr>
    </w:p>
    <w:p>
      <w:pPr>
        <w:ind w:left="600"/>
        <w:spacing w:after="0"/>
        <w:rPr>
          <w:sz w:val="20"/>
          <w:szCs w:val="20"/>
          <w:color w:val="auto"/>
        </w:rPr>
      </w:pPr>
      <w:r>
        <w:rPr>
          <w:rFonts w:ascii="Arial" w:cs="Arial" w:eastAsia="Arial" w:hAnsi="Arial"/>
          <w:sz w:val="24"/>
          <w:szCs w:val="24"/>
          <w:b w:val="1"/>
          <w:bCs w:val="1"/>
          <w:color w:val="354047"/>
        </w:rPr>
        <w:t>Strong gross margins provide opportunity for significant sales leverage</w:t>
      </w:r>
    </w:p>
    <w:p>
      <w:pPr>
        <w:spacing w:after="0" w:line="200" w:lineRule="exact"/>
        <w:rPr>
          <w:sz w:val="20"/>
          <w:szCs w:val="20"/>
          <w:color w:val="auto"/>
        </w:rPr>
      </w:pPr>
    </w:p>
    <w:p>
      <w:pPr>
        <w:spacing w:after="0" w:line="258" w:lineRule="exact"/>
        <w:rPr>
          <w:sz w:val="20"/>
          <w:szCs w:val="20"/>
          <w:color w:val="auto"/>
        </w:rPr>
      </w:pPr>
    </w:p>
    <w:p>
      <w:pPr>
        <w:ind w:left="4060"/>
        <w:spacing w:after="0"/>
        <w:rPr>
          <w:sz w:val="20"/>
          <w:szCs w:val="20"/>
          <w:color w:val="auto"/>
        </w:rPr>
      </w:pPr>
      <w:r>
        <w:rPr>
          <w:rFonts w:ascii="Arial" w:cs="Arial" w:eastAsia="Arial" w:hAnsi="Arial"/>
          <w:sz w:val="15"/>
          <w:szCs w:val="15"/>
          <w:color w:val="4D5D67"/>
        </w:rPr>
        <w:t>Destination XL Group,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9"/>
          <w:szCs w:val="19"/>
          <w:color w:val="8CA1A5"/>
        </w:rPr>
        <w:t>30</w:t>
      </w:r>
    </w:p>
    <w:p>
      <w:pPr>
        <w:sectPr>
          <w:pgSz w:w="11900" w:h="16838" w:orient="portrait"/>
          <w:cols w:equalWidth="0" w:num="2">
            <w:col w:w="9040" w:space="420"/>
            <w:col w:w="600"/>
          </w:cols>
          <w:pgMar w:left="860" w:top="965" w:right="979" w:bottom="1440" w:gutter="0" w:footer="0" w:header="0"/>
          <w:type w:val="continuous"/>
        </w:sectPr>
      </w:pPr>
    </w:p>
    <w:bookmarkStart w:id="33" w:name="page34"/>
    <w:bookmarkEnd w:id="33"/>
    <w:p>
      <w:pPr>
        <w:ind w:left="220"/>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OPERATING MARGIN &amp; COMPARABLE SALES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5F5F5F"/>
        </w:rPr>
        <w:t>(continuing operations)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40" w:type="dxa"/>
            <w:vAlign w:val="bottom"/>
            <w:gridSpan w:val="3"/>
          </w:tcPr>
          <w:p>
            <w:pPr>
              <w:jc w:val="right"/>
              <w:ind w:right="1881"/>
              <w:spacing w:after="0"/>
              <w:rPr>
                <w:sz w:val="20"/>
                <w:szCs w:val="20"/>
                <w:color w:val="auto"/>
              </w:rPr>
            </w:pPr>
            <w:r>
              <w:rPr>
                <w:rFonts w:ascii="Arial" w:cs="Arial" w:eastAsia="Arial" w:hAnsi="Arial"/>
                <w:sz w:val="18"/>
                <w:szCs w:val="18"/>
                <w:b w:val="1"/>
                <w:bCs w:val="1"/>
                <w:color w:val="auto"/>
              </w:rPr>
              <w:t>DXLG Operating Margin</w:t>
            </w:r>
          </w:p>
        </w:tc>
        <w:tc>
          <w:tcPr>
            <w:tcW w:w="920" w:type="dxa"/>
            <w:vAlign w:val="bottom"/>
          </w:tcPr>
          <w:p>
            <w:pPr>
              <w:spacing w:after="0"/>
              <w:rPr>
                <w:sz w:val="22"/>
                <w:szCs w:val="22"/>
                <w:color w:val="auto"/>
              </w:rPr>
            </w:pPr>
          </w:p>
        </w:tc>
        <w:tc>
          <w:tcPr>
            <w:tcW w:w="2920" w:type="dxa"/>
            <w:vAlign w:val="bottom"/>
            <w:gridSpan w:val="2"/>
          </w:tcPr>
          <w:p>
            <w:pPr>
              <w:ind w:left="1060"/>
              <w:spacing w:after="0"/>
              <w:rPr>
                <w:sz w:val="20"/>
                <w:szCs w:val="20"/>
                <w:color w:val="auto"/>
              </w:rPr>
            </w:pPr>
            <w:r>
              <w:rPr>
                <w:rFonts w:ascii="Arial" w:cs="Arial" w:eastAsia="Arial" w:hAnsi="Arial"/>
                <w:sz w:val="20"/>
                <w:szCs w:val="20"/>
                <w:b w:val="1"/>
                <w:bCs w:val="1"/>
                <w:color w:val="auto"/>
              </w:rPr>
              <w:t>DXLG Comp Sales</w:t>
            </w: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240" w:type="dxa"/>
            <w:vAlign w:val="bottom"/>
          </w:tcPr>
          <w:p>
            <w:pPr>
              <w:jc w:val="right"/>
              <w:ind w:right="787"/>
              <w:spacing w:after="0"/>
              <w:rPr>
                <w:sz w:val="20"/>
                <w:szCs w:val="20"/>
                <w:color w:val="auto"/>
              </w:rPr>
            </w:pPr>
            <w:r>
              <w:rPr>
                <w:rFonts w:ascii="Arial" w:cs="Arial" w:eastAsia="Arial" w:hAnsi="Arial"/>
                <w:sz w:val="14"/>
                <w:szCs w:val="14"/>
                <w:b w:val="1"/>
                <w:bCs w:val="1"/>
                <w:color w:val="2E383E"/>
              </w:rPr>
              <w:t>10%</w:t>
            </w:r>
          </w:p>
        </w:tc>
        <w:tc>
          <w:tcPr>
            <w:tcW w:w="1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2E383E"/>
              </w:rPr>
              <w:t>5%</w:t>
            </w:r>
          </w:p>
        </w:tc>
        <w:tc>
          <w:tcPr>
            <w:tcW w:w="2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120" w:type="dxa"/>
            <w:vAlign w:val="bottom"/>
            <w:vMerge w:val="restart"/>
          </w:tcPr>
          <w:p>
            <w:pPr>
              <w:jc w:val="right"/>
              <w:ind w:right="97"/>
              <w:spacing w:after="0"/>
              <w:rPr>
                <w:sz w:val="20"/>
                <w:szCs w:val="20"/>
                <w:color w:val="auto"/>
              </w:rPr>
            </w:pPr>
            <w:r>
              <w:rPr>
                <w:rFonts w:ascii="Arial" w:cs="Arial" w:eastAsia="Arial" w:hAnsi="Arial"/>
                <w:sz w:val="15"/>
                <w:szCs w:val="15"/>
                <w:b w:val="1"/>
                <w:bCs w:val="1"/>
                <w:color w:val="auto"/>
              </w:rPr>
              <w:t>1.5%</w:t>
            </w:r>
          </w:p>
        </w:tc>
        <w:tc>
          <w:tcPr>
            <w:tcW w:w="8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2.1%</w:t>
            </w:r>
          </w:p>
        </w:tc>
        <w:tc>
          <w:tcPr>
            <w:tcW w:w="1400" w:type="dxa"/>
            <w:vAlign w:val="bottom"/>
            <w:vMerge w:val="restart"/>
          </w:tcPr>
          <w:p>
            <w:pPr>
              <w:jc w:val="right"/>
              <w:ind w:right="164"/>
              <w:spacing w:after="0" w:line="172" w:lineRule="exact"/>
              <w:rPr>
                <w:sz w:val="20"/>
                <w:szCs w:val="20"/>
                <w:color w:val="auto"/>
              </w:rPr>
            </w:pPr>
            <w:r>
              <w:rPr>
                <w:rFonts w:ascii="Arial" w:cs="Arial" w:eastAsia="Arial" w:hAnsi="Arial"/>
                <w:sz w:val="15"/>
                <w:szCs w:val="15"/>
                <w:b w:val="1"/>
                <w:bCs w:val="1"/>
                <w:color w:val="auto"/>
              </w:rPr>
              <w:t>2.5%</w:t>
            </w:r>
          </w:p>
        </w:tc>
        <w:tc>
          <w:tcPr>
            <w:tcW w:w="0" w:type="dxa"/>
            <w:vAlign w:val="bottom"/>
          </w:tcPr>
          <w:p>
            <w:pPr>
              <w:spacing w:after="0"/>
              <w:rPr>
                <w:sz w:val="1"/>
                <w:szCs w:val="1"/>
                <w:color w:val="auto"/>
              </w:rPr>
            </w:pPr>
          </w:p>
        </w:tc>
      </w:tr>
      <w:tr>
        <w:trPr>
          <w:trHeight w:val="63"/>
        </w:trPr>
        <w:tc>
          <w:tcPr>
            <w:tcW w:w="1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240" w:type="dxa"/>
            <w:vAlign w:val="bottom"/>
          </w:tcPr>
          <w:p>
            <w:pPr>
              <w:spacing w:after="0"/>
              <w:rPr>
                <w:sz w:val="9"/>
                <w:szCs w:val="9"/>
                <w:color w:val="auto"/>
              </w:rPr>
            </w:pPr>
          </w:p>
        </w:tc>
        <w:tc>
          <w:tcPr>
            <w:tcW w:w="134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4.6%</w:t>
            </w:r>
          </w:p>
        </w:tc>
        <w:tc>
          <w:tcPr>
            <w:tcW w:w="23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4.7%</w:t>
            </w:r>
          </w:p>
        </w:tc>
        <w:tc>
          <w:tcPr>
            <w:tcW w:w="9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400" w:type="dxa"/>
            <w:vAlign w:val="bottom"/>
            <w:vMerge w:val="restart"/>
          </w:tcPr>
          <w:p>
            <w:pPr>
              <w:jc w:val="right"/>
              <w:ind w:right="864"/>
              <w:spacing w:after="0"/>
              <w:rPr>
                <w:sz w:val="20"/>
                <w:szCs w:val="20"/>
                <w:color w:val="auto"/>
              </w:rPr>
            </w:pPr>
            <w:r>
              <w:rPr>
                <w:rFonts w:ascii="Arial" w:cs="Arial" w:eastAsia="Arial" w:hAnsi="Arial"/>
                <w:sz w:val="15"/>
                <w:szCs w:val="15"/>
                <w:b w:val="1"/>
                <w:bCs w:val="1"/>
                <w:color w:val="auto"/>
              </w:rPr>
              <w:t>1.5%</w:t>
            </w:r>
          </w:p>
        </w:tc>
        <w:tc>
          <w:tcPr>
            <w:tcW w:w="0" w:type="dxa"/>
            <w:vAlign w:val="bottom"/>
          </w:tcPr>
          <w:p>
            <w:pPr>
              <w:spacing w:after="0"/>
              <w:rPr>
                <w:sz w:val="1"/>
                <w:szCs w:val="1"/>
                <w:color w:val="auto"/>
              </w:rPr>
            </w:pPr>
          </w:p>
        </w:tc>
      </w:tr>
      <w:tr>
        <w:trPr>
          <w:trHeight w:val="100"/>
        </w:trPr>
        <w:tc>
          <w:tcPr>
            <w:tcW w:w="1240" w:type="dxa"/>
            <w:vAlign w:val="bottom"/>
            <w:vMerge w:val="restart"/>
          </w:tcPr>
          <w:p>
            <w:pPr>
              <w:jc w:val="right"/>
              <w:ind w:right="787"/>
              <w:spacing w:after="0"/>
              <w:rPr>
                <w:sz w:val="20"/>
                <w:szCs w:val="20"/>
                <w:color w:val="auto"/>
              </w:rPr>
            </w:pPr>
            <w:r>
              <w:rPr>
                <w:rFonts w:ascii="Arial" w:cs="Arial" w:eastAsia="Arial" w:hAnsi="Arial"/>
                <w:sz w:val="14"/>
                <w:szCs w:val="14"/>
                <w:b w:val="1"/>
                <w:bCs w:val="1"/>
                <w:color w:val="2E383E"/>
              </w:rPr>
              <w:t>5%</w:t>
            </w:r>
          </w:p>
        </w:tc>
        <w:tc>
          <w:tcPr>
            <w:tcW w:w="1340" w:type="dxa"/>
            <w:vAlign w:val="bottom"/>
            <w:vMerge w:val="continue"/>
          </w:tcPr>
          <w:p>
            <w:pPr>
              <w:spacing w:after="0"/>
              <w:rPr>
                <w:sz w:val="8"/>
                <w:szCs w:val="8"/>
                <w:color w:val="auto"/>
              </w:rPr>
            </w:pPr>
          </w:p>
        </w:tc>
        <w:tc>
          <w:tcPr>
            <w:tcW w:w="23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124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23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240" w:type="dxa"/>
            <w:vAlign w:val="bottom"/>
            <w:vMerge w:val="continue"/>
          </w:tcPr>
          <w:p>
            <w:pPr>
              <w:spacing w:after="0"/>
              <w:rPr>
                <w:sz w:val="9"/>
                <w:szCs w:val="9"/>
                <w:color w:val="auto"/>
              </w:rPr>
            </w:pPr>
          </w:p>
        </w:tc>
        <w:tc>
          <w:tcPr>
            <w:tcW w:w="1340" w:type="dxa"/>
            <w:vAlign w:val="bottom"/>
            <w:vMerge w:val="restart"/>
          </w:tcPr>
          <w:p>
            <w:pPr>
              <w:jc w:val="right"/>
              <w:ind w:right="824"/>
              <w:spacing w:after="0"/>
              <w:rPr>
                <w:sz w:val="20"/>
                <w:szCs w:val="20"/>
                <w:color w:val="auto"/>
              </w:rPr>
            </w:pPr>
            <w:r>
              <w:rPr>
                <w:rFonts w:ascii="Arial" w:cs="Arial" w:eastAsia="Arial" w:hAnsi="Arial"/>
                <w:sz w:val="14"/>
                <w:szCs w:val="14"/>
                <w:b w:val="1"/>
                <w:bCs w:val="1"/>
                <w:color w:val="auto"/>
              </w:rPr>
              <w:t>2.4%</w:t>
            </w:r>
          </w:p>
        </w:tc>
        <w:tc>
          <w:tcPr>
            <w:tcW w:w="2360" w:type="dxa"/>
            <w:vAlign w:val="bottom"/>
            <w:vMerge w:val="restart"/>
          </w:tcPr>
          <w:p>
            <w:pPr>
              <w:jc w:val="right"/>
              <w:ind w:right="1161"/>
              <w:spacing w:after="0"/>
              <w:rPr>
                <w:sz w:val="20"/>
                <w:szCs w:val="20"/>
                <w:color w:val="auto"/>
              </w:rPr>
            </w:pPr>
            <w:r>
              <w:rPr>
                <w:rFonts w:ascii="Arial" w:cs="Arial" w:eastAsia="Arial" w:hAnsi="Arial"/>
                <w:sz w:val="14"/>
                <w:szCs w:val="14"/>
                <w:b w:val="1"/>
                <w:bCs w:val="1"/>
                <w:color w:val="auto"/>
              </w:rPr>
              <w:t>3.5%</w:t>
            </w: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2E383E"/>
              </w:rPr>
              <w:t>0%</w:t>
            </w:r>
          </w:p>
        </w:tc>
        <w:tc>
          <w:tcPr>
            <w:tcW w:w="2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2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3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1240" w:type="dxa"/>
            <w:vAlign w:val="bottom"/>
          </w:tcPr>
          <w:p>
            <w:pPr>
              <w:jc w:val="right"/>
              <w:ind w:right="787"/>
              <w:spacing w:after="0"/>
              <w:rPr>
                <w:sz w:val="20"/>
                <w:szCs w:val="20"/>
                <w:color w:val="auto"/>
              </w:rPr>
            </w:pPr>
            <w:r>
              <w:rPr>
                <w:rFonts w:ascii="Arial" w:cs="Arial" w:eastAsia="Arial" w:hAnsi="Arial"/>
                <w:sz w:val="14"/>
                <w:szCs w:val="14"/>
                <w:b w:val="1"/>
                <w:bCs w:val="1"/>
                <w:color w:val="2E383E"/>
              </w:rPr>
              <w:t>0%</w:t>
            </w:r>
          </w:p>
        </w:tc>
        <w:tc>
          <w:tcPr>
            <w:tcW w:w="1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2E383E"/>
              </w:rPr>
              <w:t>(5%)</w:t>
            </w:r>
          </w:p>
        </w:tc>
        <w:tc>
          <w:tcPr>
            <w:tcW w:w="2120" w:type="dxa"/>
            <w:vAlign w:val="bottom"/>
            <w:vMerge w:val="restart"/>
          </w:tcPr>
          <w:p>
            <w:pPr>
              <w:jc w:val="right"/>
              <w:ind w:right="1477"/>
              <w:spacing w:after="0"/>
              <w:rPr>
                <w:sz w:val="20"/>
                <w:szCs w:val="20"/>
                <w:color w:val="auto"/>
              </w:rPr>
            </w:pPr>
            <w:r>
              <w:rPr>
                <w:rFonts w:ascii="Arial" w:cs="Arial" w:eastAsia="Arial" w:hAnsi="Arial"/>
                <w:sz w:val="15"/>
                <w:szCs w:val="15"/>
                <w:b w:val="1"/>
                <w:bCs w:val="1"/>
                <w:color w:val="auto"/>
              </w:rPr>
              <w:t>(4.3)%</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240" w:type="dxa"/>
            <w:vAlign w:val="bottom"/>
            <w:vMerge w:val="restart"/>
          </w:tcPr>
          <w:p>
            <w:pPr>
              <w:jc w:val="right"/>
              <w:ind w:right="87"/>
              <w:spacing w:after="0"/>
              <w:rPr>
                <w:sz w:val="20"/>
                <w:szCs w:val="20"/>
                <w:color w:val="auto"/>
              </w:rPr>
            </w:pPr>
            <w:r>
              <w:rPr>
                <w:rFonts w:ascii="Arial" w:cs="Arial" w:eastAsia="Arial" w:hAnsi="Arial"/>
                <w:sz w:val="14"/>
                <w:szCs w:val="14"/>
                <w:b w:val="1"/>
                <w:bCs w:val="1"/>
                <w:color w:val="auto"/>
              </w:rPr>
              <w:t>(1.1)%</w:t>
            </w:r>
          </w:p>
        </w:tc>
        <w:tc>
          <w:tcPr>
            <w:tcW w:w="1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1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23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(2.5)%</w:t>
            </w:r>
          </w:p>
        </w:tc>
        <w:tc>
          <w:tcPr>
            <w:tcW w:w="9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240" w:type="dxa"/>
            <w:vAlign w:val="bottom"/>
            <w:vMerge w:val="restart"/>
          </w:tcPr>
          <w:p>
            <w:pPr>
              <w:jc w:val="right"/>
              <w:ind w:right="787"/>
              <w:spacing w:after="0"/>
              <w:rPr>
                <w:sz w:val="20"/>
                <w:szCs w:val="20"/>
                <w:color w:val="auto"/>
              </w:rPr>
            </w:pPr>
            <w:r>
              <w:rPr>
                <w:rFonts w:ascii="Arial" w:cs="Arial" w:eastAsia="Arial" w:hAnsi="Arial"/>
                <w:sz w:val="14"/>
                <w:szCs w:val="14"/>
                <w:b w:val="1"/>
                <w:bCs w:val="1"/>
                <w:color w:val="2E383E"/>
              </w:rPr>
              <w:t>(5%)</w:t>
            </w:r>
          </w:p>
        </w:tc>
        <w:tc>
          <w:tcPr>
            <w:tcW w:w="134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2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2E383E"/>
              </w:rPr>
              <w:t>(10%)</w:t>
            </w:r>
          </w:p>
        </w:tc>
        <w:tc>
          <w:tcPr>
            <w:tcW w:w="2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240" w:type="dxa"/>
            <w:vAlign w:val="bottom"/>
          </w:tcPr>
          <w:p>
            <w:pPr>
              <w:jc w:val="right"/>
              <w:ind w:right="787"/>
              <w:spacing w:after="0"/>
              <w:rPr>
                <w:sz w:val="20"/>
                <w:szCs w:val="20"/>
                <w:color w:val="auto"/>
              </w:rPr>
            </w:pPr>
            <w:r>
              <w:rPr>
                <w:rFonts w:ascii="Arial" w:cs="Arial" w:eastAsia="Arial" w:hAnsi="Arial"/>
                <w:sz w:val="14"/>
                <w:szCs w:val="14"/>
                <w:b w:val="1"/>
                <w:bCs w:val="1"/>
                <w:color w:val="2E383E"/>
                <w:w w:val="96"/>
              </w:rPr>
              <w:t>(10%)</w:t>
            </w:r>
          </w:p>
        </w:tc>
        <w:tc>
          <w:tcPr>
            <w:tcW w:w="1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20" w:type="dxa"/>
            <w:vAlign w:val="bottom"/>
          </w:tcPr>
          <w:p>
            <w:pPr>
              <w:jc w:val="right"/>
              <w:ind w:right="717"/>
              <w:spacing w:after="0"/>
              <w:rPr>
                <w:sz w:val="20"/>
                <w:szCs w:val="20"/>
                <w:color w:val="auto"/>
              </w:rPr>
            </w:pPr>
            <w:r>
              <w:rPr>
                <w:rFonts w:ascii="Arial" w:cs="Arial" w:eastAsia="Arial" w:hAnsi="Arial"/>
                <w:sz w:val="15"/>
                <w:szCs w:val="15"/>
                <w:b w:val="1"/>
                <w:bCs w:val="1"/>
                <w:color w:val="auto"/>
              </w:rPr>
              <w:t>(10.8)%</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240" w:type="dxa"/>
            <w:vAlign w:val="bottom"/>
          </w:tcPr>
          <w:p>
            <w:pPr>
              <w:jc w:val="right"/>
              <w:ind w:right="67"/>
              <w:spacing w:after="0"/>
              <w:rPr>
                <w:sz w:val="20"/>
                <w:szCs w:val="20"/>
                <w:color w:val="auto"/>
              </w:rPr>
            </w:pPr>
            <w:r>
              <w:rPr>
                <w:rFonts w:ascii="Arial" w:cs="Arial" w:eastAsia="Arial" w:hAnsi="Arial"/>
                <w:sz w:val="14"/>
                <w:szCs w:val="14"/>
                <w:b w:val="1"/>
                <w:bCs w:val="1"/>
                <w:color w:val="2E383E"/>
              </w:rPr>
              <w:t>2008</w:t>
            </w:r>
          </w:p>
        </w:tc>
        <w:tc>
          <w:tcPr>
            <w:tcW w:w="1340" w:type="dxa"/>
            <w:vAlign w:val="bottom"/>
          </w:tcPr>
          <w:p>
            <w:pPr>
              <w:jc w:val="right"/>
              <w:ind w:right="104"/>
              <w:spacing w:after="0"/>
              <w:rPr>
                <w:sz w:val="20"/>
                <w:szCs w:val="20"/>
                <w:color w:val="auto"/>
              </w:rPr>
            </w:pPr>
            <w:r>
              <w:rPr>
                <w:rFonts w:ascii="Arial" w:cs="Arial" w:eastAsia="Arial" w:hAnsi="Arial"/>
                <w:sz w:val="14"/>
                <w:szCs w:val="14"/>
                <w:b w:val="1"/>
                <w:bCs w:val="1"/>
                <w:color w:val="2E383E"/>
                <w:w w:val="96"/>
              </w:rPr>
              <w:t>20092010</w:t>
            </w:r>
          </w:p>
        </w:tc>
        <w:tc>
          <w:tcPr>
            <w:tcW w:w="2360" w:type="dxa"/>
            <w:vAlign w:val="bottom"/>
          </w:tcPr>
          <w:p>
            <w:pPr>
              <w:ind w:left="180"/>
              <w:spacing w:after="0"/>
              <w:rPr>
                <w:sz w:val="20"/>
                <w:szCs w:val="20"/>
                <w:color w:val="auto"/>
              </w:rPr>
            </w:pPr>
            <w:r>
              <w:rPr>
                <w:rFonts w:ascii="Arial" w:cs="Arial" w:eastAsia="Arial" w:hAnsi="Arial"/>
                <w:sz w:val="14"/>
                <w:szCs w:val="14"/>
                <w:b w:val="1"/>
                <w:bCs w:val="1"/>
                <w:color w:val="2E383E"/>
              </w:rPr>
              <w:t>2011*2012  YTD 2013</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2E383E"/>
              </w:rPr>
              <w:t>(15%)</w:t>
            </w:r>
          </w:p>
        </w:tc>
        <w:tc>
          <w:tcPr>
            <w:tcW w:w="212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2E383E"/>
              </w:rPr>
              <w:t>2008   2009   2010</w:t>
            </w:r>
          </w:p>
        </w:tc>
        <w:tc>
          <w:tcPr>
            <w:tcW w:w="22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2E383E"/>
              </w:rPr>
              <w:t>2011    2012  YTD 2013</w:t>
            </w:r>
          </w:p>
        </w:tc>
        <w:tc>
          <w:tcPr>
            <w:tcW w:w="0" w:type="dxa"/>
            <w:vAlign w:val="bottom"/>
          </w:tcPr>
          <w:p>
            <w:pPr>
              <w:spacing w:after="0"/>
              <w:rPr>
                <w:sz w:val="1"/>
                <w:szCs w:val="1"/>
                <w:color w:val="auto"/>
              </w:rPr>
            </w:pPr>
          </w:p>
        </w:tc>
      </w:tr>
      <w:tr>
        <w:trPr>
          <w:trHeight w:val="200"/>
        </w:trPr>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354047"/>
        </w:rPr>
        <w:t>* Before impairment charge of $23.1M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80"/>
        <w:spacing w:after="0"/>
        <w:rPr>
          <w:sz w:val="20"/>
          <w:szCs w:val="20"/>
          <w:color w:val="auto"/>
        </w:rPr>
      </w:pPr>
      <w:r>
        <w:rPr>
          <w:rFonts w:ascii="Arial" w:cs="Arial" w:eastAsia="Arial" w:hAnsi="Arial"/>
          <w:sz w:val="28"/>
          <w:szCs w:val="28"/>
          <w:b w:val="1"/>
          <w:bCs w:val="1"/>
          <w:color w:val="354047"/>
        </w:rPr>
        <w:t>Focus on improving operating margins through greater DXL sales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280" w:type="dxa"/>
        <w:tblCellMar>
          <w:top w:w="0" w:type="dxa"/>
          <w:left w:w="0" w:type="dxa"/>
          <w:bottom w:w="0" w:type="dxa"/>
          <w:right w:w="0" w:type="dxa"/>
        </w:tblCellMar>
      </w:tblPr>
      <w:tr>
        <w:trPr>
          <w:trHeight w:val="254"/>
        </w:trPr>
        <w:tc>
          <w:tcPr>
            <w:tcW w:w="374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160" w:type="dxa"/>
            <w:vAlign w:val="bottom"/>
          </w:tcPr>
          <w:p>
            <w:pPr>
              <w:jc w:val="right"/>
              <w:spacing w:after="0"/>
              <w:rPr>
                <w:sz w:val="20"/>
                <w:szCs w:val="20"/>
                <w:color w:val="auto"/>
              </w:rPr>
            </w:pPr>
            <w:r>
              <w:rPr>
                <w:rFonts w:ascii="Arial" w:cs="Arial" w:eastAsia="Arial" w:hAnsi="Arial"/>
                <w:sz w:val="19"/>
                <w:szCs w:val="19"/>
                <w:color w:val="8C8D8D"/>
              </w:rPr>
              <w:t>31</w:t>
            </w:r>
          </w:p>
        </w:tc>
      </w:tr>
    </w:tbl>
    <w:p>
      <w:pPr>
        <w:sectPr>
          <w:pgSz w:w="11900" w:h="16838" w:orient="portrait"/>
          <w:cols w:equalWidth="0" w:num="1">
            <w:col w:w="10180"/>
          </w:cols>
          <w:pgMar w:left="640" w:top="942" w:right="1079" w:bottom="1440" w:gutter="0" w:footer="0" w:header="0"/>
        </w:sectPr>
      </w:pPr>
    </w:p>
    <w:bookmarkStart w:id="34" w:name="page35"/>
    <w:bookmarkEnd w:id="34"/>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STRICT EXPENSE MANAGEMENT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23282B"/>
        </w:rPr>
        <w:t>($ mm)</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9"/>
          <w:szCs w:val="19"/>
          <w:color w:val="23282B"/>
        </w:rPr>
        <w:t>$200</w:t>
      </w:r>
    </w:p>
    <w:p>
      <w:pPr>
        <w:spacing w:after="0" w:line="99" w:lineRule="exact"/>
        <w:rPr>
          <w:sz w:val="20"/>
          <w:szCs w:val="20"/>
          <w:color w:val="auto"/>
        </w:rPr>
      </w:pPr>
    </w:p>
    <w:tbl>
      <w:tblPr>
        <w:tblLayout w:type="fixed"/>
        <w:tblInd w:w="320" w:type="dxa"/>
        <w:tblCellMar>
          <w:top w:w="0" w:type="dxa"/>
          <w:left w:w="0" w:type="dxa"/>
          <w:bottom w:w="0" w:type="dxa"/>
          <w:right w:w="0" w:type="dxa"/>
        </w:tblCellMar>
      </w:tblPr>
      <w:tr>
        <w:trPr>
          <w:trHeight w:val="254"/>
        </w:trPr>
        <w:tc>
          <w:tcPr>
            <w:tcW w:w="1520" w:type="dxa"/>
            <w:vAlign w:val="bottom"/>
          </w:tcPr>
          <w:p>
            <w:pPr>
              <w:jc w:val="right"/>
              <w:spacing w:after="0"/>
              <w:rPr>
                <w:sz w:val="20"/>
                <w:szCs w:val="20"/>
                <w:color w:val="auto"/>
              </w:rPr>
            </w:pPr>
            <w:r>
              <w:rPr>
                <w:rFonts w:ascii="Arial" w:cs="Arial" w:eastAsia="Arial" w:hAnsi="Arial"/>
                <w:sz w:val="19"/>
                <w:szCs w:val="19"/>
                <w:color w:val="23282B"/>
              </w:rPr>
              <w:t>$177.3</w:t>
            </w:r>
          </w:p>
        </w:tc>
        <w:tc>
          <w:tcPr>
            <w:tcW w:w="19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520" w:type="dxa"/>
            <w:vAlign w:val="bottom"/>
          </w:tcPr>
          <w:p>
            <w:pPr>
              <w:spacing w:after="0"/>
              <w:rPr>
                <w:sz w:val="24"/>
                <w:szCs w:val="24"/>
                <w:color w:val="auto"/>
              </w:rPr>
            </w:pPr>
          </w:p>
        </w:tc>
        <w:tc>
          <w:tcPr>
            <w:tcW w:w="1920" w:type="dxa"/>
            <w:vAlign w:val="bottom"/>
            <w:vMerge w:val="restart"/>
          </w:tcPr>
          <w:p>
            <w:pPr>
              <w:ind w:left="760"/>
              <w:spacing w:after="0"/>
              <w:rPr>
                <w:sz w:val="20"/>
                <w:szCs w:val="20"/>
                <w:color w:val="auto"/>
              </w:rPr>
            </w:pPr>
            <w:r>
              <w:rPr>
                <w:rFonts w:ascii="Arial" w:cs="Arial" w:eastAsia="Arial" w:hAnsi="Arial"/>
                <w:sz w:val="19"/>
                <w:szCs w:val="19"/>
                <w:color w:val="23282B"/>
              </w:rPr>
              <w:t>$149.2</w:t>
            </w:r>
          </w:p>
        </w:tc>
        <w:tc>
          <w:tcPr>
            <w:tcW w:w="1580" w:type="dxa"/>
            <w:vAlign w:val="bottom"/>
            <w:vMerge w:val="restart"/>
          </w:tcPr>
          <w:p>
            <w:pPr>
              <w:jc w:val="right"/>
              <w:ind w:right="646"/>
              <w:spacing w:after="0"/>
              <w:rPr>
                <w:sz w:val="20"/>
                <w:szCs w:val="20"/>
                <w:color w:val="auto"/>
              </w:rPr>
            </w:pPr>
            <w:r>
              <w:rPr>
                <w:rFonts w:ascii="Arial" w:cs="Arial" w:eastAsia="Arial" w:hAnsi="Arial"/>
                <w:sz w:val="19"/>
                <w:szCs w:val="19"/>
                <w:color w:val="23282B"/>
              </w:rPr>
              <w:t>$148.4</w:t>
            </w:r>
          </w:p>
        </w:tc>
        <w:tc>
          <w:tcPr>
            <w:tcW w:w="720" w:type="dxa"/>
            <w:vAlign w:val="bottom"/>
            <w:vMerge w:val="restart"/>
          </w:tcPr>
          <w:p>
            <w:pPr>
              <w:jc w:val="right"/>
              <w:ind w:right="46"/>
              <w:spacing w:after="0"/>
              <w:rPr>
                <w:sz w:val="20"/>
                <w:szCs w:val="20"/>
                <w:color w:val="auto"/>
              </w:rPr>
            </w:pPr>
            <w:r>
              <w:rPr>
                <w:rFonts w:ascii="Arial" w:cs="Arial" w:eastAsia="Arial" w:hAnsi="Arial"/>
                <w:sz w:val="19"/>
                <w:szCs w:val="19"/>
                <w:color w:val="23282B"/>
                <w:w w:val="96"/>
              </w:rPr>
              <w:t>$152.0</w:t>
            </w:r>
          </w:p>
        </w:tc>
        <w:tc>
          <w:tcPr>
            <w:tcW w:w="1600" w:type="dxa"/>
            <w:vAlign w:val="bottom"/>
          </w:tcPr>
          <w:p>
            <w:pPr>
              <w:jc w:val="right"/>
              <w:ind w:right="226"/>
              <w:spacing w:after="0"/>
              <w:rPr>
                <w:sz w:val="20"/>
                <w:szCs w:val="20"/>
                <w:color w:val="auto"/>
              </w:rPr>
            </w:pPr>
            <w:r>
              <w:rPr>
                <w:rFonts w:ascii="Arial" w:cs="Arial" w:eastAsia="Arial" w:hAnsi="Arial"/>
                <w:sz w:val="19"/>
                <w:szCs w:val="19"/>
                <w:color w:val="23282B"/>
              </w:rPr>
              <w:t>$156.4</w:t>
            </w:r>
          </w:p>
        </w:tc>
        <w:tc>
          <w:tcPr>
            <w:tcW w:w="1220" w:type="dxa"/>
            <w:vAlign w:val="bottom"/>
          </w:tcPr>
          <w:p>
            <w:pPr>
              <w:jc w:val="right"/>
              <w:ind w:right="26"/>
              <w:spacing w:after="0"/>
              <w:rPr>
                <w:sz w:val="20"/>
                <w:szCs w:val="20"/>
                <w:color w:val="auto"/>
              </w:rPr>
            </w:pPr>
            <w:r>
              <w:rPr>
                <w:rFonts w:ascii="Arial" w:cs="Arial" w:eastAsia="Arial" w:hAnsi="Arial"/>
                <w:sz w:val="19"/>
                <w:szCs w:val="19"/>
                <w:color w:val="23282B"/>
              </w:rPr>
              <w:t>43.9%</w:t>
            </w:r>
          </w:p>
        </w:tc>
        <w:tc>
          <w:tcPr>
            <w:tcW w:w="0" w:type="dxa"/>
            <w:vAlign w:val="bottom"/>
          </w:tcPr>
          <w:p>
            <w:pPr>
              <w:spacing w:after="0"/>
              <w:rPr>
                <w:sz w:val="1"/>
                <w:szCs w:val="1"/>
                <w:color w:val="auto"/>
              </w:rPr>
            </w:pPr>
          </w:p>
        </w:tc>
      </w:tr>
      <w:tr>
        <w:trPr>
          <w:trHeight w:val="94"/>
        </w:trPr>
        <w:tc>
          <w:tcPr>
            <w:tcW w:w="1520" w:type="dxa"/>
            <w:vAlign w:val="bottom"/>
            <w:vMerge w:val="restart"/>
          </w:tcPr>
          <w:p>
            <w:pPr>
              <w:jc w:val="right"/>
              <w:ind w:right="1006"/>
              <w:spacing w:after="0"/>
              <w:rPr>
                <w:sz w:val="20"/>
                <w:szCs w:val="20"/>
                <w:color w:val="auto"/>
              </w:rPr>
            </w:pPr>
            <w:r>
              <w:rPr>
                <w:rFonts w:ascii="Arial" w:cs="Arial" w:eastAsia="Arial" w:hAnsi="Arial"/>
                <w:sz w:val="19"/>
                <w:szCs w:val="19"/>
                <w:color w:val="23282B"/>
                <w:w w:val="94"/>
              </w:rPr>
              <w:t>$150</w:t>
            </w:r>
          </w:p>
        </w:tc>
        <w:tc>
          <w:tcPr>
            <w:tcW w:w="192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1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jc w:val="right"/>
              <w:ind w:right="166"/>
              <w:spacing w:after="0"/>
              <w:rPr>
                <w:sz w:val="20"/>
                <w:szCs w:val="20"/>
                <w:color w:val="auto"/>
              </w:rPr>
            </w:pPr>
            <w:r>
              <w:rPr>
                <w:rFonts w:ascii="Arial" w:cs="Arial" w:eastAsia="Arial" w:hAnsi="Arial"/>
                <w:sz w:val="19"/>
                <w:szCs w:val="19"/>
                <w:color w:val="23282B"/>
              </w:rPr>
              <w:t>$122.8</w:t>
            </w:r>
          </w:p>
        </w:tc>
        <w:tc>
          <w:tcPr>
            <w:tcW w:w="0" w:type="dxa"/>
            <w:vAlign w:val="bottom"/>
          </w:tcPr>
          <w:p>
            <w:pPr>
              <w:spacing w:after="0"/>
              <w:rPr>
                <w:sz w:val="1"/>
                <w:szCs w:val="1"/>
                <w:color w:val="auto"/>
              </w:rPr>
            </w:pPr>
          </w:p>
        </w:tc>
      </w:tr>
      <w:tr>
        <w:trPr>
          <w:trHeight w:val="341"/>
        </w:trPr>
        <w:tc>
          <w:tcPr>
            <w:tcW w:w="1520" w:type="dxa"/>
            <w:vAlign w:val="bottom"/>
          </w:tcPr>
          <w:p>
            <w:pPr>
              <w:jc w:val="right"/>
              <w:ind w:right="26"/>
              <w:spacing w:after="0"/>
              <w:rPr>
                <w:sz w:val="20"/>
                <w:szCs w:val="20"/>
                <w:color w:val="auto"/>
              </w:rPr>
            </w:pPr>
            <w:r>
              <w:rPr>
                <w:rFonts w:ascii="Arial" w:cs="Arial" w:eastAsia="Arial" w:hAnsi="Arial"/>
                <w:sz w:val="19"/>
                <w:szCs w:val="19"/>
                <w:color w:val="FFFFFF"/>
              </w:rPr>
              <w:t>39.9%</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vMerge w:val="restart"/>
          </w:tcPr>
          <w:p>
            <w:pPr>
              <w:jc w:val="center"/>
              <w:ind w:left="246"/>
              <w:spacing w:after="0"/>
              <w:rPr>
                <w:sz w:val="20"/>
                <w:szCs w:val="20"/>
                <w:color w:val="auto"/>
              </w:rPr>
            </w:pPr>
            <w:r>
              <w:rPr>
                <w:rFonts w:ascii="Arial" w:cs="Arial" w:eastAsia="Arial" w:hAnsi="Arial"/>
                <w:sz w:val="19"/>
                <w:szCs w:val="19"/>
                <w:color w:val="FFFFFF"/>
              </w:rPr>
              <w:t>39.1%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520" w:type="dxa"/>
            <w:vAlign w:val="bottom"/>
            <w:vMerge w:val="restart"/>
          </w:tcPr>
          <w:p>
            <w:pPr>
              <w:jc w:val="right"/>
              <w:ind w:right="1006"/>
              <w:spacing w:after="0"/>
              <w:rPr>
                <w:sz w:val="20"/>
                <w:szCs w:val="20"/>
                <w:color w:val="auto"/>
              </w:rPr>
            </w:pPr>
            <w:r>
              <w:rPr>
                <w:rFonts w:ascii="Arial" w:cs="Arial" w:eastAsia="Arial" w:hAnsi="Arial"/>
                <w:sz w:val="19"/>
                <w:szCs w:val="19"/>
                <w:color w:val="23282B"/>
                <w:w w:val="94"/>
              </w:rPr>
              <w:t>$100</w:t>
            </w:r>
          </w:p>
        </w:tc>
        <w:tc>
          <w:tcPr>
            <w:tcW w:w="19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20" w:type="dxa"/>
            <w:vAlign w:val="bottom"/>
            <w:vMerge w:val="continue"/>
          </w:tcPr>
          <w:p>
            <w:pPr>
              <w:spacing w:after="0"/>
              <w:rPr>
                <w:sz w:val="14"/>
                <w:szCs w:val="14"/>
                <w:color w:val="auto"/>
              </w:rPr>
            </w:pPr>
          </w:p>
        </w:tc>
        <w:tc>
          <w:tcPr>
            <w:tcW w:w="1920" w:type="dxa"/>
            <w:vAlign w:val="bottom"/>
            <w:vMerge w:val="restart"/>
          </w:tcPr>
          <w:p>
            <w:pPr>
              <w:ind w:left="760"/>
              <w:spacing w:after="0"/>
              <w:rPr>
                <w:sz w:val="20"/>
                <w:szCs w:val="20"/>
                <w:color w:val="auto"/>
              </w:rPr>
            </w:pPr>
            <w:r>
              <w:rPr>
                <w:rFonts w:ascii="Arial" w:cs="Arial" w:eastAsia="Arial" w:hAnsi="Arial"/>
                <w:sz w:val="19"/>
                <w:szCs w:val="19"/>
                <w:color w:val="FFFFFF"/>
              </w:rPr>
              <w:t>37.9%</w:t>
            </w:r>
          </w:p>
        </w:tc>
        <w:tc>
          <w:tcPr>
            <w:tcW w:w="1580" w:type="dxa"/>
            <w:vAlign w:val="bottom"/>
            <w:vMerge w:val="restart"/>
          </w:tcPr>
          <w:p>
            <w:pPr>
              <w:jc w:val="right"/>
              <w:ind w:right="666"/>
              <w:spacing w:after="0"/>
              <w:rPr>
                <w:sz w:val="20"/>
                <w:szCs w:val="20"/>
                <w:color w:val="auto"/>
              </w:rPr>
            </w:pPr>
            <w:r>
              <w:rPr>
                <w:rFonts w:ascii="Arial" w:cs="Arial" w:eastAsia="Arial" w:hAnsi="Arial"/>
                <w:sz w:val="19"/>
                <w:szCs w:val="19"/>
                <w:color w:val="FFFFFF"/>
              </w:rPr>
              <w:t>37.9%</w:t>
            </w:r>
          </w:p>
        </w:tc>
        <w:tc>
          <w:tcPr>
            <w:tcW w:w="720" w:type="dxa"/>
            <w:vAlign w:val="bottom"/>
            <w:vMerge w:val="restart"/>
          </w:tcPr>
          <w:p>
            <w:pPr>
              <w:jc w:val="right"/>
              <w:ind w:right="66"/>
              <w:spacing w:after="0"/>
              <w:rPr>
                <w:sz w:val="20"/>
                <w:szCs w:val="20"/>
                <w:color w:val="auto"/>
              </w:rPr>
            </w:pPr>
            <w:r>
              <w:rPr>
                <w:rFonts w:ascii="Arial" w:cs="Arial" w:eastAsia="Arial" w:hAnsi="Arial"/>
                <w:sz w:val="19"/>
                <w:szCs w:val="19"/>
                <w:color w:val="FFFFFF"/>
              </w:rPr>
              <w:t>38.4%</w:t>
            </w:r>
          </w:p>
        </w:tc>
        <w:tc>
          <w:tcPr>
            <w:tcW w:w="1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0"/>
        </w:trPr>
        <w:tc>
          <w:tcPr>
            <w:tcW w:w="1520" w:type="dxa"/>
            <w:vAlign w:val="bottom"/>
          </w:tcPr>
          <w:p>
            <w:pPr>
              <w:jc w:val="right"/>
              <w:ind w:right="1026"/>
              <w:spacing w:after="0"/>
              <w:rPr>
                <w:sz w:val="20"/>
                <w:szCs w:val="20"/>
                <w:color w:val="auto"/>
              </w:rPr>
            </w:pPr>
            <w:r>
              <w:rPr>
                <w:rFonts w:ascii="Arial" w:cs="Arial" w:eastAsia="Arial" w:hAnsi="Arial"/>
                <w:sz w:val="19"/>
                <w:szCs w:val="19"/>
                <w:color w:val="23282B"/>
              </w:rPr>
              <w:t>$50</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1520" w:type="dxa"/>
            <w:vAlign w:val="bottom"/>
          </w:tcPr>
          <w:p>
            <w:pPr>
              <w:jc w:val="right"/>
              <w:spacing w:after="0"/>
              <w:rPr>
                <w:sz w:val="20"/>
                <w:szCs w:val="20"/>
                <w:color w:val="auto"/>
              </w:rPr>
            </w:pPr>
            <w:r>
              <w:rPr>
                <w:rFonts w:ascii="Arial" w:cs="Arial" w:eastAsia="Arial" w:hAnsi="Arial"/>
                <w:sz w:val="19"/>
                <w:szCs w:val="19"/>
                <w:color w:val="23282B"/>
              </w:rPr>
              <w:t>$34.1</w:t>
            </w:r>
          </w:p>
        </w:tc>
        <w:tc>
          <w:tcPr>
            <w:tcW w:w="1920" w:type="dxa"/>
            <w:vAlign w:val="bottom"/>
            <w:vMerge w:val="restart"/>
          </w:tcPr>
          <w:p>
            <w:pPr>
              <w:jc w:val="right"/>
              <w:ind w:right="566"/>
              <w:spacing w:after="0"/>
              <w:rPr>
                <w:sz w:val="20"/>
                <w:szCs w:val="20"/>
                <w:color w:val="auto"/>
              </w:rPr>
            </w:pPr>
            <w:r>
              <w:rPr>
                <w:rFonts w:ascii="Arial" w:cs="Arial" w:eastAsia="Arial" w:hAnsi="Arial"/>
                <w:sz w:val="19"/>
                <w:szCs w:val="19"/>
                <w:color w:val="23282B"/>
              </w:rPr>
              <w:t>$19.1</w:t>
            </w:r>
          </w:p>
        </w:tc>
        <w:tc>
          <w:tcPr>
            <w:tcW w:w="1580" w:type="dxa"/>
            <w:vAlign w:val="bottom"/>
            <w:vMerge w:val="restart"/>
          </w:tcPr>
          <w:p>
            <w:pPr>
              <w:jc w:val="right"/>
              <w:ind w:right="726"/>
              <w:spacing w:after="0"/>
              <w:rPr>
                <w:sz w:val="20"/>
                <w:szCs w:val="20"/>
                <w:color w:val="auto"/>
              </w:rPr>
            </w:pPr>
            <w:r>
              <w:rPr>
                <w:rFonts w:ascii="Arial" w:cs="Arial" w:eastAsia="Arial" w:hAnsi="Arial"/>
                <w:sz w:val="19"/>
                <w:szCs w:val="19"/>
                <w:color w:val="23282B"/>
              </w:rPr>
              <w:t>$19.0</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23282B"/>
              </w:rPr>
              <w:t>$19.6</w:t>
            </w:r>
          </w:p>
        </w:tc>
        <w:tc>
          <w:tcPr>
            <w:tcW w:w="1600" w:type="dxa"/>
            <w:vAlign w:val="bottom"/>
            <w:vMerge w:val="restart"/>
          </w:tcPr>
          <w:p>
            <w:pPr>
              <w:jc w:val="center"/>
              <w:ind w:left="266"/>
              <w:spacing w:after="0"/>
              <w:rPr>
                <w:sz w:val="20"/>
                <w:szCs w:val="20"/>
                <w:color w:val="auto"/>
              </w:rPr>
            </w:pPr>
            <w:r>
              <w:rPr>
                <w:rFonts w:ascii="Arial" w:cs="Arial" w:eastAsia="Arial" w:hAnsi="Arial"/>
                <w:sz w:val="19"/>
                <w:szCs w:val="19"/>
                <w:color w:val="23282B"/>
              </w:rPr>
              <w:t>$18.5</w:t>
            </w:r>
          </w:p>
        </w:tc>
        <w:tc>
          <w:tcPr>
            <w:tcW w:w="1220" w:type="dxa"/>
            <w:vAlign w:val="bottom"/>
            <w:vMerge w:val="restart"/>
          </w:tcPr>
          <w:p>
            <w:pPr>
              <w:jc w:val="right"/>
              <w:ind w:right="166"/>
              <w:spacing w:after="0"/>
              <w:rPr>
                <w:sz w:val="20"/>
                <w:szCs w:val="20"/>
                <w:color w:val="auto"/>
              </w:rPr>
            </w:pPr>
            <w:r>
              <w:rPr>
                <w:rFonts w:ascii="Arial" w:cs="Arial" w:eastAsia="Arial" w:hAnsi="Arial"/>
                <w:sz w:val="19"/>
                <w:szCs w:val="19"/>
                <w:color w:val="23282B"/>
              </w:rPr>
              <w:t>$21.0</w:t>
            </w:r>
          </w:p>
        </w:tc>
        <w:tc>
          <w:tcPr>
            <w:tcW w:w="0" w:type="dxa"/>
            <w:vAlign w:val="bottom"/>
          </w:tcPr>
          <w:p>
            <w:pPr>
              <w:spacing w:after="0"/>
              <w:rPr>
                <w:sz w:val="1"/>
                <w:szCs w:val="1"/>
                <w:color w:val="auto"/>
              </w:rPr>
            </w:pPr>
          </w:p>
        </w:tc>
      </w:tr>
      <w:tr>
        <w:trPr>
          <w:trHeight w:val="223"/>
        </w:trPr>
        <w:tc>
          <w:tcPr>
            <w:tcW w:w="1520" w:type="dxa"/>
            <w:vAlign w:val="bottom"/>
            <w:vMerge w:val="restart"/>
          </w:tcPr>
          <w:p>
            <w:pPr>
              <w:jc w:val="right"/>
              <w:ind w:right="1006"/>
              <w:spacing w:after="0"/>
              <w:rPr>
                <w:sz w:val="20"/>
                <w:szCs w:val="20"/>
                <w:color w:val="auto"/>
              </w:rPr>
            </w:pPr>
            <w:r>
              <w:rPr>
                <w:rFonts w:ascii="Arial" w:cs="Arial" w:eastAsia="Arial" w:hAnsi="Arial"/>
                <w:sz w:val="19"/>
                <w:szCs w:val="19"/>
                <w:color w:val="23282B"/>
              </w:rPr>
              <w:t>$0</w:t>
            </w:r>
          </w:p>
        </w:tc>
        <w:tc>
          <w:tcPr>
            <w:tcW w:w="192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152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1520" w:type="dxa"/>
            <w:vAlign w:val="bottom"/>
          </w:tcPr>
          <w:p>
            <w:pPr>
              <w:jc w:val="right"/>
              <w:spacing w:after="0"/>
              <w:rPr>
                <w:sz w:val="20"/>
                <w:szCs w:val="20"/>
                <w:color w:val="auto"/>
              </w:rPr>
            </w:pPr>
            <w:r>
              <w:rPr>
                <w:rFonts w:ascii="Arial" w:cs="Arial" w:eastAsia="Arial" w:hAnsi="Arial"/>
                <w:sz w:val="19"/>
                <w:szCs w:val="19"/>
                <w:color w:val="23282B"/>
              </w:rPr>
              <w:t>2008</w:t>
            </w:r>
          </w:p>
        </w:tc>
        <w:tc>
          <w:tcPr>
            <w:tcW w:w="1920" w:type="dxa"/>
            <w:vAlign w:val="bottom"/>
          </w:tcPr>
          <w:p>
            <w:pPr>
              <w:jc w:val="right"/>
              <w:ind w:right="506"/>
              <w:spacing w:after="0"/>
              <w:rPr>
                <w:sz w:val="20"/>
                <w:szCs w:val="20"/>
                <w:color w:val="auto"/>
              </w:rPr>
            </w:pPr>
            <w:r>
              <w:rPr>
                <w:rFonts w:ascii="Arial" w:cs="Arial" w:eastAsia="Arial" w:hAnsi="Arial"/>
                <w:sz w:val="19"/>
                <w:szCs w:val="19"/>
                <w:color w:val="23282B"/>
              </w:rPr>
              <w:t>2009</w:t>
            </w:r>
          </w:p>
        </w:tc>
        <w:tc>
          <w:tcPr>
            <w:tcW w:w="1580" w:type="dxa"/>
            <w:vAlign w:val="bottom"/>
          </w:tcPr>
          <w:p>
            <w:pPr>
              <w:jc w:val="right"/>
              <w:ind w:right="726"/>
              <w:spacing w:after="0"/>
              <w:rPr>
                <w:sz w:val="20"/>
                <w:szCs w:val="20"/>
                <w:color w:val="auto"/>
              </w:rPr>
            </w:pPr>
            <w:r>
              <w:rPr>
                <w:rFonts w:ascii="Arial" w:cs="Arial" w:eastAsia="Arial" w:hAnsi="Arial"/>
                <w:sz w:val="19"/>
                <w:szCs w:val="19"/>
                <w:color w:val="23282B"/>
              </w:rPr>
              <w:t>2010</w:t>
            </w:r>
          </w:p>
        </w:tc>
        <w:tc>
          <w:tcPr>
            <w:tcW w:w="720" w:type="dxa"/>
            <w:vAlign w:val="bottom"/>
          </w:tcPr>
          <w:p>
            <w:pPr>
              <w:ind w:left="120"/>
              <w:spacing w:after="0"/>
              <w:rPr>
                <w:sz w:val="20"/>
                <w:szCs w:val="20"/>
                <w:color w:val="auto"/>
              </w:rPr>
            </w:pPr>
            <w:r>
              <w:rPr>
                <w:rFonts w:ascii="Arial" w:cs="Arial" w:eastAsia="Arial" w:hAnsi="Arial"/>
                <w:sz w:val="19"/>
                <w:szCs w:val="19"/>
                <w:color w:val="23282B"/>
              </w:rPr>
              <w:t>2011</w:t>
            </w:r>
          </w:p>
        </w:tc>
        <w:tc>
          <w:tcPr>
            <w:tcW w:w="1600" w:type="dxa"/>
            <w:vAlign w:val="bottom"/>
          </w:tcPr>
          <w:p>
            <w:pPr>
              <w:jc w:val="center"/>
              <w:ind w:left="246"/>
              <w:spacing w:after="0"/>
              <w:rPr>
                <w:sz w:val="20"/>
                <w:szCs w:val="20"/>
                <w:color w:val="auto"/>
              </w:rPr>
            </w:pPr>
            <w:r>
              <w:rPr>
                <w:rFonts w:ascii="Arial" w:cs="Arial" w:eastAsia="Arial" w:hAnsi="Arial"/>
                <w:sz w:val="19"/>
                <w:szCs w:val="19"/>
                <w:color w:val="23282B"/>
                <w:w w:val="99"/>
              </w:rPr>
              <w:t>2012</w:t>
            </w:r>
          </w:p>
        </w:tc>
        <w:tc>
          <w:tcPr>
            <w:tcW w:w="1220" w:type="dxa"/>
            <w:vAlign w:val="bottom"/>
          </w:tcPr>
          <w:p>
            <w:pPr>
              <w:jc w:val="right"/>
              <w:spacing w:after="0"/>
              <w:rPr>
                <w:sz w:val="20"/>
                <w:szCs w:val="20"/>
                <w:color w:val="auto"/>
              </w:rPr>
            </w:pPr>
            <w:r>
              <w:rPr>
                <w:rFonts w:ascii="Arial" w:cs="Arial" w:eastAsia="Arial" w:hAnsi="Arial"/>
                <w:sz w:val="19"/>
                <w:szCs w:val="19"/>
                <w:color w:val="23282B"/>
              </w:rPr>
              <w:t>YTD 2013</w:t>
            </w:r>
          </w:p>
        </w:tc>
        <w:tc>
          <w:tcPr>
            <w:tcW w:w="0" w:type="dxa"/>
            <w:vAlign w:val="bottom"/>
          </w:tcPr>
          <w:p>
            <w:pPr>
              <w:spacing w:after="0"/>
              <w:rPr>
                <w:sz w:val="1"/>
                <w:szCs w:val="1"/>
                <w:color w:val="auto"/>
              </w:rPr>
            </w:pPr>
          </w:p>
        </w:tc>
      </w:tr>
      <w:tr>
        <w:trPr>
          <w:trHeight w:val="600"/>
        </w:trPr>
        <w:tc>
          <w:tcPr>
            <w:tcW w:w="152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9"/>
                <w:szCs w:val="19"/>
                <w:color w:val="23282B"/>
              </w:rPr>
              <w:t>Marketing Expense</w:t>
            </w:r>
          </w:p>
        </w:tc>
        <w:tc>
          <w:tcPr>
            <w:tcW w:w="1580" w:type="dxa"/>
            <w:vAlign w:val="bottom"/>
          </w:tcPr>
          <w:p>
            <w:pPr>
              <w:jc w:val="right"/>
              <w:spacing w:after="0"/>
              <w:rPr>
                <w:sz w:val="20"/>
                <w:szCs w:val="20"/>
                <w:color w:val="auto"/>
              </w:rPr>
            </w:pPr>
            <w:r>
              <w:rPr>
                <w:rFonts w:ascii="Arial" w:cs="Arial" w:eastAsia="Arial" w:hAnsi="Arial"/>
                <w:sz w:val="19"/>
                <w:szCs w:val="19"/>
                <w:color w:val="23282B"/>
              </w:rPr>
              <w:t>Total SG&amp;A</w:t>
            </w:r>
          </w:p>
        </w:tc>
        <w:tc>
          <w:tcPr>
            <w:tcW w:w="720" w:type="dxa"/>
            <w:vAlign w:val="bottom"/>
          </w:tcPr>
          <w:p>
            <w:pPr>
              <w:spacing w:after="0"/>
              <w:rPr>
                <w:sz w:val="24"/>
                <w:szCs w:val="24"/>
                <w:color w:val="auto"/>
              </w:rPr>
            </w:pPr>
          </w:p>
        </w:tc>
        <w:tc>
          <w:tcPr>
            <w:tcW w:w="2820" w:type="dxa"/>
            <w:vAlign w:val="bottom"/>
            <w:gridSpan w:val="2"/>
          </w:tcPr>
          <w:p>
            <w:pPr>
              <w:jc w:val="right"/>
              <w:spacing w:after="0"/>
              <w:rPr>
                <w:sz w:val="20"/>
                <w:szCs w:val="20"/>
                <w:color w:val="auto"/>
              </w:rPr>
            </w:pPr>
            <w:r>
              <w:rPr>
                <w:rFonts w:ascii="Arial" w:cs="Arial" w:eastAsia="Arial" w:hAnsi="Arial"/>
                <w:sz w:val="19"/>
                <w:szCs w:val="19"/>
                <w:color w:val="23282B"/>
              </w:rPr>
              <w:t>SG&amp;A as a Percentage of Sales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4060"/>
        <w:spacing w:after="0"/>
        <w:rPr>
          <w:sz w:val="20"/>
          <w:szCs w:val="20"/>
          <w:color w:val="auto"/>
        </w:rPr>
      </w:pPr>
      <w:r>
        <w:rPr>
          <w:rFonts w:ascii="Arial" w:cs="Arial" w:eastAsia="Arial" w:hAnsi="Arial"/>
          <w:sz w:val="15"/>
          <w:szCs w:val="15"/>
          <w:color w:val="4D5D67"/>
        </w:rPr>
        <w:t>Destination XL Group,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23282B"/>
        </w:rPr>
        <w:t>45%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23282B"/>
        </w:rPr>
        <w:t>42%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23282B"/>
        </w:rPr>
        <w:t>39%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23282B"/>
        </w:rPr>
        <w:t>36%</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23282B"/>
        </w:rPr>
        <w:t>33%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23282B"/>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8CA1A5"/>
        </w:rPr>
        <w:t>32</w:t>
      </w:r>
    </w:p>
    <w:p>
      <w:pPr>
        <w:sectPr>
          <w:pgSz w:w="11900" w:h="16838" w:orient="portrait"/>
          <w:cols w:equalWidth="0" w:num="2">
            <w:col w:w="8880" w:space="380"/>
            <w:col w:w="800"/>
          </w:cols>
          <w:pgMar w:left="860" w:top="965" w:right="979" w:bottom="1440" w:gutter="0" w:footer="0" w:header="0"/>
        </w:sectPr>
      </w:pPr>
    </w:p>
    <w:bookmarkStart w:id="35" w:name="page36"/>
    <w:bookmarkEnd w:id="35"/>
    <w:p>
      <w:pPr>
        <w:ind w:left="80"/>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STRONG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80" w:type="dxa"/>
        <w:tblCellMar>
          <w:top w:w="0" w:type="dxa"/>
          <w:left w:w="0" w:type="dxa"/>
          <w:bottom w:w="0" w:type="dxa"/>
          <w:right w:w="0" w:type="dxa"/>
        </w:tblCellMar>
      </w:tblPr>
      <w:tr>
        <w:trPr>
          <w:trHeight w:val="306"/>
        </w:trPr>
        <w:tc>
          <w:tcPr>
            <w:tcW w:w="2720" w:type="dxa"/>
            <w:vAlign w:val="bottom"/>
          </w:tcPr>
          <w:p>
            <w:pPr>
              <w:spacing w:after="0"/>
              <w:rPr>
                <w:sz w:val="24"/>
                <w:szCs w:val="24"/>
                <w:color w:val="auto"/>
              </w:rPr>
            </w:pPr>
          </w:p>
        </w:tc>
        <w:tc>
          <w:tcPr>
            <w:tcW w:w="1060" w:type="dxa"/>
            <w:vAlign w:val="bottom"/>
            <w:vMerge w:val="restart"/>
          </w:tcPr>
          <w:p>
            <w:pPr>
              <w:jc w:val="right"/>
              <w:ind w:right="165"/>
              <w:spacing w:after="0"/>
              <w:rPr>
                <w:sz w:val="20"/>
                <w:szCs w:val="20"/>
                <w:color w:val="auto"/>
              </w:rPr>
            </w:pPr>
            <w:r>
              <w:rPr>
                <w:rFonts w:ascii="Arial" w:cs="Arial" w:eastAsia="Arial" w:hAnsi="Arial"/>
                <w:sz w:val="25"/>
                <w:szCs w:val="25"/>
                <w:b w:val="1"/>
                <w:bCs w:val="1"/>
                <w:color w:val="FFFFFF"/>
              </w:rPr>
              <w:t>2008</w:t>
            </w:r>
          </w:p>
        </w:tc>
        <w:tc>
          <w:tcPr>
            <w:tcW w:w="1020" w:type="dxa"/>
            <w:vAlign w:val="bottom"/>
            <w:vMerge w:val="restart"/>
          </w:tcPr>
          <w:p>
            <w:pPr>
              <w:jc w:val="right"/>
              <w:ind w:right="145"/>
              <w:spacing w:after="0"/>
              <w:rPr>
                <w:sz w:val="20"/>
                <w:szCs w:val="20"/>
                <w:color w:val="auto"/>
              </w:rPr>
            </w:pPr>
            <w:r>
              <w:rPr>
                <w:rFonts w:ascii="Arial" w:cs="Arial" w:eastAsia="Arial" w:hAnsi="Arial"/>
                <w:sz w:val="25"/>
                <w:szCs w:val="25"/>
                <w:b w:val="1"/>
                <w:bCs w:val="1"/>
                <w:color w:val="FFFFFF"/>
              </w:rPr>
              <w:t>2009</w:t>
            </w:r>
          </w:p>
        </w:tc>
        <w:tc>
          <w:tcPr>
            <w:tcW w:w="1020" w:type="dxa"/>
            <w:vAlign w:val="bottom"/>
            <w:vMerge w:val="restart"/>
          </w:tcPr>
          <w:p>
            <w:pPr>
              <w:jc w:val="center"/>
              <w:spacing w:after="0"/>
              <w:rPr>
                <w:sz w:val="20"/>
                <w:szCs w:val="20"/>
                <w:color w:val="auto"/>
              </w:rPr>
            </w:pPr>
            <w:r>
              <w:rPr>
                <w:rFonts w:ascii="Arial" w:cs="Arial" w:eastAsia="Arial" w:hAnsi="Arial"/>
                <w:sz w:val="25"/>
                <w:szCs w:val="25"/>
                <w:b w:val="1"/>
                <w:bCs w:val="1"/>
                <w:color w:val="FFFFFF"/>
                <w:w w:val="97"/>
              </w:rPr>
              <w:t>2010</w:t>
            </w:r>
          </w:p>
        </w:tc>
        <w:tc>
          <w:tcPr>
            <w:tcW w:w="1140" w:type="dxa"/>
            <w:vAlign w:val="bottom"/>
            <w:vMerge w:val="restart"/>
          </w:tcPr>
          <w:p>
            <w:pPr>
              <w:jc w:val="center"/>
              <w:spacing w:after="0"/>
              <w:rPr>
                <w:sz w:val="20"/>
                <w:szCs w:val="20"/>
                <w:color w:val="auto"/>
              </w:rPr>
            </w:pPr>
            <w:r>
              <w:rPr>
                <w:rFonts w:ascii="Arial" w:cs="Arial" w:eastAsia="Arial" w:hAnsi="Arial"/>
                <w:sz w:val="25"/>
                <w:szCs w:val="25"/>
                <w:b w:val="1"/>
                <w:bCs w:val="1"/>
                <w:color w:val="FFFFFF"/>
                <w:w w:val="97"/>
              </w:rPr>
              <w:t>2011</w:t>
            </w:r>
          </w:p>
        </w:tc>
        <w:tc>
          <w:tcPr>
            <w:tcW w:w="1300" w:type="dxa"/>
            <w:vAlign w:val="bottom"/>
            <w:vMerge w:val="restart"/>
          </w:tcPr>
          <w:p>
            <w:pPr>
              <w:jc w:val="center"/>
              <w:ind w:right="106"/>
              <w:spacing w:after="0"/>
              <w:rPr>
                <w:sz w:val="20"/>
                <w:szCs w:val="20"/>
                <w:color w:val="auto"/>
              </w:rPr>
            </w:pPr>
            <w:r>
              <w:rPr>
                <w:rFonts w:ascii="Arial" w:cs="Arial" w:eastAsia="Arial" w:hAnsi="Arial"/>
                <w:sz w:val="25"/>
                <w:szCs w:val="25"/>
                <w:b w:val="1"/>
                <w:bCs w:val="1"/>
                <w:color w:val="FFFFFF"/>
              </w:rPr>
              <w:t>2012</w:t>
            </w:r>
          </w:p>
        </w:tc>
        <w:tc>
          <w:tcPr>
            <w:tcW w:w="1320" w:type="dxa"/>
            <w:vAlign w:val="bottom"/>
          </w:tcPr>
          <w:p>
            <w:pPr>
              <w:jc w:val="center"/>
              <w:ind w:left="145"/>
              <w:spacing w:after="0"/>
              <w:rPr>
                <w:sz w:val="20"/>
                <w:szCs w:val="20"/>
                <w:color w:val="auto"/>
              </w:rPr>
            </w:pPr>
            <w:r>
              <w:rPr>
                <w:rFonts w:ascii="Arial" w:cs="Arial" w:eastAsia="Arial" w:hAnsi="Arial"/>
                <w:sz w:val="25"/>
                <w:szCs w:val="25"/>
                <w:b w:val="1"/>
                <w:bCs w:val="1"/>
                <w:i w:val="1"/>
                <w:iCs w:val="1"/>
                <w:color w:val="FFFFFF"/>
                <w:w w:val="97"/>
              </w:rPr>
              <w:t>FY 2013</w:t>
            </w:r>
          </w:p>
        </w:tc>
        <w:tc>
          <w:tcPr>
            <w:tcW w:w="0" w:type="dxa"/>
            <w:vAlign w:val="bottom"/>
          </w:tcPr>
          <w:p>
            <w:pPr>
              <w:spacing w:after="0"/>
              <w:rPr>
                <w:sz w:val="1"/>
                <w:szCs w:val="1"/>
                <w:color w:val="auto"/>
              </w:rPr>
            </w:pPr>
          </w:p>
        </w:tc>
      </w:tr>
      <w:tr>
        <w:trPr>
          <w:trHeight w:val="345"/>
        </w:trPr>
        <w:tc>
          <w:tcPr>
            <w:tcW w:w="27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320" w:type="dxa"/>
            <w:vAlign w:val="bottom"/>
          </w:tcPr>
          <w:p>
            <w:pPr>
              <w:jc w:val="center"/>
              <w:ind w:left="145"/>
              <w:spacing w:after="0"/>
              <w:rPr>
                <w:sz w:val="20"/>
                <w:szCs w:val="20"/>
                <w:color w:val="auto"/>
              </w:rPr>
            </w:pPr>
            <w:r>
              <w:rPr>
                <w:rFonts w:ascii="Arial" w:cs="Arial" w:eastAsia="Arial" w:hAnsi="Arial"/>
                <w:sz w:val="25"/>
                <w:szCs w:val="25"/>
                <w:b w:val="1"/>
                <w:bCs w:val="1"/>
                <w:i w:val="1"/>
                <w:iCs w:val="1"/>
                <w:color w:val="FFFFFF"/>
                <w:w w:val="99"/>
              </w:rPr>
              <w:t>Forecast</w:t>
            </w:r>
          </w:p>
        </w:tc>
        <w:tc>
          <w:tcPr>
            <w:tcW w:w="0" w:type="dxa"/>
            <w:vAlign w:val="bottom"/>
          </w:tcPr>
          <w:p>
            <w:pPr>
              <w:spacing w:after="0"/>
              <w:rPr>
                <w:sz w:val="1"/>
                <w:szCs w:val="1"/>
                <w:color w:val="auto"/>
              </w:rPr>
            </w:pPr>
          </w:p>
        </w:tc>
      </w:tr>
      <w:tr>
        <w:trPr>
          <w:trHeight w:val="647"/>
        </w:trPr>
        <w:tc>
          <w:tcPr>
            <w:tcW w:w="4800" w:type="dxa"/>
            <w:vAlign w:val="bottom"/>
            <w:gridSpan w:val="3"/>
          </w:tcPr>
          <w:p>
            <w:pPr>
              <w:jc w:val="right"/>
              <w:ind w:right="45"/>
              <w:spacing w:after="0"/>
              <w:rPr>
                <w:sz w:val="20"/>
                <w:szCs w:val="20"/>
                <w:color w:val="auto"/>
              </w:rPr>
            </w:pPr>
            <w:r>
              <w:rPr>
                <w:rFonts w:ascii="Arial" w:cs="Arial" w:eastAsia="Arial" w:hAnsi="Arial"/>
                <w:sz w:val="25"/>
                <w:szCs w:val="25"/>
                <w:b w:val="1"/>
                <w:bCs w:val="1"/>
                <w:color w:val="23282B"/>
              </w:rPr>
              <w:t xml:space="preserve">Inventory  </w:t>
            </w:r>
            <w:r>
              <w:rPr>
                <w:rFonts w:ascii="Arial" w:cs="Arial" w:eastAsia="Arial" w:hAnsi="Arial"/>
                <w:sz w:val="22"/>
                <w:szCs w:val="22"/>
                <w:color w:val="23282B"/>
              </w:rPr>
              <w:t>$98.6M   $90.0M</w:t>
            </w:r>
          </w:p>
        </w:tc>
        <w:tc>
          <w:tcPr>
            <w:tcW w:w="1020" w:type="dxa"/>
            <w:vAlign w:val="bottom"/>
          </w:tcPr>
          <w:p>
            <w:pPr>
              <w:jc w:val="center"/>
              <w:spacing w:after="0"/>
              <w:rPr>
                <w:sz w:val="20"/>
                <w:szCs w:val="20"/>
                <w:color w:val="auto"/>
              </w:rPr>
            </w:pPr>
            <w:r>
              <w:rPr>
                <w:rFonts w:ascii="Arial" w:cs="Arial" w:eastAsia="Arial" w:hAnsi="Arial"/>
                <w:sz w:val="22"/>
                <w:szCs w:val="22"/>
                <w:color w:val="23282B"/>
              </w:rPr>
              <w:t>$92.9M</w:t>
            </w:r>
          </w:p>
        </w:tc>
        <w:tc>
          <w:tcPr>
            <w:tcW w:w="1140" w:type="dxa"/>
            <w:vAlign w:val="bottom"/>
          </w:tcPr>
          <w:p>
            <w:pPr>
              <w:jc w:val="center"/>
              <w:spacing w:after="0"/>
              <w:rPr>
                <w:sz w:val="20"/>
                <w:szCs w:val="20"/>
                <w:color w:val="auto"/>
              </w:rPr>
            </w:pPr>
            <w:r>
              <w:rPr>
                <w:rFonts w:ascii="Arial" w:cs="Arial" w:eastAsia="Arial" w:hAnsi="Arial"/>
                <w:sz w:val="22"/>
                <w:szCs w:val="22"/>
                <w:color w:val="23282B"/>
              </w:rPr>
              <w:t>$104.2M</w:t>
            </w:r>
          </w:p>
        </w:tc>
        <w:tc>
          <w:tcPr>
            <w:tcW w:w="1300" w:type="dxa"/>
            <w:vAlign w:val="bottom"/>
          </w:tcPr>
          <w:p>
            <w:pPr>
              <w:jc w:val="center"/>
              <w:ind w:right="66"/>
              <w:spacing w:after="0"/>
              <w:rPr>
                <w:sz w:val="20"/>
                <w:szCs w:val="20"/>
                <w:color w:val="auto"/>
              </w:rPr>
            </w:pPr>
            <w:r>
              <w:rPr>
                <w:rFonts w:ascii="Arial" w:cs="Arial" w:eastAsia="Arial" w:hAnsi="Arial"/>
                <w:sz w:val="22"/>
                <w:szCs w:val="22"/>
                <w:color w:val="23282B"/>
              </w:rPr>
              <w:t>$104.2M</w:t>
            </w:r>
          </w:p>
        </w:tc>
        <w:tc>
          <w:tcPr>
            <w:tcW w:w="1320" w:type="dxa"/>
            <w:vAlign w:val="bottom"/>
          </w:tcPr>
          <w:p>
            <w:pPr>
              <w:jc w:val="center"/>
              <w:ind w:left="165"/>
              <w:spacing w:after="0"/>
              <w:rPr>
                <w:sz w:val="20"/>
                <w:szCs w:val="20"/>
                <w:color w:val="auto"/>
              </w:rPr>
            </w:pPr>
            <w:r>
              <w:rPr>
                <w:rFonts w:ascii="Arial" w:cs="Arial" w:eastAsia="Arial" w:hAnsi="Arial"/>
                <w:sz w:val="28"/>
                <w:szCs w:val="28"/>
                <w:b w:val="1"/>
                <w:bCs w:val="1"/>
                <w:i w:val="1"/>
                <w:iCs w:val="1"/>
                <w:color w:val="658E1A"/>
              </w:rPr>
              <w:t>$102M</w:t>
            </w:r>
          </w:p>
        </w:tc>
        <w:tc>
          <w:tcPr>
            <w:tcW w:w="0" w:type="dxa"/>
            <w:vAlign w:val="bottom"/>
          </w:tcPr>
          <w:p>
            <w:pPr>
              <w:spacing w:after="0"/>
              <w:rPr>
                <w:sz w:val="1"/>
                <w:szCs w:val="1"/>
                <w:color w:val="auto"/>
              </w:rPr>
            </w:pPr>
          </w:p>
        </w:tc>
      </w:tr>
      <w:tr>
        <w:trPr>
          <w:trHeight w:val="356"/>
        </w:trPr>
        <w:tc>
          <w:tcPr>
            <w:tcW w:w="2720" w:type="dxa"/>
            <w:vAlign w:val="bottom"/>
          </w:tcPr>
          <w:p>
            <w:pPr>
              <w:jc w:val="right"/>
              <w:ind w:right="17"/>
              <w:spacing w:after="0"/>
              <w:rPr>
                <w:sz w:val="20"/>
                <w:szCs w:val="20"/>
                <w:color w:val="auto"/>
              </w:rPr>
            </w:pPr>
            <w:r>
              <w:rPr>
                <w:rFonts w:ascii="Arial" w:cs="Arial" w:eastAsia="Arial" w:hAnsi="Arial"/>
                <w:sz w:val="25"/>
                <w:szCs w:val="25"/>
                <w:b w:val="1"/>
                <w:bCs w:val="1"/>
                <w:color w:val="23282B"/>
                <w:w w:val="98"/>
              </w:rPr>
              <w:t>Net borrowings under</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vMerge w:val="restart"/>
          </w:tcPr>
          <w:p>
            <w:pPr>
              <w:jc w:val="center"/>
              <w:ind w:left="145"/>
              <w:spacing w:after="0"/>
              <w:rPr>
                <w:sz w:val="20"/>
                <w:szCs w:val="20"/>
                <w:color w:val="auto"/>
              </w:rPr>
            </w:pPr>
            <w:r>
              <w:rPr>
                <w:rFonts w:ascii="Arial" w:cs="Arial" w:eastAsia="Arial" w:hAnsi="Arial"/>
                <w:sz w:val="28"/>
                <w:szCs w:val="28"/>
                <w:b w:val="1"/>
                <w:bCs w:val="1"/>
                <w:i w:val="1"/>
                <w:iCs w:val="1"/>
                <w:color w:val="658E1A"/>
                <w:w w:val="97"/>
              </w:rPr>
              <w:t>$0</w:t>
            </w:r>
            <w:r>
              <w:rPr>
                <w:rFonts w:ascii="Arial" w:cs="Arial" w:eastAsia="Arial" w:hAnsi="Arial"/>
                <w:sz w:val="37"/>
                <w:szCs w:val="37"/>
                <w:b w:val="1"/>
                <w:bCs w:val="1"/>
                <w:i w:val="1"/>
                <w:iCs w:val="1"/>
                <w:color w:val="658E1A"/>
                <w:w w:val="97"/>
                <w:vertAlign w:val="superscript"/>
              </w:rPr>
              <w:t>1</w:t>
            </w:r>
          </w:p>
        </w:tc>
        <w:tc>
          <w:tcPr>
            <w:tcW w:w="0" w:type="dxa"/>
            <w:vAlign w:val="bottom"/>
          </w:tcPr>
          <w:p>
            <w:pPr>
              <w:spacing w:after="0"/>
              <w:rPr>
                <w:sz w:val="1"/>
                <w:szCs w:val="1"/>
                <w:color w:val="auto"/>
              </w:rPr>
            </w:pPr>
          </w:p>
        </w:tc>
      </w:tr>
      <w:tr>
        <w:trPr>
          <w:trHeight w:val="442"/>
        </w:trPr>
        <w:tc>
          <w:tcPr>
            <w:tcW w:w="2720" w:type="dxa"/>
            <w:vAlign w:val="bottom"/>
          </w:tcPr>
          <w:p>
            <w:pPr>
              <w:jc w:val="right"/>
              <w:ind w:right="17"/>
              <w:spacing w:after="0"/>
              <w:rPr>
                <w:sz w:val="20"/>
                <w:szCs w:val="20"/>
                <w:color w:val="auto"/>
              </w:rPr>
            </w:pPr>
            <w:r>
              <w:rPr>
                <w:rFonts w:ascii="Arial" w:cs="Arial" w:eastAsia="Arial" w:hAnsi="Arial"/>
                <w:sz w:val="25"/>
                <w:szCs w:val="25"/>
                <w:b w:val="1"/>
                <w:bCs w:val="1"/>
                <w:color w:val="23282B"/>
              </w:rPr>
              <w:t>revolver</w:t>
            </w:r>
          </w:p>
        </w:tc>
        <w:tc>
          <w:tcPr>
            <w:tcW w:w="1060" w:type="dxa"/>
            <w:vAlign w:val="bottom"/>
          </w:tcPr>
          <w:p>
            <w:pPr>
              <w:jc w:val="center"/>
              <w:spacing w:after="0"/>
              <w:rPr>
                <w:sz w:val="20"/>
                <w:szCs w:val="20"/>
                <w:color w:val="auto"/>
              </w:rPr>
            </w:pPr>
            <w:r>
              <w:rPr>
                <w:rFonts w:ascii="Arial" w:cs="Arial" w:eastAsia="Arial" w:hAnsi="Arial"/>
                <w:sz w:val="22"/>
                <w:szCs w:val="22"/>
                <w:color w:val="23282B"/>
              </w:rPr>
              <w:t>$38.7M</w:t>
            </w:r>
          </w:p>
        </w:tc>
        <w:tc>
          <w:tcPr>
            <w:tcW w:w="1020" w:type="dxa"/>
            <w:vAlign w:val="bottom"/>
          </w:tcPr>
          <w:p>
            <w:pPr>
              <w:jc w:val="center"/>
              <w:spacing w:after="0"/>
              <w:rPr>
                <w:sz w:val="20"/>
                <w:szCs w:val="20"/>
                <w:color w:val="auto"/>
              </w:rPr>
            </w:pPr>
            <w:r>
              <w:rPr>
                <w:rFonts w:ascii="Arial" w:cs="Arial" w:eastAsia="Arial" w:hAnsi="Arial"/>
                <w:sz w:val="22"/>
                <w:szCs w:val="22"/>
                <w:color w:val="23282B"/>
              </w:rPr>
              <w:t>$3.5M</w:t>
            </w:r>
          </w:p>
        </w:tc>
        <w:tc>
          <w:tcPr>
            <w:tcW w:w="1020" w:type="dxa"/>
            <w:vAlign w:val="bottom"/>
          </w:tcPr>
          <w:p>
            <w:pPr>
              <w:jc w:val="center"/>
              <w:spacing w:after="0"/>
              <w:rPr>
                <w:sz w:val="20"/>
                <w:szCs w:val="20"/>
                <w:color w:val="auto"/>
              </w:rPr>
            </w:pPr>
            <w:r>
              <w:rPr>
                <w:rFonts w:ascii="Arial" w:cs="Arial" w:eastAsia="Arial" w:hAnsi="Arial"/>
                <w:sz w:val="22"/>
                <w:szCs w:val="22"/>
                <w:color w:val="23282B"/>
                <w:w w:val="97"/>
              </w:rPr>
              <w:t>$0</w:t>
            </w:r>
          </w:p>
        </w:tc>
        <w:tc>
          <w:tcPr>
            <w:tcW w:w="1140" w:type="dxa"/>
            <w:vAlign w:val="bottom"/>
          </w:tcPr>
          <w:p>
            <w:pPr>
              <w:jc w:val="center"/>
              <w:spacing w:after="0"/>
              <w:rPr>
                <w:sz w:val="20"/>
                <w:szCs w:val="20"/>
                <w:color w:val="auto"/>
              </w:rPr>
            </w:pPr>
            <w:r>
              <w:rPr>
                <w:rFonts w:ascii="Arial" w:cs="Arial" w:eastAsia="Arial" w:hAnsi="Arial"/>
                <w:sz w:val="22"/>
                <w:szCs w:val="22"/>
                <w:color w:val="23282B"/>
                <w:w w:val="97"/>
              </w:rPr>
              <w:t>$0</w:t>
            </w:r>
          </w:p>
        </w:tc>
        <w:tc>
          <w:tcPr>
            <w:tcW w:w="1300" w:type="dxa"/>
            <w:vAlign w:val="bottom"/>
          </w:tcPr>
          <w:p>
            <w:pPr>
              <w:jc w:val="center"/>
              <w:ind w:right="106"/>
              <w:spacing w:after="0"/>
              <w:rPr>
                <w:sz w:val="20"/>
                <w:szCs w:val="20"/>
                <w:color w:val="auto"/>
              </w:rPr>
            </w:pPr>
            <w:r>
              <w:rPr>
                <w:rFonts w:ascii="Arial" w:cs="Arial" w:eastAsia="Arial" w:hAnsi="Arial"/>
                <w:sz w:val="22"/>
                <w:szCs w:val="22"/>
                <w:color w:val="23282B"/>
                <w:w w:val="97"/>
              </w:rPr>
              <w:t>$0</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2720" w:type="dxa"/>
            <w:vAlign w:val="bottom"/>
          </w:tcPr>
          <w:p>
            <w:pPr>
              <w:jc w:val="right"/>
              <w:ind w:right="17"/>
              <w:spacing w:after="0"/>
              <w:rPr>
                <w:sz w:val="20"/>
                <w:szCs w:val="20"/>
                <w:color w:val="auto"/>
              </w:rPr>
            </w:pPr>
            <w:r>
              <w:rPr>
                <w:rFonts w:ascii="Arial" w:cs="Arial" w:eastAsia="Arial" w:hAnsi="Arial"/>
                <w:sz w:val="25"/>
                <w:szCs w:val="25"/>
                <w:b w:val="1"/>
                <w:bCs w:val="1"/>
                <w:color w:val="23282B"/>
              </w:rPr>
              <w:t>Cash on hand</w:t>
            </w:r>
          </w:p>
        </w:tc>
        <w:tc>
          <w:tcPr>
            <w:tcW w:w="1060" w:type="dxa"/>
            <w:vAlign w:val="bottom"/>
          </w:tcPr>
          <w:p>
            <w:pPr>
              <w:jc w:val="center"/>
              <w:spacing w:after="0"/>
              <w:rPr>
                <w:sz w:val="20"/>
                <w:szCs w:val="20"/>
                <w:color w:val="auto"/>
              </w:rPr>
            </w:pPr>
            <w:r>
              <w:rPr>
                <w:rFonts w:ascii="Arial" w:cs="Arial" w:eastAsia="Arial" w:hAnsi="Arial"/>
                <w:sz w:val="22"/>
                <w:szCs w:val="22"/>
                <w:color w:val="23282B"/>
              </w:rPr>
              <w:t>$5.0</w:t>
            </w:r>
          </w:p>
        </w:tc>
        <w:tc>
          <w:tcPr>
            <w:tcW w:w="1020" w:type="dxa"/>
            <w:vAlign w:val="bottom"/>
          </w:tcPr>
          <w:p>
            <w:pPr>
              <w:jc w:val="center"/>
              <w:spacing w:after="0"/>
              <w:rPr>
                <w:sz w:val="20"/>
                <w:szCs w:val="20"/>
                <w:color w:val="auto"/>
              </w:rPr>
            </w:pPr>
            <w:r>
              <w:rPr>
                <w:rFonts w:ascii="Arial" w:cs="Arial" w:eastAsia="Arial" w:hAnsi="Arial"/>
                <w:sz w:val="22"/>
                <w:szCs w:val="22"/>
                <w:color w:val="23282B"/>
                <w:w w:val="97"/>
              </w:rPr>
              <w:t>$4.3</w:t>
            </w:r>
          </w:p>
        </w:tc>
        <w:tc>
          <w:tcPr>
            <w:tcW w:w="1020" w:type="dxa"/>
            <w:vAlign w:val="bottom"/>
          </w:tcPr>
          <w:p>
            <w:pPr>
              <w:jc w:val="center"/>
              <w:spacing w:after="0"/>
              <w:rPr>
                <w:sz w:val="20"/>
                <w:szCs w:val="20"/>
                <w:color w:val="auto"/>
              </w:rPr>
            </w:pPr>
            <w:r>
              <w:rPr>
                <w:rFonts w:ascii="Arial" w:cs="Arial" w:eastAsia="Arial" w:hAnsi="Arial"/>
                <w:sz w:val="22"/>
                <w:szCs w:val="22"/>
                <w:color w:val="23282B"/>
              </w:rPr>
              <w:t>$4.1M</w:t>
            </w:r>
          </w:p>
        </w:tc>
        <w:tc>
          <w:tcPr>
            <w:tcW w:w="1140" w:type="dxa"/>
            <w:vAlign w:val="bottom"/>
          </w:tcPr>
          <w:p>
            <w:pPr>
              <w:jc w:val="center"/>
              <w:spacing w:after="0"/>
              <w:rPr>
                <w:sz w:val="20"/>
                <w:szCs w:val="20"/>
                <w:color w:val="auto"/>
              </w:rPr>
            </w:pPr>
            <w:r>
              <w:rPr>
                <w:rFonts w:ascii="Arial" w:cs="Arial" w:eastAsia="Arial" w:hAnsi="Arial"/>
                <w:sz w:val="22"/>
                <w:szCs w:val="22"/>
                <w:color w:val="23282B"/>
              </w:rPr>
              <w:t>$10.4M</w:t>
            </w:r>
          </w:p>
        </w:tc>
        <w:tc>
          <w:tcPr>
            <w:tcW w:w="1300" w:type="dxa"/>
            <w:vAlign w:val="bottom"/>
          </w:tcPr>
          <w:p>
            <w:pPr>
              <w:jc w:val="center"/>
              <w:ind w:right="86"/>
              <w:spacing w:after="0"/>
              <w:rPr>
                <w:sz w:val="20"/>
                <w:szCs w:val="20"/>
                <w:color w:val="auto"/>
              </w:rPr>
            </w:pPr>
            <w:r>
              <w:rPr>
                <w:rFonts w:ascii="Arial" w:cs="Arial" w:eastAsia="Arial" w:hAnsi="Arial"/>
                <w:sz w:val="22"/>
                <w:szCs w:val="22"/>
                <w:color w:val="23282B"/>
              </w:rPr>
              <w:t>$8.2M</w:t>
            </w:r>
          </w:p>
        </w:tc>
        <w:tc>
          <w:tcPr>
            <w:tcW w:w="1320" w:type="dxa"/>
            <w:vAlign w:val="bottom"/>
          </w:tcPr>
          <w:p>
            <w:pPr>
              <w:jc w:val="center"/>
              <w:ind w:left="145"/>
              <w:spacing w:after="0"/>
              <w:rPr>
                <w:sz w:val="20"/>
                <w:szCs w:val="20"/>
                <w:color w:val="auto"/>
              </w:rPr>
            </w:pPr>
            <w:r>
              <w:rPr>
                <w:rFonts w:ascii="Arial" w:cs="Arial" w:eastAsia="Arial" w:hAnsi="Arial"/>
                <w:sz w:val="28"/>
                <w:szCs w:val="28"/>
                <w:b w:val="1"/>
                <w:bCs w:val="1"/>
                <w:i w:val="1"/>
                <w:iCs w:val="1"/>
                <w:color w:val="658E1A"/>
              </w:rPr>
              <w:t>$0</w:t>
            </w:r>
          </w:p>
        </w:tc>
        <w:tc>
          <w:tcPr>
            <w:tcW w:w="0" w:type="dxa"/>
            <w:vAlign w:val="bottom"/>
          </w:tcPr>
          <w:p>
            <w:pPr>
              <w:spacing w:after="0"/>
              <w:rPr>
                <w:sz w:val="1"/>
                <w:szCs w:val="1"/>
                <w:color w:val="auto"/>
              </w:rPr>
            </w:pPr>
          </w:p>
        </w:tc>
      </w:tr>
      <w:tr>
        <w:trPr>
          <w:trHeight w:val="647"/>
        </w:trPr>
        <w:tc>
          <w:tcPr>
            <w:tcW w:w="2720" w:type="dxa"/>
            <w:vAlign w:val="bottom"/>
          </w:tcPr>
          <w:p>
            <w:pPr>
              <w:jc w:val="right"/>
              <w:ind w:right="17"/>
              <w:spacing w:after="0"/>
              <w:rPr>
                <w:sz w:val="20"/>
                <w:szCs w:val="20"/>
                <w:color w:val="auto"/>
              </w:rPr>
            </w:pPr>
            <w:r>
              <w:rPr>
                <w:rFonts w:ascii="Arial" w:cs="Arial" w:eastAsia="Arial" w:hAnsi="Arial"/>
                <w:sz w:val="25"/>
                <w:szCs w:val="25"/>
                <w:b w:val="1"/>
                <w:bCs w:val="1"/>
                <w:color w:val="23282B"/>
              </w:rPr>
              <w:t>Fixed term loan</w:t>
            </w:r>
          </w:p>
        </w:tc>
        <w:tc>
          <w:tcPr>
            <w:tcW w:w="1060" w:type="dxa"/>
            <w:vAlign w:val="bottom"/>
          </w:tcPr>
          <w:p>
            <w:pPr>
              <w:jc w:val="center"/>
              <w:spacing w:after="0"/>
              <w:rPr>
                <w:sz w:val="20"/>
                <w:szCs w:val="20"/>
                <w:color w:val="auto"/>
              </w:rPr>
            </w:pPr>
            <w:r>
              <w:rPr>
                <w:rFonts w:ascii="Arial" w:cs="Arial" w:eastAsia="Arial" w:hAnsi="Arial"/>
                <w:sz w:val="22"/>
                <w:szCs w:val="22"/>
                <w:color w:val="23282B"/>
              </w:rPr>
              <w:t>$12.5M</w:t>
            </w:r>
          </w:p>
        </w:tc>
        <w:tc>
          <w:tcPr>
            <w:tcW w:w="1020" w:type="dxa"/>
            <w:vAlign w:val="bottom"/>
          </w:tcPr>
          <w:p>
            <w:pPr>
              <w:jc w:val="center"/>
              <w:spacing w:after="0"/>
              <w:rPr>
                <w:sz w:val="20"/>
                <w:szCs w:val="20"/>
                <w:color w:val="auto"/>
              </w:rPr>
            </w:pPr>
            <w:r>
              <w:rPr>
                <w:rFonts w:ascii="Arial" w:cs="Arial" w:eastAsia="Arial" w:hAnsi="Arial"/>
                <w:sz w:val="22"/>
                <w:szCs w:val="22"/>
                <w:color w:val="23282B"/>
              </w:rPr>
              <w:t>$7.6M</w:t>
            </w:r>
          </w:p>
        </w:tc>
        <w:tc>
          <w:tcPr>
            <w:tcW w:w="1020" w:type="dxa"/>
            <w:vAlign w:val="bottom"/>
          </w:tcPr>
          <w:p>
            <w:pPr>
              <w:jc w:val="center"/>
              <w:spacing w:after="0"/>
              <w:rPr>
                <w:sz w:val="20"/>
                <w:szCs w:val="20"/>
                <w:color w:val="auto"/>
              </w:rPr>
            </w:pPr>
            <w:r>
              <w:rPr>
                <w:rFonts w:ascii="Arial" w:cs="Arial" w:eastAsia="Arial" w:hAnsi="Arial"/>
                <w:sz w:val="22"/>
                <w:szCs w:val="22"/>
                <w:color w:val="23282B"/>
                <w:w w:val="97"/>
              </w:rPr>
              <w:t>$0</w:t>
            </w:r>
          </w:p>
        </w:tc>
        <w:tc>
          <w:tcPr>
            <w:tcW w:w="1140" w:type="dxa"/>
            <w:vAlign w:val="bottom"/>
          </w:tcPr>
          <w:p>
            <w:pPr>
              <w:jc w:val="center"/>
              <w:spacing w:after="0"/>
              <w:rPr>
                <w:sz w:val="20"/>
                <w:szCs w:val="20"/>
                <w:color w:val="auto"/>
              </w:rPr>
            </w:pPr>
            <w:r>
              <w:rPr>
                <w:rFonts w:ascii="Arial" w:cs="Arial" w:eastAsia="Arial" w:hAnsi="Arial"/>
                <w:sz w:val="22"/>
                <w:szCs w:val="22"/>
                <w:color w:val="23282B"/>
                <w:w w:val="97"/>
              </w:rPr>
              <w:t>$0</w:t>
            </w:r>
          </w:p>
        </w:tc>
        <w:tc>
          <w:tcPr>
            <w:tcW w:w="1300" w:type="dxa"/>
            <w:vAlign w:val="bottom"/>
          </w:tcPr>
          <w:p>
            <w:pPr>
              <w:jc w:val="center"/>
              <w:ind w:right="106"/>
              <w:spacing w:after="0"/>
              <w:rPr>
                <w:sz w:val="20"/>
                <w:szCs w:val="20"/>
                <w:color w:val="auto"/>
              </w:rPr>
            </w:pPr>
            <w:r>
              <w:rPr>
                <w:rFonts w:ascii="Arial" w:cs="Arial" w:eastAsia="Arial" w:hAnsi="Arial"/>
                <w:sz w:val="22"/>
                <w:szCs w:val="22"/>
                <w:color w:val="23282B"/>
                <w:w w:val="97"/>
              </w:rPr>
              <w:t>$0</w:t>
            </w:r>
          </w:p>
        </w:tc>
        <w:tc>
          <w:tcPr>
            <w:tcW w:w="1320" w:type="dxa"/>
            <w:vAlign w:val="bottom"/>
          </w:tcPr>
          <w:p>
            <w:pPr>
              <w:jc w:val="center"/>
              <w:ind w:left="165"/>
              <w:spacing w:after="0"/>
              <w:rPr>
                <w:sz w:val="20"/>
                <w:szCs w:val="20"/>
                <w:color w:val="auto"/>
              </w:rPr>
            </w:pPr>
            <w:r>
              <w:rPr>
                <w:rFonts w:ascii="Arial" w:cs="Arial" w:eastAsia="Arial" w:hAnsi="Arial"/>
                <w:sz w:val="28"/>
                <w:szCs w:val="28"/>
                <w:b w:val="1"/>
                <w:bCs w:val="1"/>
                <w:i w:val="1"/>
                <w:iCs w:val="1"/>
                <w:color w:val="658E1A"/>
                <w:w w:val="99"/>
              </w:rPr>
              <w:t>$18M</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3"/>
          <w:szCs w:val="13"/>
          <w:i w:val="1"/>
          <w:iCs w:val="1"/>
          <w:color w:val="354047"/>
        </w:rPr>
        <w:t>1</w:t>
      </w:r>
      <w:r>
        <w:rPr>
          <w:rFonts w:ascii="Arial" w:cs="Arial" w:eastAsia="Arial" w:hAnsi="Arial"/>
          <w:sz w:val="18"/>
          <w:szCs w:val="18"/>
          <w:i w:val="1"/>
          <w:iCs w:val="1"/>
          <w:color w:val="354047"/>
        </w:rPr>
        <w:t>FY 2013 Net borrowings estimate includes $5.0 million in debt and $5.0 million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414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33</w:t>
            </w:r>
          </w:p>
        </w:tc>
      </w:tr>
    </w:tbl>
    <w:p>
      <w:pPr>
        <w:sectPr>
          <w:pgSz w:w="11900" w:h="16838" w:orient="portrait"/>
          <w:cols w:equalWidth="0" w:num="1">
            <w:col w:w="10140"/>
          </w:cols>
          <w:pgMar w:left="780" w:top="1059" w:right="979" w:bottom="1440" w:gutter="0" w:footer="0" w:header="0"/>
        </w:sectPr>
      </w:pPr>
    </w:p>
    <w:bookmarkStart w:id="36" w:name="page37"/>
    <w:bookmarkEnd w:id="36"/>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CASH FLOW &amp;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380" w:type="dxa"/>
        <w:tblCellMar>
          <w:top w:w="0" w:type="dxa"/>
          <w:left w:w="0" w:type="dxa"/>
          <w:bottom w:w="0" w:type="dxa"/>
          <w:right w:w="0" w:type="dxa"/>
        </w:tblCellMar>
      </w:tblPr>
      <w:tr>
        <w:trPr>
          <w:trHeight w:val="218"/>
        </w:trPr>
        <w:tc>
          <w:tcPr>
            <w:tcW w:w="1880" w:type="dxa"/>
            <w:vAlign w:val="bottom"/>
            <w:vMerge w:val="restart"/>
          </w:tcPr>
          <w:p>
            <w:pPr>
              <w:jc w:val="right"/>
              <w:ind w:right="1426"/>
              <w:spacing w:after="0"/>
              <w:rPr>
                <w:sz w:val="20"/>
                <w:szCs w:val="20"/>
                <w:color w:val="auto"/>
              </w:rPr>
            </w:pPr>
            <w:r>
              <w:rPr>
                <w:rFonts w:ascii="Arial" w:cs="Arial" w:eastAsia="Arial" w:hAnsi="Arial"/>
                <w:sz w:val="19"/>
                <w:szCs w:val="19"/>
                <w:color w:val="23282B"/>
              </w:rPr>
              <w:t>$40</w:t>
            </w:r>
          </w:p>
        </w:tc>
        <w:tc>
          <w:tcPr>
            <w:tcW w:w="1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9"/>
                <w:szCs w:val="19"/>
                <w:b w:val="1"/>
                <w:bCs w:val="1"/>
                <w:color w:val="23282B"/>
              </w:rPr>
              <w:t>($ mm)</w:t>
            </w:r>
          </w:p>
        </w:tc>
        <w:tc>
          <w:tcPr>
            <w:tcW w:w="1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0" w:type="dxa"/>
            <w:vAlign w:val="bottom"/>
          </w:tcPr>
          <w:p>
            <w:pPr>
              <w:jc w:val="center"/>
              <w:ind w:right="826"/>
              <w:spacing w:after="0"/>
              <w:rPr>
                <w:sz w:val="20"/>
                <w:szCs w:val="20"/>
                <w:color w:val="auto"/>
              </w:rPr>
            </w:pPr>
            <w:r>
              <w:rPr>
                <w:rFonts w:ascii="Arial" w:cs="Arial" w:eastAsia="Arial" w:hAnsi="Arial"/>
                <w:sz w:val="19"/>
                <w:szCs w:val="19"/>
                <w:color w:val="23282B"/>
              </w:rPr>
              <w:t>$38.2</w:t>
            </w:r>
          </w:p>
        </w:tc>
        <w:tc>
          <w:tcPr>
            <w:tcW w:w="0" w:type="dxa"/>
            <w:vAlign w:val="bottom"/>
          </w:tcPr>
          <w:p>
            <w:pPr>
              <w:spacing w:after="0"/>
              <w:rPr>
                <w:sz w:val="1"/>
                <w:szCs w:val="1"/>
                <w:color w:val="auto"/>
              </w:rPr>
            </w:pPr>
          </w:p>
        </w:tc>
      </w:tr>
      <w:tr>
        <w:trPr>
          <w:trHeight w:val="254"/>
        </w:trPr>
        <w:tc>
          <w:tcPr>
            <w:tcW w:w="1880" w:type="dxa"/>
            <w:vAlign w:val="bottom"/>
            <w:vMerge w:val="continue"/>
          </w:tcPr>
          <w:p>
            <w:pPr>
              <w:spacing w:after="0"/>
              <w:rPr>
                <w:sz w:val="22"/>
                <w:szCs w:val="22"/>
                <w:color w:val="auto"/>
              </w:rPr>
            </w:pPr>
          </w:p>
        </w:tc>
        <w:tc>
          <w:tcPr>
            <w:tcW w:w="13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0" w:type="dxa"/>
            <w:vAlign w:val="bottom"/>
          </w:tcPr>
          <w:p>
            <w:pPr>
              <w:ind w:left="1600"/>
              <w:spacing w:after="0"/>
              <w:rPr>
                <w:sz w:val="20"/>
                <w:szCs w:val="20"/>
                <w:color w:val="auto"/>
              </w:rPr>
            </w:pPr>
            <w:r>
              <w:rPr>
                <w:rFonts w:ascii="Arial" w:cs="Arial" w:eastAsia="Arial" w:hAnsi="Arial"/>
                <w:sz w:val="19"/>
                <w:szCs w:val="19"/>
                <w:color w:val="23282B"/>
              </w:rPr>
              <w:t>$40</w:t>
            </w:r>
          </w:p>
        </w:tc>
        <w:tc>
          <w:tcPr>
            <w:tcW w:w="0" w:type="dxa"/>
            <w:vAlign w:val="bottom"/>
          </w:tcPr>
          <w:p>
            <w:pPr>
              <w:spacing w:after="0"/>
              <w:rPr>
                <w:sz w:val="1"/>
                <w:szCs w:val="1"/>
                <w:color w:val="auto"/>
              </w:rPr>
            </w:pPr>
          </w:p>
        </w:tc>
      </w:tr>
      <w:tr>
        <w:trPr>
          <w:trHeight w:val="335"/>
        </w:trPr>
        <w:tc>
          <w:tcPr>
            <w:tcW w:w="1880" w:type="dxa"/>
            <w:vAlign w:val="bottom"/>
          </w:tcPr>
          <w:p>
            <w:pPr>
              <w:spacing w:after="0"/>
              <w:rPr>
                <w:sz w:val="24"/>
                <w:szCs w:val="24"/>
                <w:color w:val="auto"/>
              </w:rPr>
            </w:pPr>
          </w:p>
        </w:tc>
        <w:tc>
          <w:tcPr>
            <w:tcW w:w="1360" w:type="dxa"/>
            <w:vAlign w:val="bottom"/>
            <w:vMerge w:val="restart"/>
          </w:tcPr>
          <w:p>
            <w:pPr>
              <w:jc w:val="right"/>
              <w:ind w:right="366"/>
              <w:spacing w:after="0"/>
              <w:rPr>
                <w:sz w:val="20"/>
                <w:szCs w:val="20"/>
                <w:color w:val="auto"/>
              </w:rPr>
            </w:pPr>
            <w:r>
              <w:rPr>
                <w:rFonts w:ascii="Arial" w:cs="Arial" w:eastAsia="Arial" w:hAnsi="Arial"/>
                <w:sz w:val="19"/>
                <w:szCs w:val="19"/>
                <w:color w:val="23282B"/>
              </w:rPr>
              <w:t>$30.8</w:t>
            </w: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9"/>
                <w:szCs w:val="19"/>
                <w:color w:val="23282B"/>
              </w:rPr>
              <w:t>$32.4</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880" w:type="dxa"/>
            <w:vAlign w:val="bottom"/>
            <w:vMerge w:val="restart"/>
          </w:tcPr>
          <w:p>
            <w:pPr>
              <w:jc w:val="right"/>
              <w:ind w:right="1426"/>
              <w:spacing w:after="0"/>
              <w:rPr>
                <w:sz w:val="20"/>
                <w:szCs w:val="20"/>
                <w:color w:val="auto"/>
              </w:rPr>
            </w:pPr>
            <w:r>
              <w:rPr>
                <w:rFonts w:ascii="Arial" w:cs="Arial" w:eastAsia="Arial" w:hAnsi="Arial"/>
                <w:sz w:val="19"/>
                <w:szCs w:val="19"/>
                <w:color w:val="23282B"/>
              </w:rPr>
              <w:t>$30</w:t>
            </w:r>
          </w:p>
        </w:tc>
        <w:tc>
          <w:tcPr>
            <w:tcW w:w="1360" w:type="dxa"/>
            <w:vAlign w:val="bottom"/>
            <w:vMerge w:val="continue"/>
          </w:tcPr>
          <w:p>
            <w:pPr>
              <w:spacing w:after="0"/>
              <w:rPr>
                <w:sz w:val="21"/>
                <w:szCs w:val="21"/>
                <w:color w:val="auto"/>
              </w:rPr>
            </w:pPr>
          </w:p>
        </w:tc>
        <w:tc>
          <w:tcPr>
            <w:tcW w:w="1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0" w:type="dxa"/>
            <w:vAlign w:val="bottom"/>
            <w:vMerge w:val="restart"/>
          </w:tcPr>
          <w:p>
            <w:pPr>
              <w:ind w:left="1600"/>
              <w:spacing w:after="0"/>
              <w:rPr>
                <w:sz w:val="20"/>
                <w:szCs w:val="20"/>
                <w:color w:val="auto"/>
              </w:rPr>
            </w:pPr>
            <w:r>
              <w:rPr>
                <w:rFonts w:ascii="Arial" w:cs="Arial" w:eastAsia="Arial" w:hAnsi="Arial"/>
                <w:sz w:val="19"/>
                <w:szCs w:val="19"/>
                <w:color w:val="23282B"/>
              </w:rPr>
              <w:t>$30</w:t>
            </w:r>
          </w:p>
        </w:tc>
        <w:tc>
          <w:tcPr>
            <w:tcW w:w="0" w:type="dxa"/>
            <w:vAlign w:val="bottom"/>
          </w:tcPr>
          <w:p>
            <w:pPr>
              <w:spacing w:after="0"/>
              <w:rPr>
                <w:sz w:val="1"/>
                <w:szCs w:val="1"/>
                <w:color w:val="auto"/>
              </w:rPr>
            </w:pPr>
          </w:p>
        </w:tc>
      </w:tr>
      <w:tr>
        <w:trPr>
          <w:trHeight w:val="247"/>
        </w:trPr>
        <w:tc>
          <w:tcPr>
            <w:tcW w:w="1880" w:type="dxa"/>
            <w:vAlign w:val="bottom"/>
            <w:vMerge w:val="continue"/>
          </w:tcPr>
          <w:p>
            <w:pPr>
              <w:spacing w:after="0"/>
              <w:rPr>
                <w:sz w:val="21"/>
                <w:szCs w:val="21"/>
                <w:color w:val="auto"/>
              </w:rPr>
            </w:pPr>
          </w:p>
        </w:tc>
        <w:tc>
          <w:tcPr>
            <w:tcW w:w="13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40" w:type="dxa"/>
            <w:vAlign w:val="bottom"/>
            <w:vMerge w:val="restart"/>
          </w:tcPr>
          <w:p>
            <w:pPr>
              <w:jc w:val="right"/>
              <w:ind w:right="26"/>
              <w:spacing w:after="0"/>
              <w:rPr>
                <w:sz w:val="20"/>
                <w:szCs w:val="20"/>
                <w:color w:val="auto"/>
              </w:rPr>
            </w:pPr>
            <w:r>
              <w:rPr>
                <w:rFonts w:ascii="Arial" w:cs="Arial" w:eastAsia="Arial" w:hAnsi="Arial"/>
                <w:sz w:val="19"/>
                <w:szCs w:val="19"/>
                <w:color w:val="23282B"/>
              </w:rPr>
              <w:t>$29.9</w:t>
            </w:r>
          </w:p>
        </w:tc>
        <w:tc>
          <w:tcPr>
            <w:tcW w:w="960" w:type="dxa"/>
            <w:vAlign w:val="bottom"/>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1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1880" w:type="dxa"/>
            <w:vAlign w:val="bottom"/>
          </w:tcPr>
          <w:p>
            <w:pPr>
              <w:jc w:val="right"/>
              <w:ind w:right="326"/>
              <w:spacing w:after="0"/>
              <w:rPr>
                <w:sz w:val="20"/>
                <w:szCs w:val="20"/>
                <w:color w:val="auto"/>
              </w:rPr>
            </w:pPr>
            <w:r>
              <w:rPr>
                <w:rFonts w:ascii="Arial" w:cs="Arial" w:eastAsia="Arial" w:hAnsi="Arial"/>
                <w:sz w:val="19"/>
                <w:szCs w:val="19"/>
                <w:color w:val="23282B"/>
              </w:rPr>
              <w:t>$23.2</w:t>
            </w: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jc w:val="right"/>
              <w:ind w:right="726"/>
              <w:spacing w:after="0"/>
              <w:rPr>
                <w:sz w:val="20"/>
                <w:szCs w:val="20"/>
                <w:color w:val="auto"/>
              </w:rPr>
            </w:pPr>
            <w:r>
              <w:rPr>
                <w:rFonts w:ascii="Arial" w:cs="Arial" w:eastAsia="Arial" w:hAnsi="Arial"/>
                <w:sz w:val="19"/>
                <w:szCs w:val="19"/>
                <w:color w:val="23282B"/>
              </w:rPr>
              <w:t>$23.4</w:t>
            </w:r>
          </w:p>
        </w:tc>
        <w:tc>
          <w:tcPr>
            <w:tcW w:w="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880" w:type="dxa"/>
            <w:vAlign w:val="bottom"/>
          </w:tcPr>
          <w:p>
            <w:pPr>
              <w:jc w:val="right"/>
              <w:ind w:right="1426"/>
              <w:spacing w:after="0"/>
              <w:rPr>
                <w:sz w:val="20"/>
                <w:szCs w:val="20"/>
                <w:color w:val="auto"/>
              </w:rPr>
            </w:pPr>
            <w:r>
              <w:rPr>
                <w:rFonts w:ascii="Arial" w:cs="Arial" w:eastAsia="Arial" w:hAnsi="Arial"/>
                <w:sz w:val="19"/>
                <w:szCs w:val="19"/>
                <w:color w:val="23282B"/>
              </w:rPr>
              <w:t>$20</w:t>
            </w:r>
          </w:p>
        </w:tc>
        <w:tc>
          <w:tcPr>
            <w:tcW w:w="1360" w:type="dxa"/>
            <w:vAlign w:val="bottom"/>
          </w:tcPr>
          <w:p>
            <w:pPr>
              <w:spacing w:after="0"/>
              <w:rPr>
                <w:sz w:val="24"/>
                <w:szCs w:val="24"/>
                <w:color w:val="auto"/>
              </w:rPr>
            </w:pPr>
          </w:p>
        </w:tc>
        <w:tc>
          <w:tcPr>
            <w:tcW w:w="1740" w:type="dxa"/>
            <w:vAlign w:val="bottom"/>
          </w:tcPr>
          <w:p>
            <w:pPr>
              <w:jc w:val="right"/>
              <w:ind w:right="749"/>
              <w:spacing w:after="0"/>
              <w:rPr>
                <w:sz w:val="20"/>
                <w:szCs w:val="20"/>
                <w:color w:val="auto"/>
              </w:rPr>
            </w:pPr>
            <w:r>
              <w:rPr>
                <w:rFonts w:ascii="Arial" w:cs="Arial" w:eastAsia="Arial" w:hAnsi="Arial"/>
                <w:sz w:val="19"/>
                <w:szCs w:val="19"/>
                <w:color w:val="23282B"/>
              </w:rPr>
              <w:t>$18.7</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ind w:left="1600"/>
              <w:spacing w:after="0"/>
              <w:rPr>
                <w:sz w:val="20"/>
                <w:szCs w:val="20"/>
                <w:color w:val="auto"/>
              </w:rPr>
            </w:pPr>
            <w:r>
              <w:rPr>
                <w:rFonts w:ascii="Arial" w:cs="Arial" w:eastAsia="Arial" w:hAnsi="Arial"/>
                <w:sz w:val="19"/>
                <w:szCs w:val="19"/>
                <w:color w:val="23282B"/>
              </w:rPr>
              <w:t>$20</w:t>
            </w:r>
          </w:p>
        </w:tc>
        <w:tc>
          <w:tcPr>
            <w:tcW w:w="0" w:type="dxa"/>
            <w:vAlign w:val="bottom"/>
          </w:tcPr>
          <w:p>
            <w:pPr>
              <w:spacing w:after="0"/>
              <w:rPr>
                <w:sz w:val="1"/>
                <w:szCs w:val="1"/>
                <w:color w:val="auto"/>
              </w:rPr>
            </w:pPr>
          </w:p>
        </w:tc>
      </w:tr>
      <w:tr>
        <w:trPr>
          <w:trHeight w:val="353"/>
        </w:trPr>
        <w:tc>
          <w:tcPr>
            <w:tcW w:w="1880" w:type="dxa"/>
            <w:vAlign w:val="bottom"/>
          </w:tcPr>
          <w:p>
            <w:pPr>
              <w:jc w:val="right"/>
              <w:ind w:right="326"/>
              <w:spacing w:after="0"/>
              <w:rPr>
                <w:sz w:val="20"/>
                <w:szCs w:val="20"/>
                <w:color w:val="auto"/>
              </w:rPr>
            </w:pPr>
            <w:r>
              <w:rPr>
                <w:rFonts w:ascii="Arial" w:cs="Arial" w:eastAsia="Arial" w:hAnsi="Arial"/>
                <w:sz w:val="19"/>
                <w:szCs w:val="19"/>
                <w:color w:val="FFFFFF"/>
              </w:rPr>
              <w:t>$12.6</w:t>
            </w: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vMerge w:val="restart"/>
          </w:tcPr>
          <w:p>
            <w:pPr>
              <w:jc w:val="right"/>
              <w:ind w:right="646"/>
              <w:spacing w:after="0"/>
              <w:rPr>
                <w:sz w:val="20"/>
                <w:szCs w:val="20"/>
                <w:color w:val="auto"/>
              </w:rPr>
            </w:pPr>
            <w:r>
              <w:rPr>
                <w:rFonts w:ascii="Arial" w:cs="Arial" w:eastAsia="Arial" w:hAnsi="Arial"/>
                <w:sz w:val="19"/>
                <w:szCs w:val="19"/>
                <w:color w:val="FFFFFF"/>
              </w:rPr>
              <w:t>$18.0</w:t>
            </w:r>
          </w:p>
        </w:tc>
        <w:tc>
          <w:tcPr>
            <w:tcW w:w="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1880" w:type="dxa"/>
            <w:vAlign w:val="bottom"/>
          </w:tcPr>
          <w:p>
            <w:pPr>
              <w:jc w:val="right"/>
              <w:ind w:right="1426"/>
              <w:spacing w:after="0"/>
              <w:rPr>
                <w:sz w:val="20"/>
                <w:szCs w:val="20"/>
                <w:color w:val="auto"/>
              </w:rPr>
            </w:pPr>
            <w:r>
              <w:rPr>
                <w:rFonts w:ascii="Arial" w:cs="Arial" w:eastAsia="Arial" w:hAnsi="Arial"/>
                <w:sz w:val="19"/>
                <w:szCs w:val="19"/>
                <w:color w:val="23282B"/>
              </w:rPr>
              <w:t>$10</w:t>
            </w: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ind w:left="1600"/>
              <w:spacing w:after="0"/>
              <w:rPr>
                <w:sz w:val="20"/>
                <w:szCs w:val="20"/>
                <w:color w:val="auto"/>
              </w:rPr>
            </w:pPr>
            <w:r>
              <w:rPr>
                <w:rFonts w:ascii="Arial" w:cs="Arial" w:eastAsia="Arial" w:hAnsi="Arial"/>
                <w:sz w:val="19"/>
                <w:szCs w:val="19"/>
                <w:color w:val="23282B"/>
              </w:rPr>
              <w:t>$10</w:t>
            </w:r>
          </w:p>
        </w:tc>
        <w:tc>
          <w:tcPr>
            <w:tcW w:w="0" w:type="dxa"/>
            <w:vAlign w:val="bottom"/>
          </w:tcPr>
          <w:p>
            <w:pPr>
              <w:spacing w:after="0"/>
              <w:rPr>
                <w:sz w:val="1"/>
                <w:szCs w:val="1"/>
                <w:color w:val="auto"/>
              </w:rPr>
            </w:pPr>
          </w:p>
        </w:tc>
      </w:tr>
      <w:tr>
        <w:trPr>
          <w:trHeight w:val="341"/>
        </w:trPr>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jc w:val="right"/>
              <w:ind w:right="749"/>
              <w:spacing w:after="0"/>
              <w:rPr>
                <w:sz w:val="20"/>
                <w:szCs w:val="20"/>
                <w:color w:val="auto"/>
              </w:rPr>
            </w:pPr>
            <w:r>
              <w:rPr>
                <w:rFonts w:ascii="Arial" w:cs="Arial" w:eastAsia="Arial" w:hAnsi="Arial"/>
                <w:sz w:val="19"/>
                <w:szCs w:val="19"/>
                <w:color w:val="FFFFFF"/>
              </w:rPr>
              <w:t>$9.0</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880" w:type="dxa"/>
            <w:vAlign w:val="bottom"/>
            <w:vMerge w:val="restart"/>
          </w:tcPr>
          <w:p>
            <w:pPr>
              <w:jc w:val="right"/>
              <w:ind w:right="1426"/>
              <w:spacing w:after="0"/>
              <w:rPr>
                <w:sz w:val="20"/>
                <w:szCs w:val="20"/>
                <w:color w:val="auto"/>
              </w:rPr>
            </w:pPr>
            <w:r>
              <w:rPr>
                <w:rFonts w:ascii="Arial" w:cs="Arial" w:eastAsia="Arial" w:hAnsi="Arial"/>
                <w:sz w:val="19"/>
                <w:szCs w:val="19"/>
                <w:color w:val="23282B"/>
              </w:rPr>
              <w:t>$0</w:t>
            </w:r>
          </w:p>
        </w:tc>
        <w:tc>
          <w:tcPr>
            <w:tcW w:w="1360" w:type="dxa"/>
            <w:vAlign w:val="bottom"/>
          </w:tcPr>
          <w:p>
            <w:pPr>
              <w:jc w:val="right"/>
              <w:ind w:right="406"/>
              <w:spacing w:after="0"/>
              <w:rPr>
                <w:sz w:val="20"/>
                <w:szCs w:val="20"/>
                <w:color w:val="auto"/>
              </w:rPr>
            </w:pPr>
            <w:r>
              <w:rPr>
                <w:rFonts w:ascii="Arial" w:cs="Arial" w:eastAsia="Arial" w:hAnsi="Arial"/>
                <w:sz w:val="19"/>
                <w:szCs w:val="19"/>
                <w:color w:val="FFFFFF"/>
              </w:rPr>
              <w:t>$4.6</w:t>
            </w: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vMerge w:val="restart"/>
          </w:tcPr>
          <w:p>
            <w:pPr>
              <w:ind w:left="1600"/>
              <w:spacing w:after="0"/>
              <w:rPr>
                <w:sz w:val="20"/>
                <w:szCs w:val="20"/>
                <w:color w:val="auto"/>
              </w:rPr>
            </w:pPr>
            <w:r>
              <w:rPr>
                <w:rFonts w:ascii="Arial" w:cs="Arial" w:eastAsia="Arial" w:hAnsi="Arial"/>
                <w:sz w:val="19"/>
                <w:szCs w:val="19"/>
                <w:color w:val="23282B"/>
              </w:rPr>
              <w:t>$0</w:t>
            </w:r>
          </w:p>
        </w:tc>
        <w:tc>
          <w:tcPr>
            <w:tcW w:w="0" w:type="dxa"/>
            <w:vAlign w:val="bottom"/>
          </w:tcPr>
          <w:p>
            <w:pPr>
              <w:spacing w:after="0"/>
              <w:rPr>
                <w:sz w:val="1"/>
                <w:szCs w:val="1"/>
                <w:color w:val="auto"/>
              </w:rPr>
            </w:pPr>
          </w:p>
        </w:tc>
      </w:tr>
      <w:tr>
        <w:trPr>
          <w:trHeight w:val="129"/>
        </w:trPr>
        <w:tc>
          <w:tcPr>
            <w:tcW w:w="18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7"/>
        </w:trPr>
        <w:tc>
          <w:tcPr>
            <w:tcW w:w="1880" w:type="dxa"/>
            <w:vAlign w:val="bottom"/>
            <w:vMerge w:val="restart"/>
          </w:tcPr>
          <w:p>
            <w:pPr>
              <w:jc w:val="right"/>
              <w:ind w:right="1426"/>
              <w:spacing w:after="0"/>
              <w:rPr>
                <w:sz w:val="20"/>
                <w:szCs w:val="20"/>
                <w:color w:val="auto"/>
              </w:rPr>
            </w:pPr>
            <w:r>
              <w:rPr>
                <w:rFonts w:ascii="Arial" w:cs="Arial" w:eastAsia="Arial" w:hAnsi="Arial"/>
                <w:sz w:val="19"/>
                <w:szCs w:val="19"/>
                <w:color w:val="23282B"/>
                <w:w w:val="89"/>
              </w:rPr>
              <w:t>-$10</w:t>
            </w: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jc w:val="center"/>
              <w:ind w:right="766"/>
              <w:spacing w:after="0"/>
              <w:rPr>
                <w:sz w:val="20"/>
                <w:szCs w:val="20"/>
                <w:color w:val="auto"/>
              </w:rPr>
            </w:pPr>
            <w:r>
              <w:rPr>
                <w:rFonts w:ascii="Arial" w:cs="Arial" w:eastAsia="Arial" w:hAnsi="Arial"/>
                <w:sz w:val="19"/>
                <w:szCs w:val="19"/>
                <w:color w:val="23282B"/>
              </w:rPr>
              <w:t>$(5.5)</w:t>
            </w:r>
          </w:p>
        </w:tc>
        <w:tc>
          <w:tcPr>
            <w:tcW w:w="0" w:type="dxa"/>
            <w:vAlign w:val="bottom"/>
          </w:tcPr>
          <w:p>
            <w:pPr>
              <w:spacing w:after="0"/>
              <w:rPr>
                <w:sz w:val="1"/>
                <w:szCs w:val="1"/>
                <w:color w:val="auto"/>
              </w:rPr>
            </w:pPr>
          </w:p>
        </w:tc>
      </w:tr>
      <w:tr>
        <w:trPr>
          <w:trHeight w:val="229"/>
        </w:trPr>
        <w:tc>
          <w:tcPr>
            <w:tcW w:w="188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0" w:type="dxa"/>
            <w:vAlign w:val="bottom"/>
          </w:tcPr>
          <w:p>
            <w:pPr>
              <w:ind w:left="1600"/>
              <w:spacing w:after="0"/>
              <w:rPr>
                <w:sz w:val="20"/>
                <w:szCs w:val="20"/>
                <w:color w:val="auto"/>
              </w:rPr>
            </w:pPr>
            <w:r>
              <w:rPr>
                <w:rFonts w:ascii="Arial" w:cs="Arial" w:eastAsia="Arial" w:hAnsi="Arial"/>
                <w:sz w:val="19"/>
                <w:szCs w:val="19"/>
                <w:color w:val="23282B"/>
              </w:rPr>
              <w:t>-$10</w:t>
            </w:r>
          </w:p>
        </w:tc>
        <w:tc>
          <w:tcPr>
            <w:tcW w:w="0" w:type="dxa"/>
            <w:vAlign w:val="bottom"/>
          </w:tcPr>
          <w:p>
            <w:pPr>
              <w:spacing w:after="0"/>
              <w:rPr>
                <w:sz w:val="1"/>
                <w:szCs w:val="1"/>
                <w:color w:val="auto"/>
              </w:rPr>
            </w:pPr>
          </w:p>
        </w:tc>
      </w:tr>
      <w:tr>
        <w:trPr>
          <w:trHeight w:val="254"/>
        </w:trPr>
        <w:tc>
          <w:tcPr>
            <w:tcW w:w="1880" w:type="dxa"/>
            <w:vAlign w:val="bottom"/>
          </w:tcPr>
          <w:p>
            <w:pPr>
              <w:jc w:val="right"/>
              <w:ind w:right="366"/>
              <w:spacing w:after="0"/>
              <w:rPr>
                <w:sz w:val="20"/>
                <w:szCs w:val="20"/>
                <w:color w:val="auto"/>
              </w:rPr>
            </w:pPr>
            <w:r>
              <w:rPr>
                <w:rFonts w:ascii="Arial" w:cs="Arial" w:eastAsia="Arial" w:hAnsi="Arial"/>
                <w:sz w:val="19"/>
                <w:szCs w:val="19"/>
                <w:color w:val="23282B"/>
              </w:rPr>
              <w:t>2008</w:t>
            </w:r>
          </w:p>
        </w:tc>
        <w:tc>
          <w:tcPr>
            <w:tcW w:w="1360" w:type="dxa"/>
            <w:vAlign w:val="bottom"/>
          </w:tcPr>
          <w:p>
            <w:pPr>
              <w:jc w:val="right"/>
              <w:ind w:right="366"/>
              <w:spacing w:after="0"/>
              <w:rPr>
                <w:sz w:val="20"/>
                <w:szCs w:val="20"/>
                <w:color w:val="auto"/>
              </w:rPr>
            </w:pPr>
            <w:r>
              <w:rPr>
                <w:rFonts w:ascii="Arial" w:cs="Arial" w:eastAsia="Arial" w:hAnsi="Arial"/>
                <w:sz w:val="19"/>
                <w:szCs w:val="19"/>
                <w:color w:val="23282B"/>
              </w:rPr>
              <w:t>2009</w:t>
            </w:r>
          </w:p>
        </w:tc>
        <w:tc>
          <w:tcPr>
            <w:tcW w:w="1740" w:type="dxa"/>
            <w:vAlign w:val="bottom"/>
          </w:tcPr>
          <w:p>
            <w:pPr>
              <w:jc w:val="right"/>
              <w:ind w:right="729"/>
              <w:spacing w:after="0"/>
              <w:rPr>
                <w:sz w:val="20"/>
                <w:szCs w:val="20"/>
                <w:color w:val="auto"/>
              </w:rPr>
            </w:pPr>
            <w:r>
              <w:rPr>
                <w:rFonts w:ascii="Arial" w:cs="Arial" w:eastAsia="Arial" w:hAnsi="Arial"/>
                <w:sz w:val="19"/>
                <w:szCs w:val="19"/>
                <w:color w:val="23282B"/>
              </w:rPr>
              <w:t>2010</w:t>
            </w:r>
          </w:p>
        </w:tc>
        <w:tc>
          <w:tcPr>
            <w:tcW w:w="1340" w:type="dxa"/>
            <w:vAlign w:val="bottom"/>
          </w:tcPr>
          <w:p>
            <w:pPr>
              <w:jc w:val="right"/>
              <w:ind w:right="726"/>
              <w:spacing w:after="0"/>
              <w:rPr>
                <w:sz w:val="20"/>
                <w:szCs w:val="20"/>
                <w:color w:val="auto"/>
              </w:rPr>
            </w:pPr>
            <w:r>
              <w:rPr>
                <w:rFonts w:ascii="Arial" w:cs="Arial" w:eastAsia="Arial" w:hAnsi="Arial"/>
                <w:sz w:val="19"/>
                <w:szCs w:val="19"/>
                <w:color w:val="23282B"/>
              </w:rPr>
              <w:t>2011</w:t>
            </w:r>
          </w:p>
        </w:tc>
        <w:tc>
          <w:tcPr>
            <w:tcW w:w="960" w:type="dxa"/>
            <w:vAlign w:val="bottom"/>
          </w:tcPr>
          <w:p>
            <w:pPr>
              <w:ind w:left="140"/>
              <w:spacing w:after="0"/>
              <w:rPr>
                <w:sz w:val="20"/>
                <w:szCs w:val="20"/>
                <w:color w:val="auto"/>
              </w:rPr>
            </w:pPr>
            <w:r>
              <w:rPr>
                <w:rFonts w:ascii="Arial" w:cs="Arial" w:eastAsia="Arial" w:hAnsi="Arial"/>
                <w:sz w:val="19"/>
                <w:szCs w:val="19"/>
                <w:color w:val="23282B"/>
              </w:rPr>
              <w:t>2012</w:t>
            </w:r>
          </w:p>
        </w:tc>
        <w:tc>
          <w:tcPr>
            <w:tcW w:w="2400" w:type="dxa"/>
            <w:vAlign w:val="bottom"/>
          </w:tcPr>
          <w:p>
            <w:pPr>
              <w:jc w:val="center"/>
              <w:ind w:right="766"/>
              <w:spacing w:after="0"/>
              <w:rPr>
                <w:sz w:val="20"/>
                <w:szCs w:val="20"/>
                <w:color w:val="auto"/>
              </w:rPr>
            </w:pPr>
            <w:r>
              <w:rPr>
                <w:rFonts w:ascii="Arial" w:cs="Arial" w:eastAsia="Arial" w:hAnsi="Arial"/>
                <w:sz w:val="19"/>
                <w:szCs w:val="19"/>
                <w:color w:val="23282B"/>
              </w:rPr>
              <w:t>YTD 2013</w:t>
            </w:r>
          </w:p>
        </w:tc>
        <w:tc>
          <w:tcPr>
            <w:tcW w:w="0" w:type="dxa"/>
            <w:vAlign w:val="bottom"/>
          </w:tcPr>
          <w:p>
            <w:pPr>
              <w:spacing w:after="0"/>
              <w:rPr>
                <w:sz w:val="1"/>
                <w:szCs w:val="1"/>
                <w:color w:val="auto"/>
              </w:rPr>
            </w:pPr>
          </w:p>
        </w:tc>
      </w:tr>
      <w:tr>
        <w:trPr>
          <w:trHeight w:val="600"/>
        </w:trPr>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jc w:val="right"/>
              <w:ind w:right="249"/>
              <w:spacing w:after="0"/>
              <w:rPr>
                <w:sz w:val="20"/>
                <w:szCs w:val="20"/>
                <w:color w:val="auto"/>
              </w:rPr>
            </w:pPr>
            <w:r>
              <w:rPr>
                <w:rFonts w:ascii="Arial" w:cs="Arial" w:eastAsia="Arial" w:hAnsi="Arial"/>
                <w:sz w:val="19"/>
                <w:szCs w:val="19"/>
                <w:color w:val="23282B"/>
              </w:rPr>
              <w:t>Cash Flow</w:t>
            </w:r>
          </w:p>
        </w:tc>
        <w:tc>
          <w:tcPr>
            <w:tcW w:w="1340" w:type="dxa"/>
            <w:vAlign w:val="bottom"/>
          </w:tcPr>
          <w:p>
            <w:pPr>
              <w:jc w:val="right"/>
              <w:ind w:right="406"/>
              <w:spacing w:after="0"/>
              <w:rPr>
                <w:sz w:val="20"/>
                <w:szCs w:val="20"/>
                <w:color w:val="auto"/>
              </w:rPr>
            </w:pPr>
            <w:r>
              <w:rPr>
                <w:rFonts w:ascii="Arial" w:cs="Arial" w:eastAsia="Arial" w:hAnsi="Arial"/>
                <w:sz w:val="19"/>
                <w:szCs w:val="19"/>
                <w:color w:val="23282B"/>
              </w:rPr>
              <w:t>CAPEX</w:t>
            </w:r>
          </w:p>
        </w:tc>
        <w:tc>
          <w:tcPr>
            <w:tcW w:w="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gridSpan w:val="2"/>
          </w:tcPr>
          <w:p>
            <w:pPr>
              <w:jc w:val="right"/>
              <w:ind w:right="746"/>
              <w:spacing w:after="0"/>
              <w:rPr>
                <w:sz w:val="20"/>
                <w:szCs w:val="20"/>
                <w:color w:val="auto"/>
              </w:rPr>
            </w:pPr>
            <w:r>
              <w:rPr>
                <w:rFonts w:ascii="Arial" w:cs="Arial" w:eastAsia="Arial" w:hAnsi="Arial"/>
                <w:sz w:val="15"/>
                <w:szCs w:val="15"/>
                <w:color w:val="4D5D67"/>
              </w:rPr>
              <w:t>Destination XL Group, Inc.</w:t>
            </w:r>
          </w:p>
        </w:tc>
        <w:tc>
          <w:tcPr>
            <w:tcW w:w="960" w:type="dxa"/>
            <w:vAlign w:val="bottom"/>
          </w:tcPr>
          <w:p>
            <w:pPr>
              <w:spacing w:after="0"/>
              <w:rPr>
                <w:sz w:val="24"/>
                <w:szCs w:val="24"/>
                <w:color w:val="auto"/>
              </w:rPr>
            </w:pPr>
          </w:p>
        </w:tc>
        <w:tc>
          <w:tcPr>
            <w:tcW w:w="2400" w:type="dxa"/>
            <w:vAlign w:val="bottom"/>
          </w:tcPr>
          <w:p>
            <w:pPr>
              <w:ind w:left="2180"/>
              <w:spacing w:after="0"/>
              <w:rPr>
                <w:sz w:val="20"/>
                <w:szCs w:val="20"/>
                <w:color w:val="auto"/>
              </w:rPr>
            </w:pPr>
            <w:r>
              <w:rPr>
                <w:rFonts w:ascii="Arial" w:cs="Arial" w:eastAsia="Arial" w:hAnsi="Arial"/>
                <w:sz w:val="19"/>
                <w:szCs w:val="19"/>
                <w:color w:val="8CA1A5"/>
                <w:w w:val="94"/>
              </w:rPr>
              <w:t>34</w:t>
            </w:r>
          </w:p>
        </w:tc>
        <w:tc>
          <w:tcPr>
            <w:tcW w:w="0" w:type="dxa"/>
            <w:vAlign w:val="bottom"/>
          </w:tcPr>
          <w:p>
            <w:pPr>
              <w:spacing w:after="0"/>
              <w:rPr>
                <w:sz w:val="1"/>
                <w:szCs w:val="1"/>
                <w:color w:val="auto"/>
              </w:rPr>
            </w:pPr>
          </w:p>
        </w:tc>
      </w:tr>
    </w:tbl>
    <w:p>
      <w:pPr>
        <w:sectPr>
          <w:pgSz w:w="11900" w:h="16838" w:orient="portrait"/>
          <w:cols w:equalWidth="0" w:num="1">
            <w:col w:w="10060"/>
          </w:cols>
          <w:pgMar w:left="860" w:top="965" w:right="979" w:bottom="1440" w:gutter="0" w:footer="0" w:header="0"/>
        </w:sectPr>
      </w:pPr>
    </w:p>
    <w:bookmarkStart w:id="37" w:name="page38"/>
    <w:bookmarkEnd w:id="37"/>
    <w:p>
      <w:pPr>
        <w:ind w:left="80"/>
        <w:spacing w:after="0"/>
        <w:rPr>
          <w:sz w:val="20"/>
          <w:szCs w:val="20"/>
          <w:color w:val="auto"/>
        </w:rPr>
      </w:pPr>
      <w:r>
        <w:rPr>
          <w:rFonts w:ascii="Arial" w:cs="Arial" w:eastAsia="Arial" w:hAnsi="Arial"/>
          <w:sz w:val="42"/>
          <w:szCs w:val="42"/>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WHY INVEST IN DXLG?</w:t>
      </w:r>
    </w:p>
    <w:p>
      <w:pPr>
        <w:sectPr>
          <w:pgSz w:w="11900" w:h="16838" w:orient="portrait"/>
          <w:cols w:equalWidth="0" w:num="1">
            <w:col w:w="10140"/>
          </w:cols>
          <w:pgMar w:left="780" w:top="1012"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32"/>
          <w:szCs w:val="32"/>
          <w:color w:val="23282B"/>
        </w:rPr>
        <w:t>Accelerated conversion to DXL</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32"/>
          <w:szCs w:val="32"/>
          <w:color w:val="23282B"/>
        </w:rPr>
        <w:t>concept creates compelling</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23282B"/>
        </w:rPr>
        <w:t>investment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line="302" w:lineRule="auto"/>
        <w:rPr>
          <w:sz w:val="20"/>
          <w:szCs w:val="20"/>
          <w:color w:val="auto"/>
        </w:rPr>
      </w:pPr>
      <w:r>
        <w:rPr>
          <w:rFonts w:ascii="Arial" w:cs="Arial" w:eastAsia="Arial" w:hAnsi="Arial"/>
          <w:sz w:val="31"/>
          <w:szCs w:val="31"/>
          <w:color w:val="23282B"/>
        </w:rPr>
        <w:t>Strong gross margins; Ability to greatly improve operating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302" w:lineRule="auto"/>
        <w:rPr>
          <w:sz w:val="20"/>
          <w:szCs w:val="20"/>
          <w:color w:val="auto"/>
        </w:rPr>
      </w:pPr>
      <w:r>
        <w:rPr>
          <w:rFonts w:ascii="Arial" w:cs="Arial" w:eastAsia="Arial" w:hAnsi="Arial"/>
          <w:sz w:val="31"/>
          <w:szCs w:val="31"/>
          <w:color w:val="23282B"/>
        </w:rPr>
        <w:t>Significant market share/sales growth opportunity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0" w:right="400"/>
        <w:spacing w:after="0" w:line="285" w:lineRule="auto"/>
        <w:rPr>
          <w:sz w:val="20"/>
          <w:szCs w:val="20"/>
          <w:color w:val="auto"/>
        </w:rPr>
      </w:pPr>
      <w:r>
        <w:rPr>
          <w:rFonts w:ascii="Arial" w:cs="Arial" w:eastAsia="Arial" w:hAnsi="Arial"/>
          <w:sz w:val="32"/>
          <w:szCs w:val="32"/>
          <w:color w:val="23282B"/>
        </w:rPr>
        <w:t>Leader in large and growing B&amp;T market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0"/>
        <w:spacing w:after="0" w:line="258" w:lineRule="auto"/>
        <w:rPr>
          <w:sz w:val="20"/>
          <w:szCs w:val="20"/>
          <w:color w:val="auto"/>
        </w:rPr>
      </w:pPr>
      <w:r>
        <w:rPr>
          <w:rFonts w:ascii="Arial" w:cs="Arial" w:eastAsia="Arial" w:hAnsi="Arial"/>
          <w:sz w:val="32"/>
          <w:szCs w:val="32"/>
          <w:color w:val="23282B"/>
        </w:rPr>
        <w:t>Three-year $150M investment in DXL rollout to be funded primarily by free cash flow and deferred tax benefits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20"/>
        <w:spacing w:after="0"/>
        <w:rPr>
          <w:sz w:val="20"/>
          <w:szCs w:val="20"/>
          <w:color w:val="auto"/>
        </w:rPr>
      </w:pPr>
      <w:r>
        <w:rPr>
          <w:rFonts w:ascii="Arial" w:cs="Arial" w:eastAsia="Arial" w:hAnsi="Arial"/>
          <w:sz w:val="32"/>
          <w:szCs w:val="32"/>
          <w:color w:val="auto"/>
        </w:rPr>
        <w:t>Strong balance sheet</w:t>
      </w:r>
    </w:p>
    <w:p>
      <w:pPr>
        <w:spacing w:after="0" w:line="48" w:lineRule="exact"/>
        <w:rPr>
          <w:sz w:val="20"/>
          <w:szCs w:val="20"/>
          <w:color w:val="auto"/>
        </w:rPr>
      </w:pPr>
    </w:p>
    <w:p>
      <w:pPr>
        <w:jc w:val="center"/>
        <w:ind w:right="420"/>
        <w:spacing w:after="0"/>
        <w:rPr>
          <w:sz w:val="20"/>
          <w:szCs w:val="20"/>
          <w:color w:val="auto"/>
        </w:rPr>
      </w:pPr>
      <w:r>
        <w:rPr>
          <w:rFonts w:ascii="Arial" w:cs="Arial" w:eastAsia="Arial" w:hAnsi="Arial"/>
          <w:sz w:val="32"/>
          <w:szCs w:val="32"/>
          <w:color w:val="auto"/>
        </w:rPr>
        <w:t>with borrowing capacity</w:t>
      </w:r>
    </w:p>
    <w:p>
      <w:pPr>
        <w:spacing w:after="0" w:line="312" w:lineRule="exact"/>
        <w:rPr>
          <w:sz w:val="20"/>
          <w:szCs w:val="20"/>
          <w:color w:val="auto"/>
        </w:rPr>
      </w:pPr>
    </w:p>
    <w:p>
      <w:pPr>
        <w:sectPr>
          <w:pgSz w:w="11900" w:h="16838" w:orient="portrait"/>
          <w:cols w:equalWidth="0" w:num="2">
            <w:col w:w="4800" w:space="220"/>
            <w:col w:w="5120"/>
          </w:cols>
          <w:pgMar w:left="780" w:top="1012"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14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35</w:t>
            </w:r>
          </w:p>
        </w:tc>
      </w:tr>
    </w:tbl>
    <w:p>
      <w:pPr>
        <w:sectPr>
          <w:pgSz w:w="11900" w:h="16838" w:orient="portrait"/>
          <w:cols w:equalWidth="0" w:num="1">
            <w:col w:w="10140"/>
          </w:cols>
          <w:pgMar w:left="780" w:top="1012" w:right="9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44"/>
          <w:szCs w:val="44"/>
          <w:b w:val="1"/>
          <w:bCs w:val="1"/>
          <w:color w:val="354047"/>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7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5487670"/>
                    </a:xfrm>
                    <a:prstGeom prst="rect">
                      <a:avLst/>
                    </a:prstGeom>
                    <a:noFill/>
                  </pic:spPr>
                </pic:pic>
              </a:graphicData>
            </a:graphic>
          </wp:anchor>
        </w:drawing>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b w:val="1"/>
          <w:bCs w:val="1"/>
          <w:color w:val="417C27"/>
        </w:rPr>
        <w:t>Jeffrey Unger</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354047"/>
        </w:rPr>
        <w:t>V. P. Investor Relations</w:t>
      </w:r>
    </w:p>
    <w:p>
      <w:pPr>
        <w:spacing w:after="0" w:line="112" w:lineRule="exact"/>
        <w:rPr>
          <w:sz w:val="20"/>
          <w:szCs w:val="20"/>
          <w:color w:val="auto"/>
        </w:rPr>
      </w:pPr>
    </w:p>
    <w:p>
      <w:pPr>
        <w:spacing w:after="0"/>
        <w:rPr>
          <w:sz w:val="20"/>
          <w:szCs w:val="20"/>
          <w:color w:val="auto"/>
        </w:rPr>
      </w:pPr>
      <w:r>
        <w:rPr>
          <w:rFonts w:ascii="Arial" w:cs="Arial" w:eastAsia="Arial" w:hAnsi="Arial"/>
          <w:sz w:val="25"/>
          <w:szCs w:val="25"/>
          <w:color w:val="354047"/>
        </w:rPr>
        <w:t>Destination XL Group, Inc.</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color w:val="353C41"/>
        </w:rPr>
        <w:t>jeffunger@usa.net</w:t>
      </w:r>
    </w:p>
    <w:p>
      <w:pPr>
        <w:spacing w:after="0" w:line="112" w:lineRule="exact"/>
        <w:rPr>
          <w:sz w:val="20"/>
          <w:szCs w:val="20"/>
          <w:color w:val="auto"/>
        </w:rPr>
      </w:pPr>
    </w:p>
    <w:p>
      <w:pPr>
        <w:spacing w:after="0"/>
        <w:rPr>
          <w:sz w:val="20"/>
          <w:szCs w:val="20"/>
          <w:color w:val="auto"/>
        </w:rPr>
      </w:pPr>
      <w:r>
        <w:rPr>
          <w:rFonts w:ascii="Arial" w:cs="Arial" w:eastAsia="Arial" w:hAnsi="Arial"/>
          <w:sz w:val="25"/>
          <w:szCs w:val="25"/>
          <w:color w:val="354047"/>
        </w:rPr>
        <w:t>561-482-9715 (o)561-543-9806 (c)</w:t>
      </w:r>
    </w:p>
    <w:p>
      <w:pPr>
        <w:spacing w:after="0" w:line="112" w:lineRule="exact"/>
        <w:rPr>
          <w:sz w:val="20"/>
          <w:szCs w:val="20"/>
          <w:color w:val="auto"/>
        </w:rPr>
      </w:pPr>
    </w:p>
    <w:p>
      <w:pPr>
        <w:spacing w:after="0"/>
        <w:rPr>
          <w:sz w:val="20"/>
          <w:szCs w:val="20"/>
          <w:color w:val="auto"/>
        </w:rPr>
      </w:pPr>
      <w:r>
        <w:rPr>
          <w:rFonts w:ascii="Arial" w:cs="Arial" w:eastAsia="Arial" w:hAnsi="Arial"/>
          <w:sz w:val="25"/>
          <w:szCs w:val="25"/>
          <w:color w:val="353C41"/>
        </w:rPr>
        <w:t>www.DestinationXL.com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60" w:type="dxa"/>
        <w:tblCellMar>
          <w:top w:w="0" w:type="dxa"/>
          <w:left w:w="0" w:type="dxa"/>
          <w:bottom w:w="0" w:type="dxa"/>
          <w:right w:w="0" w:type="dxa"/>
        </w:tblCellMar>
      </w:tblPr>
      <w:tr>
        <w:trPr>
          <w:trHeight w:val="254"/>
        </w:trPr>
        <w:tc>
          <w:tcPr>
            <w:tcW w:w="3800" w:type="dxa"/>
            <w:vAlign w:val="bottom"/>
          </w:tcPr>
          <w:p>
            <w:pPr>
              <w:spacing w:after="0"/>
              <w:rPr>
                <w:sz w:val="20"/>
                <w:szCs w:val="20"/>
                <w:color w:val="auto"/>
              </w:rPr>
            </w:pPr>
            <w:r>
              <w:rPr>
                <w:rFonts w:ascii="Arial" w:cs="Arial" w:eastAsia="Arial" w:hAnsi="Arial"/>
                <w:sz w:val="15"/>
                <w:szCs w:val="15"/>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36</w:t>
            </w:r>
          </w:p>
        </w:tc>
      </w:tr>
    </w:tbl>
    <w:p>
      <w:pPr>
        <w:spacing w:after="0" w:line="1" w:lineRule="exact"/>
        <w:rPr>
          <w:sz w:val="20"/>
          <w:szCs w:val="20"/>
          <w:color w:val="auto"/>
        </w:rPr>
      </w:pPr>
    </w:p>
    <w:sectPr>
      <w:pgSz w:w="11900" w:h="16838" w:orient="portrait"/>
      <w:cols w:equalWidth="0" w:num="1">
        <w:col w:w="10060"/>
      </w:cols>
      <w:pgMar w:left="860" w:top="1012"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2019-12-06T00:33:42Z</dcterms:created>
  <dcterms:modified xsi:type="dcterms:W3CDTF">2019-12-06T00:33:42Z</dcterms:modified>
</cp:coreProperties>
</file>