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Date of Report (Date of earliest event reported): November 27, 2007</w:t>
      </w:r>
    </w:p>
    <w:p>
      <w:pPr>
        <w:spacing w:after="0" w:line="171" w:lineRule="exact"/>
        <w:rPr>
          <w:sz w:val="24"/>
          <w:szCs w:val="24"/>
          <w:color w:val="auto"/>
        </w:rPr>
      </w:pPr>
    </w:p>
    <w:p>
      <w:pPr>
        <w:ind w:left="5420"/>
        <w:spacing w:after="0"/>
        <w:rPr>
          <w:sz w:val="20"/>
          <w:szCs w:val="20"/>
          <w:color w:val="auto"/>
        </w:rPr>
      </w:pPr>
      <w:r>
        <w:rPr>
          <w:rFonts w:ascii="Arial" w:cs="Arial" w:eastAsia="Arial" w:hAnsi="Arial"/>
          <w:sz w:val="18"/>
          <w:szCs w:val="18"/>
          <w:color w:val="auto"/>
        </w:rPr>
        <w:t>0-15898</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8"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58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58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p>
      <w:pPr>
        <w:spacing w:after="0" w:line="29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27, 2007, Casual Male Retail Group, Inc. (the “Company”) issued a press release announcing the Company’s sales and results of operations for the third quarter and first nine months of fiscal 2007. The Company also provided revised guidance for fiscal 2007. A copy of this press release is attached hereto as Exhibit 99.1.</w:t>
      </w:r>
    </w:p>
    <w:p>
      <w:pPr>
        <w:spacing w:after="0" w:line="14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5574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07"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announcing sales and operating results for the third quarter and first nine months of Fiscal 2007.</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tabs>
          <w:tab w:leader="none" w:pos="3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27, 2007</w:t>
      </w:r>
    </w:p>
    <w:p>
      <w:pPr>
        <w:sectPr>
          <w:pgSz w:w="11900" w:h="16838" w:orient="portrait"/>
          <w:cols w:equalWidth="0" w:num="1">
            <w:col w:w="11100"/>
          </w:cols>
          <w:pgMar w:left="240" w:top="28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118110</wp:posOffset>
            </wp:positionV>
            <wp:extent cx="3610610" cy="1089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061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(561) 514-0115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Andrew Bard, Weber Shandwick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Sales and Operating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Third Quarter and First Nine Months of Fiscal 2007</w:t>
      </w:r>
    </w:p>
    <w:p>
      <w:pPr>
        <w:spacing w:after="0" w:line="159"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 xml:space="preserve">CANTON, MA, November 27, 2007 — </w:t>
      </w:r>
      <w:r>
        <w:rPr>
          <w:rFonts w:ascii="Arial" w:cs="Arial" w:eastAsia="Arial" w:hAnsi="Arial"/>
          <w:sz w:val="16"/>
          <w:szCs w:val="16"/>
          <w:b w:val="1"/>
          <w:bCs w:val="1"/>
          <w:color w:val="auto"/>
        </w:rPr>
        <w:t>Casual Male Retail Group, Inc. (NASDAQ: “</w:t>
      </w:r>
      <w:r>
        <w:rPr>
          <w:rFonts w:ascii="Arial" w:cs="Arial" w:eastAsia="Arial" w:hAnsi="Arial"/>
          <w:sz w:val="16"/>
          <w:szCs w:val="16"/>
          <w:b w:val="1"/>
          <w:bCs w:val="1"/>
          <w:u w:val="single" w:color="auto"/>
          <w:color w:val="auto"/>
        </w:rPr>
        <w:t>CMRG</w:t>
      </w:r>
      <w:r>
        <w:rPr>
          <w:rFonts w:ascii="Arial" w:cs="Arial" w:eastAsia="Arial" w:hAnsi="Arial"/>
          <w:sz w:val="16"/>
          <w:szCs w:val="16"/>
          <w:b w:val="1"/>
          <w:bCs w:val="1"/>
          <w:color w:val="auto"/>
        </w:rPr>
        <w:t>”)</w:t>
      </w:r>
      <w:r>
        <w:rPr>
          <w:rFonts w:ascii="Arial" w:cs="Arial" w:eastAsia="Arial" w:hAnsi="Arial"/>
          <w:sz w:val="16"/>
          <w:szCs w:val="16"/>
          <w:color w:val="auto"/>
        </w:rPr>
        <w:t xml:space="preserve">, retail brand operator of </w:t>
      </w:r>
      <w:r>
        <w:rPr>
          <w:rFonts w:ascii="Arial" w:cs="Arial" w:eastAsia="Arial" w:hAnsi="Arial"/>
          <w:sz w:val="16"/>
          <w:szCs w:val="16"/>
          <w:i w:val="1"/>
          <w:iCs w:val="1"/>
          <w:color w:val="auto"/>
        </w:rPr>
        <w:t>Casual Male XL</w:t>
      </w:r>
      <w:r>
        <w:rPr>
          <w:rFonts w:ascii="Arial" w:cs="Arial" w:eastAsia="Arial" w:hAnsi="Arial"/>
          <w:sz w:val="16"/>
          <w:szCs w:val="16"/>
          <w:color w:val="auto"/>
        </w:rPr>
        <w:t xml:space="preserve">, </w:t>
      </w:r>
      <w:r>
        <w:rPr>
          <w:rFonts w:ascii="Arial" w:cs="Arial" w:eastAsia="Arial" w:hAnsi="Arial"/>
          <w:sz w:val="16"/>
          <w:szCs w:val="16"/>
          <w:i w:val="1"/>
          <w:iCs w:val="1"/>
          <w:color w:val="auto"/>
        </w:rPr>
        <w:t>Rochester Big &amp;</w:t>
      </w:r>
      <w:r>
        <w:rPr>
          <w:rFonts w:ascii="Arial" w:cs="Arial" w:eastAsia="Arial" w:hAnsi="Arial"/>
          <w:sz w:val="16"/>
          <w:szCs w:val="16"/>
          <w:color w:val="auto"/>
        </w:rPr>
        <w:t xml:space="preserve"> </w:t>
      </w:r>
      <w:r>
        <w:rPr>
          <w:rFonts w:ascii="Arial" w:cs="Arial" w:eastAsia="Arial" w:hAnsi="Arial"/>
          <w:sz w:val="16"/>
          <w:szCs w:val="16"/>
          <w:i w:val="1"/>
          <w:iCs w:val="1"/>
          <w:color w:val="auto"/>
        </w:rPr>
        <w:t>Tall</w:t>
      </w:r>
      <w:r>
        <w:rPr>
          <w:rFonts w:ascii="Arial" w:cs="Arial" w:eastAsia="Arial" w:hAnsi="Arial"/>
          <w:sz w:val="16"/>
          <w:szCs w:val="16"/>
          <w:color w:val="auto"/>
        </w:rPr>
        <w:t>,</w:t>
      </w:r>
      <w:r>
        <w:rPr>
          <w:rFonts w:ascii="Arial" w:cs="Arial" w:eastAsia="Arial" w:hAnsi="Arial"/>
          <w:sz w:val="16"/>
          <w:szCs w:val="16"/>
          <w:i w:val="1"/>
          <w:iCs w:val="1"/>
          <w:color w:val="auto"/>
        </w:rPr>
        <w:t xml:space="preserve"> B&amp;T Factory Direct, LivingXL, and ShoesXL</w:t>
      </w:r>
      <w:r>
        <w:rPr>
          <w:rFonts w:ascii="Arial" w:cs="Arial" w:eastAsia="Arial" w:hAnsi="Arial"/>
          <w:sz w:val="16"/>
          <w:szCs w:val="16"/>
          <w:color w:val="auto"/>
        </w:rPr>
        <w:t>, announced today its sales and operating results for the third quarter and the first nine months of fiscal 2007.</w:t>
      </w:r>
    </w:p>
    <w:p>
      <w:pPr>
        <w:spacing w:after="0" w:line="8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Sales for the third quarter of fiscal 2007 decreased 0.2% to $106.6 million from $106.9 million for the third quarter of fiscal 2006. For the nine months ended November 3, 2007, sales increased 3.3% to $332.1 million from $321.5 million for the same period in the prior year. Comparable sales for the thirteen week period ended November 3, 2007 decreased 1.1% and for the first nine months of fiscal 2007 increased 3.0%, as compared to the comparable thirteen week and nine month periods of the prior year. Sales throughout the third quarter were significantly impacted by the unseasonably warm weather across much of the country.</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third quarter of fiscal 2007, the Company reported a net loss of $3.8 million, or $(0.09) per diluted share, which includes a non-cash charge of $2.6 million or $0.04 per diluted share from the exiting of the Jared M. business as discussed below, compared to a net loss for the third quarter of fiscal 2006 of $0.8 million, or $(0.02) per diluted share. For the first nine months of fiscal 2007, the Company reported a net loss of $223,000, or $(0.01) per diluted share, compared to net income of $3.9 million, or $0.11 per diluted share, for the first nine months of fiscal 2006.</w:t>
      </w:r>
    </w:p>
    <w:p>
      <w:pPr>
        <w:sectPr>
          <w:pgSz w:w="11900" w:h="16838" w:orient="portrait"/>
          <w:cols w:equalWidth="0" w:num="1">
            <w:col w:w="11420"/>
          </w:cols>
          <w:pgMar w:left="240" w:top="125" w:right="239" w:bottom="1440" w:gutter="0" w:footer="0" w:header="0"/>
        </w:sectPr>
      </w:pPr>
    </w:p>
    <w:bookmarkStart w:id="4" w:name="page5"/>
    <w:bookmarkEnd w:id="4"/>
    <w:p>
      <w:pPr>
        <w:ind w:right="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decided to exit its Jared M. operations. The Company purchased Jared M., an apparel company specializing in selling custom clothing to professional athletes and high-profile clients, in May 2006 with the intention to expand its Rochester division into the custom clothing market, while at the same time expanding Jared M.’s direct sales force to further penetrate its specialized marketplace. However, “Based on the financial performance of Jared M. since the acquisition, the Company doesn’t see the scalability and potential profitability of the Jared M. business as a long-term strategy and as a result, we have decided to exit these operations,” said David Levin, President and CEO of Casual Male Retail Group, Inc. Therefore, results for the third quarter and the first nine months of fiscal 2007 include a non-cash charge of $2.6 million, or $0.04 per diluted share, for impairment charges related to discontinuing the Jared M. operations.</w:t>
      </w:r>
    </w:p>
    <w:p>
      <w:pPr>
        <w:spacing w:after="0" w:line="1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Excluding the effect of the charges related to exiting the Jared M. operations, the Company’s loss for the third quarter would have been $2.3 million, or $(0.05) per diluted share, and for the first nine months income would have been $1.3 million, or $0.03 per diluted share.</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the fiscal year ending February 2, 2008, the Company expects earnings per diluted share in a range of $0.28 to $0.33, excluding charges related to exiting the Jared M. business, compared to earnings of $0.33 per diluted share last year (after reduction for the net tax benefit of $29.9 million related to the reversal of the Company’s valuation allowance for deferred tax assets). Sales trends in the beginning of the fourth quarter have improved, partially as a result of cooler weather trends. Through November 25, 2007, fourth quarter comparable sales are up 7.1% as compared to the comparable period in 2006.</w:t>
      </w:r>
    </w:p>
    <w:p>
      <w:pPr>
        <w:spacing w:after="0" w:line="11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 xml:space="preserve">Casual Male will host a conference call with security analysts beginning at 9:00 a.m. ET today, Tuesday, November 27, 2007, to review the sales and operating results for the third quarter and nine months ended November 3, 2007. The call is being webcast and can be accessed at </w:t>
      </w:r>
      <w:r>
        <w:rPr>
          <w:rFonts w:ascii="Arial" w:cs="Arial" w:eastAsia="Arial" w:hAnsi="Arial"/>
          <w:sz w:val="15"/>
          <w:szCs w:val="15"/>
          <w:u w:val="single" w:color="auto"/>
          <w:color w:val="auto"/>
        </w:rPr>
        <w:t>www.casualmaleXL.com/investor</w:t>
      </w:r>
      <w:r>
        <w:rPr>
          <w:rFonts w:ascii="Arial" w:cs="Arial" w:eastAsia="Arial" w:hAnsi="Arial"/>
          <w:sz w:val="15"/>
          <w:szCs w:val="15"/>
          <w:color w:val="auto"/>
        </w:rPr>
        <w:t>.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9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our above discussion refers to earnings for the third quarter and nine months of fiscal 2007, after exclusion of the charges related to the Jared M. operations, of a net loss of $2.3 million, or $(0.05) per diluted share and net income of $1.3 million, or $0.03 per diluted share, respectively. These are non-GAAP measures. The following table shows the reconciliation of our earnings for the both periods, on a GAAP basis to the non-GAAP measures referred to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for earnings per share(EPS)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i w:val="1"/>
                <w:iCs w:val="1"/>
                <w:color w:val="auto"/>
                <w:w w:val="86"/>
              </w:rPr>
              <w:t>For the third quarter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i w:val="1"/>
                <w:iCs w:val="1"/>
                <w:color w:val="auto"/>
                <w:w w:val="86"/>
              </w:rPr>
              <w:t>For the nine months</w:t>
            </w:r>
          </w:p>
        </w:tc>
        <w:tc>
          <w:tcPr>
            <w:tcW w:w="0" w:type="dxa"/>
            <w:vAlign w:val="bottom"/>
          </w:tcPr>
          <w:p>
            <w:pPr>
              <w:spacing w:after="0"/>
              <w:rPr>
                <w:sz w:val="1"/>
                <w:szCs w:val="1"/>
                <w:color w:val="auto"/>
              </w:rPr>
            </w:pPr>
          </w:p>
        </w:tc>
      </w:tr>
      <w:tr>
        <w:trPr>
          <w:trHeight w:val="159"/>
        </w:trPr>
        <w:tc>
          <w:tcPr>
            <w:tcW w:w="7400" w:type="dxa"/>
            <w:vAlign w:val="bottom"/>
          </w:tcPr>
          <w:p>
            <w:pPr>
              <w:spacing w:after="0"/>
              <w:rPr>
                <w:sz w:val="13"/>
                <w:szCs w:val="13"/>
                <w:color w:val="auto"/>
              </w:rPr>
            </w:pPr>
          </w:p>
        </w:tc>
        <w:tc>
          <w:tcPr>
            <w:tcW w:w="1380" w:type="dxa"/>
            <w:vAlign w:val="bottom"/>
            <w:tcBorders>
              <w:bottom w:val="single" w:sz="8" w:color="auto"/>
            </w:tcBorders>
            <w:gridSpan w:val="4"/>
          </w:tcPr>
          <w:p>
            <w:pPr>
              <w:jc w:val="center"/>
              <w:ind w:left="298"/>
              <w:spacing w:after="0" w:line="159" w:lineRule="exact"/>
              <w:rPr>
                <w:sz w:val="20"/>
                <w:szCs w:val="20"/>
                <w:color w:val="auto"/>
              </w:rPr>
            </w:pPr>
            <w:r>
              <w:rPr>
                <w:rFonts w:ascii="Arial" w:cs="Arial" w:eastAsia="Arial" w:hAnsi="Arial"/>
                <w:sz w:val="14"/>
                <w:szCs w:val="14"/>
                <w:b w:val="1"/>
                <w:bCs w:val="1"/>
                <w:i w:val="1"/>
                <w:iCs w:val="1"/>
                <w:color w:val="auto"/>
                <w:w w:val="83"/>
              </w:rPr>
              <w:t>November 3, 2007</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198"/>
              <w:spacing w:after="0" w:line="159" w:lineRule="exact"/>
              <w:rPr>
                <w:sz w:val="20"/>
                <w:szCs w:val="20"/>
                <w:color w:val="auto"/>
              </w:rPr>
            </w:pPr>
            <w:r>
              <w:rPr>
                <w:rFonts w:ascii="Arial" w:cs="Arial" w:eastAsia="Arial" w:hAnsi="Arial"/>
                <w:sz w:val="14"/>
                <w:szCs w:val="14"/>
                <w:b w:val="1"/>
                <w:bCs w:val="1"/>
                <w:i w:val="1"/>
                <w:iCs w:val="1"/>
                <w:color w:val="auto"/>
                <w:w w:val="83"/>
              </w:rPr>
              <w:t>November 3, 2007</w:t>
            </w:r>
          </w:p>
        </w:tc>
        <w:tc>
          <w:tcPr>
            <w:tcW w:w="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i w:val="1"/>
                <w:iCs w:val="1"/>
                <w:color w:val="auto"/>
                <w:w w:val="85"/>
              </w:rPr>
              <w:t>Diluted EPS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w w:val="85"/>
              </w:rPr>
              <w:t>Diluted EPS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loss as reported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w w:val="85"/>
              </w:rPr>
              <w:t>$ (3,821)</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w w:val="84"/>
              </w:rPr>
              <w:t>(0.09)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(223)</w:t>
            </w:r>
          </w:p>
        </w:tc>
        <w:tc>
          <w:tcPr>
            <w:tcW w:w="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w w:val="89"/>
              </w:rPr>
              <w:t>(0.01)</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i w:val="1"/>
                <w:iCs w:val="1"/>
                <w:color w:val="auto"/>
              </w:rPr>
              <w:t>Add back Jared M impairment charges</w:t>
            </w: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2,557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2,557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Reverse applicable income taxes on charges at 40%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(1,023)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w w:val="91"/>
              </w:rPr>
              <w:t>(1,023)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i w:val="1"/>
                <w:iCs w:val="1"/>
                <w:color w:val="auto"/>
              </w:rPr>
              <w:t>Net income (loss) without charge</w:t>
            </w: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vMerge w:val="continue"/>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w w:val="85"/>
              </w:rPr>
              <w:t>$ (2,287)</w:t>
            </w:r>
          </w:p>
        </w:tc>
        <w:tc>
          <w:tcPr>
            <w:tcW w:w="540" w:type="dxa"/>
            <w:vAlign w:val="bottom"/>
            <w:gridSpan w:val="2"/>
          </w:tcPr>
          <w:p>
            <w:pPr>
              <w:ind w:left="20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w w:val="84"/>
              </w:rPr>
              <w:t>(0.05)</w:t>
            </w:r>
          </w:p>
        </w:tc>
        <w:tc>
          <w:tcPr>
            <w:tcW w:w="30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1,311</w:t>
            </w:r>
          </w:p>
        </w:tc>
        <w:tc>
          <w:tcPr>
            <w:tcW w:w="320" w:type="dxa"/>
            <w:vAlign w:val="bottom"/>
          </w:tcPr>
          <w:p>
            <w:pPr>
              <w:spacing w:after="0"/>
              <w:rPr>
                <w:sz w:val="20"/>
                <w:szCs w:val="20"/>
                <w:color w:val="auto"/>
              </w:rPr>
            </w:pPr>
            <w:r>
              <w:rPr>
                <w:rFonts w:ascii="Arial" w:cs="Arial" w:eastAsia="Arial" w:hAnsi="Arial"/>
                <w:sz w:val="18"/>
                <w:szCs w:val="18"/>
                <w:i w:val="1"/>
                <w:i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i w:val="1"/>
                <w:iCs w:val="1"/>
                <w:color w:val="auto"/>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 – diluted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41,672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w w:val="87"/>
              </w:rPr>
              <w:t>41,823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jc w:val="both"/>
        <w:ind w:right="10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above discussion also refers to earnings of $0.33 per diluted share for fiscal 2006. This earnings per share amount excludes the tax benefits of our valuation allowance reversal. This adjustment is a non-GAAP measure. The following table shows the reconciliation of net income, on a GAAP basis, for fiscal 2006 to the non-GAAP measure referred to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for earnings per share(EPS) amounts)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8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For the fiscal year ended February 3, 2007</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3"/>
              </w:rPr>
              <w:t>Diluted EPS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income as reported</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i w:val="1"/>
                <w:iCs w:val="1"/>
                <w:color w:val="auto"/>
              </w:rPr>
              <w:t>$ 42.6</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i w:val="1"/>
                <w:iCs w:val="1"/>
                <w:color w:val="auto"/>
              </w:rPr>
              <w:t>-Deduct net income tax benefit, primarily related to the valuation allowance reversals</w:t>
            </w:r>
          </w:p>
        </w:tc>
        <w:tc>
          <w:tcPr>
            <w:tcW w:w="6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(29.9)</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i w:val="1"/>
                <w:iCs w:val="1"/>
                <w:color w:val="auto"/>
              </w:rPr>
              <w:t>(0.65)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net income</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i w:val="1"/>
                <w:iCs w:val="1"/>
                <w:color w:val="auto"/>
              </w:rPr>
              <w:t>$ 12.7</w:t>
            </w:r>
          </w:p>
        </w:tc>
        <w:tc>
          <w:tcPr>
            <w:tcW w:w="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i w:val="1"/>
                <w:iCs w:val="1"/>
                <w:color w:val="auto"/>
              </w:rPr>
              <w:t>Weighted average shares outstanding -diluted (A)</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i w:val="1"/>
                <w:iCs w:val="1"/>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4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of earnings per share, on a dilutive basis, include the add-back of the related interest costs of $2.8 million, on an after tax basis, associated with the convertible notes.</w:t>
      </w:r>
    </w:p>
    <w:p>
      <w:pPr>
        <w:spacing w:after="0" w:line="132"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i w:val="1"/>
          <w:iCs w:val="1"/>
          <w:color w:val="auto"/>
        </w:rPr>
        <w:t>The Company believes that the inclusion of these non-GAAP measures helps investors to gain a better understanding of the Company’s overall earnings performance, especially when comparing such results to our expected fiscal 2007 earnings guidance. However, these non-GAAP financial measures are not meant to be considered superior to or as a substitute for results of operations prepared in accordance with GAAP.</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retail operations throughout the United States, Canada and London, England, operates 471 Casual Male XL retail and outlet stores, 26 Rochester Big &amp; Tall stores, and a direct-to-consumer business which includes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Certain information contained in this press release, including the Company’s expectations regarding earnings per diluted share for fiscal 2007,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April 2, 2007, that set forth certain risks and uncertainties that may have an impact on future results and direction of the Company.</w:t>
      </w:r>
    </w:p>
    <w:p>
      <w:pPr>
        <w:spacing w:after="0" w:line="14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w w:val="98"/>
              </w:rPr>
              <w:t>For the three months ended</w:t>
            </w:r>
          </w:p>
        </w:tc>
        <w:tc>
          <w:tcPr>
            <w:tcW w:w="280" w:type="dxa"/>
            <w:vAlign w:val="bottom"/>
          </w:tcPr>
          <w:p>
            <w:pPr>
              <w:spacing w:after="0"/>
              <w:rPr>
                <w:sz w:val="14"/>
                <w:szCs w:val="14"/>
                <w:color w:val="auto"/>
              </w:rPr>
            </w:pPr>
          </w:p>
        </w:tc>
        <w:tc>
          <w:tcPr>
            <w:tcW w:w="1700" w:type="dxa"/>
            <w:vAlign w:val="bottom"/>
            <w:gridSpan w:val="3"/>
          </w:tcPr>
          <w:p>
            <w:pPr>
              <w:ind w:left="460"/>
              <w:spacing w:after="0"/>
              <w:rPr>
                <w:sz w:val="20"/>
                <w:szCs w:val="20"/>
                <w:color w:val="auto"/>
              </w:rPr>
            </w:pPr>
            <w:r>
              <w:rPr>
                <w:rFonts w:ascii="Arial" w:cs="Arial" w:eastAsia="Arial" w:hAnsi="Arial"/>
                <w:sz w:val="14"/>
                <w:szCs w:val="14"/>
                <w:b w:val="1"/>
                <w:bCs w:val="1"/>
                <w:color w:val="auto"/>
                <w:w w:val="90"/>
              </w:rPr>
              <w:t>For the nine months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November 3, 2007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October 28, 2006</w:t>
            </w:r>
          </w:p>
        </w:tc>
        <w:tc>
          <w:tcPr>
            <w:tcW w:w="60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November 3, 2007</w:t>
            </w:r>
          </w:p>
        </w:tc>
        <w:tc>
          <w:tcPr>
            <w:tcW w:w="60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October 28, 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106,593</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106,851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332,106</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of goods sold, including occupancy</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59,794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59,790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181,153</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Inventory impairment - Jared M.</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including occupancy</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59,790</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182,053</w:t>
            </w:r>
          </w:p>
        </w:tc>
        <w:tc>
          <w:tcPr>
            <w:tcW w:w="6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178,829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45,899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47,061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150,053</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142,688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44,929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42,082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133,195</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impairment of assets, employment contract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terminations</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46,906</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147,669</w:t>
            </w:r>
          </w:p>
        </w:tc>
        <w:tc>
          <w:tcPr>
            <w:tcW w:w="6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(5,214)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2,384</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(1,254)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(1,522)</w:t>
            </w:r>
          </w:p>
        </w:tc>
        <w:tc>
          <w:tcPr>
            <w:tcW w:w="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(3,130)</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(2,548)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(3,821)</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basic and diluted</w:t>
            </w: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60" w:type="dxa"/>
            <w:vAlign w:val="bottom"/>
            <w:gridSpan w:val="2"/>
            <w:vMerge w:val="continue"/>
          </w:tcPr>
          <w:p>
            <w:pPr>
              <w:spacing w:after="0"/>
              <w:rPr>
                <w:sz w:val="18"/>
                <w:szCs w:val="18"/>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(0.09)</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41,672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34,393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41,823</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41,672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34,393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3, 2007 and February 3,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5"/>
              </w:rPr>
              <w:t>November 3, 2007</w:t>
            </w:r>
          </w:p>
        </w:tc>
        <w:tc>
          <w:tcPr>
            <w:tcW w:w="6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0"/>
              </w:rPr>
              <w:t>February 3, 2007</w:t>
            </w: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Cash and investments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7,709</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16,967</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61,418</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95,931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Prepaid and deferred income taxes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353,435</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61,777</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67,181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Long-term note payable</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Deferred gain</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26,744</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181,444</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353,435</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320,436</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2019-12-20T17:46:31Z</dcterms:created>
  <dcterms:modified xsi:type="dcterms:W3CDTF">2019-12-20T17:46:31Z</dcterms:modified>
</cp:coreProperties>
</file>