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11/20/2018</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0000FF"/>
                <w:w w:val="86"/>
              </w:rPr>
              <w:t>11/20/2018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4"/>
              </w:rPr>
              <w:t>5,400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2.5215</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4,929,280</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0000FF"/>
                <w:w w:val="86"/>
              </w:rPr>
              <w:t>11/21/2018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2.53</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4,929,480</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0000FF"/>
                <w:w w:val="86"/>
              </w:rPr>
              <w:t>11/23/2018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0000FF"/>
                <w:w w:val="85"/>
              </w:rPr>
              <w:t>P</w:t>
            </w:r>
          </w:p>
        </w:tc>
        <w:tc>
          <w:tcPr>
            <w:tcW w:w="5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2.5117</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4,929,780</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November 23, 2018, Tonga Partners, LP, Cuttyhunk II Fund. Tristan Partners, LP, and Tristan Offshore Fund, Ltd (collectively the "Cannell Investment Vehicles") owned in the aggregate 4,929,780 shares of the common stock of Destination XL Group, Inc.</w:t>
      </w:r>
    </w:p>
    <w:p>
      <w:pPr>
        <w:spacing w:after="0" w:line="30"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November 23, 2018, Mr. Cannell beneficially owns 4,929,780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11/23/2018</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2019-12-23T18:42:15Z</dcterms:created>
  <dcterms:modified xsi:type="dcterms:W3CDTF">2019-12-23T18:42:15Z</dcterms:modified>
</cp:coreProperties>
</file>