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61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6161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MESDAG WILLEM</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180"/>
        <w:spacing w:after="0" w:line="268" w:lineRule="auto"/>
        <w:rPr>
          <w:sz w:val="20"/>
          <w:szCs w:val="20"/>
          <w:color w:val="auto"/>
        </w:rPr>
      </w:pPr>
      <w:r>
        <w:rPr>
          <w:rFonts w:ascii="Arial" w:cs="Arial" w:eastAsia="Arial" w:hAnsi="Arial"/>
          <w:sz w:val="18"/>
          <w:szCs w:val="18"/>
          <w:color w:val="0000FF"/>
        </w:rPr>
        <w:t>C/O RED MOUNTAIN CAPITAL MANAGEMENT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1999 AVENUE OF THE STARS, STE 1100</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00" w:type="dxa"/>
            <w:vAlign w:val="bottom"/>
          </w:tcPr>
          <w:p>
            <w:pPr>
              <w:ind w:left="4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040" w:type="dxa"/>
            <w:vAlign w:val="bottom"/>
            <w:tcBorders>
              <w:bottom w:val="single" w:sz="8" w:color="0000EE"/>
            </w:tcBorders>
            <w:gridSpan w:val="2"/>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3"/>
          </w:tcPr>
          <w:p>
            <w:pPr>
              <w:spacing w:after="0" w:line="226" w:lineRule="exact"/>
              <w:rPr>
                <w:sz w:val="20"/>
                <w:szCs w:val="20"/>
                <w:color w:val="auto"/>
              </w:rPr>
            </w:pPr>
            <w:r>
              <w:rPr>
                <w:rFonts w:ascii="Arial" w:cs="Arial" w:eastAsia="Arial" w:hAnsi="Arial"/>
                <w:sz w:val="18"/>
                <w:szCs w:val="18"/>
                <w:color w:val="0000FF"/>
              </w:rPr>
              <w:t xml:space="preserve">DXLG </w:t>
            </w:r>
            <w:r>
              <w:rPr>
                <w:rFonts w:ascii="Arial" w:cs="Arial" w:eastAsia="Arial" w:hAnsi="Arial"/>
                <w:sz w:val="21"/>
                <w:szCs w:val="21"/>
                <w:color w:val="000000"/>
              </w:rPr>
              <w:t>]</w:t>
            </w: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380"/>
              <w:spacing w:after="0" w:line="149" w:lineRule="exact"/>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08/01/2023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08/01/2023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7,025</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5.16</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2,584,917</w:t>
            </w:r>
          </w:p>
        </w:tc>
        <w:tc>
          <w:tcPr>
            <w:tcW w:w="92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pursuant to the Director's elected form of compensation for quarterly annual retainer and committee chairperson fee. The Reporting Person's ownership includes (i) 420,286 shares held by the Mesdag Family Limited Partnership, (ii) 97,529 shares held by the Mesdag Family Foundation, (iii) 44,746 shares held by the 2012 Mesdag Trust, (iv) 1,763,373 shares held by Red Mountain Capital Partners LLC, and (v) 258,983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p>
      <w:pPr>
        <w:spacing w:after="0" w:line="62"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Willem Mesdag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325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of himself and the other</w:t>
      </w:r>
      <w:r>
        <w:rPr>
          <w:sz w:val="20"/>
          <w:szCs w:val="20"/>
          <w:color w:val="auto"/>
        </w:rPr>
        <w:tab/>
      </w:r>
      <w:r>
        <w:rPr>
          <w:rFonts w:ascii="Arial" w:cs="Arial" w:eastAsia="Arial" w:hAnsi="Arial"/>
          <w:sz w:val="15"/>
          <w:szCs w:val="15"/>
          <w:color w:val="0000FF"/>
        </w:rPr>
        <w:t>08/03/2023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858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5852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2023-08-03T20:48:57Z</dcterms:created>
  <dcterms:modified xsi:type="dcterms:W3CDTF">2023-08-03T20:48:57Z</dcterms:modified>
</cp:coreProperties>
</file>