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SECURITIES AND EXCHANGE COMMISSION</w:t>
      </w:r>
    </w:p>
    <w:p>
      <w:pPr>
        <w:ind w:left="2860"/>
        <w:spacing w:after="0" w:line="238" w:lineRule="auto"/>
        <w:tabs>
          <w:tab w:leader="none" w:pos="4720" w:val="left"/>
        </w:tabs>
        <w:rPr>
          <w:sz w:val="20"/>
          <w:szCs w:val="20"/>
          <w:color w:val="auto"/>
        </w:rPr>
      </w:pPr>
      <w:r>
        <w:rPr>
          <w:rFonts w:ascii="Courier New" w:cs="Courier New" w:eastAsia="Courier New" w:hAnsi="Courier New"/>
          <w:sz w:val="18"/>
          <w:szCs w:val="18"/>
          <w:color w:val="auto"/>
        </w:rPr>
        <w:t>Washington, D.C.</w:t>
        <w:tab/>
        <w:t>20549</w:t>
      </w:r>
    </w:p>
    <w:p>
      <w:pPr>
        <w:ind w:left="2540"/>
        <w:spacing w:after="0"/>
        <w:rPr>
          <w:sz w:val="20"/>
          <w:szCs w:val="20"/>
          <w:color w:val="auto"/>
        </w:rPr>
      </w:pPr>
      <w:r>
        <w:rPr>
          <w:rFonts w:ascii="Courier New" w:cs="Courier New" w:eastAsia="Courier New" w:hAnsi="Courier New"/>
          <w:sz w:val="18"/>
          <w:szCs w:val="18"/>
          <w:color w:val="auto"/>
        </w:rPr>
        <w:t>______________________________</w:t>
      </w:r>
    </w:p>
    <w:p>
      <w:pPr>
        <w:spacing w:after="0" w:line="169"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8-K</w:t>
      </w:r>
    </w:p>
    <w:p>
      <w:pPr>
        <w:spacing w:after="0" w:line="3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CURRENT REPORT</w:t>
      </w:r>
    </w:p>
    <w:p>
      <w:pPr>
        <w:spacing w:after="0" w:line="372"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PURSUANT TO SECTION 13 OR 15(d) OF THE</w:t>
      </w:r>
    </w:p>
    <w:p>
      <w:pPr>
        <w:spacing w:after="0" w:line="3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SECURITIES EXCHANGE ACT OF 1934</w:t>
      </w:r>
    </w:p>
    <w:p>
      <w:pPr>
        <w:spacing w:after="0" w:line="372" w:lineRule="exact"/>
        <w:rPr>
          <w:sz w:val="24"/>
          <w:szCs w:val="24"/>
          <w:color w:val="auto"/>
        </w:rPr>
      </w:pPr>
    </w:p>
    <w:p>
      <w:pPr>
        <w:ind w:left="640"/>
        <w:spacing w:after="0"/>
        <w:tabs>
          <w:tab w:leader="none" w:pos="600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June 7, 2005</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0-15898</w:t>
      </w:r>
    </w:p>
    <w:p>
      <w:pPr>
        <w:spacing w:after="0" w:line="3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(Commission File Number)</w:t>
      </w:r>
    </w:p>
    <w:p>
      <w:pPr>
        <w:spacing w:after="0" w:line="169"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5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(Exact</w:t>
            </w:r>
          </w:p>
        </w:tc>
        <w:tc>
          <w:tcPr>
            <w:tcW w:w="3360" w:type="dxa"/>
            <w:vAlign w:val="bottom"/>
          </w:tcPr>
          <w:p>
            <w:pPr>
              <w:jc w:val="right"/>
              <w:spacing w:after="0"/>
              <w:rPr>
                <w:sz w:val="20"/>
                <w:szCs w:val="20"/>
                <w:color w:val="auto"/>
              </w:rPr>
            </w:pPr>
            <w:r>
              <w:rPr>
                <w:rFonts w:ascii="Courier New" w:cs="Courier New" w:eastAsia="Courier New" w:hAnsi="Courier New"/>
                <w:sz w:val="18"/>
                <w:szCs w:val="18"/>
                <w:color w:val="auto"/>
              </w:rPr>
              <w:t>CASUAL MALE RETAIL GROUP,</w:t>
            </w:r>
          </w:p>
        </w:tc>
        <w:tc>
          <w:tcPr>
            <w:tcW w:w="2480" w:type="dxa"/>
            <w:vAlign w:val="bottom"/>
          </w:tcPr>
          <w:p>
            <w:pPr>
              <w:ind w:left="60"/>
              <w:spacing w:after="0"/>
              <w:rPr>
                <w:sz w:val="20"/>
                <w:szCs w:val="20"/>
                <w:color w:val="auto"/>
              </w:rPr>
            </w:pPr>
            <w:r>
              <w:rPr>
                <w:rFonts w:ascii="Courier New" w:cs="Courier New" w:eastAsia="Courier New" w:hAnsi="Courier New"/>
                <w:sz w:val="18"/>
                <w:szCs w:val="18"/>
                <w:color w:val="auto"/>
              </w:rPr>
              <w:t>INC.</w:t>
            </w:r>
          </w:p>
        </w:tc>
        <w:tc>
          <w:tcPr>
            <w:tcW w:w="0" w:type="dxa"/>
            <w:vAlign w:val="bottom"/>
          </w:tcPr>
          <w:p>
            <w:pPr>
              <w:spacing w:after="0"/>
              <w:rPr>
                <w:sz w:val="1"/>
                <w:szCs w:val="1"/>
                <w:color w:val="auto"/>
              </w:rPr>
            </w:pPr>
          </w:p>
        </w:tc>
      </w:tr>
      <w:tr>
        <w:trPr>
          <w:trHeight w:val="296"/>
        </w:trPr>
        <w:tc>
          <w:tcPr>
            <w:tcW w:w="1540" w:type="dxa"/>
            <w:vAlign w:val="bottom"/>
            <w:vMerge w:val="continue"/>
          </w:tcPr>
          <w:p>
            <w:pPr>
              <w:spacing w:after="0"/>
              <w:rPr>
                <w:sz w:val="24"/>
                <w:szCs w:val="24"/>
                <w:color w:val="auto"/>
              </w:rPr>
            </w:pPr>
          </w:p>
        </w:tc>
        <w:tc>
          <w:tcPr>
            <w:tcW w:w="3360" w:type="dxa"/>
            <w:vAlign w:val="bottom"/>
          </w:tcPr>
          <w:p>
            <w:pPr>
              <w:jc w:val="right"/>
              <w:spacing w:after="0"/>
              <w:rPr>
                <w:sz w:val="20"/>
                <w:szCs w:val="20"/>
                <w:color w:val="auto"/>
              </w:rPr>
            </w:pPr>
            <w:r>
              <w:rPr>
                <w:rFonts w:ascii="Courier New" w:cs="Courier New" w:eastAsia="Courier New" w:hAnsi="Courier New"/>
                <w:sz w:val="18"/>
                <w:szCs w:val="18"/>
                <w:color w:val="auto"/>
                <w:w w:val="98"/>
              </w:rPr>
              <w:t>name of registrant as specified</w:t>
            </w:r>
          </w:p>
        </w:tc>
        <w:tc>
          <w:tcPr>
            <w:tcW w:w="2480" w:type="dxa"/>
            <w:vAlign w:val="bottom"/>
          </w:tcPr>
          <w:p>
            <w:pPr>
              <w:ind w:left="60"/>
              <w:spacing w:after="0"/>
              <w:rPr>
                <w:sz w:val="20"/>
                <w:szCs w:val="20"/>
                <w:color w:val="auto"/>
              </w:rPr>
            </w:pPr>
            <w:r>
              <w:rPr>
                <w:rFonts w:ascii="Courier New" w:cs="Courier New" w:eastAsia="Courier New" w:hAnsi="Courier New"/>
                <w:sz w:val="18"/>
                <w:szCs w:val="18"/>
                <w:color w:val="auto"/>
              </w:rPr>
              <w:t>in its charter)</w:t>
            </w:r>
          </w:p>
        </w:tc>
        <w:tc>
          <w:tcPr>
            <w:tcW w:w="0" w:type="dxa"/>
            <w:vAlign w:val="bottom"/>
          </w:tcPr>
          <w:p>
            <w:pPr>
              <w:spacing w:after="0"/>
              <w:rPr>
                <w:sz w:val="1"/>
                <w:szCs w:val="1"/>
                <w:color w:val="auto"/>
              </w:rPr>
            </w:pPr>
          </w:p>
        </w:tc>
      </w:tr>
      <w:tr>
        <w:trPr>
          <w:trHeight w:val="311"/>
        </w:trPr>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Delaware</w:t>
            </w:r>
          </w:p>
        </w:tc>
        <w:tc>
          <w:tcPr>
            <w:tcW w:w="3360" w:type="dxa"/>
            <w:vAlign w:val="bottom"/>
          </w:tcPr>
          <w:p>
            <w:pPr>
              <w:spacing w:after="0"/>
              <w:rPr>
                <w:sz w:val="24"/>
                <w:szCs w:val="24"/>
                <w:color w:val="auto"/>
              </w:rPr>
            </w:pPr>
          </w:p>
        </w:tc>
        <w:tc>
          <w:tcPr>
            <w:tcW w:w="2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04-2623104</w:t>
            </w:r>
          </w:p>
        </w:tc>
        <w:tc>
          <w:tcPr>
            <w:tcW w:w="0" w:type="dxa"/>
            <w:vAlign w:val="bottom"/>
          </w:tcPr>
          <w:p>
            <w:pPr>
              <w:spacing w:after="0"/>
              <w:rPr>
                <w:sz w:val="1"/>
                <w:szCs w:val="1"/>
                <w:color w:val="auto"/>
              </w:rPr>
            </w:pPr>
          </w:p>
        </w:tc>
      </w:tr>
      <w:tr>
        <w:trPr>
          <w:trHeight w:val="235"/>
        </w:trPr>
        <w:tc>
          <w:tcPr>
            <w:tcW w:w="4900" w:type="dxa"/>
            <w:vAlign w:val="bottom"/>
            <w:gridSpan w:val="2"/>
          </w:tcPr>
          <w:p>
            <w:pPr>
              <w:jc w:val="right"/>
              <w:ind w:right="2272"/>
              <w:spacing w:after="0"/>
              <w:rPr>
                <w:sz w:val="20"/>
                <w:szCs w:val="20"/>
                <w:color w:val="auto"/>
              </w:rPr>
            </w:pPr>
            <w:r>
              <w:rPr>
                <w:rFonts w:ascii="Courier New" w:cs="Courier New" w:eastAsia="Courier New" w:hAnsi="Courier New"/>
                <w:sz w:val="18"/>
                <w:szCs w:val="18"/>
                <w:color w:val="auto"/>
                <w:w w:val="97"/>
              </w:rPr>
              <w:t>(State of Incorporation)</w:t>
            </w:r>
          </w:p>
        </w:tc>
        <w:tc>
          <w:tcPr>
            <w:tcW w:w="2480" w:type="dxa"/>
            <w:vAlign w:val="bottom"/>
          </w:tcPr>
          <w:p>
            <w:pPr>
              <w:ind w:left="1120"/>
              <w:spacing w:after="0"/>
              <w:rPr>
                <w:sz w:val="20"/>
                <w:szCs w:val="20"/>
                <w:color w:val="auto"/>
              </w:rPr>
            </w:pPr>
            <w:r>
              <w:rPr>
                <w:rFonts w:ascii="Courier New" w:cs="Courier New" w:eastAsia="Courier New" w:hAnsi="Courier New"/>
                <w:sz w:val="18"/>
                <w:szCs w:val="18"/>
                <w:color w:val="auto"/>
                <w:w w:val="95"/>
              </w:rPr>
              <w:t>(IRS Employer</w:t>
            </w:r>
          </w:p>
        </w:tc>
        <w:tc>
          <w:tcPr>
            <w:tcW w:w="0" w:type="dxa"/>
            <w:vAlign w:val="bottom"/>
          </w:tcPr>
          <w:p>
            <w:pPr>
              <w:spacing w:after="0"/>
              <w:rPr>
                <w:sz w:val="1"/>
                <w:szCs w:val="1"/>
                <w:color w:val="auto"/>
              </w:rPr>
            </w:pPr>
          </w:p>
        </w:tc>
      </w:tr>
    </w:tbl>
    <w:p>
      <w:pPr>
        <w:ind w:left="5700"/>
        <w:spacing w:after="0"/>
        <w:rPr>
          <w:sz w:val="20"/>
          <w:szCs w:val="20"/>
          <w:color w:val="auto"/>
        </w:rPr>
      </w:pPr>
      <w:r>
        <w:rPr>
          <w:rFonts w:ascii="Courier New" w:cs="Courier New" w:eastAsia="Courier New" w:hAnsi="Courier New"/>
          <w:sz w:val="18"/>
          <w:szCs w:val="18"/>
          <w:color w:val="auto"/>
        </w:rPr>
        <w:t>Identification Number)</w:t>
      </w:r>
    </w:p>
    <w:p>
      <w:pPr>
        <w:spacing w:after="0" w:line="372"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555 Turnpike Street, Canton, Massachusetts 02021</w:t>
      </w:r>
    </w:p>
    <w:p>
      <w:pPr>
        <w:spacing w:after="0" w:line="31"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(Address of registrant's principal executive office)</w:t>
      </w:r>
    </w:p>
    <w:p>
      <w:pPr>
        <w:spacing w:after="0" w:line="372" w:lineRule="exact"/>
        <w:rPr>
          <w:sz w:val="24"/>
          <w:szCs w:val="24"/>
          <w:color w:val="auto"/>
        </w:rPr>
      </w:pPr>
    </w:p>
    <w:p>
      <w:pPr>
        <w:ind w:left="3800" w:hanging="632"/>
        <w:spacing w:after="0"/>
        <w:tabs>
          <w:tab w:leader="none" w:pos="3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828-9300</w:t>
      </w:r>
    </w:p>
    <w:p>
      <w:pPr>
        <w:spacing w:after="0" w:line="30" w:lineRule="exact"/>
        <w:rPr>
          <w:rFonts w:ascii="Courier New" w:cs="Courier New" w:eastAsia="Courier New" w:hAnsi="Courier New"/>
          <w:sz w:val="18"/>
          <w:szCs w:val="18"/>
          <w:color w:val="auto"/>
        </w:rPr>
      </w:pP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w:t>
      </w:r>
    </w:p>
    <w:p>
      <w:pPr>
        <w:ind w:left="2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w:t>
      </w:r>
    </w:p>
    <w:p>
      <w:pPr>
        <w:spacing w:after="0" w:line="372" w:lineRule="exact"/>
        <w:rPr>
          <w:sz w:val="24"/>
          <w:szCs w:val="24"/>
          <w:color w:val="auto"/>
        </w:rPr>
      </w:pPr>
    </w:p>
    <w:p>
      <w:pPr>
        <w:ind w:right="2619"/>
        <w:spacing w:after="0" w:line="292"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6" w:lineRule="exact"/>
        <w:rPr>
          <w:sz w:val="24"/>
          <w:szCs w:val="24"/>
          <w:color w:val="auto"/>
        </w:rPr>
      </w:pPr>
    </w:p>
    <w:p>
      <w:pPr>
        <w:ind w:left="420" w:right="2619" w:hanging="412"/>
        <w:spacing w:after="0" w:line="347" w:lineRule="auto"/>
        <w:tabs>
          <w:tab w:leader="none" w:pos="20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 Securities Act (17 CFR 230.425)</w:t>
      </w:r>
    </w:p>
    <w:p>
      <w:pPr>
        <w:spacing w:after="0" w:line="18" w:lineRule="exact"/>
        <w:rPr>
          <w:sz w:val="24"/>
          <w:szCs w:val="24"/>
          <w:color w:val="auto"/>
        </w:rPr>
      </w:pPr>
    </w:p>
    <w:p>
      <w:pPr>
        <w:ind w:left="420" w:right="2839" w:hanging="412"/>
        <w:spacing w:after="0" w:line="347" w:lineRule="auto"/>
        <w:tabs>
          <w:tab w:leader="none" w:pos="20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18" w:lineRule="exact"/>
        <w:rPr>
          <w:sz w:val="24"/>
          <w:szCs w:val="24"/>
          <w:color w:val="auto"/>
        </w:rPr>
      </w:pPr>
    </w:p>
    <w:p>
      <w:pPr>
        <w:ind w:left="420" w:right="2739" w:hanging="412"/>
        <w:spacing w:after="0" w:line="347" w:lineRule="auto"/>
        <w:tabs>
          <w:tab w:leader="none" w:pos="20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Act(17 CFR 240.14d-2(b))</w:t>
      </w:r>
    </w:p>
    <w:p>
      <w:pPr>
        <w:spacing w:after="0" w:line="18" w:lineRule="exact"/>
        <w:rPr>
          <w:sz w:val="24"/>
          <w:szCs w:val="24"/>
          <w:color w:val="auto"/>
        </w:rPr>
      </w:pPr>
    </w:p>
    <w:p>
      <w:pPr>
        <w:ind w:left="420" w:right="2739" w:hanging="412"/>
        <w:spacing w:after="0" w:line="347" w:lineRule="auto"/>
        <w:tabs>
          <w:tab w:leader="none" w:pos="20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Act(17 CFR 240.13e-4(c))</w:t>
      </w:r>
    </w:p>
    <w:p>
      <w:pPr>
        <w:spacing w:after="0" w:line="200" w:lineRule="exact"/>
        <w:rPr>
          <w:sz w:val="24"/>
          <w:szCs w:val="24"/>
          <w:color w:val="auto"/>
        </w:rPr>
      </w:pPr>
    </w:p>
    <w:p>
      <w:pPr>
        <w:spacing w:after="0" w:line="223"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1.01</w:t>
      </w:r>
      <w:r>
        <w:rPr>
          <w:sz w:val="20"/>
          <w:szCs w:val="20"/>
          <w:color w:val="auto"/>
        </w:rPr>
        <w:tab/>
      </w:r>
      <w:r>
        <w:rPr>
          <w:rFonts w:ascii="Courier New" w:cs="Courier New" w:eastAsia="Courier New" w:hAnsi="Courier New"/>
          <w:sz w:val="16"/>
          <w:szCs w:val="16"/>
          <w:color w:val="auto"/>
        </w:rPr>
        <w:t>Entry Into a Definitive Material Contract</w:t>
      </w:r>
    </w:p>
    <w:p>
      <w:pPr>
        <w:spacing w:after="0" w:line="201" w:lineRule="exact"/>
        <w:rPr>
          <w:sz w:val="24"/>
          <w:szCs w:val="24"/>
          <w:color w:val="auto"/>
        </w:rPr>
      </w:pPr>
    </w:p>
    <w:p>
      <w:pPr>
        <w:jc w:val="both"/>
        <w:ind w:right="1879"/>
        <w:spacing w:after="0" w:line="344" w:lineRule="auto"/>
        <w:rPr>
          <w:sz w:val="20"/>
          <w:szCs w:val="20"/>
          <w:color w:val="auto"/>
        </w:rPr>
      </w:pPr>
      <w:r>
        <w:rPr>
          <w:rFonts w:ascii="Courier New" w:cs="Courier New" w:eastAsia="Courier New" w:hAnsi="Courier New"/>
          <w:sz w:val="16"/>
          <w:szCs w:val="16"/>
          <w:color w:val="auto"/>
        </w:rPr>
        <w:t>On June 7, 2005, the Compensation Committee of the Board of Directors of Casual Male Retail Group, Inc. (the "Company") approved an Executive Incentive Program for the fiscal year ending January 29, 2006 (the "2005 Program").</w:t>
      </w:r>
    </w:p>
    <w:p>
      <w:pPr>
        <w:spacing w:after="0" w:line="31" w:lineRule="exact"/>
        <w:rPr>
          <w:sz w:val="24"/>
          <w:szCs w:val="24"/>
          <w:color w:val="auto"/>
        </w:rPr>
      </w:pPr>
    </w:p>
    <w:p>
      <w:pPr>
        <w:ind w:right="1879"/>
        <w:spacing w:after="0" w:line="256" w:lineRule="auto"/>
        <w:rPr>
          <w:sz w:val="20"/>
          <w:szCs w:val="20"/>
          <w:color w:val="auto"/>
        </w:rPr>
      </w:pPr>
      <w:r>
        <w:rPr>
          <w:rFonts w:ascii="Courier New" w:cs="Courier New" w:eastAsia="Courier New" w:hAnsi="Courier New"/>
          <w:sz w:val="18"/>
          <w:szCs w:val="18"/>
          <w:color w:val="auto"/>
        </w:rPr>
        <w:t>Eligible participants under the 2005 Program are (i) David A. Levin, President and Chief Executive Officer of the Company, (ii) Dennis R. Hernreich, Executive Vice President, Chief Operating Officer, Chief Financial Officer and Treasurer of the Company and (iii) Jewelcor Management Inc. ("JMI"), which has had an ongoing consulting arrangement with the Company since 1999. Seymour Holtzman is the president and chief executive officer, and indirectly, with his wife, the primary shareholder of JMI.</w:t>
      </w:r>
    </w:p>
    <w:p>
      <w:pPr>
        <w:spacing w:after="0" w:line="98" w:lineRule="exact"/>
        <w:rPr>
          <w:sz w:val="24"/>
          <w:szCs w:val="24"/>
          <w:color w:val="auto"/>
        </w:rPr>
      </w:pPr>
    </w:p>
    <w:p>
      <w:pPr>
        <w:ind w:right="1999"/>
        <w:spacing w:after="0" w:line="260" w:lineRule="auto"/>
        <w:rPr>
          <w:sz w:val="20"/>
          <w:szCs w:val="20"/>
          <w:color w:val="auto"/>
        </w:rPr>
      </w:pPr>
      <w:r>
        <w:rPr>
          <w:rFonts w:ascii="Courier New" w:cs="Courier New" w:eastAsia="Courier New" w:hAnsi="Courier New"/>
          <w:sz w:val="18"/>
          <w:szCs w:val="18"/>
          <w:color w:val="auto"/>
        </w:rPr>
        <w:t>Under the 2005 Program, each participant is eligible to receive a cash bonus, based on a percentage of such participant's annual salary (in the case of Messrs. Levin and Hernreich) or annual consulting fee (in the case of JMI), if certain performance targets are achieved in fiscal 2005. Specifically, the performance targets relate to sales and EBITDA (as defined in the 2005 Program).</w:t>
      </w:r>
    </w:p>
    <w:p>
      <w:pPr>
        <w:spacing w:after="0" w:line="9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 copy of the 2005 Program is attached hereto as Exhibit 10.1.</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ectPr>
          <w:pgSz w:w="11900" w:h="16838" w:orient="portrait"/>
          <w:cols w:equalWidth="0" w:num="1">
            <w:col w:w="10219"/>
          </w:cols>
          <w:pgMar w:left="240" w:top="420" w:right="1440" w:bottom="0" w:gutter="0" w:footer="0" w:header="0"/>
        </w:sectPr>
      </w:pPr>
    </w:p>
    <w:bookmarkStart w:id="1" w:name="page2"/>
    <w:bookmarkEnd w:id="1"/>
    <w:p>
      <w:pPr>
        <w:ind w:left="860"/>
        <w:spacing w:after="0"/>
        <w:rPr>
          <w:sz w:val="20"/>
          <w:szCs w:val="20"/>
          <w:color w:val="auto"/>
        </w:rPr>
      </w:pPr>
      <w:r>
        <w:rPr>
          <w:rFonts w:ascii="Courier New" w:cs="Courier New" w:eastAsia="Courier New" w:hAnsi="Courier New"/>
          <w:sz w:val="16"/>
          <w:szCs w:val="16"/>
          <w:color w:val="auto"/>
        </w:rPr>
        <w:t>(c) Exhibits</w:t>
      </w:r>
    </w:p>
    <w:p>
      <w:pPr>
        <w:sectPr>
          <w:pgSz w:w="11900" w:h="16838" w:orient="portrait"/>
          <w:cols w:equalWidth="0" w:num="1">
            <w:col w:w="10219"/>
          </w:cols>
          <w:pgMar w:left="240" w:top="312" w:right="1440" w:bottom="1440" w:gutter="0" w:footer="0" w:header="0"/>
        </w:sectPr>
      </w:pPr>
    </w:p>
    <w:p>
      <w:pPr>
        <w:spacing w:after="0" w:line="224" w:lineRule="exact"/>
        <w:rPr>
          <w:sz w:val="20"/>
          <w:szCs w:val="20"/>
          <w:color w:val="auto"/>
        </w:rPr>
      </w:pPr>
    </w:p>
    <w:p>
      <w:pPr>
        <w:spacing w:after="0" w:line="292" w:lineRule="auto"/>
        <w:rPr>
          <w:sz w:val="20"/>
          <w:szCs w:val="20"/>
          <w:color w:val="auto"/>
        </w:rPr>
      </w:pPr>
      <w:r>
        <w:rPr>
          <w:rFonts w:ascii="Courier New" w:cs="Courier New" w:eastAsia="Courier New" w:hAnsi="Courier New"/>
          <w:sz w:val="18"/>
          <w:szCs w:val="18"/>
          <w:color w:val="auto"/>
        </w:rPr>
        <w:t>Exhibit No. - ----------- 10.1</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29"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t>
      </w:r>
    </w:p>
    <w:p>
      <w:pPr>
        <w:ind w:left="100"/>
        <w:spacing w:after="0"/>
        <w:rPr>
          <w:sz w:val="20"/>
          <w:szCs w:val="20"/>
          <w:color w:val="auto"/>
        </w:rPr>
      </w:pPr>
      <w:r>
        <w:rPr>
          <w:rFonts w:ascii="Courier New" w:cs="Courier New" w:eastAsia="Courier New" w:hAnsi="Courier New"/>
          <w:sz w:val="16"/>
          <w:szCs w:val="16"/>
          <w:color w:val="auto"/>
        </w:rPr>
        <w:t>Casual Male Retail Group, Inc. Executive Incentive Program</w:t>
      </w:r>
    </w:p>
    <w:p>
      <w:pPr>
        <w:spacing w:after="0" w:line="21"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for the fiscal year ending January 29, 2006.</w:t>
      </w:r>
    </w:p>
    <w:p>
      <w:pPr>
        <w:spacing w:after="0" w:line="200" w:lineRule="exact"/>
        <w:rPr>
          <w:sz w:val="20"/>
          <w:szCs w:val="20"/>
          <w:color w:val="auto"/>
        </w:rPr>
      </w:pPr>
    </w:p>
    <w:p>
      <w:pPr>
        <w:sectPr>
          <w:pgSz w:w="11900" w:h="16838" w:orient="portrait"/>
          <w:cols w:equalWidth="0" w:num="2">
            <w:col w:w="1380" w:space="420"/>
            <w:col w:w="841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Pursuant to the requirements of the Securities Exchange Act of 1934,</w:t>
      </w:r>
    </w:p>
    <w:p>
      <w:pPr>
        <w:spacing w:after="0" w:line="31" w:lineRule="exact"/>
        <w:rPr>
          <w:sz w:val="20"/>
          <w:szCs w:val="20"/>
          <w:color w:val="auto"/>
        </w:rPr>
      </w:pPr>
    </w:p>
    <w:p>
      <w:pPr>
        <w:ind w:right="2199"/>
        <w:spacing w:after="0" w:line="309" w:lineRule="auto"/>
        <w:rPr>
          <w:sz w:val="20"/>
          <w:szCs w:val="20"/>
          <w:color w:val="auto"/>
        </w:rPr>
      </w:pPr>
      <w:r>
        <w:rPr>
          <w:rFonts w:ascii="Courier New" w:cs="Courier New" w:eastAsia="Courier New" w:hAnsi="Courier New"/>
          <w:sz w:val="18"/>
          <w:szCs w:val="18"/>
          <w:color w:val="auto"/>
        </w:rPr>
        <w:t>the registrant has duly caused this report to be signed on its behalf by the undersigned, thereunto duly authorized.</w:t>
      </w:r>
    </w:p>
    <w:p>
      <w:pPr>
        <w:spacing w:after="0" w:line="5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/s/ Dennis R. Hernreich</w:t>
      </w:r>
    </w:p>
    <w:p>
      <w:pPr>
        <w:spacing w:after="0" w:line="31" w:lineRule="exact"/>
        <w:rPr>
          <w:sz w:val="20"/>
          <w:szCs w:val="20"/>
          <w:color w:val="auto"/>
        </w:rPr>
      </w:pPr>
    </w:p>
    <w:p>
      <w:pPr>
        <w:ind w:left="61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Dennis R. Hernreich</w:t>
      </w:r>
    </w:p>
    <w:p>
      <w:pPr>
        <w:ind w:left="4860"/>
        <w:spacing w:after="0" w:line="238" w:lineRule="auto"/>
        <w:rPr>
          <w:sz w:val="20"/>
          <w:szCs w:val="20"/>
          <w:color w:val="auto"/>
        </w:rPr>
      </w:pPr>
      <w:r>
        <w:rPr>
          <w:rFonts w:ascii="Courier New" w:cs="Courier New" w:eastAsia="Courier New" w:hAnsi="Courier New"/>
          <w:sz w:val="18"/>
          <w:szCs w:val="18"/>
          <w:color w:val="auto"/>
        </w:rPr>
        <w:t>Title: Executive Vice President</w:t>
      </w:r>
    </w:p>
    <w:p>
      <w:pPr>
        <w:ind w:left="5600"/>
        <w:spacing w:after="0"/>
        <w:rPr>
          <w:sz w:val="20"/>
          <w:szCs w:val="20"/>
          <w:color w:val="auto"/>
        </w:rPr>
      </w:pPr>
      <w:r>
        <w:rPr>
          <w:rFonts w:ascii="Courier New" w:cs="Courier New" w:eastAsia="Courier New" w:hAnsi="Courier New"/>
          <w:sz w:val="18"/>
          <w:szCs w:val="18"/>
          <w:color w:val="auto"/>
        </w:rPr>
        <w:t>and Chief Financial Officer</w:t>
      </w:r>
    </w:p>
    <w:p>
      <w:pPr>
        <w:spacing w:after="0" w:line="37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June 9, 2005</w:t>
      </w:r>
    </w:p>
    <w:p>
      <w:pPr>
        <w:sectPr>
          <w:pgSz w:w="11900" w:h="16838" w:orient="portrait"/>
          <w:cols w:equalWidth="0" w:num="1">
            <w:col w:w="10219"/>
          </w:cols>
          <w:pgMar w:left="240" w:top="312" w:right="1440" w:bottom="1440" w:gutter="0" w:footer="0" w:header="0"/>
          <w:type w:val="continuous"/>
        </w:sectPr>
      </w:pPr>
    </w:p>
    <w:bookmarkStart w:id="2" w:name="page3"/>
    <w:bookmarkEnd w:id="2"/>
    <w:p>
      <w:pPr>
        <w:ind w:left="2220"/>
        <w:spacing w:after="0"/>
        <w:rPr>
          <w:sz w:val="20"/>
          <w:szCs w:val="20"/>
          <w:color w:val="auto"/>
        </w:rPr>
      </w:pPr>
      <w:r>
        <w:rPr>
          <w:rFonts w:ascii="Courier New" w:cs="Courier New" w:eastAsia="Courier New" w:hAnsi="Courier New"/>
          <w:sz w:val="18"/>
          <w:szCs w:val="18"/>
          <w:color w:val="auto"/>
        </w:rPr>
        <w:t>Casual Male Retail Group</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Executive Incentive Program</w:t>
      </w:r>
    </w:p>
    <w:p>
      <w:pPr>
        <w:sectPr>
          <w:pgSz w:w="11900" w:h="16838" w:orient="portrait"/>
          <w:cols w:equalWidth="0" w:num="1">
            <w:col w:w="10219"/>
          </w:cols>
          <w:pgMar w:left="240" w:top="312" w:right="1440" w:bottom="1440" w:gutter="0" w:footer="0" w:header="0"/>
        </w:sectPr>
      </w:pP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Program Period:</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 2005 - January 29, 2006</w:t>
      </w:r>
    </w:p>
    <w:p>
      <w:pPr>
        <w:spacing w:after="0" w:line="200" w:lineRule="exact"/>
        <w:rPr>
          <w:sz w:val="20"/>
          <w:szCs w:val="20"/>
          <w:color w:val="auto"/>
        </w:rPr>
      </w:pPr>
    </w:p>
    <w:p>
      <w:pPr>
        <w:sectPr>
          <w:pgSz w:w="11900" w:h="16838" w:orient="portrait"/>
          <w:cols w:equalWidth="0" w:num="2">
            <w:col w:w="2440" w:space="720"/>
            <w:col w:w="7059"/>
          </w:cols>
          <w:pgMar w:left="240" w:top="312"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Eligible Participants: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Jewelcor Management Inc. ("JMI")</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David A. Levin - President, Chief Executive Officer</w:t>
      </w:r>
    </w:p>
    <w:p>
      <w:pPr>
        <w:spacing w:after="0" w:line="20" w:lineRule="exact"/>
        <w:rPr>
          <w:sz w:val="20"/>
          <w:szCs w:val="20"/>
          <w:color w:val="auto"/>
        </w:rPr>
      </w:pPr>
    </w:p>
    <w:p>
      <w:pPr>
        <w:ind w:left="1780"/>
        <w:spacing w:after="0"/>
        <w:rPr>
          <w:sz w:val="20"/>
          <w:szCs w:val="20"/>
          <w:color w:val="auto"/>
        </w:rPr>
      </w:pPr>
      <w:r>
        <w:rPr>
          <w:rFonts w:ascii="Courier New" w:cs="Courier New" w:eastAsia="Courier New" w:hAnsi="Courier New"/>
          <w:sz w:val="18"/>
          <w:szCs w:val="18"/>
          <w:color w:val="auto"/>
        </w:rPr>
        <w:t>(Base Salary, $600,000)</w:t>
      </w:r>
    </w:p>
    <w:p>
      <w:pPr>
        <w:spacing w:after="0" w:line="238" w:lineRule="auto"/>
        <w:rPr>
          <w:sz w:val="20"/>
          <w:szCs w:val="20"/>
          <w:color w:val="auto"/>
        </w:rPr>
      </w:pPr>
      <w:r>
        <w:rPr>
          <w:rFonts w:ascii="Courier New" w:cs="Courier New" w:eastAsia="Courier New" w:hAnsi="Courier New"/>
          <w:sz w:val="18"/>
          <w:szCs w:val="18"/>
          <w:color w:val="auto"/>
        </w:rPr>
        <w:t>Dennis R. Hernreich - Executive VP, COO, CFO,</w:t>
      </w:r>
    </w:p>
    <w:p>
      <w:pPr>
        <w:spacing w:after="0"/>
        <w:rPr>
          <w:sz w:val="20"/>
          <w:szCs w:val="20"/>
          <w:color w:val="auto"/>
        </w:rPr>
      </w:pPr>
      <w:r>
        <w:rPr>
          <w:rFonts w:ascii="Courier New" w:cs="Courier New" w:eastAsia="Courier New" w:hAnsi="Courier New"/>
          <w:sz w:val="18"/>
          <w:szCs w:val="18"/>
          <w:color w:val="auto"/>
        </w:rPr>
        <w:t>Treasurer &amp; Secretary (Base Salary, $460,000)</w:t>
      </w:r>
    </w:p>
    <w:p>
      <w:pPr>
        <w:spacing w:after="0" w:line="169" w:lineRule="exact"/>
        <w:rPr>
          <w:sz w:val="20"/>
          <w:szCs w:val="20"/>
          <w:color w:val="auto"/>
        </w:rPr>
      </w:pPr>
    </w:p>
    <w:p>
      <w:pPr>
        <w:sectPr>
          <w:pgSz w:w="11900" w:h="16838" w:orient="portrait"/>
          <w:cols w:equalWidth="0" w:num="2">
            <w:col w:w="2320" w:space="220"/>
            <w:col w:w="7679"/>
          </w:cols>
          <w:pgMar w:left="240" w:top="312"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Award Percentage: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right="1879"/>
        <w:spacing w:after="0" w:line="256" w:lineRule="auto"/>
        <w:rPr>
          <w:sz w:val="20"/>
          <w:szCs w:val="20"/>
          <w:color w:val="auto"/>
        </w:rPr>
      </w:pPr>
      <w:r>
        <w:rPr>
          <w:rFonts w:ascii="Courier New" w:cs="Courier New" w:eastAsia="Courier New" w:hAnsi="Courier New"/>
          <w:sz w:val="18"/>
          <w:szCs w:val="18"/>
          <w:color w:val="auto"/>
        </w:rPr>
        <w:t>The executives' discretionary Bonus Awards, pursuant to Section 3(c) of each executives' Employment Agreement, for the fiscal year ending January 29, 2006, will be based on a percentage of their annual salary as of the last day of such fiscal year. Seymour Holtzman's management company, JMI, will receive a discretionary Bonus Award based on a percentage of $460,000.</w:t>
      </w:r>
    </w:p>
    <w:p>
      <w:pPr>
        <w:spacing w:after="0" w:line="9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Award Determination: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right="1999"/>
        <w:spacing w:after="0" w:line="245" w:lineRule="auto"/>
        <w:rPr>
          <w:sz w:val="20"/>
          <w:szCs w:val="20"/>
          <w:color w:val="auto"/>
        </w:rPr>
      </w:pPr>
      <w:r>
        <w:rPr>
          <w:rFonts w:ascii="Courier New" w:cs="Courier New" w:eastAsia="Courier New" w:hAnsi="Courier New"/>
          <w:sz w:val="18"/>
          <w:szCs w:val="18"/>
          <w:color w:val="auto"/>
        </w:rPr>
        <w:t>The Bonus Award is based on the following percentages of base salary of each Executive, respectively; JMI's Bonus Award is based on the following Percentages of $460,000; provided that the Company achieves the following specified Sales Thresholds (Company's gross receipts from its Big &amp; Tall business, including receipts from its LP Innovations, Inc. subsidiary and any other business lines of the Company) and EBITDA Thresholds (Company's earnings before interest, taxes, depreciation and amortization of assets of its Big &amp; Tall business, including EBITDA associated with its LP Innovations, Inc. subsidiary and any other business lines of the Company) for its Fiscal Year ending January 29, 2006 (determined based upon the results of the Company's audit for such fiscal year):</w:t>
      </w:r>
    </w:p>
    <w:p>
      <w:pPr>
        <w:spacing w:after="0" w:line="109" w:lineRule="exact"/>
        <w:rPr>
          <w:sz w:val="20"/>
          <w:szCs w:val="20"/>
          <w:color w:val="auto"/>
        </w:rPr>
      </w:pPr>
    </w:p>
    <w:p>
      <w:pPr>
        <w:ind w:right="2099"/>
        <w:spacing w:after="0" w:line="253" w:lineRule="auto"/>
        <w:rPr>
          <w:sz w:val="20"/>
          <w:szCs w:val="20"/>
          <w:color w:val="auto"/>
        </w:rPr>
      </w:pPr>
      <w:r>
        <w:rPr>
          <w:rFonts w:ascii="Courier New" w:cs="Courier New" w:eastAsia="Courier New" w:hAnsi="Courier New"/>
          <w:sz w:val="18"/>
          <w:szCs w:val="18"/>
          <w:color w:val="auto"/>
        </w:rPr>
        <w:t>[As supported by the Securities and Exchange Commission's Frequently Asked Questions dated November 23, 2004 (Question 13), and consistent with the treatment of similar information under Instruction 2 to Item 402(k) of Regulation S-K, the Registrant has excluded information relating to target levels with respect to specific quantitative or qualitative performance - related factors, or factors or criteria involving confidential commercial or business information, the disclosure of which would have an adverse effect on the Registrant.]</w:t>
      </w: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Eligibility Requirements: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right="1999"/>
        <w:spacing w:after="0" w:line="262" w:lineRule="auto"/>
        <w:rPr>
          <w:sz w:val="20"/>
          <w:szCs w:val="20"/>
          <w:color w:val="auto"/>
        </w:rPr>
      </w:pPr>
      <w:r>
        <w:rPr>
          <w:rFonts w:ascii="Courier New" w:cs="Courier New" w:eastAsia="Courier New" w:hAnsi="Courier New"/>
          <w:sz w:val="18"/>
          <w:szCs w:val="18"/>
          <w:color w:val="auto"/>
        </w:rPr>
        <w:t>Executive must be actively employed at end of the fiscal year and at the time the bonus is distributed to be eligible. The Consulting Agreement between JMI and the Company must be in force at the end of the fiscal year end and at the time the bonus is distributed for JMI to be eligible.</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Award Distribution: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right="2099"/>
        <w:spacing w:after="0" w:line="309" w:lineRule="auto"/>
        <w:rPr>
          <w:sz w:val="20"/>
          <w:szCs w:val="20"/>
          <w:color w:val="auto"/>
        </w:rPr>
      </w:pPr>
      <w:r>
        <w:rPr>
          <w:rFonts w:ascii="Courier New" w:cs="Courier New" w:eastAsia="Courier New" w:hAnsi="Courier New"/>
          <w:sz w:val="18"/>
          <w:szCs w:val="18"/>
          <w:color w:val="auto"/>
        </w:rPr>
        <w:t>Bonus payments will be distributed as soon as possible following the close of the fiscal year less necessary tax withholdings.</w:t>
      </w:r>
    </w:p>
    <w:sectPr>
      <w:pgSz w:w="11900" w:h="16838" w:orient="portrait"/>
      <w:cols w:equalWidth="0" w:num="1">
        <w:col w:w="10219"/>
      </w:cols>
      <w:pgMar w:left="240" w:top="3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78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2019-12-19T21:58:16Z</dcterms:created>
  <dcterms:modified xsi:type="dcterms:W3CDTF">2019-12-19T21:58:16Z</dcterms:modified>
</cp:coreProperties>
</file>