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374" w:lineRule="exact"/>
        <w:rPr>
          <w:sz w:val="24"/>
          <w:szCs w:val="24"/>
          <w:color w:val="auto"/>
        </w:rPr>
      </w:pPr>
    </w:p>
    <w:p>
      <w:pPr>
        <w:jc w:val="both"/>
        <w:ind w:right="8239" w:firstLine="8"/>
        <w:spacing w:after="0" w:line="344"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36"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25065K104</w:t>
      </w:r>
    </w:p>
    <w:p>
      <w:pPr>
        <w:spacing w:after="0" w:line="31" w:lineRule="exact"/>
        <w:rPr>
          <w:sz w:val="24"/>
          <w:szCs w:val="24"/>
          <w:color w:val="auto"/>
        </w:rPr>
      </w:pPr>
    </w:p>
    <w:p>
      <w:pPr>
        <w:ind w:right="317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right="3699" w:firstLine="8"/>
        <w:spacing w:after="0" w:line="309"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ind w:right="275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ind w:right="69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rPr>
          <w:sz w:val="20"/>
          <w:szCs w:val="20"/>
          <w:color w:val="auto"/>
        </w:rPr>
      </w:pPr>
      <w:r>
        <w:rPr>
          <w:rFonts w:ascii="Courier New" w:cs="Courier New" w:eastAsia="Courier New" w:hAnsi="Courier New"/>
          <w:sz w:val="18"/>
          <w:szCs w:val="18"/>
          <w:color w:val="auto"/>
        </w:rPr>
        <w:t>9,586,630**</w:t>
      </w:r>
    </w:p>
    <w:p>
      <w:pPr>
        <w:spacing w:after="0" w:line="169"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right="7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9,586,630**</w:t>
      </w:r>
    </w:p>
    <w:p>
      <w:pPr>
        <w:spacing w:after="0" w:line="22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ind w:right="369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9,586,630**</w:t>
      </w:r>
    </w:p>
    <w:p>
      <w:pPr>
        <w:ind w:right="255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15.3%**</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ind w:right="2859"/>
        <w:spacing w:after="0" w:line="290"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1,835,668</w:t>
      </w:r>
    </w:p>
    <w:p>
      <w:pPr>
        <w:sectPr>
          <w:pgSz w:w="11900" w:h="16952" w:orient="portrait"/>
          <w:cols w:equalWidth="0" w:num="1">
            <w:col w:w="10139"/>
          </w:cols>
          <w:pgMar w:left="320" w:top="218" w:right="1440" w:bottom="0" w:gutter="0" w:footer="0" w:header="0"/>
        </w:sectPr>
      </w:pPr>
    </w:p>
    <w:bookmarkStart w:id="1" w:name="page2"/>
    <w:bookmarkEnd w:id="1"/>
    <w:p>
      <w:pPr>
        <w:ind w:right="2759"/>
        <w:spacing w:after="0" w:line="292" w:lineRule="auto"/>
        <w:rPr>
          <w:sz w:val="20"/>
          <w:szCs w:val="20"/>
          <w:color w:val="auto"/>
        </w:rPr>
      </w:pPr>
      <w:r>
        <w:rPr>
          <w:rFonts w:ascii="Courier New" w:cs="Courier New" w:eastAsia="Courier New" w:hAnsi="Courier New"/>
          <w:sz w:val="18"/>
          <w:szCs w:val="18"/>
          <w:color w:val="auto"/>
        </w:rPr>
        <w:t>shares of Common Stock of the Issuer (the Shares) held by CAYMAN, 5,844,131 Shares held by SSFQP and 1,906,831 Shares held by SSPE. See Items 2 and 4 of this Schedule for additional information.</w:t>
      </w:r>
    </w:p>
    <w:p>
      <w:pPr>
        <w:spacing w:after="0" w:line="268"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Destination XL Group,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Massachusetts 02021</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right="3499"/>
        <w:spacing w:after="0" w:line="285"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90"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8"/>
          <w:szCs w:val="18"/>
          <w:color w:val="auto"/>
        </w:rPr>
        <w:t>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103" w:lineRule="exact"/>
        <w:rPr>
          <w:sz w:val="20"/>
          <w:szCs w:val="20"/>
          <w:color w:val="auto"/>
        </w:rPr>
      </w:pPr>
    </w:p>
    <w:p>
      <w:pPr>
        <w:ind w:right="381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ind w:right="3599"/>
        <w:spacing w:after="0" w:line="238"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169"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9,586,630**</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15.3%**</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9,586,630**</w:t>
      </w:r>
    </w:p>
    <w:p>
      <w:pPr>
        <w:spacing w:after="0" w:line="223" w:lineRule="exact"/>
        <w:rPr>
          <w:rFonts w:ascii="Courier New" w:cs="Courier New" w:eastAsia="Courier New" w:hAnsi="Courier New"/>
          <w:sz w:val="16"/>
          <w:szCs w:val="16"/>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000" w:right="1919" w:hanging="728"/>
        <w:spacing w:after="0" w:line="346"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9,586,630**</w:t>
      </w:r>
    </w:p>
    <w:p>
      <w:pPr>
        <w:spacing w:after="0" w:line="19" w:lineRule="exact"/>
        <w:rPr>
          <w:rFonts w:ascii="Courier New" w:cs="Courier New" w:eastAsia="Courier New" w:hAnsi="Courier New"/>
          <w:sz w:val="18"/>
          <w:szCs w:val="18"/>
          <w:color w:val="auto"/>
        </w:rPr>
      </w:pPr>
    </w:p>
    <w:p>
      <w:pPr>
        <w:ind w:left="2000" w:right="2119" w:hanging="623"/>
        <w:spacing w:after="0" w:line="257"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169" w:lineRule="exact"/>
        <w:rPr>
          <w:sz w:val="20"/>
          <w:szCs w:val="20"/>
          <w:color w:val="auto"/>
        </w:rPr>
      </w:pPr>
    </w:p>
    <w:p>
      <w:pPr>
        <w:ind w:right="2759" w:firstLine="8"/>
        <w:spacing w:after="0" w:line="253"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AWM is the investment adviser to each of the Funds. As the investment adviser to the Funds, AWM holds sole voting and investment power over 1,835,668 shares of common stock of the Issuer (the Shares) held by CAYMAN, 5,844,131 Shares held by SSFQP and 1,906,831 Shares held by SSPE. Greenhouse and Stettner are members of: SSCAY, the general partner of CAYMAN; MGP, the general partner of SSFQP; and MG, the general partner of SSPE. Greenhouse and Stettner are also controlling principals of AWM.</w:t>
      </w:r>
    </w:p>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759" w:firstLine="843"/>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w:t>
      </w:r>
    </w:p>
    <w:p>
      <w:pPr>
        <w:spacing w:after="0" w:line="8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85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spacing w:after="0" w:line="29"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tab/>
        <w:t>Adam Stettner</w:t>
      </w: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859"/>
        <w:spacing w:after="0" w:line="310"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2023-02-14T11:10:07Z</dcterms:created>
  <dcterms:modified xsi:type="dcterms:W3CDTF">2023-02-14T11:10:07Z</dcterms:modified>
</cp:coreProperties>
</file>