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DESTINATION XL GROUP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Shelley J. Rosensweig, Esq.</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 Rockefeller Plaza, 26th Floor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New York, New York 10112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(212) 659-7300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220345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25065K104</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1048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Wolf Hill Capital Management, LP</w:t>
            </w: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80" w:type="dxa"/>
            <w:vAlign w:val="bottom"/>
            <w:tcBorders>
              <w:right w:val="single" w:sz="8" w:color="auto"/>
            </w:tcBorders>
            <w:gridSpan w:val="4"/>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 (see instructions)</w:t>
            </w: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7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w w:val="99"/>
              </w:rPr>
              <w:t xml:space="preserve">  (a)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auto"/>
                <w:w w:val="70"/>
              </w:rPr>
              <w:t> </w:t>
            </w:r>
          </w:p>
        </w:tc>
        <w:tc>
          <w:tcPr>
            <w:tcW w:w="9540" w:type="dxa"/>
            <w:vAlign w:val="bottom"/>
            <w:tcBorders>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spacing w:after="0"/>
              <w:rPr>
                <w:sz w:val="19"/>
                <w:szCs w:val="19"/>
                <w:color w:val="auto"/>
              </w:rPr>
            </w:pPr>
          </w:p>
        </w:tc>
        <w:tc>
          <w:tcPr>
            <w:tcW w:w="9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9"/>
              </w:rPr>
              <w:t>  Delaware</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5</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54"/>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060" w:type="dxa"/>
            <w:vAlign w:val="bottom"/>
            <w:tcBorders>
              <w:left w:val="single" w:sz="8" w:color="auto"/>
              <w:right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6</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4,174,730 (1)</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9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240" w:type="dxa"/>
            <w:vAlign w:val="bottom"/>
            <w:tcBorders>
              <w:right w:val="single" w:sz="8" w:color="auto"/>
            </w:tcBorders>
          </w:tcPr>
          <w:p>
            <w:pPr>
              <w:jc w:val="right"/>
              <w:ind w:right="51"/>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95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tcBorders>
              <w:left w:val="single" w:sz="8" w:color="auto"/>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4,174,730 (1)</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2"/>
              </w:rPr>
              <w:t>  Aggregate</w:t>
            </w:r>
          </w:p>
        </w:tc>
        <w:tc>
          <w:tcPr>
            <w:tcW w:w="9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4,174,730 (1)</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  6.9% (2)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Type of Reporting Person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IA</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511,407 shares held by certain separate managed accounts.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2 for more information.</w:t>
      </w:r>
    </w:p>
    <w:p>
      <w:pPr>
        <w:spacing w:after="0" w:line="29" w:lineRule="exact"/>
        <w:rPr>
          <w:rFonts w:ascii="Times New Roman" w:cs="Times New Roman" w:eastAsia="Times New Roman" w:hAnsi="Times New Roman"/>
          <w:sz w:val="18"/>
          <w:szCs w:val="18"/>
          <w:color w:val="auto"/>
        </w:rPr>
      </w:pPr>
    </w:p>
    <w:p>
      <w:pPr>
        <w:jc w:val="both"/>
        <w:ind w:left="424" w:right="4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60,182,080 shares of Common Stock of the Issuer outstanding as of November 8, 2023, as disclosed in the Issuer’s Quarterly Report on Form 10-Q, for the quarterly period ended October 28, 2023, that was filed on November 17, 2023, by the Issuer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ectPr>
          <w:pgSz w:w="11900" w:h="16838" w:orient="portrait"/>
          <w:cols w:equalWidth="0" w:num="1">
            <w:col w:w="10904"/>
          </w:cols>
          <w:pgMar w:left="436" w:top="266" w:right="559" w:bottom="1440" w:gutter="0" w:footer="0" w:header="0"/>
        </w:sectPr>
      </w:pPr>
    </w:p>
    <w:bookmarkStart w:id="2" w:name="page3"/>
    <w:bookmarkEnd w:id="2"/>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25065K104</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1048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Wolf Hill Partners, LP</w:t>
            </w: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80" w:type="dxa"/>
            <w:vAlign w:val="bottom"/>
            <w:tcBorders>
              <w:right w:val="single" w:sz="8" w:color="auto"/>
            </w:tcBorders>
            <w:gridSpan w:val="4"/>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 (see instructions)</w:t>
            </w: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7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w w:val="99"/>
              </w:rPr>
              <w:t xml:space="preserve">  (a)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auto"/>
                <w:w w:val="70"/>
              </w:rPr>
              <w:t> </w:t>
            </w:r>
          </w:p>
        </w:tc>
        <w:tc>
          <w:tcPr>
            <w:tcW w:w="9540" w:type="dxa"/>
            <w:vAlign w:val="bottom"/>
            <w:tcBorders>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spacing w:after="0"/>
              <w:rPr>
                <w:sz w:val="19"/>
                <w:szCs w:val="19"/>
                <w:color w:val="auto"/>
              </w:rPr>
            </w:pPr>
          </w:p>
        </w:tc>
        <w:tc>
          <w:tcPr>
            <w:tcW w:w="9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9"/>
              </w:rPr>
              <w:t>  Delaware</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5</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54"/>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060" w:type="dxa"/>
            <w:vAlign w:val="bottom"/>
            <w:tcBorders>
              <w:left w:val="single" w:sz="8" w:color="auto"/>
              <w:right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6</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3,663,323</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9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240" w:type="dxa"/>
            <w:vAlign w:val="bottom"/>
            <w:tcBorders>
              <w:right w:val="single" w:sz="8" w:color="auto"/>
            </w:tcBorders>
          </w:tcPr>
          <w:p>
            <w:pPr>
              <w:jc w:val="right"/>
              <w:ind w:right="51"/>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95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tcBorders>
              <w:left w:val="single" w:sz="8" w:color="auto"/>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3,663,323</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2"/>
              </w:rPr>
              <w:t>  Aggregate</w:t>
            </w:r>
          </w:p>
        </w:tc>
        <w:tc>
          <w:tcPr>
            <w:tcW w:w="9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5"/>
              </w:rPr>
              <w:t>  3,663,323</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  6.1% (1)</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Type of Reporting Person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PN</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60,182,080 shares of Common Stock of the Issuer outstanding as of November 8, 2023, as disclosed in the Issuer’s Quarterly Report on Form 10-Q, for the quarterly period ended October 28, 2023, that was filed on November 17, 2023, by the Issuer with the SEC.</w:t>
      </w:r>
    </w:p>
    <w:p>
      <w:pPr>
        <w:sectPr>
          <w:pgSz w:w="11900" w:h="16838" w:orient="portrait"/>
          <w:cols w:equalWidth="0" w:num="1">
            <w:col w:w="10904"/>
          </w:cols>
          <w:pgMar w:left="436" w:top="266" w:right="559" w:bottom="1440" w:gutter="0" w:footer="0" w:header="0"/>
        </w:sectPr>
      </w:pPr>
    </w:p>
    <w:bookmarkStart w:id="3" w:name="page4"/>
    <w:bookmarkEnd w:id="3"/>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G59665102</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1</w:t>
            </w:r>
          </w:p>
        </w:tc>
        <w:tc>
          <w:tcPr>
            <w:tcW w:w="1048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Wolf Hill General Partner, LLC</w:t>
            </w:r>
          </w:p>
        </w:tc>
        <w:tc>
          <w:tcPr>
            <w:tcW w:w="0" w:type="dxa"/>
            <w:vAlign w:val="bottom"/>
          </w:tcPr>
          <w:p>
            <w:pPr>
              <w:spacing w:after="0"/>
              <w:rPr>
                <w:sz w:val="1"/>
                <w:szCs w:val="1"/>
                <w:color w:val="auto"/>
              </w:rPr>
            </w:pPr>
          </w:p>
        </w:tc>
      </w:tr>
      <w:tr>
        <w:trPr>
          <w:trHeight w:val="162"/>
        </w:trPr>
        <w:tc>
          <w:tcPr>
            <w:tcW w:w="44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80" w:type="dxa"/>
            <w:vAlign w:val="bottom"/>
            <w:tcBorders>
              <w:right w:val="single" w:sz="8" w:color="auto"/>
            </w:tcBorders>
            <w:gridSpan w:val="4"/>
          </w:tcPr>
          <w:p>
            <w:pPr>
              <w:ind w:left="8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 (see instructions)</w:t>
            </w:r>
          </w:p>
        </w:tc>
        <w:tc>
          <w:tcPr>
            <w:tcW w:w="0" w:type="dxa"/>
            <w:vAlign w:val="bottom"/>
          </w:tcPr>
          <w:p>
            <w:pPr>
              <w:spacing w:after="0"/>
              <w:rPr>
                <w:sz w:val="1"/>
                <w:szCs w:val="1"/>
                <w:color w:val="auto"/>
              </w:rPr>
            </w:pPr>
          </w:p>
        </w:tc>
      </w:tr>
      <w:tr>
        <w:trPr>
          <w:trHeight w:val="303"/>
        </w:trPr>
        <w:tc>
          <w:tcPr>
            <w:tcW w:w="440" w:type="dxa"/>
            <w:vAlign w:val="bottom"/>
            <w:tcBorders>
              <w:left w:val="single" w:sz="8" w:color="auto"/>
              <w:right w:val="single" w:sz="8" w:color="auto"/>
            </w:tcBorders>
          </w:tcPr>
          <w:p>
            <w:pPr>
              <w:spacing w:after="0"/>
              <w:rPr>
                <w:sz w:val="24"/>
                <w:szCs w:val="24"/>
                <w:color w:val="auto"/>
              </w:rPr>
            </w:pPr>
          </w:p>
        </w:tc>
        <w:tc>
          <w:tcPr>
            <w:tcW w:w="7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w w:val="99"/>
              </w:rPr>
              <w:t xml:space="preserve">  (a)  </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 xml:space="preserve"> </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auto"/>
                <w:w w:val="70"/>
              </w:rPr>
              <w:t> </w:t>
            </w:r>
          </w:p>
        </w:tc>
        <w:tc>
          <w:tcPr>
            <w:tcW w:w="9540" w:type="dxa"/>
            <w:vAlign w:val="bottom"/>
            <w:tcBorders>
              <w:right w:val="single" w:sz="8" w:color="auto"/>
            </w:tcBorders>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40" w:type="dxa"/>
            <w:vAlign w:val="bottom"/>
            <w:tcBorders>
              <w:left w:val="single" w:sz="8" w:color="auto"/>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spacing w:after="0"/>
              <w:rPr>
                <w:sz w:val="19"/>
                <w:szCs w:val="19"/>
                <w:color w:val="auto"/>
              </w:rPr>
            </w:pPr>
          </w:p>
        </w:tc>
        <w:tc>
          <w:tcPr>
            <w:tcW w:w="95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w w:val="99"/>
              </w:rPr>
              <w:t>  Delaware</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5</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54"/>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060" w:type="dxa"/>
            <w:vAlign w:val="bottom"/>
            <w:tcBorders>
              <w:left w:val="single" w:sz="8" w:color="auto"/>
              <w:right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Pr>
          <w:p>
            <w:pPr>
              <w:spacing w:after="0"/>
              <w:rPr>
                <w:sz w:val="20"/>
                <w:szCs w:val="20"/>
                <w:color w:val="auto"/>
              </w:rPr>
            </w:pPr>
          </w:p>
        </w:tc>
        <w:tc>
          <w:tcPr>
            <w:tcW w:w="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6</w:t>
            </w: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4,174,730 (1)</w:t>
            </w: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95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6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Pr>
          <w:p>
            <w:pPr>
              <w:spacing w:after="0"/>
              <w:rPr>
                <w:sz w:val="15"/>
                <w:szCs w:val="15"/>
                <w:color w:val="auto"/>
              </w:rPr>
            </w:pPr>
          </w:p>
        </w:tc>
        <w:tc>
          <w:tcPr>
            <w:tcW w:w="240" w:type="dxa"/>
            <w:vAlign w:val="bottom"/>
            <w:tcBorders>
              <w:right w:val="single" w:sz="8" w:color="auto"/>
            </w:tcBorders>
          </w:tcPr>
          <w:p>
            <w:pPr>
              <w:jc w:val="right"/>
              <w:ind w:right="51"/>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95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9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060" w:type="dxa"/>
            <w:vAlign w:val="bottom"/>
            <w:tcBorders>
              <w:left w:val="single" w:sz="8" w:color="auto"/>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8</w:t>
            </w:r>
          </w:p>
        </w:tc>
        <w:tc>
          <w:tcPr>
            <w:tcW w:w="95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440" w:type="dxa"/>
            <w:vAlign w:val="bottom"/>
            <w:tcBorders>
              <w:left w:val="single" w:sz="8" w:color="auto"/>
            </w:tcBorders>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9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4,174,730 (1)</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9</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2"/>
              </w:rPr>
              <w:t>  Aggregate</w:t>
            </w:r>
          </w:p>
        </w:tc>
        <w:tc>
          <w:tcPr>
            <w:tcW w:w="9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4,174,730 (1)</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Check box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Percent of class represented by amount in row (9)</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  6.9% (2)</w:t>
            </w: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  Type of Reporting Person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OO</w:t>
            </w:r>
          </w:p>
        </w:tc>
        <w:tc>
          <w:tcPr>
            <w:tcW w:w="240" w:type="dxa"/>
            <w:vAlign w:val="bottom"/>
            <w:tcBorders>
              <w:bottom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511,407 shares held by certain separate managed accounts.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2 for more information.</w:t>
      </w:r>
    </w:p>
    <w:p>
      <w:pPr>
        <w:spacing w:after="0" w:line="29"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60,182,080 shares of Common Stock of the Issuer outstanding as of November 8, 2023, as disclosed in the Issuer’s Quarterly Report on Form 10-Q, for the quarterly period ended October 28, 2023, that was filed on November 17, 2023, by the Issuer with the SEC.</w:t>
      </w:r>
    </w:p>
    <w:p>
      <w:pPr>
        <w:sectPr>
          <w:pgSz w:w="11900" w:h="16838" w:orient="portrait"/>
          <w:cols w:equalWidth="0" w:num="1">
            <w:col w:w="10904"/>
          </w:cols>
          <w:pgMar w:left="436" w:top="266" w:right="559" w:bottom="1440" w:gutter="0" w:footer="0" w:header="0"/>
        </w:sectPr>
      </w:pPr>
    </w:p>
    <w:bookmarkStart w:id="4" w:name="page5"/>
    <w:bookmarkEnd w:id="4"/>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G59665102</w:t>
      </w:r>
    </w:p>
    <w:p>
      <w:pPr>
        <w:spacing w:after="0" w:line="175"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Gary Lehrman</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464" w:hanging="303"/>
        <w:spacing w:after="0"/>
        <w:tabs>
          <w:tab w:leader="none" w:pos="14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bottom w:val="single" w:sz="8" w:color="auto"/>
            </w:tcBorders>
          </w:tcPr>
          <w:p>
            <w:pPr>
              <w:spacing w:after="0"/>
              <w:rPr>
                <w:sz w:val="21"/>
                <w:szCs w:val="21"/>
                <w:color w:val="auto"/>
              </w:rPr>
            </w:pPr>
          </w:p>
        </w:tc>
        <w:tc>
          <w:tcPr>
            <w:tcW w:w="9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4,174,730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64" w:hanging="93"/>
        <w:spacing w:after="0"/>
        <w:tabs>
          <w:tab w:leader="none" w:pos="15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4,174,730 (1)</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4,174,730 (1)</w:t>
      </w:r>
    </w:p>
    <w:p>
      <w:pPr>
        <w:spacing w:after="0" w:line="36" w:lineRule="exact"/>
        <w:rPr>
          <w:sz w:val="20"/>
          <w:szCs w:val="20"/>
          <w:color w:val="auto"/>
        </w:rPr>
      </w:pPr>
    </w:p>
    <w:p>
      <w:pPr>
        <w:ind w:left="524" w:hanging="367"/>
        <w:spacing w:after="0"/>
        <w:tabs>
          <w:tab w:leader="none" w:pos="5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HC</w:t>
      </w:r>
    </w:p>
    <w:p>
      <w:pPr>
        <w:spacing w:after="0" w:line="2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511,407 shares held by certain separate managed accounts.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2 for more information.</w:t>
      </w:r>
    </w:p>
    <w:p>
      <w:pPr>
        <w:spacing w:after="0" w:line="29" w:lineRule="exact"/>
        <w:rPr>
          <w:rFonts w:ascii="Times New Roman" w:cs="Times New Roman" w:eastAsia="Times New Roman" w:hAnsi="Times New Roman"/>
          <w:sz w:val="18"/>
          <w:szCs w:val="18"/>
          <w:color w:val="auto"/>
        </w:rPr>
      </w:pPr>
    </w:p>
    <w:p>
      <w:pPr>
        <w:ind w:left="424" w:right="40" w:hanging="424"/>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60,182,080 shares of Common Stock of the Issuer outstanding as of November 8, 2023, as disclosed in the Issuer’s Quarterly Report on Form 10-Q, for the quarterly period ended October 28, 2023, that was filed on November 17, 2023, by the Issuer with the SEC.</w:t>
      </w:r>
    </w:p>
    <w:p>
      <w:pPr>
        <w:sectPr>
          <w:pgSz w:w="11900" w:h="16838" w:orient="portrait"/>
          <w:cols w:equalWidth="0" w:num="1">
            <w:col w:w="10904"/>
          </w:cols>
          <w:pgMar w:left="436" w:top="266"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Destination XL Group Inc.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555 Turnpike Street</w:t>
      </w:r>
    </w:p>
    <w:p>
      <w:pPr>
        <w:spacing w:after="0" w:line="2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Canton, Massachusetts 02021</w:t>
      </w:r>
    </w:p>
    <w:p>
      <w:pPr>
        <w:spacing w:after="0" w:line="3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117" w:lineRule="exact"/>
        <w:rPr>
          <w:rFonts w:ascii="Times New Roman" w:cs="Times New Roman" w:eastAsia="Times New Roman" w:hAnsi="Times New Roman"/>
          <w:sz w:val="18"/>
          <w:szCs w:val="18"/>
          <w:b w:val="1"/>
          <w:bCs w:val="1"/>
          <w:color w:val="auto"/>
        </w:rPr>
      </w:pPr>
    </w:p>
    <w:p>
      <w:pPr>
        <w:ind w:left="44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statement is jointly filed by and on behalf of each of Wolf Hill Capital Management, LP, a Delaware limited partnership (“</w:t>
      </w:r>
      <w:r>
        <w:rPr>
          <w:rFonts w:ascii="Times New Roman" w:cs="Times New Roman" w:eastAsia="Times New Roman" w:hAnsi="Times New Roman"/>
          <w:sz w:val="18"/>
          <w:szCs w:val="18"/>
          <w:b w:val="1"/>
          <w:bCs w:val="1"/>
          <w:i w:val="1"/>
          <w:iCs w:val="1"/>
          <w:color w:val="auto"/>
        </w:rPr>
        <w:t>Wolf Hill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Capital</w:t>
      </w:r>
      <w:r>
        <w:rPr>
          <w:rFonts w:ascii="Times New Roman" w:cs="Times New Roman" w:eastAsia="Times New Roman" w:hAnsi="Times New Roman"/>
          <w:sz w:val="18"/>
          <w:szCs w:val="18"/>
          <w:color w:val="auto"/>
        </w:rPr>
        <w:t>”), Wolf Hill Partners, LP, a Delaware limited partnership (the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color w:val="auto"/>
        </w:rPr>
        <w:t>”), Wolf Hill General Partner, LLC, a Delaware limited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General Partner</w:t>
      </w:r>
      <w:r>
        <w:rPr>
          <w:rFonts w:ascii="Times New Roman" w:cs="Times New Roman" w:eastAsia="Times New Roman" w:hAnsi="Times New Roman"/>
          <w:sz w:val="18"/>
          <w:szCs w:val="18"/>
          <w:color w:val="auto"/>
        </w:rPr>
        <w:t>”), and Gary Lehrman (collectively referred to herein as “</w:t>
      </w:r>
      <w:r>
        <w:rPr>
          <w:rFonts w:ascii="Times New Roman" w:cs="Times New Roman" w:eastAsia="Times New Roman" w:hAnsi="Times New Roman"/>
          <w:sz w:val="18"/>
          <w:szCs w:val="18"/>
          <w:b w:val="1"/>
          <w:bCs w:val="1"/>
          <w:i w:val="1"/>
          <w:iCs w:val="1"/>
          <w:color w:val="auto"/>
        </w:rPr>
        <w:t>Reporting Persons</w:t>
      </w:r>
      <w:r>
        <w:rPr>
          <w:rFonts w:ascii="Times New Roman" w:cs="Times New Roman" w:eastAsia="Times New Roman" w:hAnsi="Times New Roman"/>
          <w:sz w:val="18"/>
          <w:szCs w:val="18"/>
          <w:color w:val="auto"/>
        </w:rPr>
        <w:t>”). Wolf Hill Capital is the investment manager of, and may be deemed to indirectly beneficially own securities owned by, the Fund. Wolf Hill Capital is a sub-advisor for certain separate managed accounts (collectively, the “</w:t>
      </w:r>
      <w:r>
        <w:rPr>
          <w:rFonts w:ascii="Times New Roman" w:cs="Times New Roman" w:eastAsia="Times New Roman" w:hAnsi="Times New Roman"/>
          <w:sz w:val="18"/>
          <w:szCs w:val="18"/>
          <w:b w:val="1"/>
          <w:bCs w:val="1"/>
          <w:i w:val="1"/>
          <w:iCs w:val="1"/>
          <w:color w:val="auto"/>
        </w:rPr>
        <w:t>Managed Accounts</w:t>
      </w:r>
      <w:r>
        <w:rPr>
          <w:rFonts w:ascii="Times New Roman" w:cs="Times New Roman" w:eastAsia="Times New Roman" w:hAnsi="Times New Roman"/>
          <w:sz w:val="18"/>
          <w:szCs w:val="18"/>
          <w:color w:val="auto"/>
        </w:rPr>
        <w:t>”) and may be deemed to indirectly beneficially own securities owned by the Managed Accounts. The General Partner is the general partner of both Wolf Hill Capital and the Fund, and may be deemed to beneficially own securities owned by, each of Wolf Hill Capital and the Fund. Mr. Lehrman is the managing member of, and may be deemed to beneficially own securities beneficially owned by, the General Partner. The Fund and the Managed Accounts are the record and direct beneficial owners of the securities covered by this statement. The Fund disclaims beneficial ownership of the shares of Common Stock held by each of the Managed Accounts. The Managed Accounts disclaim beneficial ownership of the shares held by the Fund.</w:t>
      </w:r>
    </w:p>
    <w:p>
      <w:pPr>
        <w:spacing w:after="0" w:line="81" w:lineRule="exact"/>
        <w:rPr>
          <w:rFonts w:ascii="Times New Roman" w:cs="Times New Roman" w:eastAsia="Times New Roman" w:hAnsi="Times New Roman"/>
          <w:sz w:val="18"/>
          <w:szCs w:val="18"/>
          <w:b w:val="1"/>
          <w:bCs w:val="1"/>
          <w:color w:val="auto"/>
        </w:rPr>
      </w:pPr>
    </w:p>
    <w:p>
      <w:pPr>
        <w:ind w:left="444"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w:t>
      </w:r>
    </w:p>
    <w:p>
      <w:pPr>
        <w:spacing w:after="0" w:line="53" w:lineRule="exact"/>
        <w:rPr>
          <w:rFonts w:ascii="Times New Roman" w:cs="Times New Roman" w:eastAsia="Times New Roman" w:hAnsi="Times New Roman"/>
          <w:sz w:val="18"/>
          <w:szCs w:val="18"/>
          <w:b w:val="1"/>
          <w:bCs w:val="1"/>
          <w:color w:val="auto"/>
        </w:rPr>
      </w:pPr>
    </w:p>
    <w:p>
      <w:pPr>
        <w:ind w:left="444"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33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121" w:lineRule="exact"/>
        <w:rPr>
          <w:rFonts w:ascii="Times New Roman" w:cs="Times New Roman" w:eastAsia="Times New Roman" w:hAnsi="Times New Roman"/>
          <w:sz w:val="18"/>
          <w:szCs w:val="18"/>
          <w:b w:val="1"/>
          <w:bCs w:val="1"/>
          <w:color w:val="auto"/>
        </w:rPr>
      </w:pPr>
    </w:p>
    <w:p>
      <w:pPr>
        <w:ind w:left="444"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address of the principal business office of each of the Reporting Persons is c/o Wolf Hill Capital Management, LP, 35 Mason Street, 2nd Floor, Greenwich, Connecticut 06830.</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4 on the cover page(s) hereto.</w:t>
      </w:r>
    </w:p>
    <w:p>
      <w:pPr>
        <w:sectPr>
          <w:pgSz w:w="11900" w:h="16838" w:orient="portrait"/>
          <w:cols w:equalWidth="0" w:num="1">
            <w:col w:w="11004"/>
          </w:cols>
          <w:pgMar w:left="436" w:top="266" w:right="459" w:bottom="1440" w:gutter="0" w:footer="0" w:header="0"/>
        </w:sectPr>
      </w:pPr>
    </w:p>
    <w:bookmarkStart w:id="6" w:name="page7"/>
    <w:bookmarkEnd w:id="6"/>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 and Class of Securities:</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Stock, par value $0.01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373" w:lineRule="exact"/>
        <w:rPr>
          <w:rFonts w:ascii="Times New Roman" w:cs="Times New Roman" w:eastAsia="Times New Roman" w:hAnsi="Times New Roman"/>
          <w:sz w:val="18"/>
          <w:szCs w:val="18"/>
          <w:b w:val="1"/>
          <w:bCs w:val="1"/>
          <w:color w:val="auto"/>
        </w:rPr>
      </w:pPr>
    </w:p>
    <w:p>
      <w:pPr>
        <w:jc w:val="both"/>
        <w:ind w:left="444" w:right="9660" w:hanging="444"/>
        <w:spacing w:after="0" w:line="406" w:lineRule="auto"/>
        <w:tabs>
          <w:tab w:leader="none" w:pos="436"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No.: </w:t>
      </w:r>
      <w:r>
        <w:rPr>
          <w:rFonts w:ascii="Times New Roman" w:cs="Times New Roman" w:eastAsia="Times New Roman" w:hAnsi="Times New Roman"/>
          <w:sz w:val="17"/>
          <w:szCs w:val="17"/>
          <w:color w:val="auto"/>
        </w:rPr>
        <w:t>25065K104</w:t>
      </w: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15" w:lineRule="exact"/>
        <w:rPr>
          <w:sz w:val="20"/>
          <w:szCs w:val="20"/>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17" w:lineRule="exact"/>
        <w:rPr>
          <w:rFonts w:ascii="Times New Roman" w:cs="Times New Roman" w:eastAsia="Times New Roman" w:hAnsi="Times New Roman"/>
          <w:sz w:val="18"/>
          <w:szCs w:val="18"/>
          <w:color w:val="auto"/>
        </w:rPr>
      </w:pPr>
    </w:p>
    <w:p>
      <w:pPr>
        <w:ind w:left="664" w:hanging="664"/>
        <w:spacing w:after="0" w:line="245" w:lineRule="exact"/>
        <w:tabs>
          <w:tab w:leader="none" w:pos="340"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240.13d-1(b)(1)(ii)(J), please specify the type of institution: ____</w:t>
      </w:r>
    </w:p>
    <w:p>
      <w:pPr>
        <w:spacing w:after="0" w:line="343"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1"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Beneficially Owned as of the time of filing: </w:t>
      </w:r>
      <w:r>
        <w:rPr>
          <w:rFonts w:ascii="Times New Roman" w:cs="Times New Roman" w:eastAsia="Times New Roman" w:hAnsi="Times New Roman"/>
          <w:sz w:val="18"/>
          <w:szCs w:val="18"/>
          <w:color w:val="auto"/>
        </w:rPr>
        <w:t>See Item 9 on the cover pages(s) hereto.</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as of the time of filing: </w:t>
      </w:r>
      <w:r>
        <w:rPr>
          <w:rFonts w:ascii="Times New Roman" w:cs="Times New Roman" w:eastAsia="Times New Roman" w:hAnsi="Times New Roman"/>
          <w:sz w:val="18"/>
          <w:szCs w:val="18"/>
          <w:color w:val="auto"/>
        </w:rPr>
        <w:t>See Item 11 on the cover page(s) hereto.</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of the time of filing, number of shares as to which such person has: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See Item 5 on the cover pages hereto.</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See Item 6 on the cover pages hereto.</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See Item 7 on the cover pages hereto.</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See Item 8 on the cover pages hereto.</w:t>
      </w:r>
    </w:p>
    <w:p>
      <w:pPr>
        <w:sectPr>
          <w:pgSz w:w="11900" w:h="16838" w:orient="portrait"/>
          <w:cols w:equalWidth="0" w:num="1">
            <w:col w:w="11004"/>
          </w:cols>
          <w:pgMar w:left="436" w:top="266" w:right="459" w:bottom="1440" w:gutter="0" w:footer="0" w:header="0"/>
        </w:sectPr>
      </w:pPr>
    </w:p>
    <w:bookmarkStart w:id="7" w:name="page8"/>
    <w:bookmarkEnd w:id="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left="440" w:right="1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owners of more than five percent of the class of securities, check the following [ ].</w:t>
      </w:r>
    </w:p>
    <w:p>
      <w:pPr>
        <w:sectPr>
          <w:pgSz w:w="11900" w:h="16838" w:orient="portrait"/>
          <w:cols w:equalWidth="0" w:num="1">
            <w:col w:w="10880"/>
          </w:cols>
          <w:pgMar w:left="440" w:top="266" w:right="57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20" w:space="560"/>
            <w:col w:w="980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66"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520" w:space="560"/>
            <w:col w:w="980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66"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sectPr>
          <w:pgSz w:w="11900" w:h="16838" w:orient="portrait"/>
          <w:cols w:equalWidth="0" w:num="2">
            <w:col w:w="520" w:space="560"/>
            <w:col w:w="980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66"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p>
      <w:pPr>
        <w:spacing w:after="0" w:line="121" w:lineRule="exact"/>
        <w:rPr>
          <w:sz w:val="20"/>
          <w:szCs w:val="20"/>
          <w:color w:val="auto"/>
        </w:rPr>
      </w:pPr>
    </w:p>
    <w:p>
      <w:pPr>
        <w:sectPr>
          <w:pgSz w:w="11900" w:h="16838" w:orient="portrait"/>
          <w:cols w:equalWidth="0" w:num="2">
            <w:col w:w="520" w:space="560"/>
            <w:col w:w="980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66" w:right="5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ectPr>
          <w:pgSz w:w="11900" w:h="16838" w:orient="portrait"/>
          <w:cols w:equalWidth="0" w:num="2">
            <w:col w:w="620" w:space="460"/>
            <w:col w:w="9800"/>
          </w:cols>
          <w:pgMar w:left="440" w:top="266" w:right="579" w:bottom="1440" w:gutter="0" w:footer="0" w:header="0"/>
          <w:type w:val="continuous"/>
        </w:sectPr>
      </w:pPr>
    </w:p>
    <w:p>
      <w:pPr>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880"/>
          </w:cols>
          <w:pgMar w:left="440" w:top="266" w:right="57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13, 2024</w:t>
            </w: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WOLF HILL CAPITAL MANAGEMENT, LP</w:t>
            </w:r>
          </w:p>
        </w:tc>
      </w:tr>
      <w:tr>
        <w:trPr>
          <w:trHeight w:val="414"/>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Wolf Hill General Partner, LLC</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Lehrman</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Gary Lehrman</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3680" w:type="dxa"/>
            <w:vAlign w:val="bottom"/>
          </w:tcPr>
          <w:p>
            <w:pPr>
              <w:spacing w:after="0"/>
              <w:rPr>
                <w:sz w:val="24"/>
                <w:szCs w:val="24"/>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WOLF HILL PARTNERS, LP</w:t>
            </w:r>
          </w:p>
        </w:tc>
      </w:tr>
      <w:tr>
        <w:trPr>
          <w:trHeight w:val="414"/>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Wolf Hill General Partner, LLC</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Its:</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Lehrman</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Gary Lehrman</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3680" w:type="dxa"/>
            <w:vAlign w:val="bottom"/>
          </w:tcPr>
          <w:p>
            <w:pPr>
              <w:spacing w:after="0"/>
              <w:rPr>
                <w:sz w:val="24"/>
                <w:szCs w:val="24"/>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WOLF HILL GENERAL PARTNER, LLC</w:t>
            </w:r>
          </w:p>
        </w:tc>
      </w:tr>
      <w:tr>
        <w:trPr>
          <w:trHeight w:val="432"/>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Lehrman</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Gary Lehrman</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GARY LEHRMAN</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Gary Lehrman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17145</wp:posOffset>
            </wp:positionV>
            <wp:extent cx="3488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9" w:name="page10"/>
    <w:bookmarkEnd w:id="9"/>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16510</wp:posOffset>
            </wp:positionV>
            <wp:extent cx="6437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5" w:lineRule="exact"/>
        <w:rPr>
          <w:sz w:val="20"/>
          <w:szCs w:val="20"/>
          <w:color w:val="auto"/>
        </w:rPr>
      </w:pPr>
    </w:p>
    <w:p>
      <w:pPr>
        <w:ind w:left="88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Joint Filing Agreement (incorporated herein by reference to Exhibit 99.1 to the Schedule 13G filed on May 23, 2023, by the Reporting Persons with the SEC).</w:t>
      </w:r>
    </w:p>
    <w:sectPr>
      <w:pgSz w:w="11900" w:h="16838" w:orient="portrait"/>
      <w:cols w:equalWidth="0" w:num="1">
        <w:col w:w="10560"/>
      </w:cols>
      <w:pgMar w:left="440" w:top="266"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
      <w:numFmt w:val="bullet"/>
      <w:start w:val="1"/>
    </w:lvl>
    <w:lvl w:ilvl="1">
      <w:lvlJc w:val="left"/>
      <w:lvlText w:val=" "/>
      <w:numFmt w:val="bullet"/>
      <w:start w:val="1"/>
    </w:lvl>
  </w:abstractNum>
  <w:abstractNum w:abstractNumId="7">
    <w:nsid w:val="140E0F76"/>
    <w:multiLevelType w:val="hybridMultilevel"/>
    <w:lvl w:ilvl="0">
      <w:lvlJc w:val="left"/>
      <w:lvlText w:val=" "/>
      <w:numFmt w:val="bullet"/>
      <w:start w:val="1"/>
    </w:lvl>
  </w:abstractNum>
  <w:abstractNum w:abstractNumId="8">
    <w:nsid w:val="3352255A"/>
    <w:multiLevelType w:val="hybridMultilevel"/>
    <w:lvl w:ilvl="0">
      <w:lvlJc w:val="left"/>
      <w:lvlText w:val="5"/>
      <w:numFmt w:val="bullet"/>
      <w:start w:val="1"/>
    </w:lvl>
  </w:abstractNum>
  <w:abstractNum w:abstractNumId="9">
    <w:nsid w:val="109CF92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DED7263"/>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1">
    <w:nsid w:val="7FDCC23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4"/>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2024-02-13T14:05:54Z</dcterms:created>
  <dcterms:modified xsi:type="dcterms:W3CDTF">2024-02-13T14:05:54Z</dcterms:modified>
</cp:coreProperties>
</file>