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(Name of Issuer)</w:t>
      </w:r>
    </w:p>
    <w:p>
      <w:pPr>
        <w:spacing w:after="0" w:line="33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 of Securities)</w:t>
      </w:r>
    </w:p>
    <w:p>
      <w:pPr>
        <w:spacing w:after="0" w:line="31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148711302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(CUSIP Number)</w:t>
      </w:r>
    </w:p>
    <w:p>
      <w:pPr>
        <w:spacing w:after="0" w:line="31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460" w:hanging="44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22"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517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171440"/>
                    </a:xfrm>
                    <a:prstGeom prst="rect">
                      <a:avLst/>
                    </a:prstGeom>
                    <a:noFill/>
                  </pic:spPr>
                </pic:pic>
              </a:graphicData>
            </a:graphic>
          </wp:anchor>
        </w:drawing>
      </w:r>
    </w:p>
    <w:p>
      <w:pPr>
        <w:spacing w:after="0" w:line="84"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60" w:type="dxa"/>
            <w:vAlign w:val="bottom"/>
          </w:tcPr>
          <w:p>
            <w:pPr>
              <w:jc w:val="right"/>
              <w:ind w:right="58"/>
              <w:spacing w:after="0"/>
              <w:rPr>
                <w:sz w:val="20"/>
                <w:szCs w:val="20"/>
                <w:color w:val="auto"/>
              </w:rPr>
            </w:pPr>
            <w:r>
              <w:rPr>
                <w:rFonts w:ascii="Arial" w:cs="Arial" w:eastAsia="Arial" w:hAnsi="Arial"/>
                <w:sz w:val="16"/>
                <w:szCs w:val="16"/>
                <w:color w:val="auto"/>
                <w:w w:val="74"/>
              </w:rPr>
              <w:t>1.</w:t>
            </w:r>
          </w:p>
        </w:tc>
        <w:tc>
          <w:tcPr>
            <w:tcW w:w="4220" w:type="dxa"/>
            <w:vAlign w:val="bottom"/>
          </w:tcPr>
          <w:p>
            <w:pPr>
              <w:ind w:left="140"/>
              <w:spacing w:after="0"/>
              <w:rPr>
                <w:sz w:val="20"/>
                <w:szCs w:val="20"/>
                <w:color w:val="auto"/>
              </w:rPr>
            </w:pPr>
            <w:r>
              <w:rPr>
                <w:rFonts w:ascii="Arial" w:cs="Arial" w:eastAsia="Arial" w:hAnsi="Arial"/>
                <w:sz w:val="18"/>
                <w:szCs w:val="18"/>
                <w:color w:val="auto"/>
              </w:rPr>
              <w:t>Names of Reporting Persons.</w:t>
            </w:r>
          </w:p>
        </w:tc>
      </w:tr>
      <w:tr>
        <w:trPr>
          <w:trHeight w:val="222"/>
        </w:trPr>
        <w:tc>
          <w:tcPr>
            <w:tcW w:w="26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w w:val="89"/>
              </w:rPr>
              <w:t>I.R.S. Identification Nos. of above persons (entities only).</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80" w:type="dxa"/>
            <w:vAlign w:val="bottom"/>
            <w:tcBorders>
              <w:bottom w:val="single" w:sz="8" w:color="auto"/>
            </w:tcBorders>
            <w:gridSpan w:val="4"/>
          </w:tcPr>
          <w:p>
            <w:pPr>
              <w:ind w:left="60"/>
              <w:spacing w:after="0"/>
              <w:rPr>
                <w:sz w:val="20"/>
                <w:szCs w:val="20"/>
                <w:color w:val="auto"/>
              </w:rPr>
            </w:pPr>
            <w:r>
              <w:rPr>
                <w:rFonts w:ascii="Arial" w:cs="Arial" w:eastAsia="Arial" w:hAnsi="Arial"/>
                <w:sz w:val="22"/>
                <w:szCs w:val="22"/>
                <w:color w:val="auto"/>
              </w:rPr>
              <w:t>RBC Global Asset Management (U.S.) Inc.</w:t>
            </w:r>
          </w:p>
        </w:tc>
        <w:tc>
          <w:tcPr>
            <w:tcW w:w="0" w:type="dxa"/>
            <w:vAlign w:val="bottom"/>
          </w:tcPr>
          <w:p>
            <w:pPr>
              <w:spacing w:after="0"/>
              <w:rPr>
                <w:sz w:val="1"/>
                <w:szCs w:val="1"/>
                <w:color w:val="auto"/>
              </w:rPr>
            </w:pPr>
          </w:p>
        </w:tc>
      </w:tr>
      <w:tr>
        <w:trPr>
          <w:trHeight w:val="170"/>
        </w:trPr>
        <w:tc>
          <w:tcPr>
            <w:tcW w:w="460" w:type="dxa"/>
            <w:vAlign w:val="bottom"/>
          </w:tcPr>
          <w:p>
            <w:pPr>
              <w:ind w:left="220"/>
              <w:spacing w:after="0" w:line="170"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10880" w:type="dxa"/>
            <w:vAlign w:val="bottom"/>
            <w:gridSpan w:val="4"/>
          </w:tcPr>
          <w:p>
            <w:pPr>
              <w:ind w:left="6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660" w:type="dxa"/>
            <w:vAlign w:val="bottom"/>
            <w:gridSpan w:val="2"/>
          </w:tcPr>
          <w:p>
            <w:pPr>
              <w:jc w:val="right"/>
              <w:ind w:right="412"/>
              <w:spacing w:after="0" w:line="181" w:lineRule="exact"/>
              <w:rPr>
                <w:sz w:val="20"/>
                <w:szCs w:val="20"/>
                <w:color w:val="auto"/>
              </w:rPr>
            </w:pPr>
            <w:r>
              <w:rPr>
                <w:rFonts w:ascii="MS PGothic" w:cs="MS PGothic" w:eastAsia="MS PGothic" w:hAnsi="MS PGothic"/>
                <w:sz w:val="18"/>
                <w:szCs w:val="18"/>
                <w:color w:val="auto"/>
                <w:w w:val="77"/>
              </w:rPr>
              <w:t>☐</w:t>
            </w: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(b)</w:t>
            </w:r>
          </w:p>
        </w:tc>
        <w:tc>
          <w:tcPr>
            <w:tcW w:w="660" w:type="dxa"/>
            <w:vAlign w:val="bottom"/>
            <w:gridSpan w:val="2"/>
          </w:tcPr>
          <w:p>
            <w:pPr>
              <w:jc w:val="right"/>
              <w:ind w:right="392"/>
              <w:spacing w:after="0" w:line="181" w:lineRule="exact"/>
              <w:rPr>
                <w:sz w:val="20"/>
                <w:szCs w:val="20"/>
                <w:color w:val="auto"/>
              </w:rPr>
            </w:pPr>
            <w:r>
              <w:rPr>
                <w:rFonts w:ascii="MS PGothic" w:cs="MS PGothic" w:eastAsia="MS PGothic" w:hAnsi="MS PGothic"/>
                <w:sz w:val="18"/>
                <w:szCs w:val="18"/>
                <w:color w:val="auto"/>
                <w:w w:val="88"/>
              </w:rPr>
              <w:t>☐</w:t>
            </w:r>
          </w:p>
        </w:tc>
        <w:tc>
          <w:tcPr>
            <w:tcW w:w="9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8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880" w:type="dxa"/>
            <w:vAlign w:val="bottom"/>
            <w:gridSpan w:val="4"/>
          </w:tcPr>
          <w:p>
            <w:pPr>
              <w:ind w:left="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8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88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22"/>
                <w:szCs w:val="22"/>
                <w:color w:val="auto"/>
                <w:w w:val="88"/>
              </w:rPr>
              <w:t>Minnesota</w:t>
            </w: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98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220" w:type="dxa"/>
            <w:vAlign w:val="bottom"/>
            <w:tcBorders>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90"/>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900" w:type="dxa"/>
            <w:vAlign w:val="bottom"/>
            <w:gridSpan w:val="3"/>
          </w:tcPr>
          <w:p>
            <w:pPr>
              <w:jc w:val="center"/>
              <w:ind w:left="332"/>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98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4"/>
              </w:rPr>
              <w:t>Beneficially</w:t>
            </w:r>
          </w:p>
        </w:tc>
        <w:tc>
          <w:tcPr>
            <w:tcW w:w="340" w:type="dxa"/>
            <w:vAlign w:val="bottom"/>
            <w:tcBorders>
              <w:right w:val="single" w:sz="8" w:color="auto"/>
            </w:tcBorders>
          </w:tcPr>
          <w:p>
            <w:pPr>
              <w:spacing w:after="0"/>
              <w:rPr>
                <w:sz w:val="18"/>
                <w:szCs w:val="18"/>
                <w:color w:val="auto"/>
              </w:rPr>
            </w:pPr>
          </w:p>
        </w:tc>
        <w:tc>
          <w:tcPr>
            <w:tcW w:w="9880" w:type="dxa"/>
            <w:vAlign w:val="bottom"/>
            <w:vMerge w:val="restart"/>
          </w:tcPr>
          <w:p>
            <w:pPr>
              <w:ind w:left="80"/>
              <w:spacing w:after="0"/>
              <w:rPr>
                <w:sz w:val="20"/>
                <w:szCs w:val="20"/>
                <w:color w:val="auto"/>
              </w:rPr>
            </w:pPr>
            <w:r>
              <w:rPr>
                <w:rFonts w:ascii="Arial" w:cs="Arial" w:eastAsia="Arial" w:hAnsi="Arial"/>
                <w:sz w:val="22"/>
                <w:szCs w:val="22"/>
                <w:color w:val="auto"/>
              </w:rPr>
              <w:t>2,657,047</w:t>
            </w:r>
          </w:p>
        </w:tc>
        <w:tc>
          <w:tcPr>
            <w:tcW w:w="0" w:type="dxa"/>
            <w:vAlign w:val="bottom"/>
          </w:tcPr>
          <w:p>
            <w:pPr>
              <w:spacing w:after="0"/>
              <w:rPr>
                <w:sz w:val="1"/>
                <w:szCs w:val="1"/>
                <w:color w:val="auto"/>
              </w:rPr>
            </w:pPr>
          </w:p>
        </w:tc>
      </w:tr>
      <w:tr>
        <w:trPr>
          <w:trHeight w:val="222"/>
        </w:trPr>
        <w:tc>
          <w:tcPr>
            <w:tcW w:w="1220" w:type="dxa"/>
            <w:vAlign w:val="bottom"/>
            <w:tcBorders>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88"/>
              </w:rPr>
              <w:t>Owned by</w:t>
            </w:r>
          </w:p>
        </w:tc>
        <w:tc>
          <w:tcPr>
            <w:tcW w:w="340" w:type="dxa"/>
            <w:vAlign w:val="bottom"/>
            <w:tcBorders>
              <w:bottom w:val="single" w:sz="8" w:color="auto"/>
              <w:right w:val="single" w:sz="8" w:color="auto"/>
            </w:tcBorders>
          </w:tcPr>
          <w:p>
            <w:pPr>
              <w:spacing w:after="0"/>
              <w:rPr>
                <w:sz w:val="19"/>
                <w:szCs w:val="19"/>
                <w:color w:val="auto"/>
              </w:rPr>
            </w:pPr>
          </w:p>
        </w:tc>
        <w:tc>
          <w:tcPr>
            <w:tcW w:w="9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44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spacing w:after="0"/>
              <w:rPr>
                <w:sz w:val="16"/>
                <w:szCs w:val="16"/>
                <w:color w:val="auto"/>
              </w:rPr>
            </w:pPr>
          </w:p>
        </w:tc>
        <w:tc>
          <w:tcPr>
            <w:tcW w:w="340" w:type="dxa"/>
            <w:vAlign w:val="bottom"/>
            <w:tcBorders>
              <w:right w:val="single" w:sz="8" w:color="auto"/>
            </w:tcBorders>
          </w:tcPr>
          <w:p>
            <w:pPr>
              <w:jc w:val="right"/>
              <w:ind w:right="32"/>
              <w:spacing w:after="0" w:line="190" w:lineRule="exact"/>
              <w:rPr>
                <w:sz w:val="20"/>
                <w:szCs w:val="20"/>
                <w:color w:val="auto"/>
              </w:rPr>
            </w:pPr>
            <w:r>
              <w:rPr>
                <w:rFonts w:ascii="Arial" w:cs="Arial" w:eastAsia="Arial" w:hAnsi="Arial"/>
                <w:sz w:val="18"/>
                <w:szCs w:val="18"/>
                <w:color w:val="auto"/>
              </w:rPr>
              <w:t>7.</w:t>
            </w:r>
          </w:p>
        </w:tc>
        <w:tc>
          <w:tcPr>
            <w:tcW w:w="988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20" w:type="dxa"/>
            <w:vAlign w:val="bottom"/>
            <w:tcBorders>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9"/>
              </w:rPr>
              <w:t>Reporting</w:t>
            </w:r>
          </w:p>
        </w:tc>
        <w:tc>
          <w:tcPr>
            <w:tcW w:w="340" w:type="dxa"/>
            <w:vAlign w:val="bottom"/>
            <w:tcBorders>
              <w:right w:val="single" w:sz="8" w:color="auto"/>
            </w:tcBorders>
          </w:tcPr>
          <w:p>
            <w:pPr>
              <w:spacing w:after="0"/>
              <w:rPr>
                <w:sz w:val="18"/>
                <w:szCs w:val="18"/>
                <w:color w:val="auto"/>
              </w:rPr>
            </w:pPr>
          </w:p>
        </w:tc>
        <w:tc>
          <w:tcPr>
            <w:tcW w:w="988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900" w:type="dxa"/>
            <w:vAlign w:val="bottom"/>
            <w:gridSpan w:val="3"/>
          </w:tcPr>
          <w:p>
            <w:pPr>
              <w:jc w:val="center"/>
              <w:ind w:left="332"/>
              <w:spacing w:after="0"/>
              <w:rPr>
                <w:sz w:val="20"/>
                <w:szCs w:val="20"/>
                <w:color w:val="auto"/>
              </w:rPr>
            </w:pPr>
            <w:r>
              <w:rPr>
                <w:rFonts w:ascii="Arial" w:cs="Arial" w:eastAsia="Arial" w:hAnsi="Arial"/>
                <w:sz w:val="18"/>
                <w:szCs w:val="18"/>
                <w:color w:val="auto"/>
                <w:w w:val="84"/>
              </w:rPr>
              <w:t>Person</w:t>
            </w:r>
          </w:p>
        </w:tc>
        <w:tc>
          <w:tcPr>
            <w:tcW w:w="3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460" w:type="dxa"/>
            <w:vAlign w:val="bottom"/>
          </w:tcPr>
          <w:p>
            <w:pPr>
              <w:spacing w:after="0"/>
              <w:rPr>
                <w:sz w:val="4"/>
                <w:szCs w:val="4"/>
                <w:color w:val="auto"/>
              </w:rPr>
            </w:pPr>
          </w:p>
        </w:tc>
        <w:tc>
          <w:tcPr>
            <w:tcW w:w="4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320" w:type="dxa"/>
            <w:vAlign w:val="bottom"/>
            <w:tcBorders>
              <w:right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9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c>
          <w:tcPr>
            <w:tcW w:w="98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5,112,669</w:t>
            </w:r>
          </w:p>
        </w:tc>
        <w:tc>
          <w:tcPr>
            <w:tcW w:w="0" w:type="dxa"/>
            <w:vAlign w:val="bottom"/>
          </w:tcPr>
          <w:p>
            <w:pPr>
              <w:spacing w:after="0"/>
              <w:rPr>
                <w:sz w:val="1"/>
                <w:szCs w:val="1"/>
                <w:color w:val="auto"/>
              </w:rPr>
            </w:pPr>
          </w:p>
        </w:tc>
      </w:tr>
      <w:tr>
        <w:trPr>
          <w:trHeight w:val="218"/>
        </w:trPr>
        <w:tc>
          <w:tcPr>
            <w:tcW w:w="460" w:type="dxa"/>
            <w:vAlign w:val="bottom"/>
          </w:tcPr>
          <w:p>
            <w:pPr>
              <w:ind w:left="300"/>
              <w:spacing w:after="0"/>
              <w:rPr>
                <w:sz w:val="20"/>
                <w:szCs w:val="20"/>
                <w:color w:val="auto"/>
              </w:rPr>
            </w:pPr>
            <w:r>
              <w:rPr>
                <w:rFonts w:ascii="Arial" w:cs="Arial" w:eastAsia="Arial" w:hAnsi="Arial"/>
                <w:sz w:val="18"/>
                <w:szCs w:val="18"/>
                <w:color w:val="auto"/>
                <w:w w:val="92"/>
              </w:rPr>
              <w:t>9.</w:t>
            </w:r>
          </w:p>
        </w:tc>
        <w:tc>
          <w:tcPr>
            <w:tcW w:w="100" w:type="dxa"/>
            <w:vAlign w:val="bottom"/>
            <w:tcBorders>
              <w:right w:val="single" w:sz="8" w:color="auto"/>
            </w:tcBorders>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color w:val="auto"/>
              </w:rPr>
              <w:t>Aggregate</w:t>
            </w:r>
          </w:p>
        </w:tc>
        <w:tc>
          <w:tcPr>
            <w:tcW w:w="9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22"/>
                <w:szCs w:val="22"/>
                <w:color w:val="auto"/>
                <w:w w:val="91"/>
              </w:rPr>
              <w:t>5,112,669</w:t>
            </w: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0" w:type="dxa"/>
            <w:vAlign w:val="bottom"/>
          </w:tcPr>
          <w:p>
            <w:pPr>
              <w:ind w:left="220"/>
              <w:spacing w:after="0"/>
              <w:rPr>
                <w:sz w:val="20"/>
                <w:szCs w:val="20"/>
                <w:color w:val="auto"/>
              </w:rPr>
            </w:pPr>
            <w:r>
              <w:rPr>
                <w:rFonts w:ascii="Arial" w:cs="Arial" w:eastAsia="Arial" w:hAnsi="Arial"/>
                <w:sz w:val="18"/>
                <w:szCs w:val="18"/>
                <w:color w:val="auto"/>
                <w:w w:val="87"/>
              </w:rPr>
              <w:t>10.</w:t>
            </w:r>
          </w:p>
        </w:tc>
        <w:tc>
          <w:tcPr>
            <w:tcW w:w="100" w:type="dxa"/>
            <w:vAlign w:val="bottom"/>
            <w:tcBorders>
              <w:right w:val="single" w:sz="8" w:color="auto"/>
            </w:tcBorders>
          </w:tcPr>
          <w:p>
            <w:pPr>
              <w:spacing w:after="0"/>
              <w:rPr>
                <w:sz w:val="18"/>
                <w:szCs w:val="18"/>
                <w:color w:val="auto"/>
              </w:rPr>
            </w:pPr>
          </w:p>
        </w:tc>
        <w:tc>
          <w:tcPr>
            <w:tcW w:w="1088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11.</w:t>
            </w:r>
          </w:p>
        </w:tc>
        <w:tc>
          <w:tcPr>
            <w:tcW w:w="100" w:type="dxa"/>
            <w:vAlign w:val="bottom"/>
            <w:tcBorders>
              <w:right w:val="single" w:sz="8" w:color="auto"/>
            </w:tcBorders>
          </w:tcPr>
          <w:p>
            <w:pPr>
              <w:spacing w:after="0"/>
              <w:rPr>
                <w:sz w:val="18"/>
                <w:szCs w:val="18"/>
                <w:color w:val="auto"/>
              </w:rPr>
            </w:pPr>
          </w:p>
        </w:tc>
        <w:tc>
          <w:tcPr>
            <w:tcW w:w="1088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w w:val="89"/>
              </w:rPr>
              <w:t>10.5%</w:t>
            </w:r>
          </w:p>
        </w:tc>
        <w:tc>
          <w:tcPr>
            <w:tcW w:w="3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0" w:type="dxa"/>
            <w:vAlign w:val="bottom"/>
          </w:tcPr>
          <w:p>
            <w:pPr>
              <w:ind w:left="220"/>
              <w:spacing w:after="0"/>
              <w:rPr>
                <w:sz w:val="20"/>
                <w:szCs w:val="20"/>
                <w:color w:val="auto"/>
              </w:rPr>
            </w:pPr>
            <w:r>
              <w:rPr>
                <w:rFonts w:ascii="Arial" w:cs="Arial" w:eastAsia="Arial" w:hAnsi="Arial"/>
                <w:sz w:val="18"/>
                <w:szCs w:val="18"/>
                <w:color w:val="auto"/>
                <w:w w:val="87"/>
              </w:rPr>
              <w:t>12.</w:t>
            </w:r>
          </w:p>
        </w:tc>
        <w:tc>
          <w:tcPr>
            <w:tcW w:w="100" w:type="dxa"/>
            <w:vAlign w:val="bottom"/>
            <w:tcBorders>
              <w:right w:val="single" w:sz="8" w:color="auto"/>
            </w:tcBorders>
          </w:tcPr>
          <w:p>
            <w:pPr>
              <w:spacing w:after="0"/>
              <w:rPr>
                <w:sz w:val="18"/>
                <w:szCs w:val="18"/>
                <w:color w:val="auto"/>
              </w:rPr>
            </w:pPr>
          </w:p>
        </w:tc>
        <w:tc>
          <w:tcPr>
            <w:tcW w:w="1088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IA</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96" w:lineRule="exact"/>
        <w:rPr>
          <w:sz w:val="20"/>
          <w:szCs w:val="20"/>
          <w:color w:val="auto"/>
        </w:rPr>
      </w:pPr>
    </w:p>
    <w:p>
      <w:pPr>
        <w:ind w:left="900" w:hanging="43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Casual Male Retail Group, Inc.</w:t>
      </w:r>
    </w:p>
    <w:p>
      <w:pPr>
        <w:spacing w:after="0" w:line="124" w:lineRule="exact"/>
        <w:rPr>
          <w:rFonts w:ascii="Arial" w:cs="Arial" w:eastAsia="Arial" w:hAnsi="Arial"/>
          <w:sz w:val="18"/>
          <w:szCs w:val="18"/>
          <w:color w:val="auto"/>
        </w:rPr>
      </w:pPr>
    </w:p>
    <w:p>
      <w:pPr>
        <w:ind w:left="900" w:right="6580" w:hanging="433"/>
        <w:spacing w:after="0" w:line="25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555 Turnpike Street</w:t>
      </w:r>
    </w:p>
    <w:p>
      <w:pPr>
        <w:ind w:left="900"/>
        <w:spacing w:after="0"/>
        <w:rPr>
          <w:rFonts w:ascii="Arial" w:cs="Arial" w:eastAsia="Arial" w:hAnsi="Arial"/>
          <w:sz w:val="18"/>
          <w:szCs w:val="18"/>
          <w:color w:val="auto"/>
        </w:rPr>
      </w:pPr>
      <w:r>
        <w:rPr>
          <w:rFonts w:ascii="Arial" w:cs="Arial" w:eastAsia="Arial" w:hAnsi="Arial"/>
          <w:sz w:val="18"/>
          <w:szCs w:val="18"/>
          <w:color w:val="auto"/>
        </w:rPr>
        <w:t>Canton, MA 02021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6" w:lineRule="exact"/>
        <w:rPr>
          <w:sz w:val="20"/>
          <w:szCs w:val="20"/>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RBC Global Asset Management (U.S.) Inc.</w:t>
      </w:r>
    </w:p>
    <w:p>
      <w:pPr>
        <w:spacing w:after="0" w:line="124" w:lineRule="exact"/>
        <w:rPr>
          <w:rFonts w:ascii="Arial" w:cs="Arial" w:eastAsia="Arial" w:hAnsi="Arial"/>
          <w:sz w:val="18"/>
          <w:szCs w:val="18"/>
          <w:color w:val="auto"/>
        </w:rPr>
      </w:pPr>
    </w:p>
    <w:p>
      <w:pPr>
        <w:ind w:left="920" w:right="5740" w:hanging="453"/>
        <w:spacing w:after="0" w:line="254"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100 South Fifth Street</w:t>
      </w:r>
    </w:p>
    <w:p>
      <w:pPr>
        <w:ind w:left="920"/>
        <w:spacing w:after="0"/>
        <w:rPr>
          <w:rFonts w:ascii="Arial" w:cs="Arial" w:eastAsia="Arial" w:hAnsi="Arial"/>
          <w:sz w:val="18"/>
          <w:szCs w:val="18"/>
          <w:color w:val="auto"/>
        </w:rPr>
      </w:pPr>
      <w:r>
        <w:rPr>
          <w:rFonts w:ascii="Arial" w:cs="Arial" w:eastAsia="Arial" w:hAnsi="Arial"/>
          <w:sz w:val="18"/>
          <w:szCs w:val="18"/>
          <w:color w:val="auto"/>
        </w:rPr>
        <w:t>Suite 2300</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124" w:lineRule="exact"/>
        <w:rPr>
          <w:rFonts w:ascii="Arial" w:cs="Arial" w:eastAsia="Arial" w:hAnsi="Arial"/>
          <w:sz w:val="18"/>
          <w:szCs w:val="18"/>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RBC Global Asset Management (U.S.) Inc. is incorporated under the laws of Minnesota</w:t>
      </w:r>
    </w:p>
    <w:p>
      <w:pPr>
        <w:spacing w:after="0" w:line="124" w:lineRule="exact"/>
        <w:rPr>
          <w:rFonts w:ascii="Arial" w:cs="Arial" w:eastAsia="Arial" w:hAnsi="Arial"/>
          <w:sz w:val="18"/>
          <w:szCs w:val="18"/>
          <w:color w:val="auto"/>
        </w:rPr>
      </w:pPr>
    </w:p>
    <w:p>
      <w:pPr>
        <w:ind w:left="920" w:right="8040" w:hanging="453"/>
        <w:spacing w:after="0" w:line="332" w:lineRule="auto"/>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44" w:lineRule="exact"/>
        <w:rPr>
          <w:rFonts w:ascii="Arial" w:cs="Arial" w:eastAsia="Arial" w:hAnsi="Arial"/>
          <w:sz w:val="16"/>
          <w:szCs w:val="16"/>
          <w:color w:val="auto"/>
        </w:rPr>
      </w:pPr>
    </w:p>
    <w:p>
      <w:pPr>
        <w:ind w:left="920" w:right="8800" w:hanging="453"/>
        <w:spacing w:after="0" w:line="370" w:lineRule="auto"/>
        <w:tabs>
          <w:tab w:leader="none" w:pos="920" w:val="left"/>
        </w:tabs>
        <w:numPr>
          <w:ilvl w:val="0"/>
          <w:numId w:val="4"/>
        </w:numPr>
        <w:rPr>
          <w:rFonts w:ascii="Arial" w:cs="Arial" w:eastAsia="Arial" w:hAnsi="Arial"/>
          <w:sz w:val="15"/>
          <w:szCs w:val="15"/>
          <w:color w:val="auto"/>
        </w:rPr>
      </w:pPr>
      <w:r>
        <w:rPr>
          <w:rFonts w:ascii="Arial" w:cs="Arial" w:eastAsia="Arial" w:hAnsi="Arial"/>
          <w:sz w:val="15"/>
          <w:szCs w:val="15"/>
          <w:color w:val="auto"/>
        </w:rPr>
        <w:t>CUSIP Number 148711302</w:t>
      </w:r>
    </w:p>
    <w:p>
      <w:pPr>
        <w:spacing w:after="0" w:line="1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64" w:lineRule="exact"/>
        <w:rPr>
          <w:sz w:val="20"/>
          <w:szCs w:val="20"/>
          <w:color w:val="auto"/>
        </w:rPr>
      </w:pPr>
    </w:p>
    <w:p>
      <w:pPr>
        <w:ind w:left="900" w:hanging="433"/>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320" w:hanging="853"/>
        <w:spacing w:after="0" w:line="236" w:lineRule="exact"/>
        <w:tabs>
          <w:tab w:leader="none" w:pos="901"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ectPr>
          <w:pgSz w:w="11900" w:h="16838" w:orient="portrait"/>
          <w:cols w:equalWidth="0" w:num="1">
            <w:col w:w="10820"/>
          </w:cols>
          <w:pgMar w:left="240" w:top="274" w:right="8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13" w:lineRule="exact"/>
        <w:rPr>
          <w:sz w:val="20"/>
          <w:szCs w:val="20"/>
          <w:color w:val="auto"/>
        </w:rPr>
      </w:pPr>
    </w:p>
    <w:p>
      <w:pPr>
        <w:ind w:left="900" w:hanging="43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420" w:right="7240" w:hanging="521"/>
        <w:spacing w:after="0" w:line="332" w:lineRule="auto"/>
        <w:tabs>
          <w:tab w:leader="none" w:pos="1420" w:val="left"/>
        </w:tabs>
        <w:numPr>
          <w:ilvl w:val="1"/>
          <w:numId w:val="6"/>
        </w:numPr>
        <w:rPr>
          <w:rFonts w:ascii="Arial" w:cs="Arial" w:eastAsia="Arial" w:hAnsi="Arial"/>
          <w:sz w:val="16"/>
          <w:szCs w:val="16"/>
          <w:color w:val="auto"/>
        </w:rPr>
      </w:pPr>
      <w:r>
        <w:rPr>
          <w:rFonts w:ascii="Arial" w:cs="Arial" w:eastAsia="Arial" w:hAnsi="Arial"/>
          <w:sz w:val="16"/>
          <w:szCs w:val="16"/>
          <w:color w:val="auto"/>
        </w:rPr>
        <w:t>Sole power to vote or to direct the vote See Item 5 of the Cover Page.</w:t>
      </w:r>
    </w:p>
    <w:p>
      <w:pPr>
        <w:spacing w:after="0" w:line="44" w:lineRule="exact"/>
        <w:rPr>
          <w:rFonts w:ascii="Arial" w:cs="Arial" w:eastAsia="Arial" w:hAnsi="Arial"/>
          <w:sz w:val="16"/>
          <w:szCs w:val="16"/>
          <w:color w:val="auto"/>
        </w:rPr>
      </w:pPr>
    </w:p>
    <w:p>
      <w:pPr>
        <w:ind w:left="1420" w:right="7080" w:hanging="521"/>
        <w:spacing w:after="0" w:line="332" w:lineRule="auto"/>
        <w:tabs>
          <w:tab w:leader="none" w:pos="1420" w:val="left"/>
        </w:tabs>
        <w:numPr>
          <w:ilvl w:val="1"/>
          <w:numId w:val="6"/>
        </w:numPr>
        <w:rPr>
          <w:rFonts w:ascii="Arial" w:cs="Arial" w:eastAsia="Arial" w:hAnsi="Arial"/>
          <w:sz w:val="16"/>
          <w:szCs w:val="16"/>
          <w:color w:val="auto"/>
        </w:rPr>
      </w:pPr>
      <w:r>
        <w:rPr>
          <w:rFonts w:ascii="Arial" w:cs="Arial" w:eastAsia="Arial" w:hAnsi="Arial"/>
          <w:sz w:val="16"/>
          <w:szCs w:val="16"/>
          <w:color w:val="auto"/>
        </w:rPr>
        <w:t>Shared power to vote or to direct the vote See Item 6 of the Cover Page.</w:t>
      </w:r>
    </w:p>
    <w:p>
      <w:pPr>
        <w:spacing w:after="0" w:line="44" w:lineRule="exact"/>
        <w:rPr>
          <w:rFonts w:ascii="Arial" w:cs="Arial" w:eastAsia="Arial" w:hAnsi="Arial"/>
          <w:sz w:val="16"/>
          <w:szCs w:val="16"/>
          <w:color w:val="auto"/>
        </w:rPr>
      </w:pPr>
    </w:p>
    <w:p>
      <w:pPr>
        <w:ind w:left="1420" w:right="6360" w:hanging="521"/>
        <w:spacing w:after="0" w:line="268"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91" w:lineRule="exact"/>
        <w:rPr>
          <w:rFonts w:ascii="Arial" w:cs="Arial" w:eastAsia="Arial" w:hAnsi="Arial"/>
          <w:sz w:val="18"/>
          <w:szCs w:val="18"/>
          <w:color w:val="auto"/>
        </w:rPr>
      </w:pPr>
    </w:p>
    <w:p>
      <w:pPr>
        <w:ind w:left="1420" w:right="6180" w:hanging="521"/>
        <w:spacing w:after="0" w:line="268"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Certifications</w:t>
      </w:r>
    </w:p>
    <w:p>
      <w:pPr>
        <w:spacing w:after="0" w:line="9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74"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2013</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Michael T. Lee / Chief Executive Officer, President &amp; Chief</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2019-12-06T00:22:39Z</dcterms:created>
  <dcterms:modified xsi:type="dcterms:W3CDTF">2019-12-06T00:22:39Z</dcterms:modified>
</cp:coreProperties>
</file>