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November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01-34219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3">
            <w:col w:w="4780" w:space="720"/>
            <w:col w:w="2960" w:space="720"/>
            <w:col w:w="1840"/>
          </w:cols>
          <w:pgMar w:left="240" w:top="314" w:right="639" w:bottom="1440" w:gutter="0" w:footer="0" w:header="0"/>
          <w:type w:val="continuous"/>
        </w:sectPr>
      </w:pPr>
    </w:p>
    <w:p>
      <w:pPr>
        <w:spacing w:after="0" w:line="9" w:lineRule="exact"/>
        <w:rPr>
          <w:sz w:val="24"/>
          <w:szCs w:val="24"/>
          <w:color w:val="auto"/>
        </w:rPr>
      </w:pPr>
    </w:p>
    <w:p>
      <w:pPr>
        <w:ind w:left="126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3">
            <w:col w:w="4740" w:space="720"/>
            <w:col w:w="2740" w:space="720"/>
            <w:col w:w="21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3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November 16, 2012, Casual Male Retail Group, Inc. (the “Company”) issued a press release announcing the Company’s operating results for the third quarter of fiscal 2012. The Company also provided revised guidance for fiscal 2012. A copy of this press release is attached hereto as Exhibit 99.1.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5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No.</w:t>
            </w:r>
          </w:p>
        </w:tc>
        <w:tc>
          <w:tcPr>
            <w:tcW w:w="3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8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88"/>
              </w:rPr>
              <w:t>Description</w:t>
            </w:r>
          </w:p>
        </w:tc>
      </w:tr>
      <w:tr>
        <w:trPr>
          <w:trHeight w:val="316"/>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99.1</w:t>
            </w: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w w:val="88"/>
              </w:rPr>
              <w:t>Press release announcing operating results for the third quarter of fiscal 2012.</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DENNIS R. HERNREICH</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Executive Vice President</w:t>
            </w:r>
          </w:p>
        </w:tc>
      </w:tr>
      <w:tr>
        <w:trPr>
          <w:trHeight w:val="222"/>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color w:val="auto"/>
              </w:rPr>
              <w:t>and Chief Financial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2012</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96405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40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Third-Quarter 2012 Financial Results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Delivers Strong Destination XL Retail Store and E-commerce Platform Growth Despite Market Weakness</w:t>
      </w:r>
    </w:p>
    <w:p>
      <w:pPr>
        <w:spacing w:after="0" w:line="16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 xml:space="preserve">CANTON, Mass., November 16, 2012 — </w:t>
      </w:r>
      <w:r>
        <w:rPr>
          <w:rFonts w:ascii="Arial" w:cs="Arial" w:eastAsia="Arial" w:hAnsi="Arial"/>
          <w:sz w:val="18"/>
          <w:szCs w:val="18"/>
          <w:b w:val="1"/>
          <w:bCs w:val="1"/>
          <w:u w:val="single" w:color="auto"/>
          <w:color w:val="auto"/>
        </w:rPr>
        <w:t>Casual Male Retail Group, Inc.</w:t>
      </w:r>
      <w:r>
        <w:rPr>
          <w:rFonts w:ascii="Arial" w:cs="Arial" w:eastAsia="Arial" w:hAnsi="Arial"/>
          <w:sz w:val="18"/>
          <w:szCs w:val="18"/>
          <w:color w:val="auto"/>
        </w:rPr>
        <w:t xml:space="preserve"> (NASDAQ: CMRG), the largest multi-channel specialty retailer of big &amp; tall men’s apparel and accessories, today reported operating results for the third quarter of fiscal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Comparable third quarter sales increased 1.5% and total sales were $88.7 million compared with $89.0 million in the third quarter of fiscal 2011.</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third quarter sales for Destination XL (DXL</w:t>
      </w:r>
      <w:r>
        <w:rPr>
          <w:rFonts w:ascii="Arial" w:cs="Arial" w:eastAsia="Arial" w:hAnsi="Arial"/>
          <w:sz w:val="11"/>
          <w:szCs w:val="11"/>
          <w:color w:val="auto"/>
        </w:rPr>
        <w:t>®</w:t>
      </w:r>
      <w:r>
        <w:rPr>
          <w:rFonts w:ascii="Arial" w:cs="Arial" w:eastAsia="Arial" w:hAnsi="Arial"/>
          <w:sz w:val="18"/>
          <w:szCs w:val="18"/>
          <w:color w:val="auto"/>
        </w:rPr>
        <w:t>) were up 13.8%, while comparable third quarter sales for Casual Male XL stores were flat. In the quarter, the DXL stores represented approximately 14% of the Company’s retail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third quarter was $1.6 million, or $(0.03) per diluted share, flat with the prior year’s third quarter.</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Incremental costs associated with the roll-out of the DXL stores were approximately $3.0 million, or $0.04 per diluted share after-tax, in the third quarter.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Opened five Destination XL stores and closed 13 Casual Male XL stores and one Rochester Clothing store.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“While overall third quarter results did not meet our expectations, Destination XL retail stores and direct sales through </w:t>
      </w:r>
      <w:r>
        <w:rPr>
          <w:rFonts w:ascii="Arial" w:cs="Arial" w:eastAsia="Arial" w:hAnsi="Arial"/>
          <w:sz w:val="16"/>
          <w:szCs w:val="16"/>
          <w:u w:val="single" w:color="auto"/>
          <w:color w:val="auto"/>
        </w:rPr>
        <w:t>DestinationXL.com</w:t>
      </w:r>
      <w:r>
        <w:rPr>
          <w:rFonts w:ascii="Arial" w:cs="Arial" w:eastAsia="Arial" w:hAnsi="Arial"/>
          <w:sz w:val="16"/>
          <w:szCs w:val="16"/>
          <w:color w:val="auto"/>
        </w:rPr>
        <w:t xml:space="preserve"> performed well with excellent comps,” said President and CEO David Levin. “Our lower year-over-year revenues and the resulting earnings decline were due to the mild fall weather that affected sales of seasonal apparel and lower sales from the direct channel as we transition our catalog customers to our e-commerce platform. On the positive side, our new DXL store comps were up 13.8% year over year with a flat comp for our Casual Male XL stores. Even though lower catalog sales resulted in a year-over-year decline for the direct channel, sales from our more profitable e-commerce business grew 11%. We believe that the increased focus on digital marketing will offset the top-line weakness in the long term and our direct operating margins will improve as a result of the reduced catalog circulation.”</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 early success of Destination XL gives us confidence in our plan to accelerate the opening of 225 to 250 DXL stores in major metropolitan areas and to close all of our traditional Casual Male XL locations across the country by the end of 2015,” said Levin. “We are currently testing a comprehensive </w:t>
      </w:r>
      <w:r>
        <w:rPr>
          <w:rFonts w:ascii="Arial" w:cs="Arial" w:eastAsia="Arial" w:hAnsi="Arial"/>
          <w:sz w:val="18"/>
          <w:szCs w:val="18"/>
          <w:u w:val="single" w:color="auto"/>
          <w:color w:val="auto"/>
        </w:rPr>
        <w:t>marketing program</w:t>
      </w:r>
      <w:r>
        <w:rPr>
          <w:rFonts w:ascii="Arial" w:cs="Arial" w:eastAsia="Arial" w:hAnsi="Arial"/>
          <w:sz w:val="18"/>
          <w:szCs w:val="18"/>
          <w:color w:val="auto"/>
        </w:rPr>
        <w:t xml:space="preserve"> </w:t>
      </w:r>
      <w:r>
        <w:rPr>
          <w:rFonts w:ascii="Arial" w:cs="Arial" w:eastAsia="Arial" w:hAnsi="Arial"/>
          <w:sz w:val="18"/>
          <w:szCs w:val="18"/>
          <w:u w:val="single" w:color="auto"/>
          <w:color w:val="auto"/>
        </w:rPr>
        <w:t>in</w:t>
      </w:r>
      <w:r>
        <w:rPr>
          <w:rFonts w:ascii="Arial" w:cs="Arial" w:eastAsia="Arial" w:hAnsi="Arial"/>
          <w:sz w:val="18"/>
          <w:szCs w:val="18"/>
          <w:color w:val="auto"/>
        </w:rPr>
        <w:t xml:space="preserve"> five target regions. The early feedback has been encouraging and we plan to</w:t>
      </w:r>
    </w:p>
    <w:p>
      <w:pPr>
        <w:sectPr>
          <w:pgSz w:w="11900" w:h="16838" w:orient="portrait"/>
          <w:cols w:equalWidth="0" w:num="1">
            <w:col w:w="11420"/>
          </w:cols>
          <w:pgMar w:left="240" w:top="125" w:right="239" w:bottom="1440" w:gutter="0" w:footer="0" w:header="0"/>
        </w:sectPr>
      </w:pPr>
    </w:p>
    <w:bookmarkStart w:id="4" w:name="page5"/>
    <w:bookmarkEnd w:id="4"/>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launch a national campaign in the spring to generate more awareness of the DXL brand. As we execute the transition to DXL, we expect to grow our share of end-of-rack customers, increase overall dollars per transaction, expand our market share, and ultimately substantially grow sales and achieve double digit operating margins.”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Third-Quarter Fiscal 2012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third quarter of fiscal 2012, total sales were $88.7 million compared with $89.0 million in the third quarter of fiscal 2011. Comparable sales for the third quarter increased 1.5% compared with the same period of the prior year. On a comparable basis, sales from the retail business increased 2.5% while the U.S. direct business decreased 3.0%. The increase in the retail business of 2.5% was primarily driven by the new DXL stores. Comparable sales for DXL stores for the third quarter increased 13.8%, and represented 14% of the Company’s retail business.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3.0% decrease in comparable direct sales during the third quarter was primarily related to a 33% decline from catalogs, which was partially offset by an 11% increase in e-commerce sales. Throughout fiscal 2012, there has been a shift in the direct business resulting from the Company’s customers responding less to traditional catalogs. In response to this trend, the Company has intensified its digital marketing efforts which include emails, web searches, Internet banners, and affiliate sites. During the third quarter the Company reduced the number of catalogs distributed by 30% with 50% less impressions.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the third quarter of fiscal 2012, gross margin, inclusive of occupancy costs, was 44.0% compared with gross margin of 45.0% for the third quarter of fiscal 2011. The decrease of 100 basis points was the result of lower merchandise margins and increased occupancy costs. On a dollar basis, occupancy costs for the third quarter of fiscal 2012 increased 3.2% over the prior year. This increase is partially due to the timing of the DXL store openings and the associated pre-opening occupancy costs incurred.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SG&amp;A expenses for the third quarter of fiscal 2012 were 42.5% of sales, flat compared with the third quarter of fiscal 2011. On a dollar basis, SG&amp;A expenses decreased $0.2 million, or 0.4%, for the third quarter of fiscal 2012, compared with the prior-year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Depreciation and amortization for the third quarter of fiscal 2012 grew to $3.8 million from $3.0 million for the third quarter of fiscal 2011, primarily due to increased amortization of $0.5 million related to the Company’s Casual Male trademark, as a result of its becoming a definite-lived asset.</w:t>
      </w:r>
    </w:p>
    <w:p>
      <w:pPr>
        <w:sectPr>
          <w:pgSz w:w="11900" w:h="16838" w:orient="portrait"/>
          <w:cols w:equalWidth="0" w:num="1">
            <w:col w:w="11380"/>
          </w:cols>
          <w:pgMar w:left="240" w:top="2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DXL Transition Costs</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Company is incurring transition costs as it moves to its DXL format, which include pre-opening rent and payroll, store training, infrastructure costs and increased marketing. These costs are incremental to last year and are start-up costs associated with store openings that will not continue once a DXL store is open.</w:t>
      </w:r>
    </w:p>
    <w:p>
      <w:pPr>
        <w:spacing w:after="0" w:line="6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Company’s results for the third quarter and first nine months of fiscal 2012 include total incremental costs of $3.0 million, or $0.04 per diluted share after-tax, and $6.6 million, or $0.08 per diluted share after-tax, respectively. See “Non-GAAP Measures”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As a result of its valuation allowance being substantially reversed in the fourth quarter of fiscal 2011, the Company has returned to a normal tax provision for fiscal 2012. Accordingly, for the first nine months of fiscal 2012, the effective tax rate was 40.5% compared with 8.8% for the first nine months of fiscal</w:t>
      </w:r>
    </w:p>
    <w:p>
      <w:pPr>
        <w:spacing w:after="0"/>
        <w:rPr>
          <w:sz w:val="20"/>
          <w:szCs w:val="20"/>
          <w:color w:val="auto"/>
        </w:rPr>
      </w:pPr>
      <w:r>
        <w:rPr>
          <w:rFonts w:ascii="Arial" w:cs="Arial" w:eastAsia="Arial" w:hAnsi="Arial"/>
          <w:sz w:val="16"/>
          <w:szCs w:val="16"/>
          <w:color w:val="auto"/>
        </w:rPr>
        <w:t>2011. The effective tax rate for the first nine months of fiscal 2011 was reduced from the statutory rate due to the utilization of fully reserved NOL carryforwards.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Continuing Operations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loss from continuing operations for the third quarter of fiscal 2012 was $1.6 million, or $(0.03) per diluted share, compared with a loss from continuing operations of $1.0 million, or $(0.02) per diluted share, for the third quarter of fiscal 2011.</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Income from continuing operations for the first nine months of fiscal 2012 was $3.8 million, or $0.08 per diluted share, compared with income from continuing operations of $10.7 million, or $0.22 per diluted share, for the first nine months of fiscal 2011. Assuming a normal tax rate of 40.0% for fiscal 2011, adjusted income from continuing operations for the first nine months of fiscal 2011 was $7.1 million, or $0.14 per diluted share. See below for a reconciliation of adjusted income from continuing operations, a non-GAAP measure.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net loss for the third quarter of fiscal 2012 of $1.6 million, or $(0.03) per diluted share, was flat compared with the third quarter of fiscal 2011. The results for the third quarter of fiscal 2012 include costs of $3.0 million, or $0.04 per diluted share, related to the DXL store growth initiative.</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income for the first nine months of fiscal 2012 was $1.9 million, or $0.04 per diluted share, compared with $9.2 million, or $0.19 per diluted share, for the first nine months of fiscal 2011. Assuming a normal tax rate of 40.0% for fiscal 2011, adjusted net income for the first nine months of fiscal 2011 was $5.5 million, or $0.11 per diluted share. The lower earnings, on a comparable non-GAAP tax basis, of $0.07 per diluted share is primarily due to flat sales and approximately $6.6 million, or $0.08 per diluted share, in higher costs to support the DXL roll-out. See below for a reconciliation of adjusted net income, a non-GAAP measure.</w:t>
      </w:r>
    </w:p>
    <w:p>
      <w:pPr>
        <w:sectPr>
          <w:pgSz w:w="11900" w:h="16838" w:orient="portrait"/>
          <w:cols w:equalWidth="0" w:num="1">
            <w:col w:w="11400"/>
          </w:cols>
          <w:pgMar w:left="240" w:top="41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Cash flow from operations was $8.4 million for the first nine months of fiscal 2012 compared with $11.7 million for the first nine months of fiscal 2011. Free cash flow from operations (as defined below under “Non-GAAP Measures”) decreased by $13.6 million to $(12.9) million from $0.7 million for the first nine months of fiscal 2011, largely due to the seasonal increase in inventory, an increase in capital expenditures associated with the new DXL store openings, higher occupancy and SG&amp;A expenses also associated with the DXL roll-out, and a prepayment penalty related to the closure of the European direct business included in discontinued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October 27, 2012, the Company had cash and cash equivalents of $5.2 million, outstanding borrowings of $7.6 million, and $64.4 million available under its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Inventory was $116.1 million compared with $104.2 million at the end of fiscal 2011 and $114.9 million at the end of the third quarter of fiscal 2011. Because of the upcoming “Holiday” selling season, inventory levels are typically higher when compared with year-end balances.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increase in inventory year-over-year is primarily the result of cost increases and shifting of product mix. On a unit basis, inventory decreased 9.2% compared to the third quarter of fiscal 2011. Unit inventories in branded product have increased by approximately 35% over the prior year to support the DXL store product assortments, which has a greater brand assortment than the Casual Male XL stores.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disclosed in the second quarter of fiscal 2012 news release, the Company is in the process of significantly transforming its business as it accelerates the DXL store openings and the closure of Casual Male XL stores. The DXL stores outperform the Casual Male XL stores and, as the chain is converted, the Company believes that the sales growth will improve. However, during the transition, the Company is experiencing some sales erosion among its Casual Male XL stores located near its DXL stores. Sales from DXL stores represented 14% of the Company’s retail sales for the third quarter and 11% of retail sales for the first nine months of fiscal 2012. By the conclusion of fiscal 2012, the Company expects that the penetration of DXL stores will approach approximately 25% of retail sales.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color w:val="auto"/>
              </w:rPr>
              <w:t>Year End 2011</w:t>
            </w: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First Nine Months 2012</w:t>
            </w:r>
          </w:p>
        </w:tc>
        <w:tc>
          <w:tcPr>
            <w:tcW w:w="1220" w:type="dxa"/>
            <w:vAlign w:val="bottom"/>
            <w:gridSpan w:val="4"/>
          </w:tcPr>
          <w:p>
            <w:pPr>
              <w:ind w:left="120"/>
              <w:spacing w:after="0"/>
              <w:rPr>
                <w:sz w:val="20"/>
                <w:szCs w:val="20"/>
                <w:color w:val="auto"/>
              </w:rPr>
            </w:pPr>
            <w:r>
              <w:rPr>
                <w:rFonts w:ascii="Arial" w:cs="Arial" w:eastAsia="Arial" w:hAnsi="Arial"/>
                <w:sz w:val="14"/>
                <w:szCs w:val="14"/>
                <w:color w:val="auto"/>
              </w:rPr>
              <w:t>Year End 2012E</w:t>
            </w:r>
          </w:p>
        </w:tc>
      </w:tr>
      <w:tr>
        <w:trPr>
          <w:trHeight w:val="129"/>
        </w:trPr>
        <w:tc>
          <w:tcPr>
            <w:tcW w:w="7080" w:type="dxa"/>
            <w:vAlign w:val="bottom"/>
          </w:tcPr>
          <w:p>
            <w:pPr>
              <w:spacing w:after="0"/>
              <w:rPr>
                <w:sz w:val="11"/>
                <w:szCs w:val="11"/>
                <w:color w:val="auto"/>
              </w:rPr>
            </w:pPr>
          </w:p>
        </w:tc>
        <w:tc>
          <w:tcPr>
            <w:tcW w:w="66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 of</w:t>
            </w:r>
          </w:p>
        </w:tc>
        <w:tc>
          <w:tcPr>
            <w:tcW w:w="62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Sq Ft.</w:t>
            </w:r>
          </w:p>
        </w:tc>
        <w:tc>
          <w:tcPr>
            <w:tcW w:w="30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Stores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Stores</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(000’s)</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7"/>
              </w:rPr>
              <w:t>Stores</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Destination XL *</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347</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4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28"/>
        </w:trPr>
        <w:tc>
          <w:tcPr>
            <w:tcW w:w="7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1,777</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3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1,810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413</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1,831</w:t>
            </w:r>
          </w:p>
        </w:tc>
        <w:tc>
          <w:tcPr>
            <w:tcW w:w="100" w:type="dxa"/>
            <w:vAlign w:val="bottom"/>
          </w:tcPr>
          <w:p>
            <w:pPr>
              <w:spacing w:after="0"/>
              <w:rPr>
                <w:sz w:val="19"/>
                <w:szCs w:val="19"/>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Subsequent to the end of the third quarter, the Company has opened five more DXL stores, bringing the total to 39 stores.</w:t>
      </w:r>
    </w:p>
    <w:p>
      <w:pPr>
        <w:sectPr>
          <w:pgSz w:w="11900" w:h="16838" w:orient="portrait"/>
          <w:cols w:equalWidth="0" w:num="1">
            <w:col w:w="11420"/>
          </w:cols>
          <w:pgMar w:left="240" w:top="41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2012 Outlook</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result of the lower-than-expected third-quarter results and the negative impact of Hurricane Sandy on the Company’s Northeast business, guidance has been revised for the fiscal year ending February 2, 2013 as follows: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 of 1.5% to 2.0% and total sales of $400.0 million to $402.0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is expected to improve by 10 to 40 basis points from 2011 to a range of 46.4% to 46.7%.</w:t>
      </w:r>
    </w:p>
    <w:p>
      <w:pPr>
        <w:spacing w:after="0" w:line="9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costs are expected to increase by $3.0 million to $4.0 million to a range of $155 million to $156 million, primarily due to the additional store payroll and advertising costs associated with the planned DXL store openings and expected bonus accruals. Included in this increase is approximately $2.5 million for the additional 53rd week in fiscal 2012. As a percentage of sales, SG&amp;A expenses are expected to increase over last year by 30 to 50 basis points to between 38.7% and 38.9%.</w:t>
      </w:r>
    </w:p>
    <w:p>
      <w:pPr>
        <w:spacing w:after="0" w:line="62"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provision to return to a normal tax rate of approximately 40.5%. The Company has $66.7 million of federal net operating loss carryforwards and $37.7 million of state net operating loss carryforwards that are available to offset future taxable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$0.17-$0.20, from previous guidance of $0.22-$0.25.</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of approximately $3.0 million, which is based on operating cash flow of approximately $38.0 million and capital expenditures of approximately $35.0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balance at end of fiscal 2012 will be approximately $13.0 million, with no borrowings outstanding under the Company’s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will hold a conference call to review its financial results and business highlights today, Friday, November 16, 2012 at 9:00 a.m. ET. Those who wish to listen to the live webcast should visit the “</w:t>
      </w:r>
      <w:r>
        <w:rPr>
          <w:rFonts w:ascii="Arial" w:cs="Arial" w:eastAsia="Arial" w:hAnsi="Arial"/>
          <w:sz w:val="18"/>
          <w:szCs w:val="18"/>
          <w:u w:val="single" w:color="auto"/>
          <w:color w:val="auto"/>
        </w:rPr>
        <w:t>Investors</w:t>
      </w:r>
      <w:r>
        <w:rPr>
          <w:rFonts w:ascii="Arial" w:cs="Arial" w:eastAsia="Arial" w:hAnsi="Arial"/>
          <w:sz w:val="18"/>
          <w:szCs w:val="18"/>
          <w:color w:val="auto"/>
        </w:rPr>
        <w:t>” section of the Company’s website. The live call also can be accessed by dialing: (888) 455-2296. For interested parties unable to participate live, an archived version of the webcast may be accessed by visiting the “</w:t>
      </w:r>
      <w:r>
        <w:rPr>
          <w:rFonts w:ascii="Arial" w:cs="Arial" w:eastAsia="Arial" w:hAnsi="Arial"/>
          <w:sz w:val="18"/>
          <w:szCs w:val="18"/>
          <w:u w:val="single" w:color="auto"/>
          <w:color w:val="auto"/>
        </w:rPr>
        <w:t>Events</w:t>
      </w:r>
      <w:r>
        <w:rPr>
          <w:rFonts w:ascii="Arial" w:cs="Arial" w:eastAsia="Arial" w:hAnsi="Arial"/>
          <w:sz w:val="18"/>
          <w:szCs w:val="18"/>
          <w:color w:val="auto"/>
        </w:rPr>
        <w:t>” section of the Company’s website for up to one year.</w:t>
      </w:r>
    </w:p>
    <w:p>
      <w:pPr>
        <w:spacing w:after="0" w:line="143"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In addition to financial measures prepared in accordance with generally accepted accounting principles (GAAP), the above discussion refers to non-GAAP adjusted income from continuing operations per diluted share and adjusted diluted earnings per share (“non-GAAP” or “adjusted”). These measures</w:t>
      </w:r>
    </w:p>
    <w:p>
      <w:pPr>
        <w:sectPr>
          <w:pgSz w:w="11900" w:h="16838" w:orient="portrait"/>
          <w:cols w:equalWidth="0" w:num="1">
            <w:col w:w="11400"/>
          </w:cols>
          <w:pgMar w:left="240" w:top="409" w:right="25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not be considered superior to or as a substitute for income from continuing operations per diluted share and diluted earnings per share derived in accordance with GAAP. The Company believes that these non-GAAP measures are useful as an additional means for investors to evaluate the Company’s operating results, when reviewed in conjunction with the Company’s GAAP financial statements. The Company believes the inclusion of these non-GAAP measures enhances an investor’s understanding of the underlying trends in the Company’s business and provide for better comparability between different periods in different years.</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above discussion refers to free cash flow, which also is a non-GAAP measure.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 if applicable.</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above discussion also includes the earnings per share impact of incremental costs that have been incurred in connection with the Company’s DXL growth initiative of $3.0 million, or $0.04 per diluted share, and $6.6 million, or $0.08 per diluted share, for the third quarter and first nine months of fiscal 2012, respectively. The $0.04 per diluted share was calculated, using the third quarter effective tax rate of 40.1%, by taking the net of $3.0 million less $1.2 million of tax divided by outstanding diluted shares of 48.1 million. The $0.08 per diluted share was calculated, using the first nine months’ effective tax rate of 40.5%, by taking the net of $6.6 million less $2.7 million of tax divided by outstanding diluted shares of 48.3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Below are tables showing the reconciliation of all GAAP measures to non-GAAP measures.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Casual Male Retail Group, Inc.</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Casual Male Retail Group, Inc. is the largest multi-channel specialty retailer of big &amp; tall men’s apparel with operations throughout the United States, Canada and Europe. The retailer operates under six brands: Destination XL</w:t>
      </w:r>
      <w:r>
        <w:rPr>
          <w:rFonts w:ascii="Arial" w:cs="Arial" w:eastAsia="Arial" w:hAnsi="Arial"/>
          <w:sz w:val="10"/>
          <w:szCs w:val="10"/>
          <w:color w:val="auto"/>
        </w:rPr>
        <w:t>®</w:t>
      </w:r>
      <w:r>
        <w:rPr>
          <w:rFonts w:ascii="Arial" w:cs="Arial" w:eastAsia="Arial" w:hAnsi="Arial"/>
          <w:sz w:val="16"/>
          <w:szCs w:val="16"/>
          <w:color w:val="auto"/>
        </w:rPr>
        <w:t xml:space="preserve">, Casual Male XL, Rochester Clothing, B&amp;T Factory Direct, ShoesXL and LivingXL. Several catalogs and e-commerce sites, including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xml:space="preserve">,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6"/>
          <w:szCs w:val="16"/>
          <w:u w:val="single" w:color="auto"/>
          <w:color w:val="auto"/>
        </w:rPr>
        <w:t>http://investor.casualmale.com</w:t>
      </w:r>
      <w:r>
        <w:rPr>
          <w:rFonts w:ascii="Arial" w:cs="Arial" w:eastAsia="Arial" w:hAnsi="Arial"/>
          <w:sz w:val="16"/>
          <w:szCs w:val="16"/>
          <w:color w:val="auto"/>
        </w:rPr>
        <w:t>.</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Certain information contained in this press release, including cash flows, operating margins, store counts, revenue and earnings expectations for fiscal 2012,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16, 2012, that set forth certain risks and uncertainties that may have an impact on future results and direction of the Company.</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409"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GAAP TO NON-GAAP EPS RECONCILIATION</w:t>
      </w:r>
    </w:p>
    <w:p>
      <w:pPr>
        <w:sectPr>
          <w:pgSz w:w="11900" w:h="16838" w:orient="portrait"/>
          <w:cols w:equalWidth="0" w:num="1">
            <w:col w:w="11420"/>
          </w:cols>
          <w:pgMar w:left="240" w:top="328"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 back: actual tax provision recorded at 8.8%</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Deduct: estimated income tax provision, assuming an effective rate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For the nine months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October 27, 2012</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0"/>
              </w:rPr>
              <w:t>October 29, 2011</w:t>
            </w:r>
          </w:p>
        </w:tc>
      </w:tr>
      <w:tr>
        <w:trPr>
          <w:trHeight w:val="201"/>
        </w:trPr>
        <w:tc>
          <w:tcPr>
            <w:tcW w:w="20" w:type="dxa"/>
            <w:vAlign w:val="bottom"/>
          </w:tcPr>
          <w:p>
            <w:pPr>
              <w:spacing w:after="0"/>
              <w:rPr>
                <w:sz w:val="17"/>
                <w:szCs w:val="17"/>
                <w:color w:val="auto"/>
              </w:rPr>
            </w:pPr>
          </w:p>
        </w:tc>
        <w:tc>
          <w:tcPr>
            <w:tcW w:w="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3,840</w:t>
            </w:r>
          </w:p>
        </w:tc>
        <w:tc>
          <w:tcPr>
            <w:tcW w:w="820" w:type="dxa"/>
            <w:vAlign w:val="bottom"/>
          </w:tcPr>
          <w:p>
            <w:pPr>
              <w:spacing w:after="0"/>
              <w:rPr>
                <w:sz w:val="17"/>
                <w:szCs w:val="17"/>
                <w:color w:val="auto"/>
              </w:rPr>
            </w:pPr>
          </w:p>
        </w:tc>
        <w:tc>
          <w:tcPr>
            <w:tcW w:w="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w w:val="98"/>
              </w:rPr>
              <w:t>10,726</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1,034</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(4,704)</w:t>
            </w:r>
          </w:p>
        </w:tc>
      </w:tr>
    </w:tbl>
    <w:p>
      <w:pPr>
        <w:spacing w:after="0" w:line="1" w:lineRule="exact"/>
        <w:rPr>
          <w:sz w:val="20"/>
          <w:szCs w:val="20"/>
          <w:color w:val="auto"/>
        </w:rPr>
      </w:pPr>
    </w:p>
    <w:p>
      <w:pPr>
        <w:sectPr>
          <w:pgSz w:w="11900" w:h="16838" w:orient="portrait"/>
          <w:cols w:equalWidth="0" w:num="2">
            <w:col w:w="7800" w:space="720"/>
            <w:col w:w="2900"/>
          </w:cols>
          <w:pgMar w:left="240" w:top="328"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continuing operations, non-GAAP</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top w:val="single" w:sz="8" w:color="auto"/>
            </w:tcBorders>
            <w:gridSpan w:val="2"/>
          </w:tcPr>
          <w:p>
            <w:pPr>
              <w:jc w:val="center"/>
              <w:ind w:right="232"/>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3,840</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loss from discontinued operations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32"/>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94"/>
              </w:rPr>
              <w:t>(1,933)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(1,555)</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non-GAAP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GAAP</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3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Adjusted income from continuing operations, non-GAAP</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tcPr>
          <w:p>
            <w:pPr>
              <w:jc w:val="center"/>
              <w:ind w:right="232"/>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loss from discontinued operations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3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(0.04)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non-GAAP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48,336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48,120</w:t>
            </w:r>
          </w:p>
        </w:tc>
      </w:tr>
      <w:tr>
        <w:trPr>
          <w:trHeight w:val="538"/>
        </w:trPr>
        <w:tc>
          <w:tcPr>
            <w:tcW w:w="20" w:type="dxa"/>
            <w:vAlign w:val="bottom"/>
          </w:tcPr>
          <w:p>
            <w:pPr>
              <w:spacing w:after="0"/>
              <w:rPr>
                <w:sz w:val="24"/>
                <w:szCs w:val="24"/>
                <w:color w:val="auto"/>
              </w:rPr>
            </w:pPr>
          </w:p>
        </w:tc>
        <w:tc>
          <w:tcPr>
            <w:tcW w:w="7500" w:type="dxa"/>
            <w:vAlign w:val="bottom"/>
            <w:gridSpan w:val="3"/>
          </w:tcPr>
          <w:p>
            <w:pPr>
              <w:ind w:left="4140"/>
              <w:spacing w:after="0"/>
              <w:rPr>
                <w:sz w:val="20"/>
                <w:szCs w:val="20"/>
                <w:color w:val="auto"/>
              </w:rPr>
            </w:pPr>
            <w:r>
              <w:rPr>
                <w:rFonts w:ascii="Arial" w:cs="Arial" w:eastAsia="Arial" w:hAnsi="Arial"/>
                <w:sz w:val="18"/>
                <w:szCs w:val="18"/>
                <w:b w:val="1"/>
                <w:bCs w:val="1"/>
                <w:color w:val="auto"/>
              </w:rPr>
              <w:t>CASUAL MALE RETAIL GROUP, INC.</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5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GAAP TO NON-GAAP FREE CASH FLOW RECONCILIATION</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85"/>
              </w:rPr>
              <w:t>For the nine months ended</w:t>
            </w:r>
          </w:p>
        </w:tc>
        <w:tc>
          <w:tcPr>
            <w:tcW w:w="32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Projected</w:t>
            </w:r>
          </w:p>
        </w:tc>
      </w:tr>
      <w:tr>
        <w:trPr>
          <w:trHeight w:val="161"/>
        </w:trPr>
        <w:tc>
          <w:tcPr>
            <w:tcW w:w="72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October 27, 2012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October 29, 2011</w:t>
            </w: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2012</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Free Cash Flow (non-GAAP)</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500" w:type="dxa"/>
            <w:vAlign w:val="bottom"/>
            <w:gridSpan w:val="3"/>
          </w:tcPr>
          <w:p>
            <w:pPr>
              <w:ind w:left="420"/>
              <w:spacing w:after="0"/>
              <w:rPr>
                <w:sz w:val="20"/>
                <w:szCs w:val="20"/>
                <w:color w:val="auto"/>
              </w:rPr>
            </w:pPr>
            <w:r>
              <w:rPr>
                <w:rFonts w:ascii="Arial" w:cs="Arial" w:eastAsia="Arial" w:hAnsi="Arial"/>
                <w:sz w:val="15"/>
                <w:szCs w:val="15"/>
                <w:color w:val="auto"/>
                <w:w w:val="71"/>
              </w:rPr>
              <w:t>$</w:t>
            </w:r>
          </w:p>
        </w:tc>
        <w:tc>
          <w:tcPr>
            <w:tcW w:w="1320" w:type="dxa"/>
            <w:vAlign w:val="bottom"/>
            <w:gridSpan w:val="4"/>
          </w:tcPr>
          <w:p>
            <w:pPr>
              <w:jc w:val="right"/>
              <w:ind w:right="440"/>
              <w:spacing w:after="0"/>
              <w:rPr>
                <w:sz w:val="20"/>
                <w:szCs w:val="20"/>
                <w:color w:val="auto"/>
              </w:rPr>
            </w:pPr>
            <w:r>
              <w:rPr>
                <w:rFonts w:ascii="Arial" w:cs="Arial" w:eastAsia="Arial" w:hAnsi="Arial"/>
                <w:sz w:val="18"/>
                <w:szCs w:val="18"/>
                <w:color w:val="auto"/>
              </w:rPr>
              <w:t>0.7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328"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color w:val="auto"/>
                <w:w w:val="94"/>
              </w:rPr>
              <w:t>For the 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4"/>
                <w:szCs w:val="14"/>
                <w:color w:val="auto"/>
                <w:w w:val="99"/>
              </w:rPr>
              <w:t>For the 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20" w:type="dxa"/>
            <w:vAlign w:val="bottom"/>
            <w:gridSpan w:val="3"/>
          </w:tcPr>
          <w:p>
            <w:pPr>
              <w:spacing w:after="0" w:line="159" w:lineRule="exact"/>
              <w:rPr>
                <w:sz w:val="20"/>
                <w:szCs w:val="20"/>
                <w:color w:val="auto"/>
              </w:rPr>
            </w:pPr>
            <w:r>
              <w:rPr>
                <w:rFonts w:ascii="Arial" w:cs="Arial" w:eastAsia="Arial" w:hAnsi="Arial"/>
                <w:sz w:val="14"/>
                <w:szCs w:val="14"/>
                <w:color w:val="auto"/>
              </w:rPr>
              <w:t>October 27, 2012</w:t>
            </w:r>
          </w:p>
        </w:tc>
        <w:tc>
          <w:tcPr>
            <w:tcW w:w="220" w:type="dxa"/>
            <w:vAlign w:val="bottom"/>
          </w:tcPr>
          <w:p>
            <w:pPr>
              <w:spacing w:after="0"/>
              <w:rPr>
                <w:sz w:val="13"/>
                <w:szCs w:val="13"/>
                <w:color w:val="auto"/>
              </w:rPr>
            </w:pPr>
          </w:p>
        </w:tc>
        <w:tc>
          <w:tcPr>
            <w:tcW w:w="1220" w:type="dxa"/>
            <w:vAlign w:val="bottom"/>
            <w:gridSpan w:val="3"/>
          </w:tcPr>
          <w:p>
            <w:pPr>
              <w:spacing w:after="0" w:line="159" w:lineRule="exact"/>
              <w:rPr>
                <w:sz w:val="20"/>
                <w:szCs w:val="20"/>
                <w:color w:val="auto"/>
              </w:rPr>
            </w:pPr>
            <w:r>
              <w:rPr>
                <w:rFonts w:ascii="Arial" w:cs="Arial" w:eastAsia="Arial" w:hAnsi="Arial"/>
                <w:sz w:val="14"/>
                <w:szCs w:val="14"/>
                <w:color w:val="auto"/>
              </w:rPr>
              <w:t>October 29, 2011</w:t>
            </w:r>
          </w:p>
        </w:tc>
        <w:tc>
          <w:tcPr>
            <w:tcW w:w="220" w:type="dxa"/>
            <w:vAlign w:val="bottom"/>
          </w:tcPr>
          <w:p>
            <w:pPr>
              <w:spacing w:after="0"/>
              <w:rPr>
                <w:sz w:val="13"/>
                <w:szCs w:val="13"/>
                <w:color w:val="auto"/>
              </w:rPr>
            </w:pPr>
          </w:p>
        </w:tc>
        <w:tc>
          <w:tcPr>
            <w:tcW w:w="1440" w:type="dxa"/>
            <w:vAlign w:val="bottom"/>
            <w:gridSpan w:val="3"/>
          </w:tcPr>
          <w:p>
            <w:pPr>
              <w:spacing w:after="0" w:line="159" w:lineRule="exact"/>
              <w:rPr>
                <w:sz w:val="20"/>
                <w:szCs w:val="20"/>
                <w:color w:val="auto"/>
              </w:rPr>
            </w:pPr>
            <w:r>
              <w:rPr>
                <w:rFonts w:ascii="Arial" w:cs="Arial" w:eastAsia="Arial" w:hAnsi="Arial"/>
                <w:sz w:val="14"/>
                <w:szCs w:val="14"/>
                <w:color w:val="auto"/>
              </w:rPr>
              <w:t>October 27, 2012</w:t>
            </w:r>
          </w:p>
        </w:tc>
        <w:tc>
          <w:tcPr>
            <w:tcW w:w="106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4"/>
              </w:rPr>
              <w:t>October 29,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284,782</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48,971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153,535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121,075</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6,895</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(loss) from continuing operations before provision (benefit) for income</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(1,933)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Net income (loss) per share -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48,053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47,533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48,336</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48,120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27, 2012 and January 28,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October 27,</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28,</w:t>
            </w:r>
          </w:p>
        </w:tc>
        <w:tc>
          <w:tcPr>
            <w:tcW w:w="0" w:type="dxa"/>
            <w:vAlign w:val="bottom"/>
          </w:tcPr>
          <w:p>
            <w:pPr>
              <w:spacing w:after="0"/>
              <w:rPr>
                <w:sz w:val="1"/>
                <w:szCs w:val="1"/>
                <w:color w:val="auto"/>
              </w:rPr>
            </w:pPr>
          </w:p>
        </w:tc>
      </w:tr>
      <w:tr>
        <w:trPr>
          <w:trHeight w:val="159"/>
        </w:trPr>
        <w:tc>
          <w:tcPr>
            <w:tcW w:w="682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 and investments</w:t>
            </w:r>
          </w:p>
        </w:tc>
        <w:tc>
          <w:tcPr>
            <w:tcW w:w="2940" w:type="dxa"/>
            <w:vAlign w:val="bottom"/>
            <w:gridSpan w:val="2"/>
          </w:tcPr>
          <w:p>
            <w:pPr>
              <w:ind w:left="28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5,198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116,080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12,971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Intangibles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6,908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48,128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Other assets</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253,975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2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69,386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Note payable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7,612</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Stockholders’ equity</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157,560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253,975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2019-12-09T09:25:52Z</dcterms:created>
  <dcterms:modified xsi:type="dcterms:W3CDTF">2019-12-09T09:25:52Z</dcterms:modified>
</cp:coreProperties>
</file>