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 2010</w:t>
      </w:r>
    </w:p>
    <w:p>
      <w:pPr>
        <w:spacing w:after="0" w:line="17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4540" w:type="dxa"/>
            <w:vAlign w:val="bottom"/>
          </w:tcPr>
          <w:p>
            <w:pPr>
              <w:jc w:val="center"/>
              <w:ind w:right="1924"/>
              <w:spacing w:after="0"/>
              <w:rPr>
                <w:sz w:val="20"/>
                <w:szCs w:val="20"/>
                <w:color w:val="auto"/>
              </w:rPr>
            </w:pPr>
            <w:r>
              <w:rPr>
                <w:rFonts w:ascii="Arial" w:cs="Arial" w:eastAsia="Arial" w:hAnsi="Arial"/>
                <w:sz w:val="18"/>
                <w:szCs w:val="18"/>
                <w:b w:val="1"/>
                <w:bCs w:val="1"/>
                <w:color w:val="auto"/>
                <w:w w:val="88"/>
              </w:rPr>
              <w:t>Delaware</w:t>
            </w:r>
          </w:p>
        </w:tc>
        <w:tc>
          <w:tcPr>
            <w:tcW w:w="308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4540" w:type="dxa"/>
            <w:vAlign w:val="bottom"/>
          </w:tcPr>
          <w:p>
            <w:pPr>
              <w:jc w:val="center"/>
              <w:ind w:right="19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80" w:type="dxa"/>
            <w:vAlign w:val="bottom"/>
          </w:tcPr>
          <w:p>
            <w:pPr>
              <w:jc w:val="center"/>
              <w:ind w:left="19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40" w:type="dxa"/>
            <w:vAlign w:val="bottom"/>
          </w:tcPr>
          <w:p>
            <w:pPr>
              <w:jc w:val="center"/>
              <w:ind w:right="1944"/>
              <w:spacing w:after="0"/>
              <w:rPr>
                <w:sz w:val="20"/>
                <w:szCs w:val="20"/>
                <w:color w:val="auto"/>
              </w:rPr>
            </w:pPr>
            <w:r>
              <w:rPr>
                <w:rFonts w:ascii="Arial" w:cs="Arial" w:eastAsia="Arial" w:hAnsi="Arial"/>
                <w:sz w:val="14"/>
                <w:szCs w:val="14"/>
                <w:b w:val="1"/>
                <w:bCs w:val="1"/>
                <w:color w:val="auto"/>
                <w:w w:val="88"/>
              </w:rPr>
              <w:t>incorporation or organization)</w:t>
            </w:r>
          </w:p>
        </w:tc>
        <w:tc>
          <w:tcPr>
            <w:tcW w:w="3080" w:type="dxa"/>
            <w:vAlign w:val="bottom"/>
          </w:tcPr>
          <w:p>
            <w:pPr>
              <w:jc w:val="center"/>
              <w:ind w:left="19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540" w:type="dxa"/>
            <w:vAlign w:val="bottom"/>
          </w:tcPr>
          <w:p>
            <w:pPr>
              <w:jc w:val="center"/>
              <w:ind w:right="1944"/>
              <w:spacing w:after="0"/>
              <w:rPr>
                <w:sz w:val="20"/>
                <w:szCs w:val="20"/>
                <w:color w:val="auto"/>
              </w:rPr>
            </w:pPr>
            <w:r>
              <w:rPr>
                <w:rFonts w:ascii="Arial" w:cs="Arial" w:eastAsia="Arial" w:hAnsi="Arial"/>
                <w:sz w:val="18"/>
                <w:szCs w:val="18"/>
                <w:b w:val="1"/>
                <w:bCs w:val="1"/>
                <w:color w:val="auto"/>
                <w:w w:val="90"/>
              </w:rPr>
              <w:t>555 Turnpike Street, Canton, MA</w:t>
            </w:r>
          </w:p>
        </w:tc>
        <w:tc>
          <w:tcPr>
            <w:tcW w:w="308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4540" w:type="dxa"/>
            <w:vAlign w:val="bottom"/>
          </w:tcPr>
          <w:p>
            <w:pPr>
              <w:jc w:val="center"/>
              <w:ind w:right="192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80" w:type="dxa"/>
            <w:vAlign w:val="bottom"/>
          </w:tcPr>
          <w:p>
            <w:pPr>
              <w:jc w:val="center"/>
              <w:ind w:left="1944"/>
              <w:spacing w:after="0"/>
              <w:rPr>
                <w:sz w:val="20"/>
                <w:szCs w:val="20"/>
                <w:color w:val="auto"/>
              </w:rPr>
            </w:pPr>
            <w:r>
              <w:rPr>
                <w:rFonts w:ascii="Arial" w:cs="Arial" w:eastAsia="Arial" w:hAnsi="Arial"/>
                <w:sz w:val="14"/>
                <w:szCs w:val="14"/>
                <w:b w:val="1"/>
                <w:bCs w:val="1"/>
                <w:color w:val="auto"/>
                <w:w w:val="89"/>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FISCAL 2010 NON-EMPLOYEE DIRECTOR STOCK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Dennis R. Hernreich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gridSpan w:val="2"/>
          </w:tcPr>
          <w:p>
            <w:pPr>
              <w:spacing w:after="0"/>
              <w:rPr>
                <w:sz w:val="20"/>
                <w:szCs w:val="20"/>
                <w:color w:val="auto"/>
              </w:rPr>
            </w:pPr>
            <w:r>
              <w:rPr>
                <w:rFonts w:ascii="Arial" w:cs="Arial" w:eastAsia="Arial" w:hAnsi="Arial"/>
                <w:sz w:val="18"/>
                <w:szCs w:val="18"/>
                <w:color w:val="auto"/>
                <w:w w:val="97"/>
              </w:rPr>
              <w:t>Large accelerated filer</w:t>
            </w:r>
          </w:p>
        </w:tc>
        <w:tc>
          <w:tcPr>
            <w:tcW w:w="1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80" w:type="dxa"/>
            <w:vAlign w:val="bottom"/>
            <w:gridSpan w:val="2"/>
          </w:tcPr>
          <w:p>
            <w:pPr>
              <w:ind w:left="600"/>
              <w:spacing w:after="0"/>
              <w:rPr>
                <w:sz w:val="20"/>
                <w:szCs w:val="20"/>
                <w:color w:val="auto"/>
              </w:rPr>
            </w:pPr>
            <w:r>
              <w:rPr>
                <w:rFonts w:ascii="Arial" w:cs="Arial" w:eastAsia="Arial" w:hAnsi="Arial"/>
                <w:sz w:val="18"/>
                <w:szCs w:val="18"/>
                <w:color w:val="auto"/>
                <w:w w:val="97"/>
              </w:rPr>
              <w:t>Accelerated filer</w:t>
            </w:r>
          </w:p>
        </w:tc>
        <w:tc>
          <w:tcPr>
            <w:tcW w:w="1040" w:type="dxa"/>
            <w:vAlign w:val="bottom"/>
          </w:tcPr>
          <w:p>
            <w:pPr>
              <w:spacing w:after="0"/>
              <w:rPr>
                <w:sz w:val="23"/>
                <w:szCs w:val="23"/>
                <w:color w:val="auto"/>
              </w:rPr>
            </w:pP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90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600" w:type="dxa"/>
            <w:vAlign w:val="bottom"/>
          </w:tcPr>
          <w:p>
            <w:pPr>
              <w:spacing w:after="0"/>
              <w:rPr>
                <w:sz w:val="24"/>
                <w:szCs w:val="24"/>
                <w:color w:val="auto"/>
              </w:rPr>
            </w:pPr>
          </w:p>
        </w:tc>
        <w:tc>
          <w:tcPr>
            <w:tcW w:w="292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gridSpan w:val="3"/>
          </w:tcPr>
          <w:p>
            <w:pPr>
              <w:ind w:left="50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7"/>
              <w:spacing w:after="0" w:line="129" w:lineRule="exact"/>
              <w:rPr>
                <w:sz w:val="20"/>
                <w:szCs w:val="20"/>
                <w:color w:val="auto"/>
              </w:rPr>
            </w:pPr>
            <w:r>
              <w:rPr>
                <w:rFonts w:ascii="Arial" w:cs="Arial" w:eastAsia="Arial" w:hAnsi="Arial"/>
                <w:sz w:val="14"/>
                <w:szCs w:val="14"/>
                <w:b w:val="1"/>
                <w:bCs w:val="1"/>
                <w:color w:val="auto"/>
                <w:w w:val="86"/>
              </w:rPr>
              <w:t>Proposed maximum</w:t>
            </w:r>
          </w:p>
        </w:tc>
        <w:tc>
          <w:tcPr>
            <w:tcW w:w="1600" w:type="dxa"/>
            <w:vAlign w:val="bottom"/>
            <w:tcBorders>
              <w:right w:val="single" w:sz="8" w:color="auto"/>
            </w:tcBorders>
          </w:tcPr>
          <w:p>
            <w:pPr>
              <w:jc w:val="center"/>
              <w:ind w:left="2"/>
              <w:spacing w:after="0" w:line="129" w:lineRule="exact"/>
              <w:rPr>
                <w:sz w:val="20"/>
                <w:szCs w:val="20"/>
                <w:color w:val="auto"/>
              </w:rPr>
            </w:pPr>
            <w:r>
              <w:rPr>
                <w:rFonts w:ascii="Arial" w:cs="Arial" w:eastAsia="Arial" w:hAnsi="Arial"/>
                <w:sz w:val="14"/>
                <w:szCs w:val="14"/>
                <w:b w:val="1"/>
                <w:bCs w:val="1"/>
                <w:color w:val="auto"/>
                <w:w w:val="86"/>
              </w:rPr>
              <w:t>Proposed maximum</w:t>
            </w: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6"/>
              </w:rPr>
              <w:t>Title of securities</w:t>
            </w:r>
          </w:p>
        </w:tc>
        <w:tc>
          <w:tcPr>
            <w:tcW w:w="1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offering</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2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3"/>
              </w:rPr>
              <w:t>to be registered</w:t>
            </w:r>
          </w:p>
        </w:tc>
        <w:tc>
          <w:tcPr>
            <w:tcW w:w="1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 (1)</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7"/>
              </w:rPr>
              <w:t>price per share (2)</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9"/>
              </w:rPr>
              <w:t>price</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w:t>
            </w:r>
          </w:p>
        </w:tc>
        <w:tc>
          <w:tcPr>
            <w:tcW w:w="24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Common Stock, $0.01 par value per share</w:t>
            </w:r>
          </w:p>
        </w:tc>
        <w:tc>
          <w:tcPr>
            <w:tcW w:w="15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250,000 shares</w:t>
            </w:r>
          </w:p>
        </w:tc>
        <w:tc>
          <w:tcPr>
            <w:tcW w:w="1600" w:type="dxa"/>
            <w:vAlign w:val="bottom"/>
            <w:tcBorders>
              <w:right w:val="single" w:sz="8" w:color="auto"/>
            </w:tcBorders>
          </w:tcPr>
          <w:p>
            <w:pPr>
              <w:jc w:val="center"/>
              <w:ind w:left="7"/>
              <w:spacing w:after="0"/>
              <w:rPr>
                <w:sz w:val="20"/>
                <w:szCs w:val="20"/>
                <w:color w:val="auto"/>
              </w:rPr>
            </w:pPr>
            <w:r>
              <w:rPr>
                <w:rFonts w:ascii="Arial" w:cs="Arial" w:eastAsia="Arial" w:hAnsi="Arial"/>
                <w:sz w:val="18"/>
                <w:szCs w:val="18"/>
                <w:color w:val="auto"/>
                <w:w w:val="88"/>
              </w:rPr>
              <w:t>$2.83</w:t>
            </w:r>
          </w:p>
        </w:tc>
        <w:tc>
          <w:tcPr>
            <w:tcW w:w="1600" w:type="dxa"/>
            <w:vAlign w:val="bottom"/>
            <w:tcBorders>
              <w:right w:val="single" w:sz="8" w:color="auto"/>
            </w:tcBorders>
          </w:tcPr>
          <w:p>
            <w:pPr>
              <w:jc w:val="center"/>
              <w:ind w:left="22"/>
              <w:spacing w:after="0"/>
              <w:rPr>
                <w:sz w:val="20"/>
                <w:szCs w:val="20"/>
                <w:color w:val="auto"/>
              </w:rPr>
            </w:pPr>
            <w:r>
              <w:rPr>
                <w:rFonts w:ascii="Arial" w:cs="Arial" w:eastAsia="Arial" w:hAnsi="Arial"/>
                <w:sz w:val="18"/>
                <w:szCs w:val="18"/>
                <w:color w:val="auto"/>
                <w:w w:val="87"/>
              </w:rPr>
              <w:t>$ 707,500</w:t>
            </w:r>
          </w:p>
        </w:tc>
        <w:tc>
          <w:tcPr>
            <w:tcW w:w="2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$50.44</w:t>
            </w:r>
          </w:p>
        </w:tc>
        <w:tc>
          <w:tcPr>
            <w:tcW w:w="240" w:type="dxa"/>
            <w:vAlign w:val="bottom"/>
          </w:tcPr>
          <w:p>
            <w:pPr>
              <w:spacing w:after="0"/>
              <w:rPr>
                <w:sz w:val="18"/>
                <w:szCs w:val="18"/>
                <w:color w:val="auto"/>
              </w:rPr>
            </w:pPr>
          </w:p>
        </w:tc>
      </w:tr>
      <w:tr>
        <w:trPr>
          <w:trHeight w:val="41"/>
        </w:trPr>
        <w:tc>
          <w:tcPr>
            <w:tcW w:w="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ind w:left="452" w:hanging="452"/>
        <w:spacing w:after="0" w:line="254"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(this “Registration Statement”) covers 250,000 shares of the Registrant’s common stock which may be offered or sold from time to time pursuant to the Registrant’s Fiscal 2010 Non-Employee Director Stock Purchase Plan.</w:t>
      </w:r>
    </w:p>
    <w:p>
      <w:pPr>
        <w:ind w:left="452" w:right="80" w:hanging="452"/>
        <w:spacing w:after="0" w:line="302" w:lineRule="auto"/>
        <w:tabs>
          <w:tab w:leader="none" w:pos="452"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457(c) and 457(h) of the Securities Act of 1933, as amended. The price per share and aggregate offering price are calculated on the basis of the average of the high and low prices of the Registrant’s Common Stock on the Nasdaq Global Select Market on January 27, 2010, in accordance with Rule 457(c)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33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as amended, for the fiscal year ended January 31,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 above.</w:t>
      </w:r>
    </w:p>
    <w:p>
      <w:pPr>
        <w:spacing w:after="0" w:line="8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8-A/A, filed on August 28, 2009, and all amendments and reports updating such description.</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 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4" w:right="239" w:bottom="1440" w:gutter="0" w:footer="0" w:header="0"/>
        </w:sectPr>
      </w:pPr>
    </w:p>
    <w:bookmarkStart w:id="3" w:name="page4"/>
    <w:bookmarkEnd w:id="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145 of the Delaware General Corporation Law, as amended,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that the person is liable to the corporation, unless and only to the extent a court determines that, despite the adjudication of liability but in view of all the circumstances of the case, such person is fairly and reasonably entitled to indemnity for such expenses which such court shall deem proper.</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Item 512(a) of Regulation S-K</w:t>
      </w:r>
      <w:r>
        <w:rPr>
          <w:rFonts w:ascii="Arial" w:cs="Arial" w:eastAsia="Arial" w:hAnsi="Arial"/>
          <w:sz w:val="18"/>
          <w:szCs w:val="18"/>
          <w:color w:val="auto"/>
        </w:rPr>
        <w:t>. The undersigned Registrant hereby undertakes:</w:t>
      </w:r>
    </w:p>
    <w:p>
      <w:pPr>
        <w:spacing w:after="0" w:line="17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460" w:right="60" w:firstLine="4"/>
        <w:spacing w:after="0" w:line="357" w:lineRule="auto"/>
        <w:tabs>
          <w:tab w:leader="none" w:pos="719" w:val="left"/>
        </w:tabs>
        <w:numPr>
          <w:ilvl w:val="1"/>
          <w:numId w:val="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ind w:left="460" w:right="420" w:firstLine="4"/>
        <w:spacing w:after="0" w:line="268" w:lineRule="auto"/>
        <w:tabs>
          <w:tab w:leader="none" w:pos="76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and (ii)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periodic reports filed with or furnished to the Commission by the Registrant pursuant to Section 13 or Section 15(d) of the Exchange Act that are incorporated by reference in the Registration Statement.</w:t>
      </w:r>
    </w:p>
    <w:p>
      <w:pPr>
        <w:spacing w:after="0" w:line="140" w:lineRule="exact"/>
        <w:rPr>
          <w:sz w:val="20"/>
          <w:szCs w:val="20"/>
          <w:color w:val="auto"/>
        </w:rPr>
      </w:pPr>
    </w:p>
    <w:p>
      <w:pPr>
        <w:jc w:val="both"/>
        <w:ind w:right="440" w:firstLine="8"/>
        <w:spacing w:after="0" w:line="370" w:lineRule="auto"/>
        <w:tabs>
          <w:tab w:leader="none" w:pos="249"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62" w:lineRule="exact"/>
        <w:rPr>
          <w:rFonts w:ascii="Arial" w:cs="Arial" w:eastAsia="Arial" w:hAnsi="Arial"/>
          <w:sz w:val="15"/>
          <w:szCs w:val="15"/>
          <w:color w:val="auto"/>
        </w:rPr>
      </w:pPr>
    </w:p>
    <w:p>
      <w:pPr>
        <w:ind w:right="400" w:firstLine="8"/>
        <w:spacing w:after="0" w:line="268"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2" w:lineRule="exact"/>
        <w:rPr>
          <w:sz w:val="20"/>
          <w:szCs w:val="20"/>
          <w:color w:val="auto"/>
        </w:rPr>
      </w:pPr>
    </w:p>
    <w:p>
      <w:pPr>
        <w:ind w:right="360" w:firstLine="8"/>
        <w:spacing w:after="0" w:line="256"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 Act,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80" w:right="259" w:bottom="1440" w:gutter="0" w:footer="0" w:header="0"/>
        </w:sectPr>
      </w:pPr>
    </w:p>
    <w:bookmarkStart w:id="4" w:name="page5"/>
    <w:bookmarkEnd w:id="4"/>
    <w:p>
      <w:pPr>
        <w:ind w:left="-8" w:firstLine="8"/>
        <w:spacing w:after="0" w:line="289" w:lineRule="auto"/>
        <w:tabs>
          <w:tab w:leader="none" w:pos="168"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512(h) of Regulation S-K</w:t>
      </w:r>
      <w:r>
        <w:rPr>
          <w:rFonts w:ascii="Arial" w:cs="Arial" w:eastAsia="Arial" w:hAnsi="Arial"/>
          <w:sz w:val="16"/>
          <w:szCs w:val="16"/>
          <w:color w:val="auto"/>
        </w:rPr>
        <w:t>. Insofar as indemnification for liabilities arising under the Securities Act may be permitted to directors, officers and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72"/>
          </w:cols>
          <w:pgMar w:left="248" w:top="280"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this 1st day of February, 2010.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Dennis R. Hernreich</w:t>
      </w:r>
    </w:p>
    <w:p>
      <w:pPr>
        <w:jc w:val="center"/>
        <w:ind w:left="7220"/>
        <w:spacing w:after="0" w:line="223" w:lineRule="auto"/>
        <w:rPr>
          <w:sz w:val="20"/>
          <w:szCs w:val="20"/>
          <w:color w:val="auto"/>
        </w:rPr>
      </w:pPr>
      <w:r>
        <w:rPr>
          <w:rFonts w:ascii="Arial" w:cs="Arial" w:eastAsia="Arial" w:hAnsi="Arial"/>
          <w:sz w:val="14"/>
          <w:szCs w:val="14"/>
          <w:b w:val="1"/>
          <w:bCs w:val="1"/>
          <w:color w:val="auto"/>
        </w:rPr>
        <w:t>Executive Vice President, Chief Operating Officer,</w:t>
      </w:r>
    </w:p>
    <w:p>
      <w:pPr>
        <w:jc w:val="center"/>
        <w:ind w:left="72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4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February 1,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Signatures</w:t>
            </w:r>
          </w:p>
        </w:tc>
        <w:tc>
          <w:tcPr>
            <w:tcW w:w="17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60" w:type="dxa"/>
            <w:vAlign w:val="bottom"/>
          </w:tcPr>
          <w:p>
            <w:pPr>
              <w:spacing w:after="0"/>
              <w:rPr>
                <w:sz w:val="14"/>
                <w:szCs w:val="14"/>
                <w:color w:val="auto"/>
              </w:rPr>
            </w:pPr>
          </w:p>
        </w:tc>
      </w:tr>
      <w:tr>
        <w:trPr>
          <w:trHeight w:val="316"/>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8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c>
          <w:tcPr>
            <w:tcW w:w="2180" w:type="dxa"/>
            <w:vAlign w:val="bottom"/>
            <w:gridSpan w:val="3"/>
          </w:tcPr>
          <w:p>
            <w:pPr>
              <w:jc w:val="center"/>
              <w:ind w:left="872"/>
              <w:spacing w:after="0"/>
              <w:rPr>
                <w:sz w:val="20"/>
                <w:szCs w:val="20"/>
                <w:color w:val="auto"/>
              </w:rPr>
            </w:pPr>
            <w:r>
              <w:rPr>
                <w:rFonts w:ascii="Arial" w:cs="Arial" w:eastAsia="Arial" w:hAnsi="Arial"/>
                <w:sz w:val="18"/>
                <w:szCs w:val="18"/>
                <w:color w:val="auto"/>
                <w:w w:val="88"/>
              </w:rPr>
              <w:t>February 1, 2010</w:t>
            </w:r>
          </w:p>
        </w:tc>
      </w:tr>
      <w:tr>
        <w:trPr>
          <w:trHeight w:val="202"/>
        </w:trPr>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1"/>
              </w:rPr>
              <w:t>David A. Levin</w:t>
            </w:r>
          </w:p>
        </w:tc>
        <w:tc>
          <w:tcPr>
            <w:tcW w:w="4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9"/>
        </w:trPr>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/s/</w:t>
            </w:r>
          </w:p>
        </w:tc>
        <w:tc>
          <w:tcPr>
            <w:tcW w:w="306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ENNIS</w:t>
            </w:r>
            <w:r>
              <w:rPr>
                <w:rFonts w:ascii="Arial" w:cs="Arial" w:eastAsia="Arial" w:hAnsi="Arial"/>
                <w:sz w:val="18"/>
                <w:szCs w:val="18"/>
                <w:color w:val="auto"/>
                <w:w w:val="97"/>
              </w:rPr>
              <w:t xml:space="preserve"> R. H</w:t>
            </w:r>
            <w:r>
              <w:rPr>
                <w:rFonts w:ascii="Arial" w:cs="Arial" w:eastAsia="Arial" w:hAnsi="Arial"/>
                <w:sz w:val="14"/>
                <w:szCs w:val="14"/>
                <w:color w:val="auto"/>
                <w:w w:val="97"/>
              </w:rPr>
              <w:t>ERNREICH</w:t>
            </w: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Chief Operating Officer,</w:t>
            </w:r>
          </w:p>
        </w:tc>
        <w:tc>
          <w:tcPr>
            <w:tcW w:w="2180" w:type="dxa"/>
            <w:vAlign w:val="bottom"/>
            <w:gridSpan w:val="3"/>
          </w:tcPr>
          <w:p>
            <w:pPr>
              <w:jc w:val="center"/>
              <w:ind w:left="872"/>
              <w:spacing w:after="0"/>
              <w:rPr>
                <w:sz w:val="20"/>
                <w:szCs w:val="20"/>
                <w:color w:val="auto"/>
              </w:rPr>
            </w:pPr>
            <w:r>
              <w:rPr>
                <w:rFonts w:ascii="Arial" w:cs="Arial" w:eastAsia="Arial" w:hAnsi="Arial"/>
                <w:sz w:val="18"/>
                <w:szCs w:val="18"/>
                <w:color w:val="auto"/>
                <w:w w:val="88"/>
              </w:rPr>
              <w:t>February 1, 2010</w:t>
            </w:r>
          </w:p>
        </w:tc>
      </w:tr>
      <w:tr>
        <w:trPr>
          <w:trHeight w:val="190"/>
        </w:trPr>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9"/>
              </w:rPr>
              <w:t>Dennis R. Hernreich</w:t>
            </w:r>
          </w:p>
        </w:tc>
        <w:tc>
          <w:tcPr>
            <w:tcW w:w="476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Chief Financial Officer and Treasurer</w:t>
            </w: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22"/>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(Principal Financial Officer)</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46"/>
        </w:trPr>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8"/>
                <w:szCs w:val="18"/>
                <w:color w:val="auto"/>
                <w:w w:val="93"/>
              </w:rPr>
              <w:t>P</w:t>
            </w:r>
            <w:r>
              <w:rPr>
                <w:rFonts w:ascii="Arial" w:cs="Arial" w:eastAsia="Arial" w:hAnsi="Arial"/>
                <w:sz w:val="14"/>
                <w:szCs w:val="14"/>
                <w:color w:val="auto"/>
                <w:w w:val="93"/>
              </w:rPr>
              <w:t>ETER</w:t>
            </w:r>
            <w:r>
              <w:rPr>
                <w:rFonts w:ascii="Arial" w:cs="Arial" w:eastAsia="Arial" w:hAnsi="Arial"/>
                <w:sz w:val="18"/>
                <w:szCs w:val="18"/>
                <w:color w:val="auto"/>
                <w:w w:val="93"/>
              </w:rPr>
              <w:t xml:space="preserve"> H. S</w:t>
            </w:r>
            <w:r>
              <w:rPr>
                <w:rFonts w:ascii="Arial" w:cs="Arial" w:eastAsia="Arial" w:hAnsi="Arial"/>
                <w:sz w:val="14"/>
                <w:szCs w:val="14"/>
                <w:color w:val="auto"/>
                <w:w w:val="93"/>
              </w:rPr>
              <w:t>TRATTON</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Senior Vice President of Finance and Corporate</w:t>
            </w:r>
          </w:p>
        </w:tc>
        <w:tc>
          <w:tcPr>
            <w:tcW w:w="2180" w:type="dxa"/>
            <w:vAlign w:val="bottom"/>
            <w:gridSpan w:val="3"/>
          </w:tcPr>
          <w:p>
            <w:pPr>
              <w:jc w:val="center"/>
              <w:ind w:left="872"/>
              <w:spacing w:after="0"/>
              <w:rPr>
                <w:sz w:val="20"/>
                <w:szCs w:val="20"/>
                <w:color w:val="auto"/>
              </w:rPr>
            </w:pPr>
            <w:r>
              <w:rPr>
                <w:rFonts w:ascii="Arial" w:cs="Arial" w:eastAsia="Arial" w:hAnsi="Arial"/>
                <w:sz w:val="18"/>
                <w:szCs w:val="18"/>
                <w:color w:val="auto"/>
                <w:w w:val="88"/>
              </w:rPr>
              <w:t>February 1, 2010</w:t>
            </w:r>
          </w:p>
        </w:tc>
      </w:tr>
      <w:tr>
        <w:trPr>
          <w:trHeight w:val="202"/>
        </w:trPr>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8"/>
              </w:rPr>
              <w:t>Peter H. Stratton, Jr.</w:t>
            </w:r>
          </w:p>
        </w:tc>
        <w:tc>
          <w:tcPr>
            <w:tcW w:w="47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Controller (Principal Accounting Officer)</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40"/>
        </w:trPr>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3"/>
              </w:rPr>
              <w:t>/s/</w:t>
            </w:r>
          </w:p>
        </w:tc>
        <w:tc>
          <w:tcPr>
            <w:tcW w:w="306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Chairman of the Board of Directors</w:t>
            </w:r>
          </w:p>
        </w:tc>
        <w:tc>
          <w:tcPr>
            <w:tcW w:w="2180" w:type="dxa"/>
            <w:vAlign w:val="bottom"/>
            <w:gridSpan w:val="3"/>
          </w:tcPr>
          <w:p>
            <w:pPr>
              <w:jc w:val="center"/>
              <w:ind w:left="872"/>
              <w:spacing w:after="0"/>
              <w:rPr>
                <w:sz w:val="20"/>
                <w:szCs w:val="20"/>
                <w:color w:val="auto"/>
              </w:rPr>
            </w:pPr>
            <w:r>
              <w:rPr>
                <w:rFonts w:ascii="Arial" w:cs="Arial" w:eastAsia="Arial" w:hAnsi="Arial"/>
                <w:sz w:val="18"/>
                <w:szCs w:val="18"/>
                <w:color w:val="auto"/>
                <w:w w:val="88"/>
              </w:rPr>
              <w:t>February 1, 2010</w:t>
            </w:r>
          </w:p>
        </w:tc>
      </w:tr>
      <w:tr>
        <w:trPr>
          <w:trHeight w:val="169"/>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8"/>
              </w:rPr>
              <w:t>Seymour Holtzman</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9"/>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9"/>
              </w:rPr>
              <w:t>Alan S. Bernikow</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ESSE</w:t>
            </w:r>
            <w:r>
              <w:rPr>
                <w:rFonts w:ascii="Arial" w:cs="Arial" w:eastAsia="Arial" w:hAnsi="Arial"/>
                <w:sz w:val="18"/>
                <w:szCs w:val="18"/>
                <w:color w:val="auto"/>
                <w:w w:val="91"/>
              </w:rPr>
              <w:t xml:space="preserve"> H. C</w:t>
            </w:r>
            <w:r>
              <w:rPr>
                <w:rFonts w:ascii="Arial" w:cs="Arial" w:eastAsia="Arial" w:hAnsi="Arial"/>
                <w:sz w:val="14"/>
                <w:szCs w:val="14"/>
                <w:color w:val="auto"/>
                <w:w w:val="91"/>
              </w:rPr>
              <w:t>HOPER</w:t>
            </w: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872"/>
              <w:spacing w:after="0"/>
              <w:rPr>
                <w:sz w:val="20"/>
                <w:szCs w:val="20"/>
                <w:color w:val="auto"/>
              </w:rPr>
            </w:pPr>
            <w:r>
              <w:rPr>
                <w:rFonts w:ascii="Arial" w:cs="Arial" w:eastAsia="Arial" w:hAnsi="Arial"/>
                <w:sz w:val="18"/>
                <w:szCs w:val="18"/>
                <w:color w:val="auto"/>
                <w:w w:val="88"/>
              </w:rPr>
              <w:t>February 1, 2010</w:t>
            </w:r>
          </w:p>
        </w:tc>
      </w:tr>
      <w:tr>
        <w:trPr>
          <w:trHeight w:val="169"/>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3"/>
              </w:rPr>
              <w:t>Jesse H. Choper</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42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872"/>
              <w:spacing w:after="0"/>
              <w:rPr>
                <w:sz w:val="20"/>
                <w:szCs w:val="20"/>
                <w:color w:val="auto"/>
              </w:rPr>
            </w:pPr>
            <w:r>
              <w:rPr>
                <w:rFonts w:ascii="Arial" w:cs="Arial" w:eastAsia="Arial" w:hAnsi="Arial"/>
                <w:sz w:val="18"/>
                <w:szCs w:val="18"/>
                <w:color w:val="auto"/>
                <w:w w:val="88"/>
              </w:rPr>
              <w:t>February 1, 2010</w:t>
            </w:r>
          </w:p>
        </w:tc>
      </w:tr>
      <w:tr>
        <w:trPr>
          <w:trHeight w:val="169"/>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1"/>
              </w:rPr>
              <w:t>Ward K. Mooney</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8"/>
                <w:szCs w:val="18"/>
                <w:color w:val="auto"/>
                <w:w w:val="91"/>
              </w:rPr>
              <w:t>G</w:t>
            </w:r>
            <w:r>
              <w:rPr>
                <w:rFonts w:ascii="Arial" w:cs="Arial" w:eastAsia="Arial" w:hAnsi="Arial"/>
                <w:sz w:val="14"/>
                <w:szCs w:val="14"/>
                <w:color w:val="auto"/>
                <w:w w:val="91"/>
              </w:rPr>
              <w:t>EORGE</w:t>
            </w:r>
            <w:r>
              <w:rPr>
                <w:rFonts w:ascii="Arial" w:cs="Arial" w:eastAsia="Arial" w:hAnsi="Arial"/>
                <w:sz w:val="18"/>
                <w:szCs w:val="18"/>
                <w:color w:val="auto"/>
                <w:w w:val="91"/>
              </w:rPr>
              <w:t xml:space="preserve"> T. P</w:t>
            </w:r>
            <w:r>
              <w:rPr>
                <w:rFonts w:ascii="Arial" w:cs="Arial" w:eastAsia="Arial" w:hAnsi="Arial"/>
                <w:sz w:val="14"/>
                <w:szCs w:val="14"/>
                <w:color w:val="auto"/>
                <w:w w:val="91"/>
              </w:rPr>
              <w:t>ORTER</w:t>
            </w:r>
            <w:r>
              <w:rPr>
                <w:rFonts w:ascii="Arial" w:cs="Arial" w:eastAsia="Arial" w:hAnsi="Arial"/>
                <w:sz w:val="18"/>
                <w:szCs w:val="18"/>
                <w:color w:val="auto"/>
                <w:w w:val="91"/>
              </w:rPr>
              <w:t>, J</w:t>
            </w:r>
            <w:r>
              <w:rPr>
                <w:rFonts w:ascii="Arial" w:cs="Arial" w:eastAsia="Arial" w:hAnsi="Arial"/>
                <w:sz w:val="14"/>
                <w:szCs w:val="14"/>
                <w:color w:val="auto"/>
                <w:w w:val="91"/>
              </w:rPr>
              <w:t>R</w:t>
            </w:r>
            <w:r>
              <w:rPr>
                <w:rFonts w:ascii="Arial" w:cs="Arial" w:eastAsia="Arial" w:hAnsi="Arial"/>
                <w:sz w:val="18"/>
                <w:szCs w:val="18"/>
                <w:color w:val="auto"/>
                <w:w w:val="91"/>
              </w:rPr>
              <w:t>.</w:t>
            </w: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872"/>
              <w:spacing w:after="0"/>
              <w:rPr>
                <w:sz w:val="20"/>
                <w:szCs w:val="20"/>
                <w:color w:val="auto"/>
              </w:rPr>
            </w:pPr>
            <w:r>
              <w:rPr>
                <w:rFonts w:ascii="Arial" w:cs="Arial" w:eastAsia="Arial" w:hAnsi="Arial"/>
                <w:sz w:val="18"/>
                <w:szCs w:val="18"/>
                <w:color w:val="auto"/>
                <w:w w:val="88"/>
              </w:rPr>
              <w:t>February 1, 2010</w:t>
            </w:r>
          </w:p>
        </w:tc>
      </w:tr>
      <w:tr>
        <w:trPr>
          <w:trHeight w:val="169"/>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7"/>
              </w:rPr>
              <w:t>George T. Porter, Jr.</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3"/>
              </w:rPr>
              <w:t>/s/</w:t>
            </w:r>
          </w:p>
        </w:tc>
        <w:tc>
          <w:tcPr>
            <w:tcW w:w="306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5"/>
              </w:rPr>
              <w:t>M</w:t>
            </w:r>
            <w:r>
              <w:rPr>
                <w:rFonts w:ascii="Arial" w:cs="Arial" w:eastAsia="Arial" w:hAnsi="Arial"/>
                <w:sz w:val="14"/>
                <w:szCs w:val="14"/>
                <w:color w:val="auto"/>
                <w:w w:val="95"/>
              </w:rPr>
              <w:t>ITCHELL</w:t>
            </w:r>
            <w:r>
              <w:rPr>
                <w:rFonts w:ascii="Arial" w:cs="Arial" w:eastAsia="Arial" w:hAnsi="Arial"/>
                <w:sz w:val="18"/>
                <w:szCs w:val="18"/>
                <w:color w:val="auto"/>
                <w:w w:val="95"/>
              </w:rPr>
              <w:t xml:space="preserve"> S. P</w:t>
            </w:r>
            <w:r>
              <w:rPr>
                <w:rFonts w:ascii="Arial" w:cs="Arial" w:eastAsia="Arial" w:hAnsi="Arial"/>
                <w:sz w:val="14"/>
                <w:szCs w:val="14"/>
                <w:color w:val="auto"/>
                <w:w w:val="95"/>
              </w:rPr>
              <w:t>RESSER</w:t>
            </w: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872"/>
              <w:spacing w:after="0"/>
              <w:rPr>
                <w:sz w:val="20"/>
                <w:szCs w:val="20"/>
                <w:color w:val="auto"/>
              </w:rPr>
            </w:pPr>
            <w:r>
              <w:rPr>
                <w:rFonts w:ascii="Arial" w:cs="Arial" w:eastAsia="Arial" w:hAnsi="Arial"/>
                <w:sz w:val="18"/>
                <w:szCs w:val="18"/>
                <w:color w:val="auto"/>
                <w:w w:val="88"/>
              </w:rPr>
              <w:t>February 1, 2010</w:t>
            </w:r>
          </w:p>
        </w:tc>
      </w:tr>
      <w:tr>
        <w:trPr>
          <w:trHeight w:val="169"/>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6"/>
              </w:rPr>
              <w:t>Mitchell S. Presser</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/s/</w:t>
            </w:r>
          </w:p>
        </w:tc>
        <w:tc>
          <w:tcPr>
            <w:tcW w:w="306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L. S</w:t>
            </w:r>
            <w:r>
              <w:rPr>
                <w:rFonts w:ascii="Arial" w:cs="Arial" w:eastAsia="Arial" w:hAnsi="Arial"/>
                <w:sz w:val="14"/>
                <w:szCs w:val="14"/>
                <w:color w:val="auto"/>
                <w:w w:val="97"/>
              </w:rPr>
              <w:t>OCKOLOV</w:t>
            </w:r>
          </w:p>
        </w:tc>
        <w:tc>
          <w:tcPr>
            <w:tcW w:w="4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180" w:type="dxa"/>
            <w:vAlign w:val="bottom"/>
            <w:gridSpan w:val="3"/>
          </w:tcPr>
          <w:p>
            <w:pPr>
              <w:jc w:val="center"/>
              <w:ind w:left="872"/>
              <w:spacing w:after="0"/>
              <w:rPr>
                <w:sz w:val="20"/>
                <w:szCs w:val="20"/>
                <w:color w:val="auto"/>
              </w:rPr>
            </w:pPr>
            <w:r>
              <w:rPr>
                <w:rFonts w:ascii="Arial" w:cs="Arial" w:eastAsia="Arial" w:hAnsi="Arial"/>
                <w:sz w:val="18"/>
                <w:szCs w:val="18"/>
                <w:color w:val="auto"/>
                <w:w w:val="88"/>
              </w:rPr>
              <w:t>February 1, 2010</w:t>
            </w:r>
          </w:p>
        </w:tc>
      </w:tr>
      <w:tr>
        <w:trPr>
          <w:trHeight w:val="169"/>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7"/>
              </w:rPr>
              <w:t>Robert L. Sockolov</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274" w:right="259" w:bottom="1440" w:gutter="0" w:footer="0" w:header="0"/>
        </w:sectPr>
      </w:pPr>
    </w:p>
    <w:bookmarkStart w:id="6" w:name="page7"/>
    <w:bookmarkEnd w:id="6"/>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Casual Male Retail Group, Inc. Fiscal 2010 Non-Employee Director Stock Purchase Plan</w:t>
      </w:r>
    </w:p>
    <w:p>
      <w:pPr>
        <w:spacing w:after="0" w:line="117"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Opinion of Greenberg Traurig LLP, counsel to the Registrant.</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Greenberg Traurig LLP (included in Exhibit 5.1).</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ectPr>
          <w:pgSz w:w="11900" w:h="16838" w:orient="portrait"/>
          <w:cols w:equalWidth="0" w:num="1">
            <w:col w:w="10179"/>
          </w:cols>
          <w:pgMar w:left="280" w:top="27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FISCAL 2010 NON-EMPLOYEE DIRECTOR STOCK PURCHASE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 Establishment and Purpose; Effective Date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Casual Male Retail Group, Inc. (the “Company”) hereby establishes, for fiscal 2010, a non-employee director stock purchase plan to be named the Casual Male Retail Group, Inc. Fiscal 2010 Non-Employee Director Stock Purchase Plan (the “Plan”) to provide a convenient method by which non-employee directors of the Company may acquire shares of Common Stock of the Company (“Shares”) at fair market value by voluntarily electing to receive Shares in lieu of fees otherwise payable to them in cash for service as a director or member of a committee of the Board of Directors of the Company (the “Board”) (including as a result of previous elections to receive cash under the Company’s Non-Employee Director Compensation Plan (the “Director Compensation Plan”)). The Plan shall be effective as of January 29, 2010 (the “Effective Date”). Elections made prior to the Effective Date, shall be effective as of the Effective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 Definitions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used herein, the following capitalized terms shall have the meanings assigned to them, unless the context clearly indicates otherwise.</w:t>
      </w:r>
    </w:p>
    <w:p>
      <w:pPr>
        <w:spacing w:after="0" w:line="171"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$.01 per share.</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Fees to be paid in cash, Shares or any combination thereof, as elected by a Participant hereunder.</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71" w:lineRule="exact"/>
        <w:rPr>
          <w:rFonts w:ascii="Arial" w:cs="Arial" w:eastAsia="Arial" w:hAnsi="Arial"/>
          <w:sz w:val="18"/>
          <w:szCs w:val="18"/>
          <w:color w:val="auto"/>
        </w:rPr>
      </w:pPr>
    </w:p>
    <w:p>
      <w:pPr>
        <w:ind w:right="320" w:firstLine="8"/>
        <w:spacing w:after="0" w:line="268"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31"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means the fees payable to the Participant in accordance with the Director Compensation Plan.</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shall have the meaning set forth in the Director Compensation Plan.</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Irrevocable Election Agreement</w:t>
      </w:r>
      <w:r>
        <w:rPr>
          <w:rFonts w:ascii="Arial" w:cs="Arial" w:eastAsia="Arial" w:hAnsi="Arial"/>
          <w:sz w:val="16"/>
          <w:szCs w:val="16"/>
          <w:color w:val="auto"/>
        </w:rPr>
        <w:t xml:space="preserve">” means the written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between the Company and a Participant.</w:t>
      </w:r>
    </w:p>
    <w:p>
      <w:pPr>
        <w:spacing w:after="0" w:line="194"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Inc.</w:t>
      </w:r>
    </w:p>
    <w:p>
      <w:pPr>
        <w:spacing w:after="0" w:line="171"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satisfies the requirements set forth in Rule 16b-3(b)(3)(i) under the Exchange Act.</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Non-Employee Director of the Company.</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u w:val="single" w:color="auto"/>
          <w:color w:val="auto"/>
        </w:rPr>
        <w:t>Section 3. Number of Shares</w:t>
      </w:r>
      <w:r>
        <w:rPr>
          <w:rFonts w:ascii="Arial" w:cs="Arial" w:eastAsia="Arial" w:hAnsi="Arial"/>
          <w:sz w:val="16"/>
          <w:szCs w:val="16"/>
          <w:color w:val="auto"/>
        </w:rPr>
        <w:t>. Subject to adjustment as the Board may from time to time determine, the total number of Shares reserved and available under the Plan shall initially be 250,000, as adjusted for any stock dividends, combinations, splits, recapitalizations and the like with respect to the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 Irrevocable Election; Valuation</w:t>
      </w:r>
      <w:r>
        <w:rPr>
          <w:rFonts w:ascii="Arial" w:cs="Arial" w:eastAsia="Arial" w:hAnsi="Arial"/>
          <w:sz w:val="18"/>
          <w:szCs w:val="18"/>
          <w:color w:val="auto"/>
        </w:rPr>
        <w:t>.</w:t>
      </w:r>
    </w:p>
    <w:p>
      <w:pPr>
        <w:spacing w:after="0" w:line="90" w:lineRule="exact"/>
        <w:rPr>
          <w:sz w:val="20"/>
          <w:szCs w:val="20"/>
          <w:color w:val="auto"/>
        </w:rPr>
      </w:pPr>
    </w:p>
    <w:p>
      <w:pPr>
        <w:ind w:right="140" w:firstLine="8"/>
        <w:spacing w:after="0" w:line="259"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the terms hereof, Compensation shall be paid on the applicable Grant Date. The Participants will have the right to elect to receive Fees in any combination of cash or Shares. In the event that the Company does not have a sufficient number of Shares under the Plan, the payments will be made in cash to the extent of such insufficiency.</w:t>
      </w:r>
    </w:p>
    <w:p>
      <w:pPr>
        <w:spacing w:after="0" w:line="140" w:lineRule="exact"/>
        <w:rPr>
          <w:rFonts w:ascii="Arial" w:cs="Arial" w:eastAsia="Arial" w:hAnsi="Arial"/>
          <w:sz w:val="18"/>
          <w:szCs w:val="18"/>
          <w:color w:val="auto"/>
        </w:rPr>
      </w:pPr>
    </w:p>
    <w:p>
      <w:pPr>
        <w:ind w:right="20" w:firstLine="8"/>
        <w:spacing w:after="0" w:line="256"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elections by the Participants must be made in writing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submitted to the General Counsel of the Company (or such other person as the Committee shall designate) no later than January 29, 2010. All elections, once submitted, are irrevocable for fiscal year 2010, which commences on January 31, 2010. In the event a timely election is not made or a person does not become a Participant until after the deadline for the election to be made, the payments will be made in cash for the fiscal year.</w:t>
      </w:r>
    </w:p>
    <w:p>
      <w:pPr>
        <w:spacing w:after="0" w:line="143" w:lineRule="exact"/>
        <w:rPr>
          <w:rFonts w:ascii="Arial" w:cs="Arial" w:eastAsia="Arial" w:hAnsi="Arial"/>
          <w:sz w:val="18"/>
          <w:szCs w:val="18"/>
          <w:color w:val="auto"/>
        </w:rPr>
      </w:pPr>
    </w:p>
    <w:p>
      <w:pPr>
        <w:ind w:firstLine="8"/>
        <w:spacing w:after="0" w:line="256" w:lineRule="auto"/>
        <w:tabs>
          <w:tab w:leader="none" w:pos="307"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purposes of determining the number of Shares to be issued to a Participant on a Grant Date, each Share shall be assigned a value equal to the consolidated closing bid price of a share of the Company’s Common Stock as reported by NASDAQ on the effective Grant Date. Any Shares granted pursuant to this Plan shall be fully vested on the Grant Date. Payouts of Shares under the Plan will be in the form of whole Shares only; the balance of any foregone Fees not payable in whole Shares will be paid in cash.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 Amendment and Termination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Plan may be amended or terminated in any respect at any time by the Board; provided, however, that no amendment or termination of the Plan shall be effective to reduce any benefits that accrue and are vested before the adoption of such amendment or termination.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 elections made by Participants, and the terms of the Plan, as in effect at the time the Plan is terminated.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40"/>
          </w:cols>
          <w:pgMar w:left="240" w:top="280"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 Unfunded Obligation</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obligations of the Company to pay any Compensation under the Plan shall be unfunded and unsecured, and any payments under the Plan shall be made from the general assets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 Withholding</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Participants and personal representatives shall bear any and all federal, state, local or other taxes imposed on benefits under the Plan. The Company may deduct from any payments under 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 Applicable Law</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This Plan shall be construed and enforced in accordance with the laws of the State of Delaware, except to the extent superseded by federal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 Administration and Interpretation</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Plan will be administered by the Committee. The Committee shall not make any substantive changes to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Any decisions or interpretations by the Committee relating to benefits under the Plan shall be binding and conclusive on all affected parties.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IS LEFT BLANK INTENTIONALLY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20" w:type="dxa"/>
            <w:vAlign w:val="bottom"/>
            <w:gridSpan w:val="4"/>
          </w:tcPr>
          <w:p>
            <w:pPr>
              <w:jc w:val="center"/>
              <w:ind w:left="832"/>
              <w:spacing w:after="0"/>
              <w:rPr>
                <w:sz w:val="20"/>
                <w:szCs w:val="20"/>
                <w:color w:val="auto"/>
              </w:rPr>
            </w:pPr>
            <w:r>
              <w:rPr>
                <w:rFonts w:ascii="Arial" w:cs="Arial" w:eastAsia="Arial" w:hAnsi="Arial"/>
                <w:sz w:val="18"/>
                <w:szCs w:val="18"/>
                <w:b w:val="1"/>
                <w:bCs w:val="1"/>
                <w:color w:val="auto"/>
              </w:rPr>
              <w:t>EXHIBIT A</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20" w:type="dxa"/>
            <w:vAlign w:val="bottom"/>
            <w:gridSpan w:val="4"/>
          </w:tcPr>
          <w:p>
            <w:pPr>
              <w:jc w:val="center"/>
              <w:ind w:left="832"/>
              <w:spacing w:after="0"/>
              <w:rPr>
                <w:sz w:val="20"/>
                <w:szCs w:val="20"/>
                <w:color w:val="auto"/>
              </w:rPr>
            </w:pPr>
            <w:r>
              <w:rPr>
                <w:rFonts w:ascii="Arial" w:cs="Arial" w:eastAsia="Arial" w:hAnsi="Arial"/>
                <w:sz w:val="18"/>
                <w:szCs w:val="18"/>
                <w:b w:val="1"/>
                <w:bCs w:val="1"/>
                <w:color w:val="auto"/>
                <w:w w:val="98"/>
              </w:rPr>
              <w:t>CASUAL MALE RETAIL GROUP, INC.</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120" w:type="dxa"/>
            <w:vAlign w:val="bottom"/>
            <w:gridSpan w:val="8"/>
          </w:tcPr>
          <w:p>
            <w:pPr>
              <w:jc w:val="center"/>
              <w:ind w:right="1100"/>
              <w:spacing w:after="0"/>
              <w:rPr>
                <w:sz w:val="20"/>
                <w:szCs w:val="20"/>
                <w:color w:val="auto"/>
              </w:rPr>
            </w:pPr>
            <w:r>
              <w:rPr>
                <w:rFonts w:ascii="Arial" w:cs="Arial" w:eastAsia="Arial" w:hAnsi="Arial"/>
                <w:sz w:val="18"/>
                <w:szCs w:val="18"/>
                <w:b w:val="1"/>
                <w:bCs w:val="1"/>
                <w:color w:val="auto"/>
                <w:w w:val="96"/>
              </w:rPr>
              <w:t>FISCAL 2010 NON-EMPLOYEE DIRECTOR STOCK PURCHASE PLAN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20" w:type="dxa"/>
            <w:vAlign w:val="bottom"/>
            <w:gridSpan w:val="4"/>
          </w:tcPr>
          <w:p>
            <w:pPr>
              <w:jc w:val="center"/>
              <w:ind w:left="812"/>
              <w:spacing w:after="0"/>
              <w:rPr>
                <w:sz w:val="20"/>
                <w:szCs w:val="20"/>
                <w:color w:val="auto"/>
              </w:rPr>
            </w:pPr>
            <w:r>
              <w:rPr>
                <w:rFonts w:ascii="Arial" w:cs="Arial" w:eastAsia="Arial" w:hAnsi="Arial"/>
                <w:sz w:val="18"/>
                <w:szCs w:val="18"/>
                <w:b w:val="1"/>
                <w:bCs w:val="1"/>
                <w:color w:val="auto"/>
                <w:w w:val="99"/>
              </w:rPr>
              <w:t>IRREVOCABLE ELECTION AGREEMENT</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80" w:type="dxa"/>
            <w:vAlign w:val="bottom"/>
            <w:gridSpan w:val="2"/>
          </w:tcPr>
          <w:p>
            <w:pPr>
              <w:spacing w:after="0"/>
              <w:rPr>
                <w:sz w:val="20"/>
                <w:szCs w:val="20"/>
                <w:color w:val="auto"/>
              </w:rPr>
            </w:pPr>
            <w:r>
              <w:rPr>
                <w:rFonts w:ascii="Arial" w:cs="Arial" w:eastAsia="Arial" w:hAnsi="Arial"/>
                <w:sz w:val="18"/>
                <w:szCs w:val="18"/>
                <w:color w:val="auto"/>
              </w:rPr>
              <w:t>TO:</w:t>
            </w:r>
          </w:p>
        </w:tc>
        <w:tc>
          <w:tcPr>
            <w:tcW w:w="2320" w:type="dxa"/>
            <w:vAlign w:val="bottom"/>
            <w:gridSpan w:val="4"/>
          </w:tcPr>
          <w:p>
            <w:pPr>
              <w:ind w:left="80"/>
              <w:spacing w:after="0"/>
              <w:rPr>
                <w:sz w:val="20"/>
                <w:szCs w:val="20"/>
                <w:color w:val="auto"/>
              </w:rPr>
            </w:pPr>
            <w:r>
              <w:rPr>
                <w:rFonts w:ascii="Arial" w:cs="Arial" w:eastAsia="Arial" w:hAnsi="Arial"/>
                <w:sz w:val="18"/>
                <w:szCs w:val="18"/>
                <w:color w:val="auto"/>
              </w:rPr>
              <w:t>General Counsel:</w:t>
            </w: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60" w:type="dxa"/>
            <w:vAlign w:val="bottom"/>
          </w:tcPr>
          <w:p>
            <w:pPr>
              <w:spacing w:after="0"/>
              <w:rPr>
                <w:sz w:val="20"/>
                <w:szCs w:val="20"/>
                <w:color w:val="auto"/>
              </w:rPr>
            </w:pPr>
            <w:r>
              <w:rPr>
                <w:rFonts w:ascii="Arial" w:cs="Arial" w:eastAsia="Arial" w:hAnsi="Arial"/>
                <w:sz w:val="18"/>
                <w:szCs w:val="18"/>
                <w:color w:val="auto"/>
              </w:rPr>
              <w:t>I,</w:t>
            </w: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w w:val="88"/>
              </w:rPr>
              <w:t>, hereby elect to receive my Fees (as defined in the Casual Male Retail Group, Inc. Fiscal 2010 Non-Employee Director Stock Purchase Plan</w:t>
            </w:r>
          </w:p>
        </w:tc>
        <w:tc>
          <w:tcPr>
            <w:tcW w:w="0" w:type="dxa"/>
            <w:vAlign w:val="bottom"/>
          </w:tcPr>
          <w:p>
            <w:pPr>
              <w:spacing w:after="0"/>
              <w:rPr>
                <w:sz w:val="1"/>
                <w:szCs w:val="1"/>
                <w:color w:val="auto"/>
              </w:rPr>
            </w:pPr>
          </w:p>
        </w:tc>
      </w:tr>
      <w:tr>
        <w:trPr>
          <w:trHeight w:val="235"/>
        </w:trPr>
        <w:tc>
          <w:tcPr>
            <w:tcW w:w="2700" w:type="dxa"/>
            <w:vAlign w:val="bottom"/>
            <w:gridSpan w:val="6"/>
          </w:tcPr>
          <w:p>
            <w:pPr>
              <w:spacing w:after="0"/>
              <w:rPr>
                <w:sz w:val="20"/>
                <w:szCs w:val="20"/>
                <w:color w:val="auto"/>
              </w:rPr>
            </w:pPr>
            <w:r>
              <w:rPr>
                <w:rFonts w:ascii="Arial" w:cs="Arial" w:eastAsia="Arial" w:hAnsi="Arial"/>
                <w:sz w:val="18"/>
                <w:szCs w:val="18"/>
                <w:color w:val="auto"/>
              </w:rPr>
              <w:t>(the “Plan”)) as follows:</w:t>
            </w: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vMerge w:val="restart"/>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PAYMENT CHOICES</w:t>
            </w: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Cash</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3"/>
          </w:tcPr>
          <w:p>
            <w:pPr>
              <w:jc w:val="right"/>
              <w:ind w:right="800"/>
              <w:spacing w:after="0" w:line="142" w:lineRule="exact"/>
              <w:rPr>
                <w:sz w:val="20"/>
                <w:szCs w:val="20"/>
                <w:color w:val="auto"/>
              </w:rPr>
            </w:pPr>
            <w:r>
              <w:rPr>
                <w:rFonts w:ascii="Arial" w:cs="Arial" w:eastAsia="Arial" w:hAnsi="Arial"/>
                <w:sz w:val="14"/>
                <w:szCs w:val="14"/>
                <w:b w:val="1"/>
                <w:bCs w:val="1"/>
                <w:color w:val="auto"/>
                <w:w w:val="89"/>
              </w:rPr>
              <w:t>CMRG Stock</w:t>
            </w:r>
          </w:p>
        </w:tc>
        <w:tc>
          <w:tcPr>
            <w:tcW w:w="4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TOTAL</w:t>
            </w: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Retainer</w:t>
            </w:r>
          </w:p>
        </w:tc>
        <w:tc>
          <w:tcPr>
            <w:tcW w:w="580" w:type="dxa"/>
            <w:vAlign w:val="bottom"/>
            <w:shd w:val="clear" w:color="auto" w:fill="CCEEFF"/>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line="170" w:lineRule="exact"/>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640"/>
              <w:spacing w:after="0" w:line="170"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100%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In-Person Meetings</w:t>
            </w:r>
          </w:p>
        </w:tc>
        <w:tc>
          <w:tcPr>
            <w:tcW w:w="4560" w:type="dxa"/>
            <w:vAlign w:val="bottom"/>
            <w:gridSpan w:val="2"/>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8"/>
              </w:rPr>
              <w:t>Telephonic Meetings</w:t>
            </w:r>
          </w:p>
        </w:tc>
        <w:tc>
          <w:tcPr>
            <w:tcW w:w="4560" w:type="dxa"/>
            <w:vAlign w:val="bottom"/>
            <w:gridSpan w:val="2"/>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640"/>
              <w:spacing w:after="0" w:line="17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100%</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7"/>
              </w:rPr>
              <w:t>Committee Chair Fee</w:t>
            </w:r>
          </w:p>
        </w:tc>
        <w:tc>
          <w:tcPr>
            <w:tcW w:w="4560" w:type="dxa"/>
            <w:vAlign w:val="bottom"/>
            <w:gridSpan w:val="2"/>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Re-election Award</w:t>
            </w:r>
          </w:p>
        </w:tc>
        <w:tc>
          <w:tcPr>
            <w:tcW w:w="5120" w:type="dxa"/>
            <w:vAlign w:val="bottom"/>
            <w:gridSpan w:val="4"/>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640"/>
              <w:spacing w:after="0" w:line="17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100%</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 understand and acknowledge that if there is an insufficient number of CMRG shares available under the Plan, I will be paid in cash.</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 understand and acknowledge that this election is irrevocable. I understand and acknowledge that I must be a director of the Company on the dates each portion of the Compensation is paid in order to qualify for such payment.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 understand and acknowledge that if there is any conflict between this form or any part of it and the Plan, the provisions of the Plan shall govern.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sz w:val="20"/>
                <w:szCs w:val="20"/>
                <w:color w:val="auto"/>
              </w:rPr>
            </w:pPr>
            <w:r>
              <w:rPr>
                <w:rFonts w:ascii="Arial" w:cs="Arial" w:eastAsia="Arial" w:hAnsi="Arial"/>
                <w:sz w:val="18"/>
                <w:szCs w:val="18"/>
                <w:color w:val="auto"/>
                <w:w w:val="91"/>
              </w:rPr>
              <w:t>I have hereunto set my hand and seal this   day of</w:t>
            </w: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 2010.</w:t>
            </w:r>
          </w:p>
        </w:tc>
        <w:tc>
          <w:tcPr>
            <w:tcW w:w="680" w:type="dxa"/>
            <w:vAlign w:val="bottom"/>
          </w:tcPr>
          <w:p>
            <w:pPr>
              <w:spacing w:after="0"/>
              <w:rPr>
                <w:sz w:val="17"/>
                <w:szCs w:val="17"/>
                <w:color w:val="auto"/>
              </w:rPr>
            </w:pPr>
          </w:p>
        </w:tc>
        <w:tc>
          <w:tcPr>
            <w:tcW w:w="5360" w:type="dxa"/>
            <w:vAlign w:val="bottom"/>
          </w:tcPr>
          <w:p>
            <w:pPr>
              <w:spacing w:after="0"/>
              <w:rPr>
                <w:sz w:val="17"/>
                <w:szCs w:val="17"/>
                <w:color w:val="auto"/>
              </w:rPr>
            </w:pPr>
          </w:p>
        </w:tc>
      </w:tr>
      <w:tr>
        <w:trPr>
          <w:trHeight w:val="439"/>
        </w:trPr>
        <w:tc>
          <w:tcPr>
            <w:tcW w:w="29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1"/>
        </w:trPr>
        <w:tc>
          <w:tcPr>
            <w:tcW w:w="366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ind w:left="2160"/>
              <w:spacing w:after="0"/>
              <w:rPr>
                <w:sz w:val="20"/>
                <w:szCs w:val="20"/>
                <w:color w:val="auto"/>
              </w:rPr>
            </w:pPr>
            <w:r>
              <w:rPr>
                <w:rFonts w:ascii="Arial" w:cs="Arial" w:eastAsia="Arial" w:hAnsi="Arial"/>
                <w:sz w:val="18"/>
                <w:szCs w:val="18"/>
                <w:color w:val="auto"/>
              </w:rPr>
              <w:t>(Printed name)</w:t>
            </w:r>
          </w:p>
        </w:tc>
      </w:tr>
      <w:tr>
        <w:trPr>
          <w:trHeight w:val="365"/>
        </w:trPr>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0" w:type="dxa"/>
            <w:vAlign w:val="bottom"/>
            <w:gridSpan w:val="3"/>
          </w:tcPr>
          <w:p>
            <w:pPr>
              <w:jc w:val="right"/>
              <w:ind w:right="200"/>
              <w:spacing w:after="0"/>
              <w:rPr>
                <w:sz w:val="20"/>
                <w:szCs w:val="20"/>
                <w:color w:val="auto"/>
              </w:rPr>
            </w:pPr>
            <w:r>
              <w:rPr>
                <w:rFonts w:ascii="Arial" w:cs="Arial" w:eastAsia="Arial" w:hAnsi="Arial"/>
                <w:sz w:val="18"/>
                <w:szCs w:val="18"/>
                <w:color w:val="auto"/>
              </w:rPr>
              <w:t>- 4 -</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[Greenberg Traurig, LLP Letterhead]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199"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Shares to be Issued Under the Casual Male Retail Group, Inc.</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Fiscal 2010 Non-Employee Director Stock Purchase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assisted in the preparation of a Registration Statement on Form S-8 (the “Registration Statement”) to be filed with the Securities and Exchange Commission (the “Commission”) under the Securities Act of 1933, as amended (the “Securities Act”), relating to 250,000 shares (the “Shares”) of common stock, $0.01 par value per share (the “Common Stock”), of Casual Male Retail Group, Inc., a Delaware corporation (the “Company”), that may be issued under the Casual Male Retail Group, Inc. Fiscal 2010 Non-Employee Director Stock Purchase Plan (the “Plan”).</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is understood that this opinion is to be used only in connection with the offer and sale of the Shares while the Registration Statement is in effect.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w:t>
      </w:r>
    </w:p>
    <w:p>
      <w:pPr>
        <w:spacing w:after="0" w:line="19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Greenberg Traurig, LLP</w:t>
      </w:r>
    </w:p>
    <w:p>
      <w:pPr>
        <w:sectPr>
          <w:pgSz w:w="11900" w:h="16838" w:orient="portrait"/>
          <w:cols w:equalWidth="0" w:num="1">
            <w:col w:w="11320"/>
          </w:cols>
          <w:pgMar w:left="240" w:top="280"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Casual Male Retail Group, Inc. Fiscal 2010 Non-Employee Director Stock Purchase Plan to register 250,000 shares of common stock, of our reports dated March 18, 2009, with respect to the consolidated financial statements of Casual Male Retail Group, Inc. included in its Annual Report (Form 10-K) for the year ended January 31, 2009, and the effectiveness of internal control over financial reporting of Casual Male Retail Group, Inc. filed with the Securities and Exchange Commission.</w:t>
      </w:r>
    </w:p>
    <w:p>
      <w:pPr>
        <w:spacing w:after="0" w:line="113" w:lineRule="exact"/>
        <w:rPr>
          <w:sz w:val="20"/>
          <w:szCs w:val="20"/>
          <w:color w:val="auto"/>
        </w:rPr>
      </w:pPr>
    </w:p>
    <w:p>
      <w:pPr>
        <w:ind w:left="9660"/>
        <w:spacing w:after="0"/>
        <w:tabs>
          <w:tab w:leader="none" w:pos="9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 2010</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lvl w:ilvl="1">
      <w:lvlJc w:val="left"/>
      <w:lvlText w:val="(%2)"/>
      <w:numFmt w:val="lowerRoman"/>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lowerLetter"/>
      <w:start w:val="1"/>
    </w:lvl>
    <w:lvl w:ilvl="1">
      <w:lvlJc w:val="left"/>
      <w:lvlText w:val="-"/>
      <w:numFmt w:val="bullet"/>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2019-12-10T06:26:39Z</dcterms:created>
  <dcterms:modified xsi:type="dcterms:W3CDTF">2019-12-10T06:26:39Z</dcterms:modified>
</cp:coreProperties>
</file>