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jc w:val="right"/>
        <w:spacing w:after="0" w:line="235" w:lineRule="auto"/>
        <w:rPr>
          <w:sz w:val="20"/>
          <w:szCs w:val="20"/>
          <w:color w:val="auto"/>
        </w:rPr>
      </w:pPr>
      <w:r>
        <w:rPr>
          <w:rFonts w:ascii="Courier New" w:cs="Courier New" w:eastAsia="Courier New" w:hAnsi="Courier New"/>
          <w:sz w:val="18"/>
          <w:szCs w:val="18"/>
          <w:color w:val="auto"/>
        </w:rPr>
        <w:t>Quarter Ended October 28, 1995 ----------------</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3">
            <w:col w:w="3160" w:space="540"/>
            <w:col w:w="2320" w:space="300"/>
            <w:col w:w="3899"/>
          </w:cols>
          <w:pgMar w:left="240" w:top="447" w:right="1440" w:bottom="0" w:gutter="0" w:footer="0" w:header="0"/>
          <w:type w:val="continuous"/>
        </w:sectPr>
      </w:pPr>
    </w:p>
    <w:p>
      <w:pPr>
        <w:spacing w:after="0" w:line="21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DESIGNS, INC.</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720" w:space="720"/>
            <w:col w:w="5779"/>
          </w:cols>
          <w:pgMar w:left="240" w:top="447" w:right="1440" w:bottom="0" w:gutter="0" w:footer="0" w:header="0"/>
          <w:type w:val="continuous"/>
        </w:sectPr>
      </w:pPr>
    </w:p>
    <w:p>
      <w:pPr>
        <w:spacing w:after="0" w:line="24" w:lineRule="exact"/>
        <w:rPr>
          <w:sz w:val="24"/>
          <w:szCs w:val="24"/>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56" w:lineRule="exact"/>
        <w:rPr>
          <w:sz w:val="24"/>
          <w:szCs w:val="24"/>
          <w:color w:val="auto"/>
        </w:rPr>
      </w:pPr>
    </w:p>
    <w:p>
      <w:pPr>
        <w:sectPr>
          <w:pgSz w:w="11900" w:h="16838" w:orient="portrait"/>
          <w:cols w:equalWidth="0" w:num="2">
            <w:col w:w="3300" w:space="720"/>
            <w:col w:w="6199"/>
          </w:cols>
          <w:pgMar w:left="240" w:top="447" w:right="1440" w:bottom="0" w:gutter="0" w:footer="0" w:header="0"/>
          <w:type w:val="continuous"/>
        </w:sectPr>
      </w:pPr>
    </w:p>
    <w:p>
      <w:pPr>
        <w:spacing w:after="0" w:line="172" w:lineRule="exact"/>
        <w:rPr>
          <w:sz w:val="24"/>
          <w:szCs w:val="24"/>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1244 Boylston Street, Chestnut Hill, MA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02167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2">
            <w:col w:w="4660" w:space="720"/>
            <w:col w:w="4839"/>
          </w:cols>
          <w:pgMar w:left="240" w:top="44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560" w:space="720"/>
            <w:col w:w="49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(617) 739-6722</w:t>
      </w:r>
    </w:p>
    <w:p>
      <w:pPr>
        <w:spacing w:after="0" w:line="4"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(Registrant's telephone</w:t>
      </w:r>
    </w:p>
    <w:p>
      <w:pPr>
        <w:ind w:left="2740"/>
        <w:spacing w:after="0" w:line="238" w:lineRule="auto"/>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4"/>
          <w:szCs w:val="24"/>
          <w:color w:val="auto"/>
        </w:rPr>
      </w:pPr>
    </w:p>
    <w:p>
      <w:pPr>
        <w:sectPr>
          <w:pgSz w:w="11900" w:h="16838" w:orient="portrait"/>
          <w:cols w:equalWidth="0" w:num="3">
            <w:col w:w="320" w:space="220"/>
            <w:col w:w="120" w:space="720"/>
            <w:col w:w="8839"/>
          </w:cols>
          <w:pgMar w:left="240" w:top="447"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060" w:space="520"/>
            <w:col w:w="8639"/>
          </w:cols>
          <w:pgMar w:left="240" w:top="447"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Class</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October 28, 1995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26"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15,766,234 shares</w:t>
      </w:r>
    </w:p>
    <w:p>
      <w:pPr>
        <w:spacing w:after="0" w:line="200" w:lineRule="exact"/>
        <w:rPr>
          <w:sz w:val="24"/>
          <w:szCs w:val="24"/>
          <w:color w:val="auto"/>
        </w:rPr>
      </w:pPr>
    </w:p>
    <w:p>
      <w:pPr>
        <w:sectPr>
          <w:pgSz w:w="11900" w:h="16838" w:orient="portrait"/>
          <w:cols w:equalWidth="0" w:num="2">
            <w:col w:w="3820" w:space="720"/>
            <w:col w:w="567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ind w:left="274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October 28, 1995, October 29, 1994 and January 28, 1995</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(In thousands, except share data)</w:t>
      </w:r>
    </w:p>
    <w:p>
      <w:pPr>
        <w:ind w:left="34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p>
      <w:pPr>
        <w:ind w:left="4540"/>
        <w:spacing w:after="0"/>
        <w:tabs>
          <w:tab w:leader="none" w:pos="5780" w:val="left"/>
          <w:tab w:leader="none" w:pos="7040" w:val="left"/>
        </w:tabs>
        <w:rPr>
          <w:sz w:val="20"/>
          <w:szCs w:val="20"/>
          <w:color w:val="auto"/>
        </w:rPr>
      </w:pPr>
      <w:r>
        <w:rPr>
          <w:rFonts w:ascii="Courier New" w:cs="Courier New" w:eastAsia="Courier New" w:hAnsi="Courier New"/>
          <w:sz w:val="18"/>
          <w:szCs w:val="18"/>
          <w:color w:val="auto"/>
        </w:rPr>
        <w:t>October</w:t>
      </w:r>
      <w:r>
        <w:rPr>
          <w:sz w:val="20"/>
          <w:szCs w:val="20"/>
          <w:color w:val="auto"/>
        </w:rPr>
        <w:tab/>
      </w:r>
      <w:r>
        <w:rPr>
          <w:rFonts w:ascii="Courier New" w:cs="Courier New" w:eastAsia="Courier New" w:hAnsi="Courier New"/>
          <w:sz w:val="18"/>
          <w:szCs w:val="18"/>
          <w:color w:val="auto"/>
        </w:rPr>
        <w:t>October</w:t>
      </w:r>
      <w:r>
        <w:rPr>
          <w:sz w:val="20"/>
          <w:szCs w:val="20"/>
          <w:color w:val="auto"/>
        </w:rPr>
        <w:tab/>
      </w:r>
      <w:r>
        <w:rPr>
          <w:rFonts w:ascii="Courier New" w:cs="Courier New" w:eastAsia="Courier New" w:hAnsi="Courier New"/>
          <w:sz w:val="16"/>
          <w:szCs w:val="16"/>
          <w:color w:val="auto"/>
        </w:rPr>
        <w:t>January</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28,</w:t>
            </w:r>
          </w:p>
        </w:tc>
        <w:tc>
          <w:tcPr>
            <w:tcW w:w="13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29,</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1995</w:t>
            </w: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$18,367</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$22,424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970</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63,801</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48,015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52,649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1,579</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1,092</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85,809</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74,796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82,088</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 and</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34,473</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25,835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26,503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11,514</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18,539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15,831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1,542</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1,236</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 (Note 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2,709</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757</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$138,040</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$122,310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$127,295</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LIABILITIES AND STOCKHOLDERS'EQUITY</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$11,811</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$14,171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$13,210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9,224</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reserve (Note 3)</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4,959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3,058</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7,512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2,484</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portion of note payable (Note 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27,077</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34,492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26,844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Long term portion of note payable</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6,526</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4,749</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1,000,000 shares authorized, none</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Common stock, $0.01 par value,</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50,000,000 shares authorized, 15,766,000,</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15,746,000 and 15,755,000 shares issued</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October 28,1995, October 29,1994 and</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January 28,1995, respectively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52,656</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52,760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52,619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51,123</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34,901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42,926</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stockholders'equity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103,937</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87,818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95,702</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stockholders'equity</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$138,040</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$122,310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$127,295</w:t>
            </w:r>
          </w:p>
        </w:tc>
      </w:tr>
      <w:tr>
        <w:trPr>
          <w:trHeight w:val="203"/>
        </w:trPr>
        <w:tc>
          <w:tcPr>
            <w:tcW w:w="4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209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DESIGNS, INC.</w:t>
      </w:r>
    </w:p>
    <w:p>
      <w:pPr>
        <w:ind w:left="222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212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5280" w:type="dxa"/>
            <w:vAlign w:val="bottom"/>
            <w:gridSpan w:val="2"/>
          </w:tcPr>
          <w:p>
            <w:pPr>
              <w:jc w:val="right"/>
              <w:ind w:right="652"/>
              <w:spacing w:after="0" w:line="202" w:lineRule="exact"/>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26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9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28,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3900" w:type="dxa"/>
            <w:vAlign w:val="bottom"/>
          </w:tcPr>
          <w:p>
            <w:pPr>
              <w:spacing w:after="0"/>
              <w:rPr>
                <w:sz w:val="17"/>
                <w:szCs w:val="17"/>
                <w:color w:val="auto"/>
              </w:rPr>
            </w:pP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900" w:type="dxa"/>
            <w:vAlign w:val="bottom"/>
          </w:tcPr>
          <w:p>
            <w:pPr>
              <w:spacing w:after="0"/>
              <w:rPr>
                <w:sz w:val="17"/>
                <w:szCs w:val="17"/>
                <w:color w:val="auto"/>
              </w:rPr>
            </w:pP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$89,217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$80,755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59,903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53,739</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29,314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27,016</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18,453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14,297</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1,717</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16,014</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8,514</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11,002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 interest and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8,840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11,295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minority interest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8,551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11,295</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3,517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4,634</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$5,034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$6,661</w:t>
            </w:r>
          </w:p>
        </w:tc>
      </w:tr>
      <w:tr>
        <w:trPr>
          <w:trHeight w:val="203"/>
        </w:trPr>
        <w:tc>
          <w:tcPr>
            <w:tcW w:w="39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$ 0.32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$ 0.42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common equivalent shares outstanding</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15,765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15,940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2519"/>
        <w:spacing w:after="0"/>
        <w:rPr>
          <w:sz w:val="20"/>
          <w:szCs w:val="20"/>
          <w:color w:val="auto"/>
        </w:rPr>
      </w:pPr>
      <w:r>
        <w:rPr>
          <w:rFonts w:ascii="Courier New" w:cs="Courier New" w:eastAsia="Courier New" w:hAnsi="Courier New"/>
          <w:sz w:val="18"/>
          <w:szCs w:val="18"/>
          <w:color w:val="auto"/>
        </w:rPr>
        <w:t>DESIGNS, INC.</w:t>
      </w:r>
    </w:p>
    <w:p>
      <w:pPr>
        <w:ind w:left="212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20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5320" w:type="dxa"/>
            <w:vAlign w:val="bottom"/>
            <w:gridSpan w:val="2"/>
          </w:tcPr>
          <w:p>
            <w:pPr>
              <w:jc w:val="right"/>
              <w:ind w:right="912"/>
              <w:spacing w:after="0" w:line="202"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28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90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28,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3900" w:type="dxa"/>
            <w:vAlign w:val="bottom"/>
          </w:tcPr>
          <w:p>
            <w:pPr>
              <w:spacing w:after="0"/>
              <w:rPr>
                <w:sz w:val="17"/>
                <w:szCs w:val="17"/>
                <w:color w:val="auto"/>
              </w:rPr>
            </w:pPr>
          </w:p>
        </w:tc>
        <w:tc>
          <w:tcPr>
            <w:tcW w:w="14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900" w:type="dxa"/>
            <w:vAlign w:val="bottom"/>
          </w:tcPr>
          <w:p>
            <w:pPr>
              <w:spacing w:after="0"/>
              <w:rPr>
                <w:sz w:val="17"/>
                <w:szCs w:val="17"/>
                <w:color w:val="auto"/>
              </w:rPr>
            </w:pPr>
          </w:p>
        </w:tc>
        <w:tc>
          <w:tcPr>
            <w:tcW w:w="28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$213,546</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$186,106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148,159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128,486</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65,387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57,620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48,569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38,810</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6,294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5,064</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52,663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43,874</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12,724</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13,746</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154</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590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1,058</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13,686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14,214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minority interest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13,291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14,214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5,469</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5,830</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$7,822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$8,384</w:t>
            </w:r>
          </w:p>
        </w:tc>
      </w:tr>
      <w:tr>
        <w:trPr>
          <w:trHeight w:val="203"/>
        </w:trPr>
        <w:tc>
          <w:tcPr>
            <w:tcW w:w="3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$ 0.50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$ 0.53</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common equivalent shares 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15,760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15,966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239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2299"/>
        <w:spacing w:after="0"/>
        <w:rPr>
          <w:sz w:val="20"/>
          <w:szCs w:val="20"/>
          <w:color w:val="auto"/>
        </w:rPr>
      </w:pPr>
      <w:r>
        <w:rPr>
          <w:rFonts w:ascii="Courier New" w:cs="Courier New" w:eastAsia="Courier New" w:hAnsi="Courier New"/>
          <w:sz w:val="18"/>
          <w:szCs w:val="18"/>
          <w:color w:val="auto"/>
        </w:rPr>
        <w:t>DESIGNS,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299"/>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4380" w:type="dxa"/>
            <w:vAlign w:val="bottom"/>
          </w:tcPr>
          <w:p>
            <w:pPr>
              <w:ind w:left="3160"/>
              <w:spacing w:after="0" w:line="202"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380" w:type="dxa"/>
            <w:vAlign w:val="bottom"/>
          </w:tcPr>
          <w:p>
            <w:pPr>
              <w:spacing w:after="0"/>
              <w:rPr>
                <w:sz w:val="24"/>
                <w:szCs w:val="24"/>
                <w:color w:val="auto"/>
              </w:rPr>
            </w:pPr>
          </w:p>
        </w:tc>
        <w:tc>
          <w:tcPr>
            <w:tcW w:w="26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October 28,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38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$293,350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$258,205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201,457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177,256</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91,893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80,949</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62,675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51,270</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8,109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6,781</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65,384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73,051</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26,509</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7,898</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173</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1,401</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27,871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27,476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11,135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3,560</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$16,341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$4,802</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0.30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15,755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15,963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0" w:right="3259" w:hanging="42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514"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DESIGNS, INC.</w:t>
      </w:r>
    </w:p>
    <w:p>
      <w:pPr>
        <w:ind w:left="316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3160"/>
        <w:spacing w:after="0"/>
        <w:rPr>
          <w:sz w:val="20"/>
          <w:szCs w:val="20"/>
          <w:color w:val="auto"/>
        </w:rPr>
      </w:pPr>
      <w:r>
        <w:rPr>
          <w:rFonts w:ascii="Courier New" w:cs="Courier New" w:eastAsia="Courier New" w:hAnsi="Courier New"/>
          <w:sz w:val="18"/>
          <w:szCs w:val="18"/>
          <w:color w:val="auto"/>
        </w:rPr>
        <w:t>(In thousands-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6"/>
              </w:rPr>
              <w:t>Nine Months Ended</w:t>
            </w:r>
          </w:p>
        </w:tc>
      </w:tr>
      <w:tr>
        <w:trPr>
          <w:trHeight w:val="203"/>
        </w:trPr>
        <w:tc>
          <w:tcPr>
            <w:tcW w:w="6740" w:type="dxa"/>
            <w:vAlign w:val="bottom"/>
            <w:gridSpan w:val="3"/>
          </w:tcPr>
          <w:p>
            <w:pPr>
              <w:ind w:left="5380"/>
              <w:spacing w:after="0" w:line="203" w:lineRule="exact"/>
              <w:rPr>
                <w:sz w:val="20"/>
                <w:szCs w:val="20"/>
                <w:color w:val="auto"/>
              </w:rPr>
            </w:pPr>
            <w:r>
              <w:rPr>
                <w:rFonts w:ascii="Courier New" w:cs="Courier New" w:eastAsia="Courier New" w:hAnsi="Courier New"/>
                <w:sz w:val="18"/>
                <w:szCs w:val="18"/>
                <w:color w:val="auto"/>
              </w:rPr>
              <w:t>October 28,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8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$7,822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$8,384</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6,294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5,064</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the sale of investments</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disposal of property and equipment</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313</w:t>
            </w: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acquisition: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3,253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(8,131)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(2,853)</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2,484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1,443</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(1,399)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7,463</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Restructuring reserve</w:t>
            </w: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(2,432)</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3,280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2,478</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(4,632)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10,381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20,430</w:t>
            </w:r>
          </w:p>
        </w:tc>
      </w:tr>
      <w:tr>
        <w:trPr>
          <w:trHeight w:val="203"/>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(13,786)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(8,956)</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(1,508)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(592)</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7,158</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(10,429)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(2,570)</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for acquisition of a business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(5,428)</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minority shareholder</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1,560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Distributions to minority shareholder</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Repayments of long-term debt</w:t>
            </w: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10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Issuance of common stock under option program (1)</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(4,009)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(11,750)</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 cash equivalents</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(4,057)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22,424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13,601</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$18,367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$19,711</w:t>
            </w:r>
          </w:p>
        </w:tc>
      </w:tr>
      <w:tr>
        <w:trPr>
          <w:trHeight w:val="203"/>
        </w:trPr>
        <w:tc>
          <w:tcPr>
            <w:tcW w:w="5700" w:type="dxa"/>
            <w:vAlign w:val="bottom"/>
          </w:tcPr>
          <w:p>
            <w:pPr>
              <w:spacing w:after="0"/>
              <w:rPr>
                <w:sz w:val="17"/>
                <w:szCs w:val="17"/>
                <w:color w:val="auto"/>
              </w:rPr>
            </w:pPr>
          </w:p>
        </w:tc>
        <w:tc>
          <w:tcPr>
            <w:tcW w:w="1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net: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748</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3,139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3,602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Including related tax benefit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209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In the opinion of management of Designs, Inc.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28, 1995. Historically, the Company's business has been seasonal in nature and the results of the interim periods presented are not necessarily indicative of the results to be expected for the full year.</w:t>
      </w:r>
    </w:p>
    <w:p>
      <w:pPr>
        <w:spacing w:after="0" w:line="386"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 (the "Partnership Agreement") establishing a joint venture to sell Levi's(R) brand jeans and jeans-related products in Original Levi's(R) Stores and Levi's(R) Outlets. LDJV Inc. is a wholly-owned subsidiary of Levi's(R) Only Stores, Inc., which is a wholly-owned subsidiary of Levi Strauss &amp; Co. This partnership is known as The Designs/OLS Partnership (the "Partnership").</w:t>
      </w:r>
    </w:p>
    <w:p>
      <w:pPr>
        <w:spacing w:after="0" w:line="188"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operating results of the Partnership are consolidated with the financial statements of the Company for the three, nine and twelve months ended October 28, 1995. Minority interest at October 28, 1995 represents LDJV Inc.'s 30% interest in the Partnership.</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During the third quarter of fiscal year 1996, the Partners made an additional capital contribution of cash totalling $5.2 million to the Partnership. In accordance with the Partnership Agreement, the Partnership made capital distributions of $592,000 to its partners for the nine months ended October 28, 1995. These capital distributions represented funds sufficient for each of the partners to pay taxes associated with the earnings of the Partnership for the nine month period ended October 28, 1995.</w:t>
      </w:r>
    </w:p>
    <w:p>
      <w:pPr>
        <w:spacing w:after="0" w:line="385"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fiscal 1994, the Company recorded a nonrecurring pre-tax charge of $15 million or $0.56 per share to cover the expected costs associated with the closing of fifteen of its poorest performing Designs stores. The $15 million is reflected in the consolidated statement of income as a restructuring charge for the twelve month period ended October 29, 1994.</w:t>
      </w:r>
    </w:p>
    <w:p>
      <w:pPr>
        <w:sectPr>
          <w:pgSz w:w="11900" w:h="16838" w:orient="portrait"/>
          <w:cols w:equalWidth="0" w:num="1">
            <w:col w:w="10219"/>
          </w:cols>
          <w:pgMar w:left="240" w:top="717" w:right="1440" w:bottom="1440" w:gutter="0" w:footer="0" w:header="0"/>
        </w:sectPr>
      </w:pPr>
    </w:p>
    <w:bookmarkStart w:id="7" w:name="page8"/>
    <w:bookmarkEnd w:id="7"/>
    <w:p>
      <w:pPr>
        <w:ind w:right="2199" w:firstLine="527"/>
        <w:spacing w:after="0" w:line="273" w:lineRule="auto"/>
        <w:rPr>
          <w:sz w:val="20"/>
          <w:szCs w:val="20"/>
          <w:color w:val="auto"/>
        </w:rPr>
      </w:pPr>
      <w:r>
        <w:rPr>
          <w:rFonts w:ascii="Courier New" w:cs="Courier New" w:eastAsia="Courier New" w:hAnsi="Courier New"/>
          <w:sz w:val="16"/>
          <w:szCs w:val="16"/>
          <w:color w:val="auto"/>
        </w:rPr>
        <w:t>As of the end of fiscal 1995, the estimated cost to close these fifteen stores was $11.8 million. This estimated amount included an accrual of $4.1 million for future lease obligations. In the fourth quarter of fiscal 1995, the Company recognized pre-tax income of $3.2 million which represented the Company's estimated excess restructuring reserve at January 28, 1995.</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reached final agreements with certain landlords for $1.9 million. The remaining accrual of $2.2 million or $0.08 per share was recognized as pre-tax income for the nine month period ended October 28, 1995.</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("Boston Trading") in accordance with the terms of an Asset Purchase Agreement dated April 21, 1995 among Boston Trading, Designs Acquisition Corp., the Company and others (the "Purchase Agreement"). The Company paid $5,428,000 million in cash, financed by operations, and delivered a non-negotiable promissory note in the principal amount of $1,000,000. The principal amount of the promissory note is payable in two equal annual installments through May 1997. The note bears interest at the published prime rate and is payable semi-annually from the date of acquisition. The purchase price has been allocated to the assets acquired, including certain intangible assets, principally trademarks and licensing agreements, based on their respective fair values. Trademarks and licensing agreements are being amortized on a straight-line basis over 15 years and 4 years, respectively. Other assets acquired included all inventory and fixed assets associated with 33 Boston Traders(R) outlet stores.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pro forma summary presents the consolidated results of operation of the Company as if the acquisition had occurred as of the beginning of the periods presented, after giving effect to certain adjustments, including amortization of intangibles, decreased interest income related to cash used to finance the acquisition and related income tax effects. Pro forma results of operations for the nine months ended</w:t>
      </w:r>
    </w:p>
    <w:p>
      <w:pPr>
        <w:spacing w:after="0" w:line="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October 28, 1995 and October 29, 1994 include Boston Trading results of operations for the period January 29, 1995 through May 1, 1995 and January 30, 1994 through October 29, 1994, respectively. Pro forma results of operations for the twelve month period ended October 28, 1995 and October 29, 1994 assume that the acquisition occurred at October 30, 1994 and October 31, 1993,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gridSpan w:val="3"/>
          </w:tcPr>
          <w:p>
            <w:pPr>
              <w:jc w:val="center"/>
              <w:ind w:left="332"/>
              <w:spacing w:after="0"/>
              <w:rPr>
                <w:sz w:val="20"/>
                <w:szCs w:val="20"/>
                <w:color w:val="auto"/>
              </w:rPr>
            </w:pPr>
            <w:r>
              <w:rPr>
                <w:rFonts w:ascii="Courier New" w:cs="Courier New" w:eastAsia="Courier New" w:hAnsi="Courier New"/>
                <w:sz w:val="18"/>
                <w:szCs w:val="18"/>
                <w:color w:val="auto"/>
                <w:w w:val="96"/>
              </w:rPr>
              <w:t>Nine Months Ended</w:t>
            </w:r>
          </w:p>
        </w:tc>
        <w:tc>
          <w:tcPr>
            <w:tcW w:w="520" w:type="dxa"/>
            <w:vAlign w:val="bottom"/>
          </w:tcPr>
          <w:p>
            <w:pPr>
              <w:spacing w:after="0"/>
              <w:rPr>
                <w:sz w:val="17"/>
                <w:szCs w:val="17"/>
                <w:color w:val="auto"/>
              </w:rPr>
            </w:pPr>
          </w:p>
        </w:tc>
        <w:tc>
          <w:tcPr>
            <w:tcW w:w="25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154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October 28,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October 29,</w:t>
            </w: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October 28,</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29,</w:t>
            </w:r>
          </w:p>
        </w:tc>
      </w:tr>
      <w:tr>
        <w:trPr>
          <w:trHeight w:val="203"/>
        </w:trPr>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1995</w:t>
            </w:r>
          </w:p>
        </w:tc>
        <w:tc>
          <w:tcPr>
            <w:tcW w:w="52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215,334</w:t>
            </w:r>
          </w:p>
        </w:tc>
        <w:tc>
          <w:tcPr>
            <w:tcW w:w="52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195,118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299,737</w:t>
            </w:r>
          </w:p>
        </w:tc>
        <w:tc>
          <w:tcPr>
            <w:tcW w:w="580" w:type="dxa"/>
            <w:vAlign w:val="bottom"/>
          </w:tcPr>
          <w:p>
            <w:pPr>
              <w:ind w:left="4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271,779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6,912</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5,971</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14,806</w:t>
            </w:r>
          </w:p>
        </w:tc>
        <w:tc>
          <w:tcPr>
            <w:tcW w:w="5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1,819</w:t>
            </w: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Net income per share $</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0.44</w:t>
            </w:r>
          </w:p>
        </w:tc>
        <w:tc>
          <w:tcPr>
            <w:tcW w:w="5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0.94</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0.11</w:t>
            </w:r>
          </w:p>
        </w:tc>
      </w:tr>
    </w:tbl>
    <w:p>
      <w:pPr>
        <w:sectPr>
          <w:pgSz w:w="11900" w:h="16838" w:orient="portrait"/>
          <w:cols w:equalWidth="0" w:num="1">
            <w:col w:w="10219"/>
          </w:cols>
          <w:pgMar w:left="240" w:top="723" w:right="1440" w:bottom="1440" w:gutter="0" w:footer="0" w:header="0"/>
        </w:sectPr>
      </w:pPr>
    </w:p>
    <w:bookmarkStart w:id="8" w:name="page9"/>
    <w:bookmarkEnd w:id="8"/>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second quarter of fiscal 1996, the Company signed an amendment to the $20.0 million revolving credit agreement dated as of November 17, 1994 among the Company, BayBank Boston, N.A. and State Street Bank and Trust Company. This amendment provides that $5.0 million of the $20.0 million line of credit can be used as a letter of credit facility. The Company expects to use this letter of credit facility for purchases of inventory related to the development and growth of the Company's Boston Traders(R) product line. At October 28, 1995, $3.5 million of the $5.0 million was available for the issuance of letters of credit.</w:t>
      </w:r>
    </w:p>
    <w:p>
      <w:pPr>
        <w:spacing w:after="0" w:line="20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a Shareholders Rights Plan</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On May 1, 1995, the Board of Directors of the Company adopted a Shareholder Rights Plan. Pursuant to the Plan, the Company entered into a Shareholder Rights Agreement ("Rights Agreement") between the Company and its transfer agent, The First National Bank of Boston. Pursuant to the Rights Agreement, the Board of Directors declared a dividend distribution of one preferred stock purchase right (the "Right(s)") for each outstanding share of the Company's $0.01 par value Common Stock ("Common Stock") to stockholders of record as of the close of business on May 15, 1995. Initially, these Rights will not be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 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ectPr>
          <w:pgSz w:w="11900" w:h="16838" w:orient="portrait"/>
          <w:cols w:equalWidth="0" w:num="1">
            <w:col w:w="10219"/>
          </w:cols>
          <w:pgMar w:left="240" w:top="717" w:right="1440" w:bottom="1440" w:gutter="0" w:footer="0" w:header="0"/>
        </w:sectPr>
      </w:pPr>
    </w:p>
    <w:bookmarkStart w:id="9" w:name="page10"/>
    <w:bookmarkEnd w:id="9"/>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Sales for the third quarter of fiscal 1996 increased 10% to $89.2 million from $80.8 million in the third quarter of 1995. Comparable store sales decreased 3% for the three month period. Of the 158 stores that Designs, Inc. (the "Company") operates, 99 are comparable stores. Comparable store sales decreased primarily due to an decrease in unit sales of 4% offset by 1% increase in average unit price for the three month period. Comparable Outlet store sales increased 1% for the three month period as compared to the prior year, principally due to an increase in the availability and mix of goods. Comparable Designs store sales decreased by 10% for the three month period as compared to the same period in the preceding year. Comparable Original Levi's(R) Stores sales decreased 4% for the three month period as compared to the same period in the prior year. For the nine month period, sales rose 15% to $213.5 million in the current year as compared to $186.1 million in the prior year. Comparable store sales increased 2% for the nine month period. On a rolling 12 month basis, sales increased 14% to $293.4 million for the twelve month period ended October 28, 1995 compared to $258.2 million for the twelve month period ended October 29, 1994.</w:t>
      </w: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Gross margin rate (including the costs of occupancy) decreased to 32.9% as compared to 33.5% in the third quarter of 1995 principally due to the deleveraging of occupancy costs on the lower than anticipated sales base. The increased total sales at this gross margin rate resulted in a 8.5% increase in gross margin dollars to $29.3 million for the third quarter of fiscal 1996 as compared with $27.0 million in fiscal 1995. For the nine month period, gross margin rate decreased to 30.6% as compared to 30.9% in the prior period. For the rolling twelve month period, gross margin rate decreased to 31.3% as compared to 31.4% in the prior year.</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the quarter, selling, general and administrative expenses of $18.5 million increased to 20.7% of sales as compared with 17.7% in the corresponding period in the prior year. This increase was primarily attributable to increased infrastructure costs associated with the development of the Company's Boston Traders(R) brand. For the nine month period, selling, general and administrative expenses increased to 22.7% of sales as compared with 20.9% in the prior year period. For the rolling 12 month period, selling, general and administrative expenses increased to 21.4% of sales compared with 19.9% in the prior period principally due to increased advertising, infrastructure associated with the Boston Trading(R) brand and healthcare costs.</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During fiscal 1994, the Company recorded a non-recurring pre-tax charge of $15.0 million to cover the expected costs associated with the closing of up to ten of its poorest performing Designs stores. In November 1994, in connection with the Company's ongoing review of Designs store performance, the Company decided to close up to five more of the poorest performing Designs stores during fiscal 1995. The $15.0 million is reflected in the consolidated statement of income as a restructuring charge for the twelve month period ended October 29, 1994.</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As of the end of fiscal 1995, the estimated costs to close these fifteen stores was an estimated $11.8 million. This estimated amount included an accrual of $4.1 million for future lease obligations. For the fiscal year ended January 28, 1995, the Company recognized pre-tax income of $3.2 million which represented the Company's estimated excess accrual at January 28, 1995.</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reached final agreements with certain landlords for $1.9 million. The remaining accrual of $2.2 million was recognized as pre-tax income for the nine month period ended October 28, 1995.</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Depreciation and amortization expense of $2.3 million and $6.3 million for the three and nine month periods increased 36.7% and 24.3%, respectively, as compared with the same periods in fiscal 1995 due to the cost of new store openings, remodeled Designs stores and the acquisition of 33 Boston Traders(R) outlet stores. For the rolling 12 month period, depreciation and amortization increased 19.6%, primarily due to the timing of store openings.</w:t>
      </w:r>
    </w:p>
    <w:p>
      <w:pPr>
        <w:spacing w:after="0" w:line="186"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Interest expense for the third quarter of fiscal year 1996 increased to $67,000 as compared to $8,000 in the same period in fiscal year 1995 principally due to interest expense incurred on the $1 million acquisition promissory note outstanding. Interest expense for the nine months decreased to $154,000 or 73.9% as compared to $590,000 in the prior year due to interest cost savings and a prepayment penalty of $290,000 associated with</w:t>
      </w:r>
    </w:p>
    <w:p>
      <w:pPr>
        <w:sectPr>
          <w:pgSz w:w="11900" w:h="16838" w:orient="portrait"/>
          <w:cols w:equalWidth="0" w:num="1">
            <w:col w:w="10219"/>
          </w:cols>
          <w:pgMar w:left="240" w:top="723" w:right="1440" w:bottom="0" w:gutter="0" w:footer="0" w:header="0"/>
        </w:sectPr>
      </w:pPr>
    </w:p>
    <w:bookmarkStart w:id="10" w:name="page11"/>
    <w:bookmarkEnd w:id="10"/>
    <w:p>
      <w:pPr>
        <w:jc w:val="both"/>
        <w:ind w:right="2199"/>
        <w:spacing w:after="0" w:line="236" w:lineRule="auto"/>
        <w:rPr>
          <w:sz w:val="20"/>
          <w:szCs w:val="20"/>
          <w:color w:val="auto"/>
        </w:rPr>
      </w:pPr>
      <w:r>
        <w:rPr>
          <w:rFonts w:ascii="Courier New" w:cs="Courier New" w:eastAsia="Courier New" w:hAnsi="Courier New"/>
          <w:sz w:val="18"/>
          <w:szCs w:val="18"/>
          <w:color w:val="auto"/>
        </w:rPr>
        <w:t>the retirement of the Company's Senior Notes in the second quarter of fiscal 1995. On a rolling 12 month basis, interest expense decreased to $173,000 or 81.5% as compared to $937,000 in the prior period.</w:t>
      </w:r>
    </w:p>
    <w:p>
      <w:pPr>
        <w:spacing w:after="0" w:line="209"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Interest income for the third quarter increased to $393,000 in fiscal year 1996 from $301,000 in fiscal year 1995 due to increased interest rates as compared to the same period in the prior year. For the nine month period, interest income of $1,116,000 increased 5.5% as compared to $1,058,000 for the same period in the prior year. Interest income for fiscal 1995 also includes losses associated with the sale of certain long term investments in the amount of $178,000 and $380,000 for the three months and nine months ended October 29, 1994, respectively. For the rolling 12 months, interest income of $1.5 million increased 9.6% as compared to the prior period. See Liquidity and Capital Resources - Working Capital and Cash Flows.</w:t>
      </w:r>
    </w:p>
    <w:p>
      <w:pPr>
        <w:spacing w:after="0" w:line="18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income for the third quarter of fiscal year 1996 was $5.0 million or $0.32 per share, as compared with $6.7 million or $.42 per share in the third quarter of fiscal 1995. For the nine month period, the Company recorded net income of $7.8 million, or $0.50 per share in the current year as compared to $8.4 million, or $0.53 per share in the prior year. Net income for the nine month period ended October 28, 1995 includes pre-tax income of $2.2 million or $0.08 per share related to the Company's previously discussed restructuring program.</w:t>
      </w:r>
    </w:p>
    <w:p>
      <w:pPr>
        <w:spacing w:after="0" w:line="212"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Net income, on a rolling 12 month basis, was $16.3 million or $1.04 per share in the twelve month period, as compared with $4.8 million, or $0.30 per share in the prior comparable period. Net income includes the impact of a restructuring income (charge) of $5.4 million or $0.20 per share for the twelve month period ended October 28, 1995 and ($15.0) million or ($0.56) per share for the twelve month period ended October 29,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"Back to School" and "Holiday" seasons. Historically, the second half of each fiscal year provides a greater portion of the Company's annual sales and operating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primary cash needs are for operating expenses, seasonal inventory purchases, capital expenses for new and remodeled stores, cash outlays associated with restructuring, and the development of the Boston Traders(R) branded product line.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and expansion program with cash flow from operations, borrowings and proceeds from Common Stock offerings. Cash provided from operations for the first nine months of fiscal 1996 was $11.8 million as compared to $20.4 million for the same period in the prior period. The decrease in cash from operations is due to increased purchases of inventory for new stores, increased infrastructure costs associated with the acquisition of certain assets of Boston Trading Ltd., Inc. ("Boston Trading"), timing of payments of accounts payable and $1.9 million paid to landlords in connection with lease terminations associated with the Company's restructuring program.</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working capital at October 28, 1995 was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$58.7 million as compared to $40.3 million at October 29, 1994. The increase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attributable to the completion of the Company's restructuring program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reduction in the average maturity of the Company's investment portfolio.</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Inventory in dollars in comparable stores increased 13.9% and units increased 18.0% from October 29, 1994 to October 28, 1995 due principally to an increase in availability and mix of merchandise for the Levi's(R) Outlets stores. Total inventory at October 28, 1995 increased $15.8 million or 32.9% from October 29, 1994. This increase was due primarily to purchases made for the Levi's(R) Outlets as the availability of outlet inventory increased at the end of the third quarter of fiscal 1996 as compared with fiscal 1995, and reflects the fair value of the inventory purchased as part of the Boston Trading acquisition.</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stocks its Levi's(R) Outlet stores exclusively with manufacturing overruns, discontinued lines and irregulars purchased by the Company directly from Levi Strauss &amp; Co. and end-of-season merchandise transferred from Designs stores and Original Levi's(R) Stores. By its nature, this merchandise is subject to limited availability.</w:t>
      </w:r>
    </w:p>
    <w:p>
      <w:pPr>
        <w:spacing w:after="0" w:line="209"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In August 1995, Levi Strauss &amp; Co., the Company's principal vendor, changed its payment terms with the Company to payment due within 30 days of</w:t>
      </w:r>
    </w:p>
    <w:p>
      <w:pPr>
        <w:sectPr>
          <w:pgSz w:w="11900" w:h="16838" w:orient="portrait"/>
          <w:cols w:equalWidth="0" w:num="1">
            <w:col w:w="10219"/>
          </w:cols>
          <w:pgMar w:left="240" w:top="142" w:right="1440" w:bottom="0" w:gutter="0" w:footer="0" w:header="0"/>
        </w:sectPr>
      </w:pPr>
    </w:p>
    <w:bookmarkStart w:id="11" w:name="page12"/>
    <w:bookmarkEnd w:id="11"/>
    <w:p>
      <w:pPr>
        <w:ind w:right="2099"/>
        <w:spacing w:after="0" w:line="268" w:lineRule="auto"/>
        <w:rPr>
          <w:sz w:val="20"/>
          <w:szCs w:val="20"/>
          <w:color w:val="auto"/>
        </w:rPr>
      </w:pPr>
      <w:r>
        <w:rPr>
          <w:rFonts w:ascii="Courier New" w:cs="Courier New" w:eastAsia="Courier New" w:hAnsi="Courier New"/>
          <w:sz w:val="16"/>
          <w:szCs w:val="16"/>
          <w:color w:val="auto"/>
        </w:rPr>
        <w:t>invoice from payment within 10 days after the end of the month in which goods are received. The Company has been current with its payments to Levi Strauss</w:t>
      </w:r>
    </w:p>
    <w:p>
      <w:pPr>
        <w:ind w:left="220" w:hanging="212"/>
        <w:spacing w:after="0" w:line="233"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from fiscal 1987 to date.  Trade payables with other vendors are</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generally payable within 30 days of invoice. Variations in the amount of trade payables outstanding at the end of different periods relate to the timing of purchases. In the second quarter of fiscal 1996, the Company began sourcing its own merchandise with various off-shore vendors. To date, payment to these vendors have been through the issuance of letters of credit, which require payment upon shipment of merchandise. The Company anticipates that these payment methods will continue during the remainder of fiscal 1996.</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second quarter of fiscal 1996, the Company signed an amendment to the $20.0 million revolving credit agreement dated November 17, 1994 among the Company, BayBank Boston, N.A. and State Street Bank and Trust Company. This amendment provides that $5.0 million of the $20.0 million line of credit will be used as a letter of credit facility. The Company expects to use this letter of credit facility for purchases of inventory related to the development and growth of the Company's Boston Traders(R) product line. At October 28, 1995, $3.5 million of the $5.0 million was available for the issuance of letters of credit.</w:t>
      </w:r>
    </w:p>
    <w:p>
      <w:pPr>
        <w:spacing w:after="0" w:line="214"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At October 28, 1995, there were no short-term or long-term borrowings outstanding, with the exception of a $1.0 million promissory note which was issued in connection with the acquisition of assets of Boston Trading, as discussed below. The Company had no outstanding borrowings, excluding the $1.0 million promissory note, during the quarter ended October 28, 1995.</w:t>
      </w:r>
    </w:p>
    <w:p>
      <w:pPr>
        <w:spacing w:after="0" w:line="185"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(the "Partners"), entered into a partnership agreement (the "Partnership Agreement") establishing a joint venture (the "Partnership") to sell Levi's(R) brand jeans and jeans-related products. The Partnership plans to open and operate a total of 35 to 50 Original Levi's(R) Stores and Levi's(R) Outlet stores throughout 11 Northeast states and the District of Columbia over the next three to five fiscal years. This number of stores includes the 11 Original Levi's(R) Stores and 3 Levi's(R) Outlet stores which were open at October 28, 1995. The Levi's(R) Outlet stores in the Partnership will sell only Levi's(R) brand products and service the close-out products of the Original Levi's(R) Stores.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connection with the formation of the joint venture, Designs JV Corp. contributed, in exchange for a 70% interest in the joint venture, eight of the Company's then existing Original Levi's(R) Stores and three leases for then unopened stores in New York City, Nanuet, New York, and White Plains, New York. These stores are included in the 35 to 50 stores described above. At the same time, LDJV Inc., the joint venture subsidiary of Levi's Only Stores, Inc., contributed approximately $4.7 million in cash to the joint venture in exchange for a 30% interest.</w:t>
      </w:r>
    </w:p>
    <w:p>
      <w:pPr>
        <w:spacing w:after="0" w:line="212"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During October 1995, the Partners agreed to provide an additional capital contribution of cash totalling $5.2 million to the Partnership to fund the Partnership capital expenditure needs. Designs JV Corp. and LDJV Inc. contributed $3,640,000 and $1,560,000, respectively.</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Under the terms of the Partnership Agreement the Partners are to fund the joint venture's working capital and funds for its expansion from the Partnership's operations and borrowings from third parties. However, the Partners may also decide that they or their affiliates will contribute or loan additional funds to the joint venture or guaranty third-party debt. Neither Partner is required to make any future contribution to the capital of the joint venture, any loan to the joint venture or any such guaranty unless both Partners agree. Excess cash (as defined in the Partnership Agreement) is to be distributed in accordance with the terms of the Partnership Agreement. No assurance can be given as to whether the Company will make any additional capital contributions, loans or guaranties or that cash will be distributed to the Company out of the Partnership.</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In June 1994, Levi Strauss &amp; Co. informed the Company that it wanted to focus the future relationship between the two companies on the Original Levi's(R) Stores joint venture and to reduce the Company's dependency on Levi Strauss &amp; Co. Levi Strauss &amp; Co. informed the Company that it did not see a growth opportunity for the Company's Designs stores in the exclusively Levi's(R) format. However, Levi Strauss &amp; Co. informed the Company that it did see an opportunity for growth of the Company's Designs stores if the format was changed to a multi-brand format. Levi Strauss &amp; Co. advised the Company that it believes that this would avoid consumer confusion between the Original Levi's(R) Stores and Designs stores. According to Levi Strauss &amp; Co., this would require that not more than 70% of the product mix in the stores be Levi Strauss &amp; Co. product, that the format and presentation of the stores be "supportive" of its marketing and brand objectives and that Levi</w:t>
      </w:r>
    </w:p>
    <w:p>
      <w:pPr>
        <w:sectPr>
          <w:pgSz w:w="11900" w:h="16838" w:orient="portrait"/>
          <w:cols w:equalWidth="0" w:num="1">
            <w:col w:w="10219"/>
          </w:cols>
          <w:pgMar w:left="240" w:top="142" w:right="1440" w:bottom="0" w:gutter="0" w:footer="0" w:header="0"/>
        </w:sectPr>
      </w:pPr>
    </w:p>
    <w:bookmarkStart w:id="12" w:name="page13"/>
    <w:bookmarkEnd w:id="12"/>
    <w:p>
      <w:pPr>
        <w:ind w:right="2099"/>
        <w:spacing w:after="0" w:line="270" w:lineRule="auto"/>
        <w:rPr>
          <w:sz w:val="20"/>
          <w:szCs w:val="20"/>
          <w:color w:val="auto"/>
        </w:rPr>
      </w:pPr>
      <w:r>
        <w:rPr>
          <w:rFonts w:ascii="Courier New" w:cs="Courier New" w:eastAsia="Courier New" w:hAnsi="Courier New"/>
          <w:sz w:val="16"/>
          <w:szCs w:val="16"/>
          <w:color w:val="auto"/>
        </w:rPr>
        <w:t>Strauss &amp; Co. approve that format beforehand. The Company has received favorable Levi Strauss &amp; Co. comment regarding the appearance of the multi-brand Designs stores and believes that the format will be acceptable to Levi Strauss &amp; Co. for Designs store expansion throughout the United States. Levi Strauss &amp; Co. would apply the new branch opening policies and practices to Designs stores that are applicable to other multi-brand retailers of Levi Strauss &amp; Co. products. Levi Strauss &amp; Co. advised the Company that if the Company does not decide to expand the Designs store chain, Levi Strauss &amp; Co. would not require change to a multi-brand format. If the Company does change the format and expand the Designs store chain, Levi Strauss &amp; Co. has said that it will require that the Company's existing Designs stores be converted to the new multi-brand format over a mutually agreeable period of time.</w:t>
      </w:r>
    </w:p>
    <w:p>
      <w:pPr>
        <w:spacing w:after="0" w:line="39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fiscal year 1995, the Company introduced private label and Timberland(R) brand products into the merchandise mix in certain of its Designs stores. This was primarily due to the Company's desire to offset decreased gross profit margins in Designs stores caused by increased price competition with other retailers that sell Levi Strauss &amp; Co. merchandise in and around regional malls, the absence of certain key products in the Levi Strauss &amp; Co. line and increased opportunities for expansion of the Designs store chain throughout the United States. The Company has added Timberland(R) products to the merchandise mix in the remodeled Designs stores and some of the Boston Traders(R) outlet stores.</w:t>
      </w:r>
    </w:p>
    <w:p>
      <w:pPr>
        <w:spacing w:after="0" w:line="215"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On May 2, 1995, the Company acquired certain assets of Boston Trading in accordance with the terms of an Asset Purchase Agreement dated April 21, 1995 among Boston Trading, Designs Acquisition Corp., the Company and others (the "Purchase Agreement"). The Company paid $5,428,000 million in cash, financed by operations, and delivered a non-negotiable promissory note in the principal amount of $1,000,000. The principal amount of the promissory note is payable in two equal annual installments through May 1997. The purchase price has been allocated to the assets acquired, including certain intangible assets, such as trademarks and licensing agreements, based on their respective fair values. Other assets acquired included all inventory and fixed assets associated with 33 existing Boston Traders(R) outlet stores.</w:t>
      </w:r>
    </w:p>
    <w:p>
      <w:pPr>
        <w:spacing w:after="0" w:line="18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This acquisition has expanded the Company's current operations to include the design, off-shore sourcing and retailing of Boston Traders(R) products. Among other things, the retail distribution of Boston Traders(R) products has required the Company to expend resources for a design and sourcing staff, and storage and distribution facilities in order to assure timely delivery and restocking of merchandise. The Company anticipates that the additional expenses associated with the acquisition and development of the Boston Traders(R) product line will total $4 to $5 million over the next 12 to 18 months following the acquisition date. During the second quarter of fiscal 1995, the Company contracted with a third-party warehouse to facilitate the receiving, storage and distribution of the Boston Traders(R) products. The Boston Traders(R) outlet stores, which have no geographic restrictions, provide the Company with the opportunity to expand these stores as management deems appropriate.</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Boston Traders(R) product line replaced the "Exclusively for Designs" product line which was introduced in certain Design stores in fiscal 1995. The Company began introducing the Boston Traders(R) products into its Designs stores in June 1995. The Company does not expect that the percentage of Boston Traders(R) inventory or sales will be significant until the fall of fiscal 1997. The Company has no plans to continue the wholesale trade business of the Boston Traders(R) product lines.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first nine months of fiscal 1996, the Company remodeled eight Designs stores and seven Levi's(R) Outlet stores and the joint venture partnership opened three Original Levi's(R) Stores and two Levi's(R) Outlets. During the first nine months of fiscal 1995, the Company opened thirteen Levi's(R) Outlet stores, three Original Levi's(R) Stores, one Designs store and remodeled three Designs stores. Total cash outlays of $13.8 million and $8.9 million during the first nine months of fiscal year 1996 and 1995, respectively, represent the costs of new and remodeled stores and all other corporate capital spending during such periods.</w:t>
      </w:r>
    </w:p>
    <w:p>
      <w:pPr>
        <w:spacing w:after="0" w:line="214"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Subsequent to the end of the quarter, the Company opened two Boston Traders(R) Outlet stores. Subsequent to the end of the quarter, as part of the joint venture, the Company opened one Levi's(R) Outlet store.</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expects that cash flow from operations, short-term borrowings and available cash will enable it to finance its current working capital, remodeling, Boston Traders(R) product development and expansion requirements during the remainder of the fiscal year.</w:t>
      </w:r>
    </w:p>
    <w:p>
      <w:pPr>
        <w:sectPr>
          <w:pgSz w:w="11900" w:h="16838" w:orient="portrait"/>
          <w:cols w:equalWidth="0" w:num="1">
            <w:col w:w="10219"/>
          </w:cols>
          <w:pgMar w:left="240" w:top="142" w:right="1440" w:bottom="133" w:gutter="0" w:footer="0" w:header="0"/>
        </w:sectPr>
      </w:pPr>
    </w:p>
    <w:bookmarkStart w:id="13" w:name="page14"/>
    <w:bookmarkEnd w:id="13"/>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gridSpan w:val="2"/>
          </w:tcPr>
          <w:p>
            <w:pPr>
              <w:spacing w:after="0"/>
              <w:rPr>
                <w:sz w:val="20"/>
                <w:szCs w:val="20"/>
                <w:color w:val="auto"/>
              </w:rPr>
            </w:pPr>
            <w:r>
              <w:rPr>
                <w:rFonts w:ascii="Courier New" w:cs="Courier New" w:eastAsia="Courier New" w:hAnsi="Courier New"/>
                <w:sz w:val="18"/>
                <w:szCs w:val="18"/>
                <w:color w:val="auto"/>
              </w:rPr>
              <w:t>ITEM 6.   Exhibits and Reports on Form 8-K</w:t>
            </w:r>
          </w:p>
        </w:tc>
        <w:tc>
          <w:tcPr>
            <w:tcW w:w="46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A.   Reports on Form 8-K:</w:t>
            </w:r>
          </w:p>
        </w:tc>
        <w:tc>
          <w:tcPr>
            <w:tcW w:w="46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None.</w:t>
            </w:r>
          </w:p>
        </w:tc>
        <w:tc>
          <w:tcPr>
            <w:tcW w:w="46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B.   Exhibits:</w:t>
            </w:r>
          </w:p>
        </w:tc>
        <w:tc>
          <w:tcPr>
            <w:tcW w:w="46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By-Laws of the Company, as amended through December 11,</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w:t>
            </w:r>
          </w:p>
        </w:tc>
        <w:tc>
          <w:tcPr>
            <w:tcW w:w="4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Shareholder Rights Agreement dated as of May 1, 1995</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between the Company its transfer agent (included as</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4.1 to the Company's Current Report on Form 8-K</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dated May 1, 1995, 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1987 Incentive Stock Option Plan, as amended</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10.1 to the Company's Annual</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1987 Non-Qualified Stock Option Plan, as amended</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10.2 to the Company's Annual</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1992 Stock Incentive Plan, as amended (included as</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A to the Company's definitive proxy</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dated May 10, 1994, and incorporated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License Agreement between the Company and Levi</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Strauss &amp; Co. dated as of April 14, 1992</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10.8 to the Company's Annual</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Executive Incentive Plan effective through the</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fiscal year ended January 28, 1995 (included as</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10.8 to the Company's Annual Report on</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10-K for the year ended January 28, 1994, and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Credit Agreement among the Company, BayBank</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 N.A., and State Street Bank and Trust</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dated as of November 17, 1994 (included as</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 to the Company's current report on</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8-K dated November 22, 1994, and incorporated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Consulting Agreement between the Company and</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Stanley I. Berger dated December 21, 1994 (included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Exhibit 10.7 to the Company's Annual Report on</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Employee Separation Agreement between the Company</w:t>
            </w:r>
          </w:p>
        </w:tc>
        <w:tc>
          <w:tcPr>
            <w:tcW w:w="4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Geoffrey M. Holczer dated December 27, 1994 (included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Exhibit 10.8 to the Company's Annual Report on</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10.9</w:t>
            </w: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Participation Agreement among Designs JV Corp.</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"Designs Partner"), the Company, LDJV Inc.</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"LOS Partner"), Levi's Only Stores, Inc. ("LOS"),</w:t>
            </w:r>
          </w:p>
        </w:tc>
        <w:tc>
          <w:tcPr>
            <w:tcW w:w="4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Levi Strauss &amp; Co. ("LS&amp;CO") and Levi Strauss</w:t>
            </w:r>
          </w:p>
        </w:tc>
        <w:tc>
          <w:tcPr>
            <w:tcW w:w="4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Associates Inc. ("LSAI") dated January 28,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10.10</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Partnership Agreement of The Designs/OLS Partnership</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"Partnership") between the LOS Partner and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Designs Partner dated January 28, 1995 (included as</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Exhibit 10.2 to the Company's Current Report on Form 8-K</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dated April 24, 1995, and 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10.11</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Glossary executed by the Designs Partner, the Company,</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LOS Partner, LOS, LS&amp;CO, LSAI and the Partnership</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dated January 28, 1995 (included as Exhibit 10.3 to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10.12</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Sublicense Agreement between LOS and the LOS Partner</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10.13</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Sublicense Agreement between the LOS Partner and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Partnership (included as Exhibit 10.5 to the Company's</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10.14</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License Agreement between the Company and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Partnership (included as Exhibit 10.6 to the Company's</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10.15</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Administrative Services Agreement between the Company</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the Partnership dated January 28, 1995 (included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 Exhibit 10.7 to the Company's Current Report on</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10.16</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Asset Purchase Agreement among Boston Trading, Designs</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Acquisition Corp., the Company and others dated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April 21, 1995 (included as Exhibit 10.16 to the Company's</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Quarterly Report on Form 10-Q dated September 12,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10.17</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Non-Negotiable Promissory Note in favor of the Company</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Atlantic Harbor, Inc., formerly known as Boston</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Trading Ltd., Inc., dated May 2, 1995 (included as Exhibit</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10.17 to the Company's Quarterly Report on Form 10-Q dated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September 12, 1995, 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10.18</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Amendment dated June 2, 1995 to the Credit Agreement</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among the Company, BayBank Boston, N.A., and State Street</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Bank and Trust Company dated as of November 17, 1994 (included</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 Exhibit 10.18 to the Company's Quarterly Report on Form</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10-Q dated September 12, 1995, and incorporated herein</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10.19</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10.20</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10.21</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10.3 to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10.22</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Company and William D. Richins (included as Exhibit 10.4 to the</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220" w:type="dxa"/>
            <w:vAlign w:val="bottom"/>
          </w:tcPr>
          <w:p>
            <w:pPr>
              <w:ind w:left="520"/>
              <w:spacing w:after="0"/>
              <w:rPr>
                <w:sz w:val="20"/>
                <w:szCs w:val="20"/>
                <w:color w:val="auto"/>
              </w:rPr>
            </w:pPr>
            <w:r>
              <w:rPr>
                <w:rFonts w:ascii="Courier New" w:cs="Courier New" w:eastAsia="Courier New" w:hAnsi="Courier New"/>
                <w:sz w:val="18"/>
                <w:szCs w:val="18"/>
                <w:color w:val="auto"/>
              </w:rPr>
              <w:t>Schedule re: computation of per share earnings</w:t>
            </w:r>
          </w:p>
        </w:tc>
        <w:tc>
          <w:tcPr>
            <w:tcW w:w="26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220" w:type="dxa"/>
            <w:vAlign w:val="bottom"/>
          </w:tcPr>
          <w:p>
            <w:pPr>
              <w:spacing w:after="0"/>
              <w:rPr>
                <w:sz w:val="20"/>
                <w:szCs w:val="20"/>
                <w:color w:val="auto"/>
              </w:rPr>
            </w:pPr>
            <w:r>
              <w:rPr>
                <w:rFonts w:ascii="Courier New" w:cs="Courier New" w:eastAsia="Courier New" w:hAnsi="Courier New"/>
                <w:sz w:val="18"/>
                <w:szCs w:val="18"/>
                <w:color w:val="auto"/>
              </w:rPr>
              <w:t>Previously filed with the Securities and Exchange Commission.</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Three Months Ended</w:t>
      </w:r>
    </w:p>
    <w:p>
      <w:pPr>
        <w:ind w:left="4640"/>
        <w:spacing w:after="0" w:line="238" w:lineRule="auto"/>
        <w:tabs>
          <w:tab w:leader="none" w:pos="5780" w:val="left"/>
        </w:tabs>
        <w:rPr>
          <w:sz w:val="20"/>
          <w:szCs w:val="20"/>
          <w:color w:val="auto"/>
        </w:rPr>
      </w:pPr>
      <w:r>
        <w:rPr>
          <w:rFonts w:ascii="Courier New" w:cs="Courier New" w:eastAsia="Courier New" w:hAnsi="Courier New"/>
          <w:sz w:val="18"/>
          <w:szCs w:val="18"/>
          <w:color w:val="auto"/>
        </w:rPr>
        <w:t>10/28/95</w:t>
      </w:r>
      <w:r>
        <w:rPr>
          <w:sz w:val="20"/>
          <w:szCs w:val="20"/>
          <w:color w:val="auto"/>
        </w:rPr>
        <w:tab/>
      </w:r>
      <w:r>
        <w:rPr>
          <w:rFonts w:ascii="Courier New" w:cs="Courier New" w:eastAsia="Courier New" w:hAnsi="Courier New"/>
          <w:sz w:val="18"/>
          <w:szCs w:val="18"/>
          <w:color w:val="auto"/>
        </w:rPr>
        <w:t>10/29/94</w:t>
      </w:r>
    </w:p>
    <w:p>
      <w:pPr>
        <w:ind w:left="46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right"/>
        <w:ind w:right="2519"/>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$ 5,034</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$ 6,661</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during the period</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15,940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12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Number of shares for purpose of</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calculating net income per common</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 share</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15,940</w:t>
            </w:r>
          </w:p>
        </w:tc>
      </w:tr>
      <w:tr>
        <w:trPr>
          <w:trHeight w:val="203"/>
        </w:trPr>
        <w:tc>
          <w:tcPr>
            <w:tcW w:w="4600" w:type="dxa"/>
            <w:vAlign w:val="bottom"/>
          </w:tcPr>
          <w:p>
            <w:pPr>
              <w:spacing w:after="0"/>
              <w:rPr>
                <w:sz w:val="17"/>
                <w:szCs w:val="17"/>
                <w:color w:val="auto"/>
              </w:rPr>
            </w:pPr>
          </w:p>
        </w:tc>
        <w:tc>
          <w:tcPr>
            <w:tcW w:w="12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Incremental shares to reflect full dilution</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Total shares for purposes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 diluted</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$0.42</w:t>
            </w:r>
          </w:p>
        </w:tc>
      </w:tr>
      <w:tr>
        <w:trPr>
          <w:trHeight w:val="203"/>
        </w:trPr>
        <w:tc>
          <w:tcPr>
            <w:tcW w:w="4600" w:type="dxa"/>
            <w:vAlign w:val="bottom"/>
          </w:tcPr>
          <w:p>
            <w:pPr>
              <w:spacing w:after="0"/>
              <w:rPr>
                <w:sz w:val="17"/>
                <w:szCs w:val="17"/>
                <w:color w:val="auto"/>
              </w:rPr>
            </w:pPr>
          </w:p>
        </w:tc>
        <w:tc>
          <w:tcPr>
            <w:tcW w:w="12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06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540" w:type="dxa"/>
            <w:vAlign w:val="bottom"/>
          </w:tcPr>
          <w:p>
            <w:pPr>
              <w:spacing w:after="0"/>
              <w:rPr>
                <w:sz w:val="17"/>
                <w:szCs w:val="17"/>
                <w:color w:val="auto"/>
              </w:rPr>
            </w:pP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10/28/95</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10/29/94</w:t>
            </w:r>
          </w:p>
        </w:tc>
      </w:tr>
      <w:tr>
        <w:trPr>
          <w:trHeight w:val="203"/>
        </w:trPr>
        <w:tc>
          <w:tcPr>
            <w:tcW w:w="4540" w:type="dxa"/>
            <w:vAlign w:val="bottom"/>
          </w:tcPr>
          <w:p>
            <w:pPr>
              <w:spacing w:after="0"/>
              <w:rPr>
                <w:sz w:val="17"/>
                <w:szCs w:val="17"/>
                <w:color w:val="auto"/>
              </w:rPr>
            </w:pP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$ 7,822</w:t>
            </w:r>
          </w:p>
        </w:tc>
        <w:tc>
          <w:tcPr>
            <w:tcW w:w="18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$ 8,384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during the period</w:t>
            </w: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15,760</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15,966</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12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for purpose of</w:t>
            </w:r>
          </w:p>
        </w:tc>
        <w:tc>
          <w:tcPr>
            <w:tcW w:w="1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calculating net income per common and</w:t>
            </w:r>
          </w:p>
        </w:tc>
        <w:tc>
          <w:tcPr>
            <w:tcW w:w="1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15,760</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15,966</w:t>
            </w:r>
          </w:p>
        </w:tc>
      </w:tr>
      <w:tr>
        <w:trPr>
          <w:trHeight w:val="203"/>
        </w:trPr>
        <w:tc>
          <w:tcPr>
            <w:tcW w:w="4540" w:type="dxa"/>
            <w:vAlign w:val="bottom"/>
          </w:tcPr>
          <w:p>
            <w:pPr>
              <w:spacing w:after="0"/>
              <w:rPr>
                <w:sz w:val="17"/>
                <w:szCs w:val="17"/>
                <w:color w:val="auto"/>
              </w:rPr>
            </w:pP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w w:val="97"/>
              </w:rPr>
              <w:t>Incremental shares to reflect full dilution</w:t>
            </w:r>
          </w:p>
        </w:tc>
        <w:tc>
          <w:tcPr>
            <w:tcW w:w="120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N/A</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Total shares for purposes of calculating</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net income per share</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N/A</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200" w:type="dxa"/>
            <w:vAlign w:val="bottom"/>
          </w:tcPr>
          <w:p>
            <w:pPr>
              <w:ind w:left="320"/>
              <w:spacing w:after="0"/>
              <w:rPr>
                <w:sz w:val="20"/>
                <w:szCs w:val="20"/>
                <w:color w:val="auto"/>
              </w:rPr>
            </w:pPr>
            <w:r>
              <w:rPr>
                <w:rFonts w:ascii="Courier New" w:cs="Courier New" w:eastAsia="Courier New" w:hAnsi="Courier New"/>
                <w:sz w:val="18"/>
                <w:szCs w:val="18"/>
                <w:color w:val="auto"/>
              </w:rPr>
              <w:t>$0.50</w:t>
            </w:r>
          </w:p>
        </w:tc>
        <w:tc>
          <w:tcPr>
            <w:tcW w:w="18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$0.53</w:t>
            </w:r>
          </w:p>
        </w:tc>
      </w:tr>
      <w:tr>
        <w:trPr>
          <w:trHeight w:val="203"/>
        </w:trPr>
        <w:tc>
          <w:tcPr>
            <w:tcW w:w="4540" w:type="dxa"/>
            <w:vAlign w:val="bottom"/>
          </w:tcPr>
          <w:p>
            <w:pPr>
              <w:spacing w:after="0"/>
              <w:rPr>
                <w:sz w:val="17"/>
                <w:szCs w:val="17"/>
                <w:color w:val="auto"/>
              </w:rPr>
            </w:pPr>
          </w:p>
        </w:tc>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Twelve Months Ended</w:t>
      </w:r>
    </w:p>
    <w:p>
      <w:pPr>
        <w:ind w:left="4740"/>
        <w:spacing w:after="0" w:line="238" w:lineRule="auto"/>
        <w:tabs>
          <w:tab w:leader="none" w:pos="6420" w:val="left"/>
        </w:tabs>
        <w:rPr>
          <w:sz w:val="20"/>
          <w:szCs w:val="20"/>
          <w:color w:val="auto"/>
        </w:rPr>
      </w:pPr>
      <w:r>
        <w:rPr>
          <w:rFonts w:ascii="Courier New" w:cs="Courier New" w:eastAsia="Courier New" w:hAnsi="Courier New"/>
          <w:sz w:val="18"/>
          <w:szCs w:val="18"/>
          <w:color w:val="auto"/>
        </w:rPr>
        <w:t>10/28/95</w:t>
      </w:r>
      <w:r>
        <w:rPr>
          <w:sz w:val="20"/>
          <w:szCs w:val="20"/>
          <w:color w:val="auto"/>
        </w:rPr>
        <w:tab/>
      </w:r>
      <w:r>
        <w:rPr>
          <w:rFonts w:ascii="Courier New" w:cs="Courier New" w:eastAsia="Courier New" w:hAnsi="Courier New"/>
          <w:sz w:val="18"/>
          <w:szCs w:val="18"/>
          <w:color w:val="auto"/>
        </w:rPr>
        <w:t>10/29/94</w:t>
      </w:r>
    </w:p>
    <w:p>
      <w:pPr>
        <w:ind w:left="4740"/>
        <w:spacing w:after="0"/>
        <w:tabs>
          <w:tab w:leader="none" w:pos="6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 thousands, except per share data)</w:t>
      </w:r>
    </w:p>
    <w:p>
      <w:pPr>
        <w:sectPr>
          <w:pgSz w:w="11900" w:h="16838" w:orient="portrait"/>
          <w:cols w:equalWidth="0" w:num="1">
            <w:col w:w="10219"/>
          </w:cols>
          <w:pgMar w:left="240" w:top="717"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16,341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4,802</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during the period</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15,755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Common equivalent shares</w:t>
            </w:r>
          </w:p>
        </w:tc>
        <w:tc>
          <w:tcPr>
            <w:tcW w:w="14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Number of shares for purpose of</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calculating net income per common and</w:t>
            </w: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15,755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15,963</w:t>
            </w:r>
          </w:p>
        </w:tc>
      </w:tr>
      <w:tr>
        <w:trPr>
          <w:trHeight w:val="203"/>
        </w:trPr>
        <w:tc>
          <w:tcPr>
            <w:tcW w:w="4600" w:type="dxa"/>
            <w:vAlign w:val="bottom"/>
          </w:tcPr>
          <w:p>
            <w:pPr>
              <w:spacing w:after="0"/>
              <w:rPr>
                <w:sz w:val="17"/>
                <w:szCs w:val="17"/>
                <w:color w:val="auto"/>
              </w:rPr>
            </w:pP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Incremental shares to reflect full dilution</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Total shares for purposes of calculating</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net income per share</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$1.04</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$0.30</w:t>
            </w:r>
          </w:p>
        </w:tc>
      </w:tr>
      <w:tr>
        <w:trPr>
          <w:trHeight w:val="203"/>
        </w:trPr>
        <w:tc>
          <w:tcPr>
            <w:tcW w:w="460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18" w:name="page19"/>
    <w:bookmarkEnd w:id="18"/>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By:/s/ William D. Richins</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D. Richins</w:t>
      </w:r>
    </w:p>
    <w:p>
      <w:pPr>
        <w:ind w:left="496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12, 1995</w:t>
      </w:r>
    </w:p>
    <w:p>
      <w:pPr>
        <w:sectPr>
          <w:pgSz w:w="11900" w:h="16838" w:orient="portrait"/>
          <w:cols w:equalWidth="0" w:num="1">
            <w:col w:w="10219"/>
          </w:cols>
          <w:pgMar w:left="240" w:top="723" w:right="1440" w:bottom="144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8"/>
          <w:szCs w:val="18"/>
          <w:color w:val="auto"/>
        </w:rPr>
        <w:t>BY-LAWS</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CERTIFICATE OF INCORPORATION AND BY-LAWS</w:t>
      </w:r>
    </w:p>
    <w:p>
      <w:pPr>
        <w:spacing w:after="0" w:line="207" w:lineRule="exact"/>
        <w:rPr>
          <w:sz w:val="20"/>
          <w:szCs w:val="20"/>
          <w:color w:val="auto"/>
        </w:rPr>
      </w:pPr>
    </w:p>
    <w:p>
      <w:pPr>
        <w:ind w:right="2739" w:firstLine="527"/>
        <w:spacing w:after="0" w:line="275" w:lineRule="auto"/>
        <w:rPr>
          <w:sz w:val="20"/>
          <w:szCs w:val="20"/>
          <w:color w:val="auto"/>
        </w:rPr>
      </w:pPr>
      <w:r>
        <w:rPr>
          <w:rFonts w:ascii="Courier New" w:cs="Courier New" w:eastAsia="Courier New" w:hAnsi="Courier New"/>
          <w:sz w:val="16"/>
          <w:szCs w:val="16"/>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177"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OFFICES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2.1 Registered Office. The registered office shall be in the City of Wilmington, County of New Castle, State of Delaware.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2.2 Other Offices. The Corporation may also have offices at such other places both within and without the State of Delaware as the Board of Directors may from time to time determine or the business of the Corporation may require.</w:t>
      </w:r>
    </w:p>
    <w:p>
      <w:pPr>
        <w:spacing w:after="0" w:line="202"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STOCKHOLDERS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3.1 Location of Meetings.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3.2 Annual Meeting. The annual meeting of stockholders shall be held for the election of directors on the second Tuesday in June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Any other business as may be required or permitted by law or these By-Laws may properly come before the annual meeting.</w:t>
      </w:r>
    </w:p>
    <w:p>
      <w:pPr>
        <w:spacing w:after="0" w:line="212"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3.4.</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3.4 Notice of Annual Meeting.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allshares entitled to vote thereon were voted. Prompt notice of all action taken in connection with such waiver of notice shall be given to all stockholders not present or represented at such meeting.</w:t>
      </w:r>
    </w:p>
    <w:p>
      <w:pPr>
        <w:spacing w:after="0" w:line="39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209"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3.6 Notice of Special Meeting.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w:t>
      </w:r>
    </w:p>
    <w:p>
      <w:pPr>
        <w:sectPr>
          <w:pgSz w:w="11900" w:h="16838" w:orient="portrait"/>
          <w:cols w:equalWidth="0" w:num="1">
            <w:col w:w="10219"/>
          </w:cols>
          <w:pgMar w:left="240" w:top="339"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represented at such meeting.</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3.8 Quorum of Stockholders.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shares from the quorum count by declaring his shares absent from the meeting.</w:t>
      </w:r>
    </w:p>
    <w:p>
      <w:pPr>
        <w:spacing w:after="0" w:line="212"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211"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3.11 Inspectors. The directors or the person presiding at the meeting may, but need not,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39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3.12 Action by Vote.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w:t>
      </w:r>
    </w:p>
    <w:p>
      <w:pPr>
        <w:sectPr>
          <w:pgSz w:w="11900" w:h="16838" w:orient="portrait"/>
          <w:cols w:equalWidth="0" w:num="1">
            <w:col w:w="10219"/>
          </w:cols>
          <w:pgMar w:left="240" w:top="136" w:right="1440" w:bottom="0" w:gutter="0" w:footer="0" w:header="0"/>
        </w:sectPr>
      </w:pPr>
    </w:p>
    <w:bookmarkStart w:id="21" w:name="page22"/>
    <w:bookmarkEnd w:id="21"/>
    <w:p>
      <w:pPr>
        <w:ind w:right="2099"/>
        <w:spacing w:after="0" w:line="279" w:lineRule="auto"/>
        <w:rPr>
          <w:sz w:val="20"/>
          <w:szCs w:val="20"/>
          <w:color w:val="auto"/>
        </w:rPr>
      </w:pPr>
      <w:r>
        <w:rPr>
          <w:rFonts w:ascii="Courier New" w:cs="Courier New" w:eastAsia="Courier New" w:hAnsi="Courier New"/>
          <w:sz w:val="16"/>
          <w:szCs w:val="16"/>
          <w:color w:val="auto"/>
        </w:rPr>
        <w:t>required by law, by the Certificate of Incorporation or by these By-Laws. No ballot shall be required for any election unless requested by a stockholder present or represented at the meeting and entitled to vote in the election.</w:t>
      </w:r>
    </w:p>
    <w:p>
      <w:pPr>
        <w:spacing w:after="0" w:line="178"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3.13 Action Without Meetings.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3.14 Matters to be Considered at Annual Meetings. At any annual meeting of 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208"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w:t>
      </w:r>
    </w:p>
    <w:p>
      <w:pPr>
        <w:spacing w:after="0" w:line="193" w:lineRule="exact"/>
        <w:rPr>
          <w:sz w:val="20"/>
          <w:szCs w:val="20"/>
          <w:color w:val="auto"/>
        </w:rPr>
      </w:pPr>
    </w:p>
    <w:p>
      <w:pPr>
        <w:ind w:right="231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fifteenth day following the day on which public announcement of the date of such Annual Meeting is first made by the Corporation.</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211"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 material interest of the stockholder proposing to bring such business before such meeting (or any other stockholders known to be supporting such proposal) in such proposal.</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the Board of Directors or a designated committee thereof determines</w:t>
      </w:r>
    </w:p>
    <w:p>
      <w:pPr>
        <w:sectPr>
          <w:pgSz w:w="11900" w:h="16838" w:orient="portrait"/>
          <w:cols w:equalWidth="0" w:num="1">
            <w:col w:w="10219"/>
          </w:cols>
          <w:pgMar w:left="240" w:top="142" w:right="1440" w:bottom="0" w:gutter="0" w:footer="0" w:header="0"/>
        </w:sectPr>
      </w:pPr>
    </w:p>
    <w:bookmarkStart w:id="22" w:name="page23"/>
    <w:bookmarkEnd w:id="22"/>
    <w:p>
      <w:pPr>
        <w:ind w:right="2199"/>
        <w:spacing w:after="0" w:line="269" w:lineRule="auto"/>
        <w:rPr>
          <w:sz w:val="20"/>
          <w:szCs w:val="20"/>
          <w:color w:val="auto"/>
        </w:rPr>
      </w:pPr>
      <w:r>
        <w:rPr>
          <w:rFonts w:ascii="Courier New" w:cs="Courier New" w:eastAsia="Courier New" w:hAnsi="Courier New"/>
          <w:sz w:val="16"/>
          <w:szCs w:val="16"/>
          <w:color w:val="auto"/>
        </w:rPr>
        <w:t>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395"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 3.14, and nothing in this Section 3.14 shall be deemed to affect any rights of stockholders to request inclusion of proposals in the Corporation's proxy statement pursuant to Rule 14a-8 under the Exchange Act.</w:t>
      </w:r>
    </w:p>
    <w:p>
      <w:pPr>
        <w:spacing w:after="0" w:line="182"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DIRECTORS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4.1 Number; Qualifications. The Board of Directors shall consist of one or more members, the number thereof to be determined from time to time by resolution of the Board of Directors. Directors need not be stockholders.</w:t>
      </w:r>
    </w:p>
    <w:p>
      <w:pPr>
        <w:spacing w:after="0" w:line="178"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4.3 Tenure.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4.4 Powers.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209"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w:t>
      </w:r>
    </w:p>
    <w:p>
      <w:pPr>
        <w:sectPr>
          <w:pgSz w:w="11900" w:h="16838" w:orient="portrait"/>
          <w:cols w:equalWidth="0" w:num="1">
            <w:col w:w="10219"/>
          </w:cols>
          <w:pgMar w:left="240" w:top="142" w:right="1440" w:bottom="0" w:gutter="0" w:footer="0" w:header="0"/>
        </w:sectPr>
      </w:pPr>
    </w:p>
    <w:bookmarkStart w:id="23" w:name="page24"/>
    <w:bookmarkEnd w:id="23"/>
    <w:p>
      <w:pPr>
        <w:ind w:right="2199"/>
        <w:spacing w:after="0" w:line="272" w:lineRule="auto"/>
        <w:rPr>
          <w:sz w:val="20"/>
          <w:szCs w:val="20"/>
          <w:color w:val="auto"/>
        </w:rPr>
      </w:pPr>
      <w:r>
        <w:rPr>
          <w:rFonts w:ascii="Courier New" w:cs="Courier New" w:eastAsia="Courier New" w:hAnsi="Courier New"/>
          <w:sz w:val="16"/>
          <w:szCs w:val="16"/>
          <w:color w:val="auto"/>
        </w:rPr>
        <w:t>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4.6 Regular Meeting.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4.7 Special Meetings. Special meetings of the Board of Directors may be held at any time and at any place within or without the State of Delaware designated in the notice of the meeting, when called by the Chairman, the President or the Secretary, or by one-third or more in number of the directors, reasonable notice thereof being given to each director by the Secretary, the President or the Chairman or by any one of the directors calling the meeting.</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4.8 Notice. It shall be reasonable and sufficient notice to a director to send notice by mail at least forty-eight hours or by telegram at least twenty- 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21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4.9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212"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4.10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4.11 Action Without a Meeting.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4.12 Participation in Meetings by Conference Telephone.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211"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4.13 Compensation.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4.14 Interested Directors and Officers.</w:t>
      </w:r>
    </w:p>
    <w:p>
      <w:pPr>
        <w:spacing w:after="0" w:line="207"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6"/>
          <w:szCs w:val="16"/>
          <w:color w:val="auto"/>
        </w:rPr>
        <w:t>(a)</w:t>
        <w:tab/>
        <w:t>No contract or transaction between the Corporation and one or</w:t>
      </w:r>
    </w:p>
    <w:p>
      <w:pPr>
        <w:sectPr>
          <w:pgSz w:w="11900" w:h="16838" w:orient="portrait"/>
          <w:cols w:equalWidth="0" w:num="1">
            <w:col w:w="10219"/>
          </w:cols>
          <w:pgMar w:left="240" w:top="142" w:right="1440" w:bottom="0" w:gutter="0" w:footer="0" w:header="0"/>
        </w:sectPr>
      </w:pPr>
    </w:p>
    <w:bookmarkStart w:id="24" w:name="page25"/>
    <w:bookmarkEnd w:id="24"/>
    <w:p>
      <w:pPr>
        <w:ind w:right="2099"/>
        <w:spacing w:after="0" w:line="237" w:lineRule="auto"/>
        <w:rPr>
          <w:sz w:val="20"/>
          <w:szCs w:val="20"/>
          <w:color w:val="auto"/>
        </w:rPr>
      </w:pPr>
      <w:r>
        <w:rPr>
          <w:rFonts w:ascii="Courier New" w:cs="Courier New" w:eastAsia="Courier New" w:hAnsi="Courier New"/>
          <w:sz w:val="18"/>
          <w:szCs w:val="18"/>
          <w:color w:val="auto"/>
        </w:rPr>
        <w:t>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212" w:lineRule="exact"/>
        <w:rPr>
          <w:sz w:val="20"/>
          <w:szCs w:val="20"/>
          <w:color w:val="auto"/>
        </w:rPr>
      </w:pPr>
    </w:p>
    <w:p>
      <w:pPr>
        <w:ind w:right="2099" w:firstLine="1588"/>
        <w:spacing w:after="0" w:line="237" w:lineRule="auto"/>
        <w:tabs>
          <w:tab w:leader="none" w:pos="2107"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09"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207" w:lineRule="exact"/>
        <w:rPr>
          <w:rFonts w:ascii="Courier New" w:cs="Courier New" w:eastAsia="Courier New" w:hAnsi="Courier New"/>
          <w:sz w:val="18"/>
          <w:szCs w:val="18"/>
          <w:color w:val="auto"/>
        </w:rPr>
      </w:pPr>
    </w:p>
    <w:p>
      <w:pPr>
        <w:ind w:right="2199" w:firstLine="1483"/>
        <w:spacing w:after="0" w:line="236" w:lineRule="auto"/>
        <w:tabs>
          <w:tab w:leader="none" w:pos="200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or transaction is fair as to the Corporation as of the time it is authorized, approved or ratified, by the Board of Directors, a committee thereof, or the stockholders.</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or interested directors may be counted in determining the presence of a quorum at a meeting of the Board of Directors or of a committee which authorizes the contract or transaction.</w:t>
      </w:r>
    </w:p>
    <w:p>
      <w:pPr>
        <w:spacing w:after="0" w:line="209"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4.15 Resignation or Removal of Directors.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9"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208"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 the later of (i) the seventy-fifth day prior to the scheduled date of such Annual Meeting or (ii) the fifteenth day following the day on which public announcement of the date of such Annual Meeting is first made by the Corporation.</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A stockholder's notice to the Secretary shall set forth as to each person whom the stockholder proposes to nominate for election or</w:t>
      </w:r>
    </w:p>
    <w:p>
      <w:pPr>
        <w:sectPr>
          <w:pgSz w:w="11900" w:h="16838" w:orient="portrait"/>
          <w:cols w:equalWidth="0" w:num="1">
            <w:col w:w="10219"/>
          </w:cols>
          <w:pgMar w:left="240" w:top="142" w:right="1440" w:bottom="0" w:gutter="0" w:footer="0" w:header="0"/>
        </w:sectPr>
      </w:pPr>
    </w:p>
    <w:bookmarkStart w:id="25" w:name="page26"/>
    <w:bookmarkEnd w:id="25"/>
    <w:p>
      <w:pPr>
        <w:ind w:right="2319"/>
        <w:spacing w:after="0" w:line="268" w:lineRule="auto"/>
        <w:rPr>
          <w:sz w:val="20"/>
          <w:szCs w:val="20"/>
          <w:color w:val="auto"/>
        </w:rPr>
      </w:pPr>
      <w:r>
        <w:rPr>
          <w:rFonts w:ascii="Courier New" w:cs="Courier New" w:eastAsia="Courier New" w:hAnsi="Courier New"/>
          <w:sz w:val="16"/>
          <w:szCs w:val="16"/>
          <w:color w:val="auto"/>
        </w:rPr>
        <w:t>re-election as a director: (i) the name, age, business address and residence address of such person, (ii) the principal occupation or employment of such person, (iii) the class and number of shares of the Corporation's capital stock which are beneficially owned by such person on the date of such stockholder notice, and (iv) the consent of each nominee to serve as a director if elected. A stockholder's notice to the Secretary shall further set forth as to the stockholder giving such notice:</w:t>
      </w:r>
    </w:p>
    <w:p>
      <w:pPr>
        <w:spacing w:after="0" w:line="1" w:lineRule="exact"/>
        <w:rPr>
          <w:sz w:val="20"/>
          <w:szCs w:val="20"/>
          <w:color w:val="auto"/>
        </w:rPr>
      </w:pPr>
    </w:p>
    <w:p>
      <w:pPr>
        <w:ind w:right="231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as the appear on the Corporation's stock transfer books, of such stockholder and of the beneficial owners (if any) of the Corporation's capital stock registered in such stockholder's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stockholder's notice, and</w:t>
      </w:r>
    </w:p>
    <w:p>
      <w:pPr>
        <w:spacing w:after="0" w:line="1" w:lineRule="exact"/>
        <w:rPr>
          <w:rFonts w:ascii="Courier New" w:cs="Courier New" w:eastAsia="Courier New" w:hAnsi="Courier New"/>
          <w:sz w:val="16"/>
          <w:szCs w:val="16"/>
          <w:color w:val="auto"/>
        </w:rPr>
      </w:pPr>
    </w:p>
    <w:p>
      <w:pPr>
        <w:ind w:right="2519" w:firstLine="8"/>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all arrangements or understandings between such stockholder and each nominee and any other person or persons (naming such person or persons) pursuant to which the nomination or nominations are to be made by such stockholder.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the Board of Directors or a designated committee thereof determines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any stockholder nomination was not made in accordance with the terms</w:t>
      </w:r>
    </w:p>
    <w:p>
      <w:pPr>
        <w:spacing w:after="0" w:line="238" w:lineRule="auto"/>
        <w:rPr>
          <w:sz w:val="20"/>
          <w:szCs w:val="20"/>
          <w:color w:val="auto"/>
        </w:rPr>
      </w:pPr>
      <w:r>
        <w:rPr>
          <w:rFonts w:ascii="Courier New" w:cs="Courier New" w:eastAsia="Courier New" w:hAnsi="Courier New"/>
          <w:sz w:val="18"/>
          <w:szCs w:val="18"/>
          <w:color w:val="auto"/>
        </w:rPr>
        <w:t>of this Section 4.16 or that the information provided in a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does not satisfy the informational requirements of this Section 4.l6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material respect, then such nomination shall not be considered at</w:t>
      </w:r>
    </w:p>
    <w:p>
      <w:pPr>
        <w:spacing w:after="0"/>
        <w:tabs>
          <w:tab w:leader="none" w:pos="3460" w:val="left"/>
        </w:tabs>
        <w:rPr>
          <w:sz w:val="20"/>
          <w:szCs w:val="20"/>
          <w:color w:val="auto"/>
        </w:rPr>
      </w:pPr>
      <w:r>
        <w:rPr>
          <w:rFonts w:ascii="Courier New" w:cs="Courier New" w:eastAsia="Courier New" w:hAnsi="Courier New"/>
          <w:sz w:val="18"/>
          <w:szCs w:val="18"/>
          <w:color w:val="auto"/>
        </w:rPr>
        <w:t>the Annual Meeting in question.</w:t>
      </w:r>
      <w:r>
        <w:rPr>
          <w:sz w:val="20"/>
          <w:szCs w:val="20"/>
          <w:color w:val="auto"/>
        </w:rPr>
        <w:tab/>
      </w:r>
      <w:r>
        <w:rPr>
          <w:rFonts w:ascii="Courier New" w:cs="Courier New" w:eastAsia="Courier New" w:hAnsi="Courier New"/>
          <w:sz w:val="16"/>
          <w:szCs w:val="16"/>
          <w:color w:val="auto"/>
        </w:rPr>
        <w:t>If neither the Board of Directors nor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committee makes a determination as to whether a nomination was made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the provisions of this Section 4.16, the presiding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Annual Meeting shall determine whether a nomination was made in</w:t>
      </w:r>
    </w:p>
    <w:p>
      <w:pPr>
        <w:spacing w:after="0"/>
        <w:tabs>
          <w:tab w:leader="none" w:pos="3560" w:val="left"/>
        </w:tabs>
        <w:rPr>
          <w:sz w:val="20"/>
          <w:szCs w:val="20"/>
          <w:color w:val="auto"/>
        </w:rPr>
      </w:pPr>
      <w:r>
        <w:rPr>
          <w:rFonts w:ascii="Courier New" w:cs="Courier New" w:eastAsia="Courier New" w:hAnsi="Courier New"/>
          <w:sz w:val="18"/>
          <w:szCs w:val="18"/>
          <w:color w:val="auto"/>
        </w:rPr>
        <w:t>accordance with such provisions.</w:t>
      </w:r>
      <w:r>
        <w:rPr>
          <w:sz w:val="20"/>
          <w:szCs w:val="20"/>
          <w:color w:val="auto"/>
        </w:rPr>
        <w:tab/>
      </w:r>
      <w:r>
        <w:rPr>
          <w:rFonts w:ascii="Courier New" w:cs="Courier New" w:eastAsia="Courier New" w:hAnsi="Courier New"/>
          <w:sz w:val="16"/>
          <w:szCs w:val="16"/>
          <w:color w:val="auto"/>
        </w:rPr>
        <w:t>If the presiding officer determines that</w:t>
      </w:r>
    </w:p>
    <w:p>
      <w:pPr>
        <w:spacing w:after="0"/>
        <w:rPr>
          <w:sz w:val="20"/>
          <w:szCs w:val="20"/>
          <w:color w:val="auto"/>
        </w:rPr>
      </w:pPr>
      <w:r>
        <w:rPr>
          <w:rFonts w:ascii="Courier New" w:cs="Courier New" w:eastAsia="Courier New" w:hAnsi="Courier New"/>
          <w:sz w:val="18"/>
          <w:szCs w:val="18"/>
          <w:color w:val="auto"/>
        </w:rPr>
        <w:t>any stockholder nomination was not made in accordance with the terms of</w:t>
      </w:r>
    </w:p>
    <w:p>
      <w:pPr>
        <w:spacing w:after="0" w:line="237" w:lineRule="auto"/>
        <w:rPr>
          <w:sz w:val="20"/>
          <w:szCs w:val="20"/>
          <w:color w:val="auto"/>
        </w:rPr>
      </w:pPr>
      <w:r>
        <w:rPr>
          <w:rFonts w:ascii="Courier New" w:cs="Courier New" w:eastAsia="Courier New" w:hAnsi="Courier New"/>
          <w:sz w:val="18"/>
          <w:szCs w:val="18"/>
          <w:color w:val="auto"/>
        </w:rPr>
        <w:t>this Section 4.16 or that the information provided in a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does not satisfy the informational requirements of this Section 4.16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material respect, then such nomination shall not be considered at</w:t>
      </w:r>
    </w:p>
    <w:p>
      <w:pPr>
        <w:spacing w:after="0"/>
        <w:tabs>
          <w:tab w:leader="none" w:pos="3460" w:val="left"/>
        </w:tabs>
        <w:rPr>
          <w:sz w:val="20"/>
          <w:szCs w:val="20"/>
          <w:color w:val="auto"/>
        </w:rPr>
      </w:pPr>
      <w:r>
        <w:rPr>
          <w:rFonts w:ascii="Courier New" w:cs="Courier New" w:eastAsia="Courier New" w:hAnsi="Courier New"/>
          <w:sz w:val="18"/>
          <w:szCs w:val="18"/>
          <w:color w:val="auto"/>
        </w:rPr>
        <w:t>the Annual Meeting in question.</w:t>
      </w:r>
      <w:r>
        <w:rPr>
          <w:sz w:val="20"/>
          <w:szCs w:val="20"/>
          <w:color w:val="auto"/>
        </w:rPr>
        <w:tab/>
      </w:r>
      <w:r>
        <w:rPr>
          <w:rFonts w:ascii="Courier New" w:cs="Courier New" w:eastAsia="Courier New" w:hAnsi="Courier New"/>
          <w:sz w:val="16"/>
          <w:szCs w:val="16"/>
          <w:color w:val="auto"/>
        </w:rPr>
        <w:t>If the Board of Directors, a designated</w:t>
      </w:r>
    </w:p>
    <w:p>
      <w:pPr>
        <w:spacing w:after="0"/>
        <w:rPr>
          <w:sz w:val="20"/>
          <w:szCs w:val="20"/>
          <w:color w:val="auto"/>
        </w:rPr>
      </w:pPr>
      <w:r>
        <w:rPr>
          <w:rFonts w:ascii="Courier New" w:cs="Courier New" w:eastAsia="Courier New" w:hAnsi="Courier New"/>
          <w:sz w:val="18"/>
          <w:szCs w:val="18"/>
          <w:color w:val="auto"/>
        </w:rPr>
        <w:t>committee thereof or the presiding officer determines that a nomination</w:t>
      </w:r>
    </w:p>
    <w:p>
      <w:pPr>
        <w:spacing w:after="0" w:line="237" w:lineRule="auto"/>
        <w:rPr>
          <w:sz w:val="20"/>
          <w:szCs w:val="20"/>
          <w:color w:val="auto"/>
        </w:rPr>
      </w:pPr>
      <w:r>
        <w:rPr>
          <w:rFonts w:ascii="Courier New" w:cs="Courier New" w:eastAsia="Courier New" w:hAnsi="Courier New"/>
          <w:sz w:val="18"/>
          <w:szCs w:val="18"/>
          <w:color w:val="auto"/>
        </w:rPr>
        <w:t>was made in accordance with the terms of this Section 4.16, the presiding</w:t>
      </w:r>
    </w:p>
    <w:p>
      <w:pPr>
        <w:spacing w:after="0" w:line="238" w:lineRule="auto"/>
        <w:rPr>
          <w:sz w:val="20"/>
          <w:szCs w:val="20"/>
          <w:color w:val="auto"/>
        </w:rPr>
      </w:pPr>
      <w:r>
        <w:rPr>
          <w:rFonts w:ascii="Courier New" w:cs="Courier New" w:eastAsia="Courier New" w:hAnsi="Courier New"/>
          <w:sz w:val="18"/>
          <w:szCs w:val="18"/>
          <w:color w:val="auto"/>
        </w:rPr>
        <w:t>officer shall so declare at the Annual Meeting and ballots shall be</w:t>
      </w:r>
    </w:p>
    <w:p>
      <w:pPr>
        <w:spacing w:after="0"/>
        <w:rPr>
          <w:sz w:val="20"/>
          <w:szCs w:val="20"/>
          <w:color w:val="auto"/>
        </w:rPr>
      </w:pPr>
      <w:r>
        <w:rPr>
          <w:rFonts w:ascii="Courier New" w:cs="Courier New" w:eastAsia="Courier New" w:hAnsi="Courier New"/>
          <w:sz w:val="18"/>
          <w:szCs w:val="18"/>
          <w:color w:val="auto"/>
        </w:rPr>
        <w:t>provided for use at the Annual Meeting with respect to such nominee.</w:t>
      </w:r>
    </w:p>
    <w:p>
      <w:pPr>
        <w:spacing w:after="0" w:line="20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such increase, if such notice shall be delivered to, or mailed to and received by, the Corporation at its principal executive office not later than the close of business on the fifteenth day following the day on which such public announcement is first made by the Corporation.</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20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5.1 Form of Notice. Whenever, under the provisions of law, or of the Certificate of Incorporation or of these By-Laws, notice is required to be given to any director or stockholder, such notice may be given by mail,</w:t>
      </w:r>
    </w:p>
    <w:p>
      <w:pPr>
        <w:spacing w:after="0" w:line="1"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w:t>
      </w:r>
    </w:p>
    <w:p>
      <w:pPr>
        <w:sectPr>
          <w:pgSz w:w="11900" w:h="16838" w:orient="portrait"/>
          <w:cols w:equalWidth="0" w:num="1">
            <w:col w:w="10219"/>
          </w:cols>
          <w:pgMar w:left="240" w:top="142" w:right="1440" w:bottom="0" w:gutter="0" w:footer="0" w:header="0"/>
        </w:sectPr>
      </w:pPr>
    </w:p>
    <w:bookmarkStart w:id="26" w:name="page27"/>
    <w:bookmarkEnd w:id="26"/>
    <w:p>
      <w:pPr>
        <w:jc w:val="both"/>
        <w:ind w:right="2419"/>
        <w:spacing w:after="0" w:line="235" w:lineRule="auto"/>
        <w:rPr>
          <w:sz w:val="20"/>
          <w:szCs w:val="20"/>
          <w:color w:val="auto"/>
        </w:rPr>
      </w:pPr>
      <w:r>
        <w:rPr>
          <w:rFonts w:ascii="Courier New" w:cs="Courier New" w:eastAsia="Courier New" w:hAnsi="Courier New"/>
          <w:sz w:val="18"/>
          <w:szCs w:val="18"/>
          <w:color w:val="auto"/>
        </w:rPr>
        <w:t>Oral notice or other in-hand delivery (in person or by telephone) shall be deemed given at the time it is actually given.</w:t>
      </w:r>
    </w:p>
    <w:p>
      <w:pPr>
        <w:spacing w:after="0" w:line="208" w:lineRule="exact"/>
        <w:rPr>
          <w:sz w:val="20"/>
          <w:szCs w:val="20"/>
          <w:color w:val="auto"/>
        </w:rPr>
      </w:pPr>
    </w:p>
    <w:p>
      <w:pPr>
        <w:jc w:val="both"/>
        <w:ind w:right="2419" w:firstLine="527"/>
        <w:spacing w:after="0" w:line="268" w:lineRule="auto"/>
        <w:rPr>
          <w:sz w:val="20"/>
          <w:szCs w:val="20"/>
          <w:color w:val="auto"/>
        </w:rPr>
      </w:pPr>
      <w:r>
        <w:rPr>
          <w:rFonts w:ascii="Courier New" w:cs="Courier New" w:eastAsia="Courier New" w:hAnsi="Courier New"/>
          <w:sz w:val="16"/>
          <w:szCs w:val="16"/>
          <w:color w:val="auto"/>
        </w:rPr>
        <w:t>5.2 Waiver of Notice. Whenever notice is required to be given under the provisions of law, the Certificate of Incorporation or these By-Laws, a written waiver thereof, signed by the person entitled to notice, whether before or after the time stated therein, shall be deemed equivalent to</w:t>
      </w:r>
    </w:p>
    <w:tbl>
      <w:tblPr>
        <w:tblLayout w:type="fixed"/>
        <w:tblInd w:w="0" w:type="dxa"/>
        <w:tblCellMar>
          <w:top w:w="0" w:type="dxa"/>
          <w:left w:w="0" w:type="dxa"/>
          <w:bottom w:w="0" w:type="dxa"/>
          <w:right w:w="0" w:type="dxa"/>
        </w:tblCellMar>
      </w:tblPr>
      <w:tr>
        <w:trPr>
          <w:trHeight w:val="199"/>
        </w:trPr>
        <w:tc>
          <w:tcPr>
            <w:tcW w:w="3640" w:type="dxa"/>
            <w:vAlign w:val="bottom"/>
            <w:gridSpan w:val="3"/>
          </w:tcPr>
          <w:p>
            <w:pPr>
              <w:spacing w:after="0" w:line="199" w:lineRule="exact"/>
              <w:rPr>
                <w:sz w:val="20"/>
                <w:szCs w:val="20"/>
                <w:color w:val="auto"/>
              </w:rPr>
            </w:pPr>
            <w:r>
              <w:rPr>
                <w:rFonts w:ascii="Courier New" w:cs="Courier New" w:eastAsia="Courier New" w:hAnsi="Courier New"/>
                <w:sz w:val="18"/>
                <w:szCs w:val="18"/>
                <w:color w:val="auto"/>
                <w:w w:val="98"/>
              </w:rPr>
              <w:t>notice.  Attendance of a person at</w:t>
            </w:r>
          </w:p>
        </w:tc>
        <w:tc>
          <w:tcPr>
            <w:tcW w:w="426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a meeting shall constitute a waiver of</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notice of such</w:t>
            </w:r>
          </w:p>
        </w:tc>
        <w:tc>
          <w:tcPr>
            <w:tcW w:w="6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meeting, except when the person attends a meeting for 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express purpose of</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objecting, at the beginning of the meeting, to the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transaction of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any</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business because the meeting is not lawfully called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convened.</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Neither the business</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be transacted at, nor the purpose of,</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any meeting of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stockholders, directors or members of a committee of</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directors need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 specified in</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written waiver of notice.</w:t>
            </w:r>
          </w:p>
        </w:tc>
      </w:tr>
      <w:tr>
        <w:trPr>
          <w:trHeight w:val="405"/>
        </w:trPr>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w w:val="96"/>
              </w:rPr>
              <w:t>Section 6.</w:t>
            </w:r>
          </w:p>
        </w:tc>
        <w:tc>
          <w:tcPr>
            <w:tcW w:w="480" w:type="dxa"/>
            <w:vAlign w:val="bottom"/>
          </w:tcPr>
          <w:p>
            <w:pPr>
              <w:spacing w:after="0"/>
              <w:rPr>
                <w:sz w:val="24"/>
                <w:szCs w:val="24"/>
                <w:color w:val="auto"/>
              </w:rPr>
            </w:pPr>
          </w:p>
        </w:tc>
        <w:tc>
          <w:tcPr>
            <w:tcW w:w="59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OFFICERS AND AGENTS</w:t>
            </w:r>
          </w:p>
        </w:tc>
      </w:tr>
    </w:tbl>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w:t>
      </w:r>
    </w:p>
    <w:p>
      <w:pPr>
        <w:spacing w:after="0" w:line="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6.2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6.4 Tenure.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6.5 Resignation and Removal.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w:t>
      </w:r>
    </w:p>
    <w:p>
      <w:pPr>
        <w:spacing w:after="0" w:line="13"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compensation as such officer for any period following his resignation or removal, or any right to damages on account of such removal, whether his compensation be by the month or by the year or otherwise; unless in the case of a resignation, the directors, or in the case of removal, the body actin on the removal, shall in their or its discretion provide for compensation.</w:t>
      </w:r>
    </w:p>
    <w:p>
      <w:pPr>
        <w:spacing w:after="0" w:line="185"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20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CAPITAL STOCK</w:t>
      </w:r>
    </w:p>
    <w:p>
      <w:pPr>
        <w:spacing w:after="0" w:line="201" w:lineRule="exact"/>
        <w:rPr>
          <w:sz w:val="20"/>
          <w:szCs w:val="20"/>
          <w:color w:val="auto"/>
        </w:rPr>
      </w:pPr>
    </w:p>
    <w:p>
      <w:pPr>
        <w:ind w:left="540"/>
        <w:spacing w:after="0"/>
        <w:tabs>
          <w:tab w:leader="none" w:pos="1040" w:val="left"/>
          <w:tab w:leader="none" w:pos="3260" w:val="left"/>
        </w:tabs>
        <w:rPr>
          <w:sz w:val="20"/>
          <w:szCs w:val="20"/>
          <w:color w:val="auto"/>
        </w:rPr>
      </w:pPr>
      <w:r>
        <w:rPr>
          <w:rFonts w:ascii="Courier New" w:cs="Courier New" w:eastAsia="Courier New" w:hAnsi="Courier New"/>
          <w:sz w:val="18"/>
          <w:szCs w:val="18"/>
          <w:color w:val="auto"/>
        </w:rPr>
        <w:t>7.1</w:t>
        <w:tab/>
        <w:t>Stock Certificates.</w:t>
      </w:r>
      <w:r>
        <w:rPr>
          <w:sz w:val="20"/>
          <w:szCs w:val="20"/>
          <w:color w:val="auto"/>
        </w:rPr>
        <w:tab/>
      </w:r>
      <w:r>
        <w:rPr>
          <w:rFonts w:ascii="Courier New" w:cs="Courier New" w:eastAsia="Courier New" w:hAnsi="Courier New"/>
          <w:sz w:val="16"/>
          <w:szCs w:val="16"/>
          <w:color w:val="auto"/>
        </w:rPr>
        <w:t>Each stockholder shall be entitled to a</w:t>
      </w:r>
    </w:p>
    <w:p>
      <w:pPr>
        <w:sectPr>
          <w:pgSz w:w="11900" w:h="16838" w:orient="portrait"/>
          <w:cols w:equalWidth="0" w:num="1">
            <w:col w:w="10219"/>
          </w:cols>
          <w:pgMar w:left="240" w:top="142" w:right="1440" w:bottom="0" w:gutter="0" w:footer="0" w:header="0"/>
        </w:sectPr>
      </w:pPr>
    </w:p>
    <w:bookmarkStart w:id="27" w:name="page28"/>
    <w:bookmarkEnd w:id="27"/>
    <w:p>
      <w:pPr>
        <w:ind w:right="2199"/>
        <w:spacing w:after="0" w:line="270" w:lineRule="auto"/>
        <w:rPr>
          <w:sz w:val="20"/>
          <w:szCs w:val="20"/>
          <w:color w:val="auto"/>
        </w:rPr>
      </w:pPr>
      <w:r>
        <w:rPr>
          <w:rFonts w:ascii="Courier New" w:cs="Courier New" w:eastAsia="Courier New" w:hAnsi="Courier New"/>
          <w:sz w:val="16"/>
          <w:szCs w:val="16"/>
          <w:color w:val="auto"/>
        </w:rPr>
        <w:t>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391"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w:t>
      </w:r>
    </w:p>
    <w:p>
      <w:pPr>
        <w:spacing w:after="0" w:line="18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be made against the Corporation with respect to the certificate alleged to have been lost, stolen or destroyed.</w:t>
      </w:r>
    </w:p>
    <w:p>
      <w:pPr>
        <w:spacing w:after="0" w:line="203"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TRANSFER OF SHARES OF STOCK</w:t>
      </w:r>
    </w:p>
    <w:p>
      <w:pPr>
        <w:spacing w:after="0" w:line="207"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8.1 Transfer on Books.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 It shall be the duty of each stockholder to notify the Corporation of his post office address.</w:t>
      </w:r>
    </w:p>
    <w:p>
      <w:pPr>
        <w:spacing w:after="0" w:line="39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9.1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w:t>
      </w:r>
    </w:p>
    <w:p>
      <w:pPr>
        <w:spacing w:after="0" w:line="18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at a meeting of stockholders shall apply to any adjournment of the meeting; provided, however, that the Board of Directors may fix a new record date for the adjourned meeting. If no record date is fixed,</w:t>
      </w:r>
    </w:p>
    <w:p>
      <w:pPr>
        <w:spacing w:after="0" w:line="209" w:lineRule="exact"/>
        <w:rPr>
          <w:sz w:val="20"/>
          <w:szCs w:val="20"/>
          <w:color w:val="auto"/>
        </w:rPr>
      </w:pPr>
    </w:p>
    <w:p>
      <w:pPr>
        <w:ind w:right="2199" w:firstLine="1061"/>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8" w:lineRule="exact"/>
        <w:rPr>
          <w:rFonts w:ascii="Courier New" w:cs="Courier New" w:eastAsia="Courier New" w:hAnsi="Courier New"/>
          <w:sz w:val="18"/>
          <w:szCs w:val="18"/>
          <w:color w:val="auto"/>
        </w:rPr>
      </w:pPr>
    </w:p>
    <w:p>
      <w:pPr>
        <w:ind w:right="2519" w:firstLine="1061"/>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207" w:lineRule="exact"/>
        <w:rPr>
          <w:rFonts w:ascii="Courier New" w:cs="Courier New" w:eastAsia="Courier New" w:hAnsi="Courier New"/>
          <w:sz w:val="18"/>
          <w:szCs w:val="18"/>
          <w:color w:val="auto"/>
        </w:rPr>
      </w:pPr>
    </w:p>
    <w:p>
      <w:pPr>
        <w:ind w:right="2419" w:firstLine="1061"/>
        <w:spacing w:after="0" w:line="236"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for any other purpose shall be at the close of business on the day on which the Board of Directors adopts the resolution relating to such purpose.</w:t>
      </w:r>
    </w:p>
    <w:p>
      <w:pPr>
        <w:spacing w:after="0" w:line="209"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9.2 Dividends. Dividends upon the capital stock of the Corporation may be declared by the Board of Directors at any regular or special meeting or by</w:t>
      </w:r>
    </w:p>
    <w:p>
      <w:pPr>
        <w:sectPr>
          <w:pgSz w:w="11900" w:h="16838" w:orient="portrait"/>
          <w:cols w:equalWidth="0" w:num="1">
            <w:col w:w="10219"/>
          </w:cols>
          <w:pgMar w:left="240" w:top="142" w:right="1440" w:bottom="0" w:gutter="0" w:footer="0" w:header="0"/>
        </w:sectPr>
      </w:pPr>
    </w:p>
    <w:bookmarkStart w:id="28" w:name="page29"/>
    <w:bookmarkEnd w:id="28"/>
    <w:p>
      <w:pPr>
        <w:ind w:right="2099"/>
        <w:spacing w:after="0" w:line="236" w:lineRule="auto"/>
        <w:rPr>
          <w:sz w:val="20"/>
          <w:szCs w:val="20"/>
          <w:color w:val="auto"/>
        </w:rPr>
      </w:pPr>
      <w:r>
        <w:rPr>
          <w:rFonts w:ascii="Courier New" w:cs="Courier New" w:eastAsia="Courier New" w:hAnsi="Courier New"/>
          <w:sz w:val="18"/>
          <w:szCs w:val="18"/>
          <w:color w:val="auto"/>
        </w:rPr>
        <w:t>written consent, pursuant to law. Dividends may be paid in cash, in property, or in shares of the capital stock, subject to the provisions of the Certificate ofIncorporation.</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12"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9.4 Checks. All checks or demands for money and notes of the Corporation shall be signed by such officer or officers or such other person or persons as the Board of Directors may from time to time designate.</w:t>
      </w:r>
    </w:p>
    <w:p>
      <w:pPr>
        <w:spacing w:after="0" w:line="17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9.5 Fiscal Year. The fiscal year of the Corporation shall end the Saturday closest to the 31st of January unless otherwise determined by the Board of Directors.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General Corporation Law of Delaware as the same exists or hereafter may be amended. Such indemnification shall include payment by the Corporation, in advance of</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 Corporation may accept any such undertaking without reference to the financial ability of the person to make such repayment. As used in this paragraph, the terms "director" and "officer" include their respective heirs, executors, and administrators.</w:t>
      </w:r>
    </w:p>
    <w:p>
      <w:pPr>
        <w:spacing w:after="0" w:line="208"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AMENDMENTS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0219"/>
          </w:cols>
          <w:pgMar w:left="240" w:top="142" w:right="1440" w:bottom="1440" w:gutter="0" w:footer="0" w:header="0"/>
        </w:sectPr>
      </w:pPr>
    </w:p>
    <w:bookmarkStart w:id="29" w:name="page30"/>
    <w:bookmarkEnd w:id="2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October 28, 1995, October 29, 1994 and January 28, 1995 and the Consolidated Statements of Income for the three, nine and twelve months ending October 28, 1995 and October 29, 1994 and is qualified in its entirety by reference to such financial statements.</w:t>
      </w:r>
    </w:p>
    <w:p>
      <w:pPr>
        <w:spacing w:after="0" w:line="38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FEB-03-1996</w:t>
      </w:r>
    </w:p>
    <w:p>
      <w:pPr>
        <w:ind w:left="3020"/>
        <w:spacing w:after="0"/>
        <w:rPr>
          <w:sz w:val="20"/>
          <w:szCs w:val="20"/>
          <w:color w:val="auto"/>
        </w:rPr>
      </w:pPr>
      <w:r>
        <w:rPr>
          <w:rFonts w:ascii="Courier New" w:cs="Courier New" w:eastAsia="Courier New" w:hAnsi="Courier New"/>
          <w:sz w:val="18"/>
          <w:szCs w:val="18"/>
          <w:color w:val="auto"/>
        </w:rPr>
        <w:t>JAN-29-1995</w:t>
      </w:r>
    </w:p>
    <w:p>
      <w:pPr>
        <w:ind w:left="3240"/>
        <w:spacing w:after="0" w:line="237" w:lineRule="auto"/>
        <w:rPr>
          <w:sz w:val="20"/>
          <w:szCs w:val="20"/>
          <w:color w:val="auto"/>
        </w:rPr>
      </w:pPr>
      <w:r>
        <w:rPr>
          <w:rFonts w:ascii="Courier New" w:cs="Courier New" w:eastAsia="Courier New" w:hAnsi="Courier New"/>
          <w:sz w:val="18"/>
          <w:szCs w:val="18"/>
          <w:color w:val="auto"/>
        </w:rPr>
        <w:t>OCT-28-1995</w:t>
      </w:r>
    </w:p>
    <w:p>
      <w:pPr>
        <w:ind w:left="4400"/>
        <w:spacing w:after="0" w:line="238" w:lineRule="auto"/>
        <w:rPr>
          <w:sz w:val="20"/>
          <w:szCs w:val="20"/>
          <w:color w:val="auto"/>
        </w:rPr>
      </w:pPr>
      <w:r>
        <w:rPr>
          <w:rFonts w:ascii="Courier New" w:cs="Courier New" w:eastAsia="Courier New" w:hAnsi="Courier New"/>
          <w:sz w:val="18"/>
          <w:szCs w:val="18"/>
          <w:color w:val="auto"/>
        </w:rPr>
        <w:t>18,367</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970</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63,801</w:t>
      </w:r>
    </w:p>
    <w:p>
      <w:pPr>
        <w:ind w:left="3340"/>
        <w:spacing w:after="0"/>
        <w:rPr>
          <w:sz w:val="20"/>
          <w:szCs w:val="20"/>
          <w:color w:val="auto"/>
        </w:rPr>
      </w:pPr>
      <w:r>
        <w:rPr>
          <w:rFonts w:ascii="Courier New" w:cs="Courier New" w:eastAsia="Courier New" w:hAnsi="Courier New"/>
          <w:sz w:val="18"/>
          <w:szCs w:val="18"/>
          <w:color w:val="auto"/>
        </w:rPr>
        <w:t>85,809</w:t>
      </w:r>
    </w:p>
    <w:p>
      <w:pPr>
        <w:ind w:left="4400"/>
        <w:spacing w:after="0" w:line="237" w:lineRule="auto"/>
        <w:rPr>
          <w:sz w:val="20"/>
          <w:szCs w:val="20"/>
          <w:color w:val="auto"/>
        </w:rPr>
      </w:pPr>
      <w:r>
        <w:rPr>
          <w:rFonts w:ascii="Courier New" w:cs="Courier New" w:eastAsia="Courier New" w:hAnsi="Courier New"/>
          <w:sz w:val="18"/>
          <w:szCs w:val="18"/>
          <w:color w:val="auto"/>
        </w:rPr>
        <w:t>59,494</w:t>
      </w:r>
    </w:p>
    <w:p>
      <w:pPr>
        <w:ind w:left="3540"/>
        <w:spacing w:after="0" w:line="238" w:lineRule="auto"/>
        <w:rPr>
          <w:sz w:val="20"/>
          <w:szCs w:val="20"/>
          <w:color w:val="auto"/>
        </w:rPr>
      </w:pPr>
      <w:r>
        <w:rPr>
          <w:rFonts w:ascii="Courier New" w:cs="Courier New" w:eastAsia="Courier New" w:hAnsi="Courier New"/>
          <w:sz w:val="18"/>
          <w:szCs w:val="18"/>
          <w:color w:val="auto"/>
        </w:rPr>
        <w:t>25,021</w:t>
      </w:r>
    </w:p>
    <w:p>
      <w:pPr>
        <w:ind w:left="3440"/>
        <w:spacing w:after="0"/>
        <w:rPr>
          <w:sz w:val="20"/>
          <w:szCs w:val="20"/>
          <w:color w:val="auto"/>
        </w:rPr>
      </w:pPr>
      <w:r>
        <w:rPr>
          <w:rFonts w:ascii="Courier New" w:cs="Courier New" w:eastAsia="Courier New" w:hAnsi="Courier New"/>
          <w:sz w:val="18"/>
          <w:szCs w:val="18"/>
          <w:color w:val="auto"/>
        </w:rPr>
        <w:t>138,040</w:t>
      </w:r>
    </w:p>
    <w:p>
      <w:pPr>
        <w:ind w:left="2820"/>
        <w:spacing w:after="0" w:line="237" w:lineRule="auto"/>
        <w:rPr>
          <w:sz w:val="20"/>
          <w:szCs w:val="20"/>
          <w:color w:val="auto"/>
        </w:rPr>
      </w:pPr>
      <w:r>
        <w:rPr>
          <w:rFonts w:ascii="Courier New" w:cs="Courier New" w:eastAsia="Courier New" w:hAnsi="Courier New"/>
          <w:sz w:val="18"/>
          <w:szCs w:val="18"/>
          <w:color w:val="auto"/>
        </w:rPr>
        <w:t>27,077</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158</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103,779</w:t>
      </w:r>
    </w:p>
    <w:p>
      <w:pPr>
        <w:ind w:left="1960"/>
        <w:spacing w:after="0"/>
        <w:rPr>
          <w:sz w:val="20"/>
          <w:szCs w:val="20"/>
          <w:color w:val="auto"/>
        </w:rPr>
      </w:pPr>
      <w:r>
        <w:rPr>
          <w:rFonts w:ascii="Courier New" w:cs="Courier New" w:eastAsia="Courier New" w:hAnsi="Courier New"/>
          <w:sz w:val="18"/>
          <w:szCs w:val="18"/>
          <w:color w:val="auto"/>
        </w:rPr>
        <w:t>138,040</w:t>
      </w:r>
    </w:p>
    <w:p>
      <w:pPr>
        <w:ind w:left="4180"/>
        <w:spacing w:after="0" w:line="237" w:lineRule="auto"/>
        <w:rPr>
          <w:sz w:val="20"/>
          <w:szCs w:val="20"/>
          <w:color w:val="auto"/>
        </w:rPr>
      </w:pPr>
      <w:r>
        <w:rPr>
          <w:rFonts w:ascii="Courier New" w:cs="Courier New" w:eastAsia="Courier New" w:hAnsi="Courier New"/>
          <w:sz w:val="18"/>
          <w:szCs w:val="18"/>
          <w:color w:val="auto"/>
        </w:rPr>
        <w:t>213,546</w:t>
      </w:r>
    </w:p>
    <w:p>
      <w:pPr>
        <w:ind w:left="3240"/>
        <w:spacing w:after="0"/>
        <w:rPr>
          <w:sz w:val="20"/>
          <w:szCs w:val="20"/>
          <w:color w:val="auto"/>
        </w:rPr>
      </w:pPr>
      <w:r>
        <w:rPr>
          <w:rFonts w:ascii="Courier New" w:cs="Courier New" w:eastAsia="Courier New" w:hAnsi="Courier New"/>
          <w:sz w:val="18"/>
          <w:szCs w:val="18"/>
          <w:color w:val="auto"/>
        </w:rPr>
        <w:t>213,546</w:t>
      </w:r>
    </w:p>
    <w:p>
      <w:pPr>
        <w:ind w:left="4400"/>
        <w:spacing w:after="0" w:line="237" w:lineRule="auto"/>
        <w:rPr>
          <w:sz w:val="20"/>
          <w:szCs w:val="20"/>
          <w:color w:val="auto"/>
        </w:rPr>
      </w:pPr>
      <w:r>
        <w:rPr>
          <w:rFonts w:ascii="Courier New" w:cs="Courier New" w:eastAsia="Courier New" w:hAnsi="Courier New"/>
          <w:sz w:val="18"/>
          <w:szCs w:val="18"/>
          <w:color w:val="auto"/>
        </w:rPr>
        <w:t>148,159</w:t>
      </w:r>
    </w:p>
    <w:p>
      <w:pPr>
        <w:ind w:left="3540"/>
        <w:spacing w:after="0"/>
        <w:rPr>
          <w:sz w:val="20"/>
          <w:szCs w:val="20"/>
          <w:color w:val="auto"/>
        </w:rPr>
      </w:pPr>
      <w:r>
        <w:rPr>
          <w:rFonts w:ascii="Courier New" w:cs="Courier New" w:eastAsia="Courier New" w:hAnsi="Courier New"/>
          <w:sz w:val="18"/>
          <w:szCs w:val="18"/>
          <w:color w:val="auto"/>
        </w:rPr>
        <w:t>148,159</w:t>
      </w:r>
    </w:p>
    <w:p>
      <w:pPr>
        <w:ind w:left="3340"/>
        <w:spacing w:after="0" w:line="237" w:lineRule="auto"/>
        <w:rPr>
          <w:sz w:val="20"/>
          <w:szCs w:val="20"/>
          <w:color w:val="auto"/>
        </w:rPr>
      </w:pPr>
      <w:r>
        <w:rPr>
          <w:rFonts w:ascii="Courier New" w:cs="Courier New" w:eastAsia="Courier New" w:hAnsi="Courier New"/>
          <w:sz w:val="18"/>
          <w:szCs w:val="18"/>
          <w:color w:val="auto"/>
        </w:rPr>
        <w:t>52,663</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154</w:t>
      </w:r>
    </w:p>
    <w:p>
      <w:pPr>
        <w:ind w:left="3440"/>
        <w:spacing w:after="0" w:line="238" w:lineRule="auto"/>
        <w:rPr>
          <w:sz w:val="20"/>
          <w:szCs w:val="20"/>
          <w:color w:val="auto"/>
        </w:rPr>
      </w:pPr>
      <w:r>
        <w:rPr>
          <w:rFonts w:ascii="Courier New" w:cs="Courier New" w:eastAsia="Courier New" w:hAnsi="Courier New"/>
          <w:sz w:val="18"/>
          <w:szCs w:val="18"/>
          <w:color w:val="auto"/>
        </w:rPr>
        <w:t>13,291</w:t>
      </w:r>
    </w:p>
    <w:p>
      <w:pPr>
        <w:ind w:left="3860"/>
        <w:spacing w:after="0"/>
        <w:rPr>
          <w:sz w:val="20"/>
          <w:szCs w:val="20"/>
          <w:color w:val="auto"/>
        </w:rPr>
      </w:pPr>
      <w:r>
        <w:rPr>
          <w:rFonts w:ascii="Courier New" w:cs="Courier New" w:eastAsia="Courier New" w:hAnsi="Courier New"/>
          <w:sz w:val="18"/>
          <w:szCs w:val="18"/>
          <w:color w:val="auto"/>
        </w:rPr>
        <w:t>5,469</w:t>
      </w:r>
    </w:p>
    <w:p>
      <w:pPr>
        <w:ind w:left="3120"/>
        <w:spacing w:after="0" w:line="237" w:lineRule="auto"/>
        <w:rPr>
          <w:sz w:val="20"/>
          <w:szCs w:val="20"/>
          <w:color w:val="auto"/>
        </w:rPr>
      </w:pPr>
      <w:r>
        <w:rPr>
          <w:rFonts w:ascii="Courier New" w:cs="Courier New" w:eastAsia="Courier New" w:hAnsi="Courier New"/>
          <w:sz w:val="18"/>
          <w:szCs w:val="18"/>
          <w:color w:val="auto"/>
        </w:rPr>
        <w:t>7,822</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7,822</w:t>
      </w:r>
    </w:p>
    <w:p>
      <w:pPr>
        <w:ind w:left="3860"/>
        <w:spacing w:after="0" w:line="238" w:lineRule="auto"/>
        <w:rPr>
          <w:sz w:val="20"/>
          <w:szCs w:val="20"/>
          <w:color w:val="auto"/>
        </w:rPr>
      </w:pPr>
      <w:r>
        <w:rPr>
          <w:rFonts w:ascii="Courier New" w:cs="Courier New" w:eastAsia="Courier New" w:hAnsi="Courier New"/>
          <w:sz w:val="18"/>
          <w:szCs w:val="18"/>
          <w:color w:val="auto"/>
        </w:rPr>
        <w:t>0.50</w:t>
      </w:r>
    </w:p>
    <w:p>
      <w:pPr>
        <w:ind w:left="4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amp;"/>
      <w:numFmt w:val="bullet"/>
      <w:start w:val="1"/>
    </w:lvl>
  </w:abstractNum>
  <w:abstractNum w:abstractNumId="7">
    <w:nsid w:val="1F16E9E8"/>
    <w:multiLevelType w:val="hybridMultilevel"/>
    <w:lvl w:ilvl="0">
      <w:lvlJc w:val="left"/>
      <w:lvlText w:val="(%1)"/>
      <w:numFmt w:val="upperLetter"/>
      <w:start w:val="2"/>
    </w:lvl>
  </w:abstractNum>
  <w:abstractNum w:abstractNumId="8">
    <w:nsid w:val="1190CDE7"/>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9">
    <w:nsid w:val="66EF438D"/>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0">
    <w:nsid w:val="140E0F76"/>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Roman"/>
      <w:start w:val="3"/>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2019-12-12T08:11:39Z</dcterms:created>
  <dcterms:modified xsi:type="dcterms:W3CDTF">2019-12-12T08:11:39Z</dcterms:modified>
</cp:coreProperties>
</file>