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10-K/A</w:t>
      </w:r>
    </w:p>
    <w:p>
      <w:pPr>
        <w:ind w:left="3280"/>
        <w:spacing w:after="0" w:line="238" w:lineRule="auto"/>
        <w:rPr>
          <w:sz w:val="20"/>
          <w:szCs w:val="20"/>
          <w:color w:val="auto"/>
        </w:rPr>
      </w:pPr>
      <w:r>
        <w:rPr>
          <w:rFonts w:ascii="Courier New" w:cs="Courier New" w:eastAsia="Courier New" w:hAnsi="Courier New"/>
          <w:sz w:val="18"/>
          <w:szCs w:val="18"/>
          <w:color w:val="auto"/>
        </w:rPr>
        <w:t>(Amendment No. 2)</w:t>
      </w:r>
    </w:p>
    <w:p>
      <w:pPr>
        <w:ind w:left="1480"/>
        <w:spacing w:after="0"/>
        <w:rPr>
          <w:sz w:val="20"/>
          <w:szCs w:val="20"/>
          <w:color w:val="auto"/>
        </w:rPr>
      </w:pPr>
      <w:r>
        <w:rPr>
          <w:rFonts w:ascii="Courier New" w:cs="Courier New" w:eastAsia="Courier New" w:hAnsi="Courier New"/>
          <w:sz w:val="18"/>
          <w:szCs w:val="18"/>
          <w:color w:val="auto"/>
        </w:rPr>
        <w:t>ANNUAL REPORT PURSUANT TO SECTION 13 OR 15(d)</w:t>
      </w:r>
    </w:p>
    <w:p>
      <w:pPr>
        <w:ind w:left="2000"/>
        <w:spacing w:after="0" w:line="237"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fiscal year ended January 29, 2005 (Fiscal 2004)</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Commission File Number 0-15898</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500" w:space="720"/>
            <w:col w:w="5999"/>
          </w:cols>
          <w:pgMar w:left="240" w:top="244" w:right="1440" w:bottom="0" w:gutter="0" w:footer="0" w:header="0"/>
          <w:type w:val="continuous"/>
        </w:sectPr>
      </w:pPr>
    </w:p>
    <w:p>
      <w:pPr>
        <w:spacing w:after="0" w:line="7" w:lineRule="exact"/>
        <w:rPr>
          <w:sz w:val="24"/>
          <w:szCs w:val="24"/>
          <w:color w:val="auto"/>
        </w:rPr>
      </w:pPr>
    </w:p>
    <w:p>
      <w:pPr>
        <w:ind w:right="1820" w:firstLine="105"/>
        <w:spacing w:after="0" w:line="290" w:lineRule="auto"/>
        <w:rPr>
          <w:sz w:val="20"/>
          <w:szCs w:val="20"/>
          <w:color w:val="auto"/>
        </w:rPr>
      </w:pPr>
      <w:r>
        <w:rPr>
          <w:rFonts w:ascii="Courier New" w:cs="Courier New" w:eastAsia="Courier New" w:hAnsi="Courier New"/>
          <w:sz w:val="16"/>
          <w:szCs w:val="16"/>
          <w:color w:val="auto"/>
        </w:rPr>
        <w:t>555 Turnpike Street, Canton, MA (Address of principal executive offices)</w:t>
      </w:r>
    </w:p>
    <w:p>
      <w:pPr>
        <w:spacing w:after="0" w:line="20" w:lineRule="exact"/>
        <w:rPr>
          <w:sz w:val="24"/>
          <w:szCs w:val="24"/>
          <w:color w:val="auto"/>
        </w:rPr>
      </w:pPr>
      <w:r>
        <w:rPr>
          <w:sz w:val="24"/>
          <w:szCs w:val="24"/>
          <w:color w:val="auto"/>
        </w:rPr>
        <w:br w:type="column"/>
      </w:r>
    </w:p>
    <w:p>
      <w:pPr>
        <w:ind w:left="420"/>
        <w:spacing w:after="0"/>
        <w:rPr>
          <w:sz w:val="20"/>
          <w:szCs w:val="20"/>
          <w:color w:val="auto"/>
        </w:rPr>
      </w:pPr>
      <w:r>
        <w:rPr>
          <w:rFonts w:ascii="Courier New" w:cs="Courier New" w:eastAsia="Courier New" w:hAnsi="Courier New"/>
          <w:sz w:val="18"/>
          <w:szCs w:val="18"/>
          <w:color w:val="auto"/>
        </w:rPr>
        <w:t>02021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6040" w:space="720"/>
            <w:col w:w="3459"/>
          </w:cols>
          <w:pgMar w:left="240" w:top="244" w:right="1440" w:bottom="0" w:gutter="0" w:footer="0" w:header="0"/>
          <w:type w:val="continuous"/>
        </w:sectPr>
      </w:pPr>
    </w:p>
    <w:p>
      <w:pPr>
        <w:ind w:left="3060"/>
        <w:spacing w:after="0"/>
        <w:rPr>
          <w:sz w:val="20"/>
          <w:szCs w:val="20"/>
          <w:color w:val="auto"/>
        </w:rPr>
      </w:pPr>
      <w:r>
        <w:rPr>
          <w:rFonts w:ascii="Courier New" w:cs="Courier New" w:eastAsia="Courier New" w:hAnsi="Courier New"/>
          <w:sz w:val="18"/>
          <w:szCs w:val="18"/>
          <w:color w:val="auto"/>
        </w:rPr>
        <w:t>(781) 828-9300</w:t>
      </w:r>
    </w:p>
    <w:p>
      <w:pPr>
        <w:spacing w:after="0" w:line="4"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ind w:left="3380"/>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ind w:left="2000"/>
        <w:spacing w:after="0" w:line="238" w:lineRule="auto"/>
        <w:rPr>
          <w:sz w:val="20"/>
          <w:szCs w:val="20"/>
          <w:color w:val="auto"/>
        </w:rPr>
      </w:pPr>
      <w:r>
        <w:rPr>
          <w:rFonts w:ascii="Courier New" w:cs="Courier New" w:eastAsia="Courier New" w:hAnsi="Courier New"/>
          <w:sz w:val="18"/>
          <w:szCs w:val="18"/>
          <w:color w:val="auto"/>
        </w:rPr>
        <w:t>Common Stock, $0.01 par value</w:t>
      </w:r>
    </w:p>
    <w:p>
      <w:pPr>
        <w:ind w:left="2740"/>
        <w:spacing w:after="0"/>
        <w:rPr>
          <w:sz w:val="20"/>
          <w:szCs w:val="20"/>
          <w:color w:val="auto"/>
        </w:rPr>
      </w:pPr>
      <w:r>
        <w:rPr>
          <w:rFonts w:ascii="Courier New" w:cs="Courier New" w:eastAsia="Courier New" w:hAnsi="Courier New"/>
          <w:sz w:val="18"/>
          <w:szCs w:val="18"/>
          <w:color w:val="auto"/>
        </w:rPr>
        <w:t>(Title of Class)</w:t>
      </w:r>
    </w:p>
    <w:p>
      <w:pPr>
        <w:ind w:left="2740"/>
        <w:spacing w:after="0" w:line="237" w:lineRule="auto"/>
        <w:rPr>
          <w:sz w:val="20"/>
          <w:szCs w:val="20"/>
          <w:color w:val="auto"/>
        </w:rPr>
      </w:pPr>
      <w:r>
        <w:rPr>
          <w:rFonts w:ascii="Courier New" w:cs="Courier New" w:eastAsia="Courier New" w:hAnsi="Courier New"/>
          <w:sz w:val="18"/>
          <w:szCs w:val="18"/>
          <w:color w:val="auto"/>
        </w:rPr>
        <w:t>_________________</w:t>
      </w:r>
    </w:p>
    <w:p>
      <w:pPr>
        <w:spacing w:after="0" w:line="207" w:lineRule="exact"/>
        <w:rPr>
          <w:sz w:val="24"/>
          <w:szCs w:val="24"/>
          <w:color w:val="auto"/>
        </w:rPr>
      </w:pPr>
    </w:p>
    <w:p>
      <w:pPr>
        <w:ind w:right="2619"/>
        <w:spacing w:after="0" w:line="273"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85"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209"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an accelerated filer (as defined in Rule 12b-2 of the Act). Yes X No</w:t>
      </w:r>
    </w:p>
    <w:p>
      <w:pPr>
        <w:spacing w:after="0" w:line="208" w:lineRule="exact"/>
        <w:rPr>
          <w:sz w:val="24"/>
          <w:szCs w:val="24"/>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As of July 31, 2004, the aggregate market value of the Common Stock held by non-affiliates of the registrant was approximately $156.1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212"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registrant had 34,250,912 shares of Common Stock, $0.01 par value, outstanding as of May 1, 2005.</w:t>
      </w: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DOCUMENTS INCORPORATED BY REFERENCE</w:t>
      </w:r>
    </w:p>
    <w:p>
      <w:pPr>
        <w:ind w:left="3700"/>
        <w:spacing w:after="0" w:line="238" w:lineRule="auto"/>
        <w:rPr>
          <w:sz w:val="20"/>
          <w:szCs w:val="20"/>
          <w:color w:val="auto"/>
        </w:rPr>
      </w:pPr>
      <w:r>
        <w:rPr>
          <w:rFonts w:ascii="Courier New" w:cs="Courier New" w:eastAsia="Courier New" w:hAnsi="Courier New"/>
          <w:sz w:val="18"/>
          <w:szCs w:val="18"/>
          <w:color w:val="auto"/>
        </w:rPr>
        <w:t>None.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This Amendment No. 2 on Form 10-K/A is being filed to amend the registrant's Amendment No. 1 on Form 10-K/A for the fiscal year ended January 29, 2005 ("Amendment No. 1") solely to include the certifications required by Rule 13a-14(a) of the Securities Exchange Act of 1934, which were inadvertently omitted from Amendment No. 1.</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jc w:val="both"/>
        <w:ind w:right="2839"/>
        <w:spacing w:after="0" w:line="279"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244" w:right="1440" w:bottom="0" w:gutter="0" w:footer="0" w:header="0"/>
          <w:type w:val="continuous"/>
        </w:sectPr>
      </w:pPr>
    </w:p>
    <w:bookmarkStart w:id="1" w:name="page2"/>
    <w:bookmarkEnd w:id="1"/>
    <w:p>
      <w:pPr>
        <w:jc w:val="right"/>
        <w:ind w:right="2099"/>
        <w:spacing w:after="0"/>
        <w:rPr>
          <w:sz w:val="20"/>
          <w:szCs w:val="20"/>
          <w:color w:val="auto"/>
        </w:rPr>
      </w:pPr>
      <w:r>
        <w:rPr>
          <w:rFonts w:ascii="Courier New" w:cs="Courier New" w:eastAsia="Courier New" w:hAnsi="Courier New"/>
          <w:sz w:val="18"/>
          <w:szCs w:val="18"/>
          <w:color w:val="auto"/>
        </w:rPr>
        <w:t>CASUAL MALE RETAIL GROUP, INC.</w:t>
      </w:r>
    </w:p>
    <w:p>
      <w:pPr>
        <w:spacing w:after="0" w:line="238" w:lineRule="auto"/>
        <w:rPr>
          <w:sz w:val="20"/>
          <w:szCs w:val="20"/>
          <w:color w:val="auto"/>
        </w:rPr>
      </w:pPr>
      <w:r>
        <w:rPr>
          <w:rFonts w:ascii="Courier New" w:cs="Courier New" w:eastAsia="Courier New" w:hAnsi="Courier New"/>
          <w:sz w:val="18"/>
          <w:szCs w:val="18"/>
          <w:color w:val="auto"/>
        </w:rPr>
        <w:t>June 3, 2005</w:t>
      </w:r>
    </w:p>
    <w:p>
      <w:pPr>
        <w:spacing w:after="0" w:line="20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ind w:left="5060"/>
        <w:spacing w:after="0" w:line="238" w:lineRule="auto"/>
        <w:rPr>
          <w:sz w:val="20"/>
          <w:szCs w:val="20"/>
          <w:color w:val="auto"/>
        </w:rPr>
      </w:pPr>
      <w:r>
        <w:rPr>
          <w:rFonts w:ascii="Courier New" w:cs="Courier New" w:eastAsia="Courier New" w:hAnsi="Courier New"/>
          <w:sz w:val="18"/>
          <w:szCs w:val="18"/>
          <w:color w:val="auto"/>
        </w:rPr>
        <w:t>Dennis R. Hernreich</w:t>
      </w:r>
    </w:p>
    <w:p>
      <w:pPr>
        <w:ind w:left="5060"/>
        <w:spacing w:after="0"/>
        <w:rPr>
          <w:sz w:val="20"/>
          <w:szCs w:val="20"/>
          <w:color w:val="auto"/>
        </w:rPr>
      </w:pPr>
      <w:r>
        <w:rPr>
          <w:rFonts w:ascii="Courier New" w:cs="Courier New" w:eastAsia="Courier New" w:hAnsi="Courier New"/>
          <w:sz w:val="18"/>
          <w:szCs w:val="18"/>
          <w:color w:val="auto"/>
        </w:rPr>
        <w:t>Executive Vice President and</w:t>
      </w:r>
    </w:p>
    <w:p>
      <w:pPr>
        <w:ind w:left="506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640" w:right="2939" w:hanging="631"/>
        <w:spacing w:after="0" w:line="290" w:lineRule="auto"/>
        <w:rPr>
          <w:sz w:val="20"/>
          <w:szCs w:val="20"/>
          <w:color w:val="auto"/>
        </w:rPr>
      </w:pPr>
      <w:r>
        <w:rPr>
          <w:rFonts w:ascii="Courier New" w:cs="Courier New" w:eastAsia="Courier New" w:hAnsi="Courier New"/>
          <w:sz w:val="16"/>
          <w:szCs w:val="16"/>
          <w:color w:val="auto"/>
        </w:rPr>
        <w:t>31.1 Certification of Chief Executive Officer of the Company pursuant to Rule 13a-14(a) under the Securities Exchange Act of 1934.</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6"/>
          <w:szCs w:val="16"/>
          <w:color w:val="auto"/>
        </w:rPr>
        <w:t>Certification of Chief Financial Officer of the Company pursuant</w:t>
      </w:r>
    </w:p>
    <w:p>
      <w:pPr>
        <w:ind w:left="640"/>
        <w:spacing w:after="0" w:line="238" w:lineRule="auto"/>
        <w:rPr>
          <w:sz w:val="20"/>
          <w:szCs w:val="20"/>
          <w:color w:val="auto"/>
        </w:rPr>
      </w:pPr>
      <w:r>
        <w:rPr>
          <w:rFonts w:ascii="Courier New" w:cs="Courier New" w:eastAsia="Courier New" w:hAnsi="Courier New"/>
          <w:sz w:val="18"/>
          <w:szCs w:val="18"/>
          <w:color w:val="auto"/>
        </w:rPr>
        <w:t>to Rule 13a-14(a) under the Securities Exchange Act of 1934.</w:t>
      </w:r>
    </w:p>
    <w:p>
      <w:pPr>
        <w:sectPr>
          <w:pgSz w:w="11900" w:h="16838" w:orient="portrait"/>
          <w:cols w:equalWidth="0" w:num="1">
            <w:col w:w="10219"/>
          </w:cols>
          <w:pgMar w:left="240" w:top="136" w:right="1440" w:bottom="1440" w:gutter="0" w:footer="0" w:header="0"/>
        </w:sectPr>
      </w:pPr>
    </w:p>
    <w:bookmarkStart w:id="2" w:name="page3"/>
    <w:bookmarkEnd w:id="2"/>
    <w:p>
      <w:pPr>
        <w:ind w:left="5700"/>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David A. Levin, certify that:</w:t>
      </w:r>
    </w:p>
    <w:p>
      <w:pPr>
        <w:spacing w:after="0" w:line="207" w:lineRule="exact"/>
        <w:rPr>
          <w:sz w:val="20"/>
          <w:szCs w:val="20"/>
          <w:color w:val="auto"/>
        </w:rPr>
      </w:pPr>
    </w:p>
    <w:p>
      <w:pPr>
        <w:ind w:right="315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the Form 10-K/A (Amendment No. 1) of Casual Male Retail Group, Inc.;</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such report does not contain any untrue statement of a material fact or omit to state a material fact necessary to make the statements made, in light of the circumstances under which such statements were made, not misleading with respect to the period covered by such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3, 2005</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DAVID A. LEVIN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David A. Levin</w:t>
      </w:r>
    </w:p>
    <w:p>
      <w:pPr>
        <w:ind w:left="4220"/>
        <w:spacing w:after="0" w:line="237"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136" w:right="1440" w:bottom="1440" w:gutter="0" w:footer="0" w:header="0"/>
        </w:sectPr>
      </w:pPr>
    </w:p>
    <w:bookmarkStart w:id="3" w:name="page4"/>
    <w:bookmarkEnd w:id="3"/>
    <w:p>
      <w:pPr>
        <w:ind w:left="6120"/>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Dennis R. Hernreich, certify that:</w:t>
      </w:r>
    </w:p>
    <w:p>
      <w:pPr>
        <w:spacing w:after="0" w:line="207" w:lineRule="exact"/>
        <w:rPr>
          <w:sz w:val="20"/>
          <w:szCs w:val="20"/>
          <w:color w:val="auto"/>
        </w:rPr>
      </w:pPr>
    </w:p>
    <w:p>
      <w:pPr>
        <w:ind w:right="261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the Form 10-K/A (Amendment No. 1) of Casual Male Retail Group, Inc.;</w:t>
      </w:r>
    </w:p>
    <w:p>
      <w:pPr>
        <w:spacing w:after="0" w:line="208" w:lineRule="exact"/>
        <w:rPr>
          <w:rFonts w:ascii="Courier New" w:cs="Courier New" w:eastAsia="Courier New" w:hAnsi="Courier New"/>
          <w:sz w:val="18"/>
          <w:szCs w:val="18"/>
          <w:color w:val="auto"/>
        </w:rPr>
      </w:pPr>
    </w:p>
    <w:p>
      <w:pPr>
        <w:ind w:right="2839" w:firstLine="8"/>
        <w:spacing w:after="0" w:line="237"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such report does not contain any untrue statement of a material fact or omit to state a material fact necessary to make the statements made, in light of the circumstances under which such statements were made, not misleading with respect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period covered by such report.</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3, 2005</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DENNIS R. HERNREICH</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Dennis R. Hernreich</w:t>
      </w:r>
    </w:p>
    <w:p>
      <w:pPr>
        <w:ind w:left="4220"/>
        <w:spacing w:after="0" w:line="237"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2019-12-19T22:12:00Z</dcterms:created>
  <dcterms:modified xsi:type="dcterms:W3CDTF">2019-12-19T22:12:00Z</dcterms:modified>
</cp:coreProperties>
</file>