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1 of 4</w:t>
      </w:r>
    </w:p>
    <w:p>
      <w:pPr>
        <w:spacing w:after="0" w:line="207"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8"/>
          <w:szCs w:val="18"/>
          <w:color w:val="auto"/>
        </w:rPr>
        <w:t>(12/31/98)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38" w:lineRule="auto"/>
        <w:rPr>
          <w:sz w:val="20"/>
          <w:szCs w:val="20"/>
          <w:color w:val="auto"/>
        </w:rPr>
      </w:pPr>
      <w:r>
        <w:rPr>
          <w:rFonts w:ascii="Courier New" w:cs="Courier New" w:eastAsia="Courier New" w:hAnsi="Courier New"/>
          <w:sz w:val="18"/>
          <w:szCs w:val="18"/>
          <w:color w:val="auto"/>
        </w:rPr>
        <w:t>Cusip # 25057L102</w:t>
      </w:r>
    </w:p>
    <w:p>
      <w:pPr>
        <w:spacing w:after="0"/>
        <w:rPr>
          <w:sz w:val="20"/>
          <w:szCs w:val="20"/>
          <w:color w:val="auto"/>
        </w:rPr>
      </w:pPr>
      <w:r>
        <w:rPr>
          <w:rFonts w:ascii="Courier New" w:cs="Courier New" w:eastAsia="Courier New" w:hAnsi="Courier New"/>
          <w:sz w:val="18"/>
          <w:szCs w:val="18"/>
          <w:color w:val="auto"/>
        </w:rPr>
        <w:t>AMENDMENT</w:t>
      </w:r>
    </w:p>
    <w:p>
      <w:pPr>
        <w:spacing w:after="0" w:line="200"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2 of 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25057L102</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REPORTING PERSONS</w:t>
            </w:r>
          </w:p>
        </w:tc>
        <w:tc>
          <w:tcPr>
            <w:tcW w:w="35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Dimensional Fund Advisors Inc. (Tax ID: 22-2370029)</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CITIZENSHIP</w:t>
            </w:r>
          </w:p>
        </w:tc>
        <w:tc>
          <w:tcPr>
            <w:tcW w:w="35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Delaware Corporation</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SOLE VOTING POWER</w:t>
            </w:r>
          </w:p>
        </w:tc>
        <w:tc>
          <w:tcPr>
            <w:tcW w:w="35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838,400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VOTING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None</w:t>
            </w:r>
          </w:p>
        </w:tc>
        <w:tc>
          <w:tcPr>
            <w:tcW w:w="35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SOLE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838,400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c>
          <w:tcPr>
            <w:tcW w:w="35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AGGREGATE AMOUNT BENEFICIALLY OWNED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838,400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11:</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PERCENT OF CLASS REPRESENTED BY LINE 9 --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5.28</w:t>
            </w:r>
          </w:p>
        </w:tc>
        <w:tc>
          <w:tcPr>
            <w:tcW w:w="3520" w:type="dxa"/>
            <w:vAlign w:val="bottom"/>
          </w:tcPr>
          <w:p>
            <w:pPr>
              <w:spacing w:after="0"/>
              <w:rPr>
                <w:sz w:val="17"/>
                <w:szCs w:val="17"/>
                <w:color w:val="auto"/>
              </w:rPr>
            </w:pP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12:</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TYPE OF REPORTING PERSON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IA</w:t>
            </w:r>
          </w:p>
        </w:tc>
        <w:tc>
          <w:tcPr>
            <w:tcW w:w="3520" w:type="dxa"/>
            <w:vAlign w:val="bottom"/>
          </w:tcPr>
          <w:p>
            <w:pPr>
              <w:spacing w:after="0"/>
              <w:rPr>
                <w:sz w:val="17"/>
                <w:szCs w:val="17"/>
                <w:color w:val="auto"/>
              </w:rPr>
            </w:pPr>
          </w:p>
        </w:tc>
      </w:tr>
    </w:tbl>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4</w:t>
      </w: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66 B Street</w:t>
      </w:r>
    </w:p>
    <w:p>
      <w:pPr>
        <w:ind w:left="1280"/>
        <w:spacing w:after="0" w:line="238" w:lineRule="auto"/>
        <w:tabs>
          <w:tab w:leader="none" w:pos="2200" w:val="left"/>
          <w:tab w:leader="none" w:pos="2720" w:val="left"/>
        </w:tabs>
        <w:rPr>
          <w:sz w:val="20"/>
          <w:szCs w:val="20"/>
          <w:color w:val="auto"/>
        </w:rPr>
      </w:pPr>
      <w:r>
        <w:rPr>
          <w:rFonts w:ascii="Courier New" w:cs="Courier New" w:eastAsia="Courier New" w:hAnsi="Courier New"/>
          <w:sz w:val="18"/>
          <w:szCs w:val="18"/>
          <w:color w:val="auto"/>
        </w:rPr>
        <w:t>Needham</w:t>
        <w:tab/>
        <w:t>MA</w:t>
        <w:tab/>
        <w:t>02194</w:t>
      </w:r>
    </w:p>
    <w:p>
      <w:pPr>
        <w:spacing w:after="0" w:line="200" w:lineRule="exact"/>
        <w:rPr>
          <w:sz w:val="24"/>
          <w:szCs w:val="24"/>
          <w:color w:val="auto"/>
        </w:rPr>
      </w:pPr>
    </w:p>
    <w:p>
      <w:pPr>
        <w:spacing w:after="0" w:line="20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jc w:val="center"/>
        <w:ind w:right="5039"/>
        <w:spacing w:after="0"/>
        <w:rPr>
          <w:sz w:val="20"/>
          <w:szCs w:val="20"/>
          <w:color w:val="auto"/>
        </w:rPr>
      </w:pPr>
      <w:r>
        <w:rPr>
          <w:rFonts w:ascii="Courier New" w:cs="Courier New" w:eastAsia="Courier New" w:hAnsi="Courier New"/>
          <w:sz w:val="18"/>
          <w:szCs w:val="18"/>
          <w:color w:val="auto"/>
        </w:rPr>
        <w:t>Dimensional Fund Advisors</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4"/>
          <w:szCs w:val="24"/>
          <w:color w:val="auto"/>
        </w:rPr>
      </w:pPr>
    </w:p>
    <w:p>
      <w:pPr>
        <w:ind w:left="1280"/>
        <w:spacing w:after="0"/>
        <w:tabs>
          <w:tab w:leader="none" w:pos="6420" w:val="left"/>
        </w:tabs>
        <w:rPr>
          <w:sz w:val="20"/>
          <w:szCs w:val="20"/>
          <w:color w:val="auto"/>
        </w:rPr>
      </w:pPr>
      <w:r>
        <w:rPr>
          <w:rFonts w:ascii="Courier New" w:cs="Courier New" w:eastAsia="Courier New" w:hAnsi="Courier New"/>
          <w:sz w:val="18"/>
          <w:szCs w:val="18"/>
          <w:color w:val="auto"/>
        </w:rPr>
        <w:t>1299 Ocean Avenue, 11th Floor, Santa Monica, CA</w:t>
      </w:r>
      <w:r>
        <w:rPr>
          <w:sz w:val="20"/>
          <w:szCs w:val="20"/>
          <w:color w:val="auto"/>
        </w:rPr>
        <w:tab/>
      </w:r>
      <w:r>
        <w:rPr>
          <w:rFonts w:ascii="Courier New" w:cs="Courier New" w:eastAsia="Courier New" w:hAnsi="Courier New"/>
          <w:sz w:val="16"/>
          <w:szCs w:val="16"/>
          <w:color w:val="auto"/>
        </w:rPr>
        <w:t>90401</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 Delaware Corporation</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25057L102</w:t>
      </w:r>
    </w:p>
    <w:p>
      <w:pPr>
        <w:spacing w:after="0" w:line="207" w:lineRule="exact"/>
        <w:rPr>
          <w:sz w:val="24"/>
          <w:szCs w:val="24"/>
          <w:color w:val="auto"/>
        </w:rPr>
      </w:pPr>
    </w:p>
    <w:p>
      <w:pPr>
        <w:ind w:left="1280" w:right="303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statement is filed pursuant to Rule 13d-1 (b), or 13d-2 (b) and the person filing is an investment advisor registered under section 203 of the Investment Advisors Act of 1940.</w:t>
      </w:r>
    </w:p>
    <w:p>
      <w:pPr>
        <w:sectPr>
          <w:pgSz w:w="11900" w:h="16838" w:orient="portrait"/>
          <w:cols w:equalWidth="0" w:num="1">
            <w:col w:w="10219"/>
          </w:cols>
          <w:pgMar w:left="240" w:top="447" w:right="1440" w:bottom="0" w:gutter="0" w:footer="0" w:header="0"/>
        </w:sectPr>
      </w:pPr>
    </w:p>
    <w:bookmarkStart w:id="1" w:name="page2"/>
    <w:bookmarkEnd w:id="1"/>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4 of 4</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tabs>
          <w:tab w:leader="none" w:pos="1260" w:val="left"/>
        </w:tabs>
        <w:rPr>
          <w:sz w:val="20"/>
          <w:szCs w:val="20"/>
          <w:color w:val="auto"/>
        </w:rPr>
      </w:pPr>
      <w:r>
        <w:rPr>
          <w:rFonts w:ascii="Courier New" w:cs="Courier New" w:eastAsia="Courier New" w:hAnsi="Courier New"/>
          <w:sz w:val="18"/>
          <w:szCs w:val="18"/>
          <w:color w:val="auto"/>
        </w:rPr>
        <w:t>ITEM 4(a).</w:t>
      </w:r>
      <w:r>
        <w:rPr>
          <w:sz w:val="20"/>
          <w:szCs w:val="20"/>
          <w:color w:val="auto"/>
        </w:rPr>
        <w:tab/>
      </w:r>
      <w:r>
        <w:rPr>
          <w:rFonts w:ascii="Courier New" w:cs="Courier New" w:eastAsia="Courier New" w:hAnsi="Courier New"/>
          <w:sz w:val="16"/>
          <w:szCs w:val="16"/>
          <w:color w:val="auto"/>
        </w:rPr>
        <w:t>AMOUNT BENEFICIALLY OWNED</w:t>
      </w:r>
    </w:p>
    <w:p>
      <w:pPr>
        <w:ind w:left="1480"/>
        <w:spacing w:after="0"/>
        <w:tabs>
          <w:tab w:leader="none" w:pos="3460" w:val="left"/>
        </w:tabs>
        <w:rPr>
          <w:sz w:val="20"/>
          <w:szCs w:val="20"/>
          <w:color w:val="auto"/>
        </w:rPr>
      </w:pPr>
      <w:r>
        <w:rPr>
          <w:rFonts w:ascii="Courier New" w:cs="Courier New" w:eastAsia="Courier New" w:hAnsi="Courier New"/>
          <w:sz w:val="18"/>
          <w:szCs w:val="18"/>
          <w:color w:val="auto"/>
        </w:rPr>
        <w:t>838,400</w:t>
      </w:r>
      <w:r>
        <w:rPr>
          <w:sz w:val="20"/>
          <w:szCs w:val="20"/>
          <w:color w:val="auto"/>
        </w:rPr>
        <w:tab/>
      </w:r>
      <w:r>
        <w:rPr>
          <w:rFonts w:ascii="Courier New" w:cs="Courier New" w:eastAsia="Courier New" w:hAnsi="Courier New"/>
          <w:sz w:val="18"/>
          <w:szCs w:val="18"/>
          <w:color w:val="auto"/>
        </w:rPr>
        <w:t>** see Note 1 **</w:t>
      </w:r>
    </w:p>
    <w:p>
      <w:pPr>
        <w:spacing w:after="0"/>
        <w:tabs>
          <w:tab w:leader="none" w:pos="1260" w:val="left"/>
        </w:tabs>
        <w:rPr>
          <w:sz w:val="20"/>
          <w:szCs w:val="20"/>
          <w:color w:val="auto"/>
        </w:rPr>
      </w:pPr>
      <w:r>
        <w:rPr>
          <w:rFonts w:ascii="Courier New" w:cs="Courier New" w:eastAsia="Courier New" w:hAnsi="Courier New"/>
          <w:sz w:val="18"/>
          <w:szCs w:val="18"/>
          <w:color w:val="auto"/>
        </w:rPr>
        <w:t>ITEM 4(b).</w:t>
      </w:r>
      <w:r>
        <w:rPr>
          <w:sz w:val="20"/>
          <w:szCs w:val="20"/>
          <w:color w:val="auto"/>
        </w:rPr>
        <w:tab/>
      </w:r>
      <w:r>
        <w:rPr>
          <w:rFonts w:ascii="Courier New" w:cs="Courier New" w:eastAsia="Courier New" w:hAnsi="Courier New"/>
          <w:sz w:val="16"/>
          <w:szCs w:val="16"/>
          <w:color w:val="auto"/>
        </w:rPr>
        <w:t>PERCENT OF CLASS</w:t>
      </w:r>
    </w:p>
    <w:p>
      <w:pPr>
        <w:ind w:left="1380"/>
        <w:spacing w:after="0" w:line="238" w:lineRule="auto"/>
        <w:rPr>
          <w:sz w:val="20"/>
          <w:szCs w:val="20"/>
          <w:color w:val="auto"/>
        </w:rPr>
      </w:pPr>
      <w:r>
        <w:rPr>
          <w:rFonts w:ascii="Courier New" w:cs="Courier New" w:eastAsia="Courier New" w:hAnsi="Courier New"/>
          <w:sz w:val="18"/>
          <w:szCs w:val="18"/>
          <w:color w:val="auto"/>
        </w:rPr>
        <w:t>5.28</w:t>
      </w:r>
    </w:p>
    <w:p>
      <w:pPr>
        <w:spacing w:after="0"/>
        <w:tabs>
          <w:tab w:leader="none" w:pos="1260" w:val="left"/>
        </w:tabs>
        <w:rPr>
          <w:sz w:val="20"/>
          <w:szCs w:val="20"/>
          <w:color w:val="auto"/>
        </w:rPr>
      </w:pPr>
      <w:r>
        <w:rPr>
          <w:rFonts w:ascii="Courier New" w:cs="Courier New" w:eastAsia="Courier New" w:hAnsi="Courier New"/>
          <w:sz w:val="18"/>
          <w:szCs w:val="18"/>
          <w:color w:val="auto"/>
        </w:rPr>
        <w:t>ITEM 4(c).</w:t>
      </w:r>
      <w:r>
        <w:rPr>
          <w:sz w:val="20"/>
          <w:szCs w:val="20"/>
          <w:color w:val="auto"/>
        </w:rPr>
        <w:tab/>
      </w:r>
      <w:r>
        <w:rPr>
          <w:rFonts w:ascii="Courier New" w:cs="Courier New" w:eastAsia="Courier New" w:hAnsi="Courier New"/>
          <w:sz w:val="16"/>
          <w:szCs w:val="16"/>
          <w:color w:val="auto"/>
        </w:rPr>
        <w:t>NUMBER OF SHARE AS TO WHICH SUCH PERSON HAS:</w:t>
      </w: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DIRECT THE VOTE --</w:t>
      </w:r>
    </w:p>
    <w:p>
      <w:pPr>
        <w:ind w:left="1480"/>
        <w:spacing w:after="0"/>
        <w:tabs>
          <w:tab w:leader="none" w:pos="3460" w:val="left"/>
        </w:tabs>
        <w:rPr>
          <w:sz w:val="20"/>
          <w:szCs w:val="20"/>
          <w:color w:val="auto"/>
        </w:rPr>
      </w:pPr>
      <w:r>
        <w:rPr>
          <w:rFonts w:ascii="Courier New" w:cs="Courier New" w:eastAsia="Courier New" w:hAnsi="Courier New"/>
          <w:sz w:val="18"/>
          <w:szCs w:val="18"/>
          <w:color w:val="auto"/>
        </w:rPr>
        <w:t>838,400</w:t>
      </w:r>
      <w:r>
        <w:rPr>
          <w:sz w:val="20"/>
          <w:szCs w:val="20"/>
          <w:color w:val="auto"/>
        </w:rPr>
        <w:tab/>
      </w:r>
      <w:r>
        <w:rPr>
          <w:rFonts w:ascii="Courier New" w:cs="Courier New" w:eastAsia="Courier New" w:hAnsi="Courier New"/>
          <w:sz w:val="18"/>
          <w:szCs w:val="18"/>
          <w:color w:val="auto"/>
        </w:rPr>
        <w:t>** see Note 1 **</w:t>
      </w: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w:t>
      </w:r>
    </w:p>
    <w:p>
      <w:pPr>
        <w:ind w:left="1280"/>
        <w:spacing w:after="0"/>
        <w:rPr>
          <w:sz w:val="20"/>
          <w:szCs w:val="20"/>
          <w:color w:val="auto"/>
        </w:rPr>
      </w:pPr>
      <w:r>
        <w:rPr>
          <w:rFonts w:ascii="Courier New" w:cs="Courier New" w:eastAsia="Courier New" w:hAnsi="Courier New"/>
          <w:sz w:val="18"/>
          <w:szCs w:val="18"/>
          <w:color w:val="auto"/>
        </w:rPr>
        <w:t>None</w:t>
      </w:r>
    </w:p>
    <w:p>
      <w:pPr>
        <w:ind w:left="420"/>
        <w:spacing w:after="0"/>
        <w:tabs>
          <w:tab w:leader="none" w:pos="1260" w:val="left"/>
        </w:tabs>
        <w:rPr>
          <w:sz w:val="20"/>
          <w:szCs w:val="20"/>
          <w:color w:val="auto"/>
        </w:rPr>
      </w:pPr>
      <w:r>
        <w:rPr>
          <w:rFonts w:ascii="Courier New" w:cs="Courier New" w:eastAsia="Courier New" w:hAnsi="Courier New"/>
          <w:sz w:val="18"/>
          <w:szCs w:val="18"/>
          <w:color w:val="auto"/>
        </w:rPr>
        <w:t>(iii).</w:t>
      </w:r>
      <w:r>
        <w:rPr>
          <w:sz w:val="20"/>
          <w:szCs w:val="20"/>
          <w:color w:val="auto"/>
        </w:rPr>
        <w:tab/>
      </w:r>
      <w:r>
        <w:rPr>
          <w:rFonts w:ascii="Courier New" w:cs="Courier New" w:eastAsia="Courier New" w:hAnsi="Courier New"/>
          <w:sz w:val="16"/>
          <w:szCs w:val="16"/>
          <w:color w:val="auto"/>
        </w:rPr>
        <w:t>SOLE POWER TO DISPOSE OR TO DIRECT DISPOSITION OF --</w:t>
      </w:r>
    </w:p>
    <w:p>
      <w:pPr>
        <w:ind w:left="1480"/>
        <w:spacing w:after="0" w:line="238" w:lineRule="auto"/>
        <w:tabs>
          <w:tab w:leader="none" w:pos="3460" w:val="left"/>
        </w:tabs>
        <w:rPr>
          <w:sz w:val="20"/>
          <w:szCs w:val="20"/>
          <w:color w:val="auto"/>
        </w:rPr>
      </w:pPr>
      <w:r>
        <w:rPr>
          <w:rFonts w:ascii="Courier New" w:cs="Courier New" w:eastAsia="Courier New" w:hAnsi="Courier New"/>
          <w:sz w:val="18"/>
          <w:szCs w:val="18"/>
          <w:color w:val="auto"/>
        </w:rPr>
        <w:t>838,400</w:t>
      </w:r>
      <w:r>
        <w:rPr>
          <w:sz w:val="20"/>
          <w:szCs w:val="20"/>
          <w:color w:val="auto"/>
        </w:rPr>
        <w:tab/>
      </w:r>
      <w:r>
        <w:rPr>
          <w:rFonts w:ascii="Courier New" w:cs="Courier New" w:eastAsia="Courier New" w:hAnsi="Courier New"/>
          <w:sz w:val="18"/>
          <w:szCs w:val="18"/>
          <w:color w:val="auto"/>
        </w:rPr>
        <w:t>** see Note 1 **</w:t>
      </w: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SHARE POWER TO DISPOSE OR TO DIRECT DISPOSISTION OF --</w:t>
      </w:r>
    </w:p>
    <w:p>
      <w:pPr>
        <w:ind w:left="1280"/>
        <w:spacing w:after="0" w:line="237"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 Note 1 **</w:t>
      </w:r>
    </w:p>
    <w:p>
      <w:pPr>
        <w:ind w:left="420"/>
        <w:spacing w:after="0" w:line="238" w:lineRule="auto"/>
        <w:rPr>
          <w:sz w:val="20"/>
          <w:szCs w:val="20"/>
          <w:color w:val="auto"/>
        </w:rPr>
      </w:pPr>
      <w:r>
        <w:rPr>
          <w:rFonts w:ascii="Courier New" w:cs="Courier New" w:eastAsia="Courier New" w:hAnsi="Courier New"/>
          <w:sz w:val="18"/>
          <w:szCs w:val="18"/>
          <w:color w:val="auto"/>
        </w:rPr>
        <w:t>Dimensional Fund Advisors Inc. ("Dimensional"), an investment</w:t>
      </w:r>
    </w:p>
    <w:p>
      <w:pPr>
        <w:ind w:left="420"/>
        <w:spacing w:after="0"/>
        <w:rPr>
          <w:sz w:val="20"/>
          <w:szCs w:val="20"/>
          <w:color w:val="auto"/>
        </w:rPr>
      </w:pPr>
      <w:r>
        <w:rPr>
          <w:rFonts w:ascii="Courier New" w:cs="Courier New" w:eastAsia="Courier New" w:hAnsi="Courier New"/>
          <w:sz w:val="18"/>
          <w:szCs w:val="18"/>
          <w:color w:val="auto"/>
        </w:rPr>
        <w:t>advisor registered under the Investment Advisors Act of 1940,</w:t>
      </w:r>
    </w:p>
    <w:p>
      <w:pPr>
        <w:ind w:left="420"/>
        <w:spacing w:after="0" w:line="237" w:lineRule="auto"/>
        <w:rPr>
          <w:sz w:val="20"/>
          <w:szCs w:val="20"/>
          <w:color w:val="auto"/>
        </w:rPr>
      </w:pPr>
      <w:r>
        <w:rPr>
          <w:rFonts w:ascii="Courier New" w:cs="Courier New" w:eastAsia="Courier New" w:hAnsi="Courier New"/>
          <w:sz w:val="18"/>
          <w:szCs w:val="18"/>
          <w:color w:val="auto"/>
        </w:rPr>
        <w:t>furnishes investment advice to four investment companies</w:t>
      </w:r>
    </w:p>
    <w:p>
      <w:pPr>
        <w:spacing w:after="0" w:line="5" w:lineRule="exact"/>
        <w:rPr>
          <w:sz w:val="20"/>
          <w:szCs w:val="20"/>
          <w:color w:val="auto"/>
        </w:rPr>
      </w:pPr>
    </w:p>
    <w:p>
      <w:pPr>
        <w:ind w:left="420" w:right="2839"/>
        <w:spacing w:after="0" w:line="271" w:lineRule="auto"/>
        <w:rPr>
          <w:sz w:val="20"/>
          <w:szCs w:val="20"/>
          <w:color w:val="auto"/>
        </w:rPr>
      </w:pPr>
      <w:r>
        <w:rPr>
          <w:rFonts w:ascii="Courier New" w:cs="Courier New" w:eastAsia="Courier New" w:hAnsi="Courier New"/>
          <w:sz w:val="16"/>
          <w:szCs w:val="16"/>
          <w:color w:val="auto"/>
        </w:rPr>
        <w:t>registered under Investment Company Act of 1940, and serves as investment manager to certain other investment vehicles, including commingled group trusts. (These investment companies and investment vehicles are the "Portfolios"). In its role as investment advisor and investment manager, Dimensional possesses both voting and investment power over the securities of the Issuer described in this schedule that are owned by the Portfolios. All securities reported in this schedule are owned by the Portfolios, and Dimensional disclaims beneficial ownership of such securities.</w:t>
      </w:r>
    </w:p>
    <w:p>
      <w:pPr>
        <w:spacing w:after="0" w:line="17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4" w:lineRule="exact"/>
        <w:rPr>
          <w:sz w:val="20"/>
          <w:szCs w:val="20"/>
          <w:color w:val="auto"/>
        </w:rPr>
      </w:pPr>
    </w:p>
    <w:p>
      <w:pPr>
        <w:ind w:left="1280" w:right="30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12/31/98 the reporting person has ceased to be the beneficial owner of more than five percent of the class of securities, check the following: [ ]</w:t>
      </w:r>
    </w:p>
    <w:p>
      <w:pPr>
        <w:spacing w:after="0" w:line="207" w:lineRule="exact"/>
        <w:rPr>
          <w:sz w:val="20"/>
          <w:szCs w:val="20"/>
          <w:color w:val="auto"/>
        </w:rPr>
      </w:pPr>
    </w:p>
    <w:p>
      <w:pPr>
        <w:ind w:left="1280" w:right="389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6" w:lineRule="exact"/>
        <w:rPr>
          <w:sz w:val="20"/>
          <w:szCs w:val="20"/>
          <w:color w:val="auto"/>
        </w:rPr>
      </w:pPr>
    </w:p>
    <w:p>
      <w:pPr>
        <w:ind w:left="1280" w:right="2739"/>
        <w:spacing w:after="0" w:line="273" w:lineRule="auto"/>
        <w:rPr>
          <w:sz w:val="20"/>
          <w:szCs w:val="20"/>
          <w:color w:val="auto"/>
        </w:rPr>
      </w:pPr>
      <w:r>
        <w:rPr>
          <w:rFonts w:ascii="Courier New" w:cs="Courier New" w:eastAsia="Courier New" w:hAnsi="Courier New"/>
          <w:sz w:val="16"/>
          <w:szCs w:val="16"/>
          <w:color w:val="auto"/>
        </w:rPr>
        <w:t>All Securities reported in this schedule are onwed by advisory clients of Dimensional Fund Advisors Inc., no one of which to the knowledge of Dimensional Fund Advisors Inc. owns more than 5% of the class. Dimensional Fund Advisors Inc disclaims beneficial ownership of all such securities.</w:t>
      </w:r>
    </w:p>
    <w:p>
      <w:pPr>
        <w:spacing w:after="0" w:line="185" w:lineRule="exact"/>
        <w:rPr>
          <w:sz w:val="20"/>
          <w:szCs w:val="20"/>
          <w:color w:val="auto"/>
        </w:rPr>
      </w:pPr>
    </w:p>
    <w:p>
      <w:pPr>
        <w:ind w:left="1280" w:right="251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29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28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By signing below I certify that, to the best of my knowledge</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and belief, the securities referred to above were acquired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in the ordinary course of business and were not acquired for</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purpose of and do not have the effect of changing or</w:t>
      </w:r>
    </w:p>
    <w:p>
      <w:pPr>
        <w:ind w:left="1280"/>
        <w:spacing w:after="0" w:line="238" w:lineRule="auto"/>
        <w:rPr>
          <w:sz w:val="20"/>
          <w:szCs w:val="20"/>
          <w:color w:val="auto"/>
        </w:rPr>
      </w:pPr>
      <w:r>
        <w:rPr>
          <w:rFonts w:ascii="Courier New" w:cs="Courier New" w:eastAsia="Courier New" w:hAnsi="Courier New"/>
          <w:sz w:val="18"/>
          <w:szCs w:val="18"/>
          <w:color w:val="auto"/>
        </w:rPr>
        <w:t>influencing the control of the issuer of such securities</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and were not acquired in connection with or as a participant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 any transaction having such purposes or effect.</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are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Friday, February 12, 1999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Michael T. Scardina</w:t>
      </w:r>
    </w:p>
    <w:p>
      <w:pPr>
        <w:ind w:left="320"/>
        <w:spacing w:after="0" w:line="238" w:lineRule="auto"/>
        <w:rPr>
          <w:sz w:val="20"/>
          <w:szCs w:val="20"/>
          <w:color w:val="auto"/>
        </w:rPr>
      </w:pPr>
      <w:r>
        <w:rPr>
          <w:rFonts w:ascii="Courier New" w:cs="Courier New" w:eastAsia="Courier New" w:hAnsi="Courier New"/>
          <w:sz w:val="18"/>
          <w:szCs w:val="18"/>
          <w:color w:val="auto"/>
        </w:rPr>
        <w:t>Vice President and Chief Finacial Officer</w:t>
      </w:r>
    </w:p>
    <w:sectPr>
      <w:pgSz w:w="11900" w:h="16838" w:orient="portrait"/>
      <w:cols w:equalWidth="0" w:num="1">
        <w:col w:w="10219"/>
      </w:cols>
      <w:pgMar w:left="240" w:top="136"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2020-02-22T10:30:28Z</dcterms:created>
  <dcterms:modified xsi:type="dcterms:W3CDTF">2020-02-22T10:30:28Z</dcterms:modified>
</cp:coreProperties>
</file>