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#148711302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7,054,013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7,054,013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14.989%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7,054,013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7,054,013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14.989%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CASUAL MALE RETAIL GROUP</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148711302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7,054,013</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14.989%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7,054,013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CASUAL MALE RETAIL</w:t>
      </w:r>
    </w:p>
    <w:p>
      <w:pPr>
        <w:spacing w:after="0" w:line="6"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GROUP INC. No one person's interest in the Common Stock of CASUAL MALE RETAIL GROUP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09,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7,054,013 shares or 14.989% of the Common Stock outstanding of CASUAL MALE RETAIL GROUP INC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7,054,013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October 09, 2009, agree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consent to the joint filing on their behalf of this Schedule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 in connection with their beneficial ownership of the</w:t>
      </w:r>
    </w:p>
    <w:p>
      <w:pPr>
        <w:spacing w:after="0" w:line="238" w:lineRule="auto"/>
        <w:rPr>
          <w:sz w:val="20"/>
          <w:szCs w:val="20"/>
          <w:color w:val="auto"/>
        </w:rPr>
      </w:pPr>
      <w:r>
        <w:rPr>
          <w:rFonts w:ascii="Courier New" w:cs="Courier New" w:eastAsia="Courier New" w:hAnsi="Courier New"/>
          <w:sz w:val="18"/>
          <w:szCs w:val="18"/>
          <w:color w:val="auto"/>
        </w:rPr>
        <w:t>Common Stock of CASUAL MALE RETAIL GROUP INC at</w:t>
      </w:r>
    </w:p>
    <w:p>
      <w:pPr>
        <w:spacing w:after="0"/>
        <w:rPr>
          <w:sz w:val="20"/>
          <w:szCs w:val="20"/>
          <w:color w:val="auto"/>
        </w:rPr>
      </w:pPr>
      <w:r>
        <w:rPr>
          <w:rFonts w:ascii="Courier New" w:cs="Courier New" w:eastAsia="Courier New" w:hAnsi="Courier New"/>
          <w:sz w:val="18"/>
          <w:szCs w:val="18"/>
          <w:color w:val="auto"/>
        </w:rPr>
        <w:t>September 30, 2009.</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547"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2019-12-10T07:12:55Z</dcterms:created>
  <dcterms:modified xsi:type="dcterms:W3CDTF">2019-12-10T07:12:55Z</dcterms:modified>
</cp:coreProperties>
</file>