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As of April 10,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David A. Levin</w:t>
      </w:r>
    </w:p>
    <w:p>
      <w:pPr>
        <w:spacing w:after="0" w:line="238" w:lineRule="auto"/>
        <w:rPr>
          <w:sz w:val="20"/>
          <w:szCs w:val="20"/>
          <w:color w:val="auto"/>
        </w:rPr>
      </w:pPr>
      <w:r>
        <w:rPr>
          <w:rFonts w:ascii="Courier New" w:cs="Courier New" w:eastAsia="Courier New" w:hAnsi="Courier New"/>
          <w:sz w:val="18"/>
          <w:szCs w:val="18"/>
          <w:color w:val="auto"/>
        </w:rPr>
        <w:t>150 Monadnock Road</w:t>
      </w:r>
    </w:p>
    <w:p>
      <w:pPr>
        <w:spacing w:after="0"/>
        <w:rPr>
          <w:sz w:val="20"/>
          <w:szCs w:val="20"/>
          <w:color w:val="auto"/>
        </w:rPr>
      </w:pPr>
      <w:r>
        <w:rPr>
          <w:rFonts w:ascii="Courier New" w:cs="Courier New" w:eastAsia="Courier New" w:hAnsi="Courier New"/>
          <w:sz w:val="18"/>
          <w:szCs w:val="18"/>
          <w:color w:val="auto"/>
        </w:rPr>
        <w:t>Chestnut Hill, MA 02467</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David:</w:t>
      </w:r>
    </w:p>
    <w:p>
      <w:pPr>
        <w:spacing w:after="0" w:line="207"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will confirm the agreement between you and Designs, Inc. (the "Company") that the initial term of your Employment Agreement with the Company dated as of March 31, 2000 (the "Agreement") shall be extended for a period of three (3) years from April 10, 2001, until April 10, 2004, in lieu of the potential extension until April 10, 2003 originally contemplated by Section 2 of the Agreement.</w:t>
      </w:r>
    </w:p>
    <w:p>
      <w:pPr>
        <w:spacing w:after="0" w:line="210"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Accordingly, you and the Company hereby agree that effective as of April 10, 2001, Section 2 of the Agreement shall be amended to provide in its entirety as follows:</w:t>
      </w:r>
    </w:p>
    <w:p>
      <w:pPr>
        <w:spacing w:after="0" w:line="209" w:lineRule="exact"/>
        <w:rPr>
          <w:sz w:val="24"/>
          <w:szCs w:val="24"/>
          <w:color w:val="auto"/>
        </w:rPr>
      </w:pPr>
    </w:p>
    <w:p>
      <w:pPr>
        <w:ind w:left="540" w:right="2419" w:firstLine="527"/>
        <w:spacing w:after="0" w:line="237" w:lineRule="auto"/>
        <w:rPr>
          <w:sz w:val="20"/>
          <w:szCs w:val="20"/>
          <w:color w:val="auto"/>
        </w:rPr>
      </w:pPr>
      <w:r>
        <w:rPr>
          <w:rFonts w:ascii="Courier New" w:cs="Courier New" w:eastAsia="Courier New" w:hAnsi="Courier New"/>
          <w:sz w:val="18"/>
          <w:szCs w:val="18"/>
          <w:color w:val="auto"/>
        </w:rPr>
        <w:t>The initial term of employment under this Agreement shall begin on April 10, 2000 (the "Employment Date") and shall continue for a period of four (4) years from that date, subject to prior termination in accordance with the terms hereof. Thereafter, this Agreement shall automatically be renewed for successive one-year terms on each anniversary of the Employment Date, commencing on the fourth anniversary of the Employment Date, unless either party shall give the other at least ninety (90) days written notice prior to such anniversary date that it will not renew this Agreement.</w:t>
      </w:r>
    </w:p>
    <w:p>
      <w:pPr>
        <w:spacing w:after="0" w:line="200" w:lineRule="exact"/>
        <w:rPr>
          <w:sz w:val="24"/>
          <w:szCs w:val="24"/>
          <w:color w:val="auto"/>
        </w:rPr>
      </w:pPr>
    </w:p>
    <w:p>
      <w:pPr>
        <w:spacing w:after="0" w:line="21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By /S/ SEYMOUR HOLTZMAN</w:t>
      </w:r>
    </w:p>
    <w:p>
      <w:pPr>
        <w:ind w:left="3800"/>
        <w:spacing w:after="0" w:line="238" w:lineRule="auto"/>
        <w:rPr>
          <w:sz w:val="20"/>
          <w:szCs w:val="20"/>
          <w:color w:val="auto"/>
        </w:rPr>
      </w:pPr>
      <w:r>
        <w:rPr>
          <w:rFonts w:ascii="Courier New" w:cs="Courier New" w:eastAsia="Courier New" w:hAnsi="Courier New"/>
          <w:sz w:val="18"/>
          <w:szCs w:val="18"/>
          <w:color w:val="auto"/>
        </w:rPr>
        <w:t>Seymour Holtzman</w:t>
      </w:r>
    </w:p>
    <w:p>
      <w:pPr>
        <w:ind w:left="3800"/>
        <w:spacing w:after="0"/>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DAVID A. LEVIN</w:t>
      </w:r>
    </w:p>
    <w:p>
      <w:pPr>
        <w:spacing w:after="0" w:line="238" w:lineRule="auto"/>
        <w:rPr>
          <w:sz w:val="20"/>
          <w:szCs w:val="20"/>
          <w:color w:val="auto"/>
        </w:rPr>
      </w:pPr>
      <w:r>
        <w:rPr>
          <w:rFonts w:ascii="Courier New" w:cs="Courier New" w:eastAsia="Courier New" w:hAnsi="Courier New"/>
          <w:sz w:val="18"/>
          <w:szCs w:val="18"/>
          <w:color w:val="auto"/>
        </w:rPr>
        <w:t>David A. Levin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KL2:2096905.1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KL2:2096905.1</w:t>
      </w:r>
    </w:p>
    <w:p>
      <w:pPr>
        <w:sectPr>
          <w:pgSz w:w="11900" w:h="16838" w:orient="portrait"/>
          <w:cols w:equalWidth="0" w:num="1">
            <w:col w:w="10219"/>
          </w:cols>
          <w:pgMar w:left="240" w:top="10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April 25,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Dennis Hernreich</w:t>
      </w:r>
    </w:p>
    <w:p>
      <w:pPr>
        <w:spacing w:after="0" w:line="238" w:lineRule="auto"/>
        <w:rPr>
          <w:sz w:val="20"/>
          <w:szCs w:val="20"/>
          <w:color w:val="auto"/>
        </w:rPr>
      </w:pPr>
      <w:r>
        <w:rPr>
          <w:rFonts w:ascii="Courier New" w:cs="Courier New" w:eastAsia="Courier New" w:hAnsi="Courier New"/>
          <w:sz w:val="18"/>
          <w:szCs w:val="18"/>
          <w:color w:val="auto"/>
        </w:rPr>
        <w:t>428 Foundry Street</w:t>
      </w:r>
    </w:p>
    <w:p>
      <w:pPr>
        <w:spacing w:after="0"/>
        <w:rPr>
          <w:sz w:val="20"/>
          <w:szCs w:val="20"/>
          <w:color w:val="auto"/>
        </w:rPr>
      </w:pPr>
      <w:r>
        <w:rPr>
          <w:rFonts w:ascii="Courier New" w:cs="Courier New" w:eastAsia="Courier New" w:hAnsi="Courier New"/>
          <w:sz w:val="18"/>
          <w:szCs w:val="18"/>
          <w:color w:val="auto"/>
        </w:rPr>
        <w:t>Easton, MA. 02356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Dennis:</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This will confirm the agreement between you and Designs, Inc. (the "Company") that the initial term of your Employment Agreement with the Company dated as of August 14, 2000 (the "Agreement") shall be extend for a period of one year from September 3, 2001, until September 3, 2002, in lieu of the potential extension contemplated by Section 2 of the Agreement.</w:t>
      </w:r>
    </w:p>
    <w:p>
      <w:pPr>
        <w:spacing w:after="0" w:line="210"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Accordingly, you and the Company hereby agree that effective as of April 25, 2001, Section 2 of the Agreement shall be amended to provide in its entirety as follows:</w:t>
      </w:r>
    </w:p>
    <w:p>
      <w:pPr>
        <w:spacing w:after="0" w:line="209" w:lineRule="exact"/>
        <w:rPr>
          <w:sz w:val="20"/>
          <w:szCs w:val="20"/>
          <w:color w:val="auto"/>
        </w:rPr>
      </w:pPr>
    </w:p>
    <w:p>
      <w:pPr>
        <w:ind w:right="3039" w:firstLine="527"/>
        <w:spacing w:after="0" w:line="268" w:lineRule="auto"/>
        <w:rPr>
          <w:sz w:val="20"/>
          <w:szCs w:val="20"/>
          <w:color w:val="auto"/>
        </w:rPr>
      </w:pPr>
      <w:r>
        <w:rPr>
          <w:rFonts w:ascii="Courier New" w:cs="Courier New" w:eastAsia="Courier New" w:hAnsi="Courier New"/>
          <w:sz w:val="16"/>
          <w:szCs w:val="16"/>
          <w:color w:val="auto"/>
        </w:rPr>
        <w:t>The term of employment under this Agreement shall begin on September 4, 2000 (the "Employment Date") and shall continue for a period of two (2) years from that date, subject to prior termination in accordance with the terms hereof. Upon the expiration of the Executive's initial two (2) year term of employment, the Company</w:t>
      </w:r>
    </w:p>
    <w:p>
      <w:pPr>
        <w:spacing w:after="0" w:line="1"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has the option to extend the term of this Agreement for an additional one (1) year, under the terms and conditions set forth herein.</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SEYMOUR HOLTZMAN</w:t>
      </w:r>
    </w:p>
    <w:p>
      <w:pPr>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DENNIS R. HERNREICH</w:t>
      </w:r>
    </w:p>
    <w:p>
      <w:pPr>
        <w:spacing w:after="0" w:line="238" w:lineRule="auto"/>
        <w:rPr>
          <w:sz w:val="20"/>
          <w:szCs w:val="20"/>
          <w:color w:val="auto"/>
        </w:rPr>
      </w:pPr>
      <w:r>
        <w:rPr>
          <w:rFonts w:ascii="Courier New" w:cs="Courier New" w:eastAsia="Courier New" w:hAnsi="Courier New"/>
          <w:sz w:val="18"/>
          <w:szCs w:val="18"/>
          <w:color w:val="auto"/>
        </w:rPr>
        <w:t>Dennis Hernreich</w:t>
      </w:r>
    </w:p>
    <w:p>
      <w:pPr>
        <w:sectPr>
          <w:pgSz w:w="11900" w:h="16838" w:orient="portrait"/>
          <w:cols w:equalWidth="0" w:num="1">
            <w:col w:w="10219"/>
          </w:cols>
          <w:pgMar w:left="240" w:top="7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June 13,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02494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Note 2 of Notes to the Consolidated Financial Statements of Designs, Inc. (the "Company") included in its Quarterly Report on Form 10-Q for the quarter ended May 5, 2001 describes a change in the method of accounting for inventory wherein the Company has changed from the last-in first-out ("LIFO") to the first-in first-out ("FIFO") method of accounting. There are no authoritative criteria for determining a preferable inventory cost-flow method based on the particular circumstances; however, we conclude that such change in the method of accounting is to an acceptable alternative method which, based on your business judgment to make this change for the stated reasons, is preferable in your circumstances. We have not conducted an audit in accordance with generally accepted auditing standards of any financial statements of the Company as of any date or for any period subsequent to February 3, 2001, and therefore we do not express any opinion on any financial statements of Designs, Inc. subsequent to that date.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Ernst &amp; Young LLP</w:t>
      </w:r>
    </w:p>
    <w:p>
      <w:pPr>
        <w:sectPr>
          <w:pgSz w:w="11900" w:h="16838" w:orient="portrait"/>
          <w:cols w:equalWidth="0" w:num="1">
            <w:col w:w="10219"/>
          </w:cols>
          <w:pgMar w:left="240" w:top="54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Ended May 5,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0"/>
          <w:szCs w:val="20"/>
          <w:color w:val="auto"/>
        </w:rPr>
      </w:pPr>
    </w:p>
    <w:p>
      <w:pPr>
        <w:sectPr>
          <w:pgSz w:w="11900" w:h="16838" w:orient="portrait"/>
          <w:cols w:equalWidth="0" w:num="3">
            <w:col w:w="2980" w:space="720"/>
            <w:col w:w="2320" w:space="300"/>
            <w:col w:w="3899"/>
          </w:cols>
          <w:pgMar w:left="240" w:top="136"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0"/>
          <w:szCs w:val="20"/>
          <w:color w:val="auto"/>
        </w:rPr>
      </w:pPr>
    </w:p>
    <w:p>
      <w:pPr>
        <w:sectPr>
          <w:pgSz w:w="11900" w:h="16838" w:orient="portrait"/>
          <w:cols w:equalWidth="0" w:num="2">
            <w:col w:w="3300" w:space="720"/>
            <w:col w:w="61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0"/>
          <w:szCs w:val="20"/>
          <w:color w:val="auto"/>
        </w:rPr>
      </w:pPr>
    </w:p>
    <w:p>
      <w:pPr>
        <w:sectPr>
          <w:pgSz w:w="11900" w:h="16838" w:orient="portrait"/>
          <w:cols w:equalWidth="0" w:num="2">
            <w:col w:w="4560" w:space="720"/>
            <w:col w:w="4939"/>
          </w:cols>
          <w:pgMar w:left="240" w:top="136"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(781) 444-7222</w:t>
      </w:r>
    </w:p>
    <w:p>
      <w:pPr>
        <w:spacing w:after="0" w:line="238" w:lineRule="auto"/>
        <w:rPr>
          <w:sz w:val="20"/>
          <w:szCs w:val="20"/>
          <w:color w:val="auto"/>
        </w:rPr>
      </w:pPr>
      <w:r>
        <w:rPr>
          <w:rFonts w:ascii="Courier New" w:cs="Courier New" w:eastAsia="Courier New" w:hAnsi="Courier New"/>
          <w:sz w:val="18"/>
          <w:szCs w:val="18"/>
          <w:color w:val="auto"/>
        </w:rPr>
        <w:t>(Registrant's telephone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including area code)</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0"/>
          <w:szCs w:val="20"/>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as of June 4, 2001</w:t>
      </w:r>
    </w:p>
    <w:p>
      <w:pPr>
        <w:spacing w:after="0" w:line="216" w:lineRule="exact"/>
        <w:rPr>
          <w:sz w:val="20"/>
          <w:szCs w:val="20"/>
          <w:color w:val="auto"/>
        </w:rPr>
      </w:pPr>
    </w:p>
    <w:p>
      <w:pPr>
        <w:sectPr>
          <w:pgSz w:w="11900" w:h="16838" w:orient="portrait"/>
          <w:cols w:equalWidth="0" w:num="2">
            <w:col w:w="1920" w:space="720"/>
            <w:col w:w="7579"/>
          </w:cols>
          <w:pgMar w:left="24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14,473,486</w:t>
      </w:r>
    </w:p>
    <w:p>
      <w:pPr>
        <w:spacing w:after="0" w:line="200" w:lineRule="exact"/>
        <w:rPr>
          <w:sz w:val="20"/>
          <w:szCs w:val="20"/>
          <w:color w:val="auto"/>
        </w:rPr>
      </w:pPr>
    </w:p>
    <w:p>
      <w:pPr>
        <w:sectPr>
          <w:pgSz w:w="11900" w:h="16838" w:orient="portrait"/>
          <w:cols w:equalWidth="0" w:num="2">
            <w:col w:w="2560" w:space="720"/>
            <w:col w:w="693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640"/>
        <w:spacing w:after="0"/>
        <w:rPr>
          <w:sz w:val="20"/>
          <w:szCs w:val="20"/>
          <w:color w:val="auto"/>
        </w:rPr>
      </w:pPr>
      <w:r>
        <w:rPr>
          <w:rFonts w:ascii="Courier New" w:cs="Courier New" w:eastAsia="Courier New" w:hAnsi="Courier New"/>
          <w:sz w:val="18"/>
          <w:szCs w:val="18"/>
          <w:color w:val="auto"/>
        </w:rPr>
        <w:t>May 5, 2001 and February 3, 2001</w:t>
      </w:r>
    </w:p>
    <w:p>
      <w:pPr>
        <w:ind w:left="2640"/>
        <w:spacing w:after="0" w:line="237" w:lineRule="auto"/>
        <w:rPr>
          <w:sz w:val="20"/>
          <w:szCs w:val="20"/>
          <w:color w:val="auto"/>
        </w:rPr>
      </w:pPr>
      <w:r>
        <w:rPr>
          <w:rFonts w:ascii="Courier New" w:cs="Courier New" w:eastAsia="Courier New" w:hAnsi="Courier New"/>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May 5,</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3,</w:t>
            </w:r>
          </w:p>
        </w:tc>
      </w:tr>
      <w:tr>
        <w:trPr>
          <w:trHeight w:val="203"/>
        </w:trPr>
        <w:tc>
          <w:tcPr>
            <w:tcW w:w="5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3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67,726</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57,675</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refundable and deferred</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765</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2,769</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3,093</w:t>
            </w:r>
          </w:p>
        </w:tc>
      </w:tr>
      <w:tr>
        <w:trPr>
          <w:trHeight w:val="203"/>
        </w:trPr>
        <w:tc>
          <w:tcPr>
            <w:tcW w:w="5020" w:type="dxa"/>
            <w:vAlign w:val="bottom"/>
          </w:tcPr>
          <w:p>
            <w:pPr>
              <w:spacing w:after="0"/>
              <w:rPr>
                <w:sz w:val="17"/>
                <w:szCs w:val="17"/>
                <w:color w:val="auto"/>
              </w:rPr>
            </w:pPr>
          </w:p>
        </w:tc>
        <w:tc>
          <w:tcPr>
            <w:tcW w:w="17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71,379</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61,551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20,387</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18,577</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14,862</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14,347</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7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602</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595</w:t>
            </w:r>
          </w:p>
        </w:tc>
      </w:tr>
    </w:tbl>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$ 107,230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95,070</w:t>
            </w:r>
          </w:p>
        </w:tc>
      </w:tr>
      <w:tr>
        <w:trPr>
          <w:trHeight w:val="203"/>
        </w:trPr>
        <w:tc>
          <w:tcPr>
            <w:tcW w:w="5600" w:type="dxa"/>
            <w:vAlign w:val="bottom"/>
          </w:tcPr>
          <w:p>
            <w:pPr>
              <w:spacing w:after="0"/>
              <w:rPr>
                <w:sz w:val="17"/>
                <w:szCs w:val="17"/>
                <w:color w:val="auto"/>
              </w:rPr>
            </w:pP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  10,986</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6,280</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13,400</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11,392</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2,489</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636</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31,231</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24,345</w:t>
            </w:r>
          </w:p>
        </w:tc>
      </w:tr>
      <w:tr>
        <w:trPr>
          <w:trHeight w:val="203"/>
        </w:trPr>
        <w:tc>
          <w:tcPr>
            <w:tcW w:w="5600" w:type="dxa"/>
            <w:vAlign w:val="bottom"/>
          </w:tcPr>
          <w:p>
            <w:pPr>
              <w:spacing w:after="0"/>
              <w:rPr>
                <w:sz w:val="17"/>
                <w:szCs w:val="17"/>
                <w:color w:val="auto"/>
              </w:rPr>
            </w:pP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58,742</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45,245</w:t>
            </w:r>
          </w:p>
        </w:tc>
      </w:tr>
      <w:tr>
        <w:trPr>
          <w:trHeight w:val="203"/>
        </w:trPr>
        <w:tc>
          <w:tcPr>
            <w:tcW w:w="5600" w:type="dxa"/>
            <w:vAlign w:val="bottom"/>
          </w:tcPr>
          <w:p>
            <w:pPr>
              <w:spacing w:after="0"/>
              <w:rPr>
                <w:sz w:val="17"/>
                <w:szCs w:val="17"/>
                <w:color w:val="auto"/>
              </w:rPr>
            </w:pP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authorized, 17,501,155 and 17,488,000 shares issued</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May 5, 2001 and February 3, 2001, respectively</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55,728</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55,697</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1,209</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2,577</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3,035,000 shares at</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 5, 2001 and February 3, 2001, respectively</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(8,427)</w:t>
            </w:r>
          </w:p>
        </w:tc>
        <w:tc>
          <w:tcPr>
            <w:tcW w:w="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(8,427)</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w:t>
            </w:r>
          </w:p>
        </w:tc>
        <w:tc>
          <w:tcPr>
            <w:tcW w:w="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5600" w:type="dxa"/>
            <w:vAlign w:val="bottom"/>
          </w:tcPr>
          <w:p>
            <w:pPr>
              <w:spacing w:after="0"/>
              <w:rPr>
                <w:sz w:val="17"/>
                <w:szCs w:val="17"/>
                <w:color w:val="auto"/>
              </w:rPr>
            </w:pP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48,488</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49,825</w:t>
            </w:r>
          </w:p>
        </w:tc>
      </w:tr>
      <w:tr>
        <w:trPr>
          <w:trHeight w:val="203"/>
        </w:trPr>
        <w:tc>
          <w:tcPr>
            <w:tcW w:w="5600" w:type="dxa"/>
            <w:vAlign w:val="bottom"/>
          </w:tcPr>
          <w:p>
            <w:pPr>
              <w:spacing w:after="0"/>
              <w:rPr>
                <w:sz w:val="17"/>
                <w:szCs w:val="17"/>
                <w:color w:val="auto"/>
              </w:rPr>
            </w:pP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$ 107,230</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$ 95,070</w:t>
            </w:r>
          </w:p>
        </w:tc>
      </w:tr>
      <w:tr>
        <w:trPr>
          <w:trHeight w:val="203"/>
        </w:trPr>
        <w:tc>
          <w:tcPr>
            <w:tcW w:w="5600" w:type="dxa"/>
            <w:vAlign w:val="bottom"/>
          </w:tcPr>
          <w:p>
            <w:pPr>
              <w:spacing w:after="0"/>
              <w:rPr>
                <w:sz w:val="17"/>
                <w:szCs w:val="17"/>
                <w:color w:val="auto"/>
              </w:rPr>
            </w:pP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740" w:type="dxa"/>
            <w:vAlign w:val="bottom"/>
            <w:gridSpan w:val="2"/>
          </w:tcPr>
          <w:p>
            <w:pPr>
              <w:spacing w:after="0"/>
              <w:rPr>
                <w:sz w:val="20"/>
                <w:szCs w:val="20"/>
                <w:color w:val="auto"/>
              </w:rPr>
            </w:pPr>
            <w:r>
              <w:rPr>
                <w:rFonts w:ascii="Courier New" w:cs="Courier New" w:eastAsia="Courier New" w:hAnsi="Courier New"/>
                <w:sz w:val="18"/>
                <w:szCs w:val="18"/>
                <w:color w:val="auto"/>
                <w:w w:val="97"/>
              </w:rPr>
              <w:t>The accompanying notes are an intergral part of the consolidated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600" w:type="dxa"/>
            <w:vAlign w:val="bottom"/>
          </w:tcPr>
          <w:p>
            <w:pPr>
              <w:spacing w:after="0"/>
              <w:rPr>
                <w:sz w:val="24"/>
                <w:szCs w:val="24"/>
                <w:color w:val="auto"/>
              </w:rPr>
            </w:pPr>
          </w:p>
        </w:tc>
        <w:tc>
          <w:tcPr>
            <w:tcW w:w="24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5,</w:t>
            </w:r>
          </w:p>
        </w:tc>
        <w:tc>
          <w:tcPr>
            <w:tcW w:w="1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April 29,</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2001</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140" w:type="dxa"/>
            <w:vAlign w:val="bottom"/>
          </w:tcPr>
          <w:p>
            <w:pPr>
              <w:spacing w:after="0"/>
              <w:rPr>
                <w:sz w:val="20"/>
                <w:szCs w:val="20"/>
                <w:color w:val="auto"/>
              </w:rPr>
            </w:pPr>
            <w:r>
              <w:rPr>
                <w:rFonts w:ascii="Courier New" w:cs="Courier New" w:eastAsia="Courier New" w:hAnsi="Courier New"/>
                <w:sz w:val="18"/>
                <w:szCs w:val="18"/>
                <w:color w:val="auto"/>
              </w:rPr>
              <w:t>$39,395</w:t>
            </w:r>
          </w:p>
        </w:tc>
        <w:tc>
          <w:tcPr>
            <w:tcW w:w="12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$39,379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29,990</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28,727</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9,405</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10,652</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9,706</w:t>
            </w:r>
          </w:p>
        </w:tc>
        <w:tc>
          <w:tcPr>
            <w:tcW w:w="3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9,745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1,396</w:t>
            </w:r>
          </w:p>
        </w:tc>
        <w:tc>
          <w:tcPr>
            <w:tcW w:w="3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1,269</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11,102</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11,014</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(1,697)</w:t>
            </w:r>
          </w:p>
        </w:tc>
        <w:tc>
          <w:tcPr>
            <w:tcW w:w="3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546</w:t>
            </w:r>
          </w:p>
        </w:tc>
        <w:tc>
          <w:tcPr>
            <w:tcW w:w="3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before income taxes</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(2,243)</w:t>
            </w:r>
          </w:p>
        </w:tc>
        <w:tc>
          <w:tcPr>
            <w:tcW w:w="3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(777)</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from income taxes</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(875)</w:t>
            </w:r>
          </w:p>
        </w:tc>
        <w:tc>
          <w:tcPr>
            <w:tcW w:w="3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$(1,368)</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560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Loss per share- Basic and Diluted</w:t>
            </w:r>
          </w:p>
        </w:tc>
        <w:tc>
          <w:tcPr>
            <w:tcW w:w="1140" w:type="dxa"/>
            <w:vAlign w:val="bottom"/>
          </w:tcPr>
          <w:p>
            <w:pPr>
              <w:spacing w:after="0"/>
              <w:rPr>
                <w:sz w:val="20"/>
                <w:szCs w:val="20"/>
                <w:color w:val="auto"/>
              </w:rPr>
            </w:pPr>
            <w:r>
              <w:rPr>
                <w:rFonts w:ascii="Courier New" w:cs="Courier New" w:eastAsia="Courier New" w:hAnsi="Courier New"/>
                <w:sz w:val="18"/>
                <w:szCs w:val="18"/>
                <w:color w:val="auto"/>
              </w:rPr>
              <w:t>$ (0.09)</w:t>
            </w:r>
          </w:p>
        </w:tc>
        <w:tc>
          <w:tcPr>
            <w:tcW w:w="12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(0.03)</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14,459</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16,441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intergral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740" w:gutter="0" w:footer="0" w:header="0"/>
        </w:sectPr>
      </w:pPr>
    </w:p>
    <w:bookmarkStart w:id="5" w:name="page6"/>
    <w:bookmarkEnd w:id="5"/>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120" w:type="dxa"/>
            <w:vAlign w:val="bottom"/>
            <w:gridSpan w:val="3"/>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2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May 5,</w:t>
            </w: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April 29,</w:t>
            </w: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2001</w:t>
            </w:r>
          </w:p>
        </w:tc>
        <w:tc>
          <w:tcPr>
            <w:tcW w:w="4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(1,368)</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(used for) provided by operating activities: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1,396</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1,269</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to Board of Directors</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disposal of fixed assets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(10,051)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4,706</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2,008</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provided by operating activities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(3,713)</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6,326</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(3,181)</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terminated trust</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provided by investing activities</w:t>
            </w:r>
          </w:p>
        </w:tc>
        <w:tc>
          <w:tcPr>
            <w:tcW w:w="3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(repayments) under credit facility</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6,886</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(7,202)</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provided by financing activities</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6,887</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(7,202)</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3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right="2519" w:hanging="2106"/>
        <w:spacing w:after="0" w:line="235" w:lineRule="auto"/>
        <w:rPr>
          <w:sz w:val="20"/>
          <w:szCs w:val="20"/>
          <w:color w:val="auto"/>
        </w:rPr>
      </w:pPr>
      <w:r>
        <w:rPr>
          <w:rFonts w:ascii="Courier New" w:cs="Courier New" w:eastAsia="Courier New" w:hAnsi="Courier New"/>
          <w:sz w:val="18"/>
          <w:szCs w:val="18"/>
          <w:color w:val="auto"/>
        </w:rPr>
        <w:t>The accompanying notes are an intergral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0" w:lineRule="exact"/>
        <w:rPr>
          <w:sz w:val="20"/>
          <w:szCs w:val="20"/>
          <w:color w:val="auto"/>
        </w:rPr>
      </w:pP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February 3, 2001 (filed on Form 10-K, as amended, with the Securities and Exchange Commission). The information set forth in these statements may be subject to normal year-end adjustments. The information reflects all</w:t>
      </w:r>
    </w:p>
    <w:p>
      <w:pPr>
        <w:sectPr>
          <w:pgSz w:w="11900" w:h="16838" w:orient="portrait"/>
          <w:cols w:equalWidth="0" w:num="1">
            <w:col w:w="10219"/>
          </w:cols>
          <w:pgMar w:left="240" w:top="1440" w:right="1440" w:bottom="0" w:gutter="0" w:footer="0" w:header="0"/>
        </w:sectPr>
      </w:pPr>
    </w:p>
    <w:bookmarkStart w:id="6" w:name="page7"/>
    <w:bookmarkEnd w:id="6"/>
    <w:p>
      <w:pPr>
        <w:ind w:right="2199"/>
        <w:spacing w:after="0" w:line="237" w:lineRule="auto"/>
        <w:rPr>
          <w:sz w:val="20"/>
          <w:szCs w:val="20"/>
          <w:color w:val="auto"/>
        </w:rPr>
      </w:pPr>
      <w:r>
        <w:rPr>
          <w:rFonts w:ascii="Courier New" w:cs="Courier New" w:eastAsia="Courier New" w:hAnsi="Courier New"/>
          <w:sz w:val="18"/>
          <w:szCs w:val="18"/>
          <w:color w:val="auto"/>
        </w:rPr>
        <w:t>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10"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Accounting for Inventories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first quarter of fiscal 2002, the Company changed its method of determining the cost of inventories from the last-in, first-out (LIFO) method to the first-in, first-out (FIFO) method. Management believes that the FIFO method better measures the current value of such inventories and provides a more appropriate matching of revenues and expenses. In the current low-inflationary environment, management believes that the use of the FIFO method more accurately reflects the Company's financial position.</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Since the cost of merchandise inventories at May 5, 2001, using the FIFO method, was the same value as under the LIFO method, there was no effect on earnings for the three months ended May 5, 2001. The effect of this change was immaterial to the financial results of the prior reporting periods of the Company and therefore did not require retroactive restatement of results for those prior periods.</w:t>
      </w:r>
    </w:p>
    <w:p>
      <w:pPr>
        <w:spacing w:after="0" w:line="204"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first quarter of fiscal 2002, the Company entered into a</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settlement agreement with Atlantic Harbor, Inc. whereby Atlantice Harbor, Inc. agreed to accept from the Company a cash payment of $450,000 in settlement of all obligations outstanding under the Purchase Note. In exchange, the Company agreed to transfer and assign all trademarks and license agreements acquired as part of the Asset Purchase Agreement to a new entity in which the Company would have a 15% equity interest, with Atlantic Harbor, Inc and its affiliates retaining the remaining equity interest. In addition, the Company would also be entitled to receive up to an additional $150,000 from existing license royalties over the next four years. At February 3, 2001, the Company recorded a gain on settlement of this dispute in the amount of $550,000,which was included in "Provision for impairment of assets, store closing and severance" on the Consolidated Statements of Operations for fiscal 2001.</w:t>
      </w:r>
    </w:p>
    <w:p>
      <w:pPr>
        <w:spacing w:after="0" w:line="201"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On December 7, 2000, the Company amended and restated its credit facility with Fleet Retail Finance Inc. (the "Amended Credit Agreement"). The Amended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from 60% of the Company's eligible inventory, provided the Company the ability to enter into further stock buyback programs and reduced the total commitment from $50 million to $45 million. Under the Amended Credit Facility, the Company is also able to issue documentary and standby letters of credit up to $10 million. The Company's obligations under the Amended Credit Agreement continue to be secured by a lien on all of its assets. The Company is subject to a prepayment penalty for the first two years of the extended facility. The Amended Credit Agreement continues to include certain covenants and events of default customary for credit facilities of this nature, including change of control provisions and limitations on payment of dividends by the Company.</w:t>
      </w:r>
    </w:p>
    <w:p>
      <w:pPr>
        <w:spacing w:after="0" w:line="200" w:lineRule="exact"/>
        <w:rPr>
          <w:sz w:val="20"/>
          <w:szCs w:val="20"/>
          <w:color w:val="auto"/>
        </w:rPr>
      </w:pPr>
    </w:p>
    <w:p>
      <w:pPr>
        <w:spacing w:after="0" w:line="39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At May 5, 2001, the Company had borrowings of approximately $30.8 million outstanding under this credit facility and had three outstanding standby letters of credit totaling approximately $2.5 million. Average borrowings outstanding under this credit facility during the first quarter of fiscal 2002 were approximately $27.7 million. The Company had average unused excess availability under this credit facility of approximately $9.2 million during the first quarter of fiscal 2002. The unused availability under this credit facility was $8.7 million at May 5, 2001. The Company was in compliance with all debt covenants under the Amended Credit Agreement at May 5,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w:t>
      </w:r>
    </w:p>
    <w:p>
      <w:pPr>
        <w:sectPr>
          <w:pgSz w:w="11900" w:h="16838" w:orient="portrait"/>
          <w:cols w:equalWidth="0" w:num="1">
            <w:col w:w="10219"/>
          </w:cols>
          <w:pgMar w:left="240" w:top="142" w:right="1440" w:bottom="0" w:gutter="0" w:footer="0" w:header="0"/>
        </w:sectPr>
      </w:pPr>
    </w:p>
    <w:bookmarkStart w:id="7" w:name="page8"/>
    <w:bookmarkEnd w:id="7"/>
    <w:p>
      <w:pPr>
        <w:ind w:right="2199"/>
        <w:spacing w:after="0" w:line="237" w:lineRule="auto"/>
        <w:rPr>
          <w:sz w:val="20"/>
          <w:szCs w:val="20"/>
          <w:color w:val="auto"/>
        </w:rPr>
      </w:pPr>
      <w:r>
        <w:rPr>
          <w:rFonts w:ascii="Courier New" w:cs="Courier New" w:eastAsia="Courier New" w:hAnsi="Courier New"/>
          <w:sz w:val="18"/>
          <w:szCs w:val="18"/>
          <w:color w:val="auto"/>
        </w:rPr>
        <w:t>average number of shares of common stock outstanding during the year.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203"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For the</w:t>
      </w:r>
    </w:p>
    <w:p>
      <w:pPr>
        <w:ind w:left="5480"/>
        <w:spacing w:after="0" w:line="238" w:lineRule="auto"/>
        <w:rPr>
          <w:sz w:val="20"/>
          <w:szCs w:val="20"/>
          <w:color w:val="auto"/>
        </w:rPr>
      </w:pPr>
      <w:r>
        <w:rPr>
          <w:rFonts w:ascii="Courier New" w:cs="Courier New" w:eastAsia="Courier New" w:hAnsi="Courier New"/>
          <w:sz w:val="18"/>
          <w:szCs w:val="18"/>
          <w:color w:val="auto"/>
        </w:rPr>
        <w:t>three months ended</w:t>
      </w:r>
    </w:p>
    <w:p>
      <w:pPr>
        <w:ind w:left="5280"/>
        <w:spacing w:after="0"/>
        <w:tabs>
          <w:tab w:leader="none" w:pos="6620" w:val="left"/>
        </w:tabs>
        <w:rPr>
          <w:sz w:val="20"/>
          <w:szCs w:val="20"/>
          <w:color w:val="auto"/>
        </w:rPr>
      </w:pPr>
      <w:r>
        <w:rPr>
          <w:rFonts w:ascii="Courier New" w:cs="Courier New" w:eastAsia="Courier New" w:hAnsi="Courier New"/>
          <w:sz w:val="18"/>
          <w:szCs w:val="18"/>
          <w:color w:val="auto"/>
        </w:rPr>
        <w:t>May 5,</w:t>
      </w:r>
      <w:r>
        <w:rPr>
          <w:sz w:val="20"/>
          <w:szCs w:val="20"/>
          <w:color w:val="auto"/>
        </w:rPr>
        <w:tab/>
      </w:r>
      <w:r>
        <w:rPr>
          <w:rFonts w:ascii="Courier New" w:cs="Courier New" w:eastAsia="Courier New" w:hAnsi="Courier New"/>
          <w:sz w:val="16"/>
          <w:szCs w:val="16"/>
          <w:color w:val="auto"/>
        </w:rPr>
        <w:t>April 29,</w:t>
      </w:r>
    </w:p>
    <w:p>
      <w:pPr>
        <w:spacing w:after="0"/>
        <w:tabs>
          <w:tab w:leader="none" w:pos="5360" w:val="left"/>
          <w:tab w:leader="none" w:pos="684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6"/>
          <w:szCs w:val="16"/>
          <w:color w:val="auto"/>
        </w:rPr>
        <w:t>2000</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 weighted average common</w:t>
      </w:r>
    </w:p>
    <w:p>
      <w:pPr>
        <w:ind w:left="120"/>
        <w:spacing w:after="0"/>
        <w:tabs>
          <w:tab w:leader="none" w:pos="5260" w:val="left"/>
          <w:tab w:leader="none" w:pos="6720" w:val="left"/>
        </w:tabs>
        <w:rPr>
          <w:sz w:val="20"/>
          <w:szCs w:val="20"/>
          <w:color w:val="auto"/>
        </w:rPr>
      </w:pPr>
      <w:r>
        <w:rPr>
          <w:rFonts w:ascii="Courier New" w:cs="Courier New" w:eastAsia="Courier New" w:hAnsi="Courier New"/>
          <w:sz w:val="18"/>
          <w:szCs w:val="18"/>
          <w:color w:val="auto"/>
        </w:rPr>
        <w:t>shares outstanding</w:t>
      </w:r>
      <w:r>
        <w:rPr>
          <w:sz w:val="20"/>
          <w:szCs w:val="20"/>
          <w:color w:val="auto"/>
        </w:rPr>
        <w:tab/>
      </w:r>
      <w:r>
        <w:rPr>
          <w:rFonts w:ascii="Courier New" w:cs="Courier New" w:eastAsia="Courier New" w:hAnsi="Courier New"/>
          <w:sz w:val="18"/>
          <w:szCs w:val="18"/>
          <w:color w:val="auto"/>
        </w:rPr>
        <w:t>14,459</w:t>
      </w:r>
      <w:r>
        <w:rPr>
          <w:sz w:val="20"/>
          <w:szCs w:val="20"/>
          <w:color w:val="auto"/>
        </w:rPr>
        <w:tab/>
      </w:r>
      <w:r>
        <w:rPr>
          <w:rFonts w:ascii="Courier New" w:cs="Courier New" w:eastAsia="Courier New" w:hAnsi="Courier New"/>
          <w:sz w:val="16"/>
          <w:szCs w:val="16"/>
          <w:color w:val="auto"/>
        </w:rPr>
        <w:t>16,441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 excluding the effect of</w:t>
      </w:r>
    </w:p>
    <w:p>
      <w:pPr>
        <w:ind w:left="120"/>
        <w:spacing w:after="0" w:line="238" w:lineRule="auto"/>
        <w:rPr>
          <w:sz w:val="20"/>
          <w:szCs w:val="20"/>
          <w:color w:val="auto"/>
        </w:rPr>
      </w:pPr>
      <w:r>
        <w:rPr>
          <w:rFonts w:ascii="Courier New" w:cs="Courier New" w:eastAsia="Courier New" w:hAnsi="Courier New"/>
          <w:sz w:val="18"/>
          <w:szCs w:val="18"/>
          <w:color w:val="auto"/>
        </w:rPr>
        <w:t>anti-dilutive options of 557 shares and</w:t>
      </w:r>
    </w:p>
    <w:p>
      <w:pPr>
        <w:ind w:left="120"/>
        <w:spacing w:after="0"/>
        <w:rPr>
          <w:sz w:val="20"/>
          <w:szCs w:val="20"/>
          <w:color w:val="auto"/>
        </w:rPr>
      </w:pPr>
      <w:r>
        <w:rPr>
          <w:rFonts w:ascii="Courier New" w:cs="Courier New" w:eastAsia="Courier New" w:hAnsi="Courier New"/>
          <w:sz w:val="18"/>
          <w:szCs w:val="18"/>
          <w:color w:val="auto"/>
        </w:rPr>
        <w:t>29 shares for May 5, 2001 and April 29,</w:t>
      </w:r>
    </w:p>
    <w:p>
      <w:pPr>
        <w:ind w:left="120"/>
        <w:spacing w:after="0"/>
        <w:tabs>
          <w:tab w:leader="none" w:pos="5680" w:val="left"/>
          <w:tab w:leader="none" w:pos="7160" w:val="left"/>
        </w:tabs>
        <w:rPr>
          <w:sz w:val="20"/>
          <w:szCs w:val="20"/>
          <w:color w:val="auto"/>
        </w:rPr>
      </w:pPr>
      <w:r>
        <w:rPr>
          <w:rFonts w:ascii="Courier New" w:cs="Courier New" w:eastAsia="Courier New" w:hAnsi="Courier New"/>
          <w:sz w:val="18"/>
          <w:szCs w:val="18"/>
          <w:color w:val="auto"/>
        </w:rPr>
        <w:t>2000, respectively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5360" w:val="left"/>
          <w:tab w:leader="none" w:pos="6840" w:val="left"/>
        </w:tabs>
        <w:rPr>
          <w:sz w:val="20"/>
          <w:szCs w:val="20"/>
          <w:color w:val="auto"/>
        </w:rPr>
      </w:pPr>
      <w:r>
        <w:rPr>
          <w:rFonts w:ascii="Courier New" w:cs="Courier New" w:eastAsia="Courier New" w:hAnsi="Courier New"/>
          <w:sz w:val="18"/>
          <w:szCs w:val="18"/>
          <w:color w:val="auto"/>
        </w:rPr>
        <w:t>Diluted weighted average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20"/>
        <w:spacing w:after="0"/>
        <w:tabs>
          <w:tab w:leader="none" w:pos="5360" w:val="left"/>
          <w:tab w:leader="none" w:pos="684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14,459</w:t>
      </w:r>
      <w:r>
        <w:rPr>
          <w:sz w:val="20"/>
          <w:szCs w:val="20"/>
          <w:color w:val="auto"/>
        </w:rPr>
        <w:tab/>
      </w:r>
      <w:r>
        <w:rPr>
          <w:rFonts w:ascii="Courier New" w:cs="Courier New" w:eastAsia="Courier New" w:hAnsi="Courier New"/>
          <w:sz w:val="16"/>
          <w:szCs w:val="16"/>
          <w:color w:val="auto"/>
        </w:rPr>
        <w:t>16,441</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Options to purchase shares of the Company's Common Stock of 228,600 for the three months ended May 5, 2001, and 348,700 for the three months ended April 29, 2000, were excluded from the computation of diluted earnings per share because the exercise price of the options was greater than the average market price per share of Common Stock for the periods reported.</w:t>
      </w:r>
    </w:p>
    <w:p>
      <w:pPr>
        <w:spacing w:after="0" w:line="203"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On June 26, 2000, the Company extended an existing consulting arrangement with Jewelcor Management, Inc. ("JMI") for a one-year period commencing on April 29, 2000 and ending on April 29, 2001. As payment for services rendered under this extended agreement, the Company issued to JMI 182,857 non-forfeitable and fully vested shares of the Company's Common Stock. The fair value of those shares on June 26, 2000, the date of issuance, was $240,000 or $1.3125 per share. Seymour Holtzman, Chairman of the Board of Directors of the Company, is President and Chief Executive Officer of JMI, and indirectly, with his wife, is the principal beneficial owner of the stock of JMI.</w:t>
      </w:r>
    </w:p>
    <w:p>
      <w:pPr>
        <w:spacing w:after="0" w:line="18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May 25, 2001, subsequent to the end of the first quarter of fiscal 2002, the Board of Directors extended the JMI consulting agreement for an additional one-year term commencing on April 29, 2001 and ending on April 29, 2002, subject to further negotiation and documentation.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Also on May 25, 2001, the Board of Directors determined to hire Seymour Holtzman, who has served as the Company's non-employee Chairman of the Company, as an officer and employee of the Company. In connection with the hiring of Mr. Holtzman, the Board determined to grant Mr. Holtzman an option to purchase an aggregate of 300,000 shares of the Company's Common Stock at an exercise price of $3.88 per share, equal to the closing price of the Common Stock on that date. The option will vest annually over three years and expires 10 years from the date of grant.</w:t>
      </w:r>
    </w:p>
    <w:p>
      <w:pPr>
        <w:spacing w:after="0" w:line="20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Instruments and Hedging</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Financial Accounting Standards Board issued SFAS No. 137, "Accounting for Derivative Instruments and Hedging Activities - Deferral of the Effective Date of FASB Statement No. 133", in July 1999 making SFAS No. 133, "Accounting for Derivative Instruments and Hedging Activities", effective for all fiscal quarters of all fiscal years beginning after June 15, 2000. SFAS No. 133 requires companies to record derivatives on the balance sheet as assets or liabilities, measured at their fair value. Gains or losses resulting from changes in value of those derivatives would be accounted for depending on the use of the derivative and whether it qualifies for hedge accounting. The adoption of SFAS No. 133 did not have a significant effect on the Company's results of operations or financial position for the period ended May 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ectPr>
          <w:pgSz w:w="11900" w:h="16838" w:orient="portrait"/>
          <w:cols w:equalWidth="0" w:num="1">
            <w:col w:w="10219"/>
          </w:cols>
          <w:pgMar w:left="240" w:top="142"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Sales for the first quarter of fiscal 2002 ended May 5, 2001 were $39.4 million as compared to sales of $39.4 million in the first quarter of fiscal 2001 ended April 29, 2000.</w:t>
      </w:r>
    </w:p>
    <w:p>
      <w:pPr>
        <w:spacing w:after="0" w:line="209"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Sales for the thirteen weeks ended May 5, 2001 decreased 1.5% as compared to $40.0 million for the corresponding thirteen weeks ended May 6, 2000. Comparable store sales decreased 9.9% percent for the thirteen weeks ended May 5, 2001 when compared with the corresponding prior year period. However, during the fiscal month of April 2001, comparable store sales increased 0.5%, which represented a significant improvement from the first two months of the quarter. During February and March 2001 the sales were compared against prior year months which benefited from significant price reductions on inventories funded from reserves previously established in fiscal 2000. In addition, the recently completed liquidation of Bugle Boy, a 300-store retail chain selling similar categories of casual apparel, negatively impacted the Company's 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Furthermore, Dockers(R) sales for the first quarter of fiscal 2002 have shown significant sales improvement due to Spring merchandising initiatives, while inventory deficiencies within certain categories of Levi's(R) brand have adversely affected Levi's(R) sales. New inventory deliveries of the Levi's(R) brand are expected in time for the key Back-to-School and holiday selling seasons which the Company expects will positively impact sales in the third and fourth quarters of fiscal 2002.</w:t>
      </w:r>
    </w:p>
    <w:p>
      <w:pPr>
        <w:spacing w:after="0" w:line="21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Comparable stores are retail locations that have been open at least 13 months. Of the 103 stores that the Company operated at May 5, 2001, 93 were comparable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Gross profit margin, inclusive of occupancy costs, was 23.9% for the first quarter of fiscal 2002 as compared to 27.0% in the first quarter of the prior year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Merchandise margins decreased 2.1 percentage points for the first quarter of fiscal 2002 as compared to the first quarter of the prior year because of decreasing initial margins resulting from an increase in product mix to lower margin merchandise. As previously noted, the prior year merchandise margin also benefited from significant price reductions funded from reserves previously established in the fourth quarter of fiscal 2000. The Company anticipates that it will experience a similar merchandise margin rate during the remainder of fiscal 2002.</w:t>
      </w:r>
    </w:p>
    <w:p>
      <w:pPr>
        <w:spacing w:after="0" w:line="21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Occupancy costs were also a factor in the Company's decreased gross profit margin for the first quarter of fiscal 2002. Occupancy costs as a percentage of sales increased 1.2 percentage points resulting from added square footage and therefore greater occupancy costs while total sales were flat to last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months ended May 5, 2001 and April 29, 2000.</w:t>
      </w:r>
    </w:p>
    <w:p>
      <w:pPr>
        <w:spacing w:after="0" w:line="200" w:lineRule="exact"/>
        <w:rPr>
          <w:sz w:val="20"/>
          <w:szCs w:val="20"/>
          <w:color w:val="auto"/>
        </w:rPr>
      </w:pPr>
    </w:p>
    <w:p>
      <w:pPr>
        <w:spacing w:after="0" w:line="211" w:lineRule="exact"/>
        <w:rPr>
          <w:sz w:val="20"/>
          <w:szCs w:val="20"/>
          <w:color w:val="auto"/>
        </w:rPr>
      </w:pPr>
    </w:p>
    <w:p>
      <w:pPr>
        <w:jc w:val="right"/>
        <w:ind w:right="2519"/>
        <w:spacing w:after="0" w:line="268" w:lineRule="auto"/>
        <w:rPr>
          <w:sz w:val="20"/>
          <w:szCs w:val="20"/>
          <w:color w:val="auto"/>
        </w:rPr>
      </w:pPr>
      <w:r>
        <w:rPr>
          <w:rFonts w:ascii="Courier New" w:cs="Courier New" w:eastAsia="Courier New" w:hAnsi="Courier New"/>
          <w:sz w:val="16"/>
          <w:szCs w:val="16"/>
          <w:color w:val="auto"/>
        </w:rPr>
        <w:t>(In thousands, except                     May 5, 2001      April 29, 2000 percentage data)                      $   % of sales    $    % of sales</w:t>
      </w:r>
    </w:p>
    <w:p>
      <w:pPr>
        <w:spacing w:after="0" w:line="233"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Courier New" w:cs="Courier New" w:eastAsia="Courier New" w:hAnsi="Courier New"/>
                <w:sz w:val="18"/>
                <w:szCs w:val="18"/>
                <w:color w:val="auto"/>
              </w:rPr>
              <w:t>Store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payroll</w:t>
            </w:r>
          </w:p>
        </w:tc>
        <w:tc>
          <w:tcPr>
            <w:tcW w:w="2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$4,403</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10.4%</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SG&amp;A</w:t>
            </w: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$5,303</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$5,635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Store payroll expense, the largest component of selling, general and administrative expenses, was 11.2 percent of sales for the three months ended May 5, 2001, compared with 10.4 percent of sales for the same period in the prior year. The decrease in other selling, general and administrative expenses, excluding store payroll, for the three months ended May 5, 2001 as compared with the first quarter of the prior year is due primarily to continued cost reduction efforts.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Set forth below is depreciation and amortization expenses for the Company for the three months ended May 5, 2001 and April 29, 2000.</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220" w:right="440" w:hanging="210"/>
        <w:spacing w:after="0" w:line="290" w:lineRule="auto"/>
        <w:rPr>
          <w:sz w:val="20"/>
          <w:szCs w:val="20"/>
          <w:color w:val="auto"/>
        </w:rPr>
      </w:pPr>
      <w:r>
        <w:rPr>
          <w:rFonts w:ascii="Courier New" w:cs="Courier New" w:eastAsia="Courier New" w:hAnsi="Courier New"/>
          <w:sz w:val="16"/>
          <w:szCs w:val="16"/>
          <w:color w:val="auto"/>
        </w:rPr>
        <w:t>(In thousands, except percentage data)</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May 5,</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2001</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2000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Percentage</w:t>
      </w:r>
    </w:p>
    <w:p>
      <w:pPr>
        <w:spacing w:after="0" w:line="238" w:lineRule="auto"/>
        <w:rPr>
          <w:sz w:val="20"/>
          <w:szCs w:val="20"/>
          <w:color w:val="auto"/>
        </w:rPr>
      </w:pPr>
      <w:r>
        <w:rPr>
          <w:rFonts w:ascii="Courier New" w:cs="Courier New" w:eastAsia="Courier New" w:hAnsi="Courier New"/>
          <w:sz w:val="18"/>
          <w:szCs w:val="18"/>
          <w:color w:val="auto"/>
        </w:rPr>
        <w:t>Change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5, 2001</w:t>
      </w:r>
    </w:p>
    <w:p>
      <w:pPr>
        <w:sectPr>
          <w:pgSz w:w="11900" w:h="16838" w:orient="portrait"/>
          <w:cols w:equalWidth="0" w:num="4">
            <w:col w:w="2660" w:space="720"/>
            <w:col w:w="640" w:space="420"/>
            <w:col w:w="940" w:space="420"/>
            <w:col w:w="4419"/>
          </w:cols>
          <w:pgMar w:left="240" w:top="339"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 months ended</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$1,396</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increase in depreciation and amortization expense for the three months ended May 5, 2001 compared to the same period in the prior year is due to the opening of six new stores and the remodeling of nine stores in fiscal 2001, in addition to the opening of the distribution center in the third quarter of fiscal 2001. This increase is partially offset by the write-off of fixed assets in fiscal 2001 due to impairments and several assets becoming fully depreciated.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Net interest expense was $546,000 and $415,000 for the three months ended May 5, 2001 and April 29, 2000, respectively. This increase was attributable to higher average borrowing levels under the Company's revolving credit facility for the three months ended May 5, 2001 as compared to the same period in the prior year. This increase was offset slightly by improved borrowing rates as compared to the prior period.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Set forth below is the net loss and net loss per share, presented on a diluted basis, for the Company for the three months ended May 5, 2001 and April 29, 2000.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2419" w:hanging="210"/>
        <w:spacing w:after="0"/>
        <w:rPr>
          <w:sz w:val="20"/>
          <w:szCs w:val="20"/>
          <w:color w:val="auto"/>
        </w:rPr>
      </w:pPr>
      <w:r>
        <w:rPr>
          <w:rFonts w:ascii="Courier New" w:cs="Courier New" w:eastAsia="Courier New" w:hAnsi="Courier New"/>
          <w:sz w:val="18"/>
          <w:szCs w:val="18"/>
          <w:color w:val="auto"/>
        </w:rPr>
        <w:t>(In thousands, except</w:t>
      </w:r>
      <w:r>
        <w:rPr>
          <w:sz w:val="20"/>
          <w:szCs w:val="20"/>
          <w:color w:val="auto"/>
        </w:rPr>
        <w:t xml:space="preserve"> </w:t>
      </w:r>
      <w:r>
        <w:rPr>
          <w:rFonts w:ascii="Courier New" w:cs="Courier New" w:eastAsia="Courier New" w:hAnsi="Courier New"/>
          <w:sz w:val="18"/>
          <w:szCs w:val="18"/>
          <w:color w:val="auto"/>
        </w:rPr>
        <w:t>May 5, 2001 April 29, 2000 per share data) $ per share $ per share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 months ended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$(0.09)</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bl>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As previously reported, prior-year first quarter earnings benefited from significant price reductions funded from reserves previously established in fiscal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exclusive of non-recurring charges, with increases occurring during the Company's third and fourth quarters as a result of "Fall" and "Holiday" seasons. Although, the Company's strategic focus has shifted towards its outlet retail business selling exclusively Levi Strauss &amp; Co. product, the Company continues to experience a significant portion of its revenue and income in the second half of the year.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Company's primary cash needs are for working capital, primarily inventory requirements, and capital expenditures. The Company's capital expenditure program includes projects for new store openings, remodeling existing stores, and improvements with its systems infrastructure. In addition, the Company is testing a new store format in a power center location, an alternative retail channel to the outlet retail channel. The Company's sources of funds includes operations, trade credit and its $45 million credit facility.</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quarter, the Company used cash from operations of $3.7 million as compared to cash provided from operations of $6.3 million during last year's first quarter. Cash from operations decreased by $10.0 million due primarily to an increase of inventory as a result of opening three new stores and opportunistic purchases of inventory.</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May 5, 2001, total inventory equaled $67.7 million, compared to $57.7 million at February 3, 2001. The Company stocks its stores with Levi and Docker manufacturing overruns, merchandise specifically manufactured for the outlet stores and discontinued lines and irregulars all purchased primarily from Levi Strauss &amp; Co. By its nature, manufacturing overruns, and discontinued or irregular merchandise, including the most popular Levi Strauss &amp; Co. styles of merchandise and the breadth of the mix of this merchandise, is subject to limited availability. The Company continues to evaluate additional opportunities to purchase quantities of Levi's(R), Dockers(R) and Slates(R) brand products.</w:t>
      </w:r>
    </w:p>
    <w:p>
      <w:pPr>
        <w:spacing w:after="0" w:line="18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Total cash outlays for capital expenditures for the first three months of fiscal 2002 were $3.1 million compared to $1.5 million during the first quarter of fiscal 2001. During the first three months of fiscal 2002, the Company opened two new Levi's(R)/Dockers(R) stores, one new Dockers(R) store in a real estate location where there was an existing Levi's(R) only store, remodeled four of its older stores, and the Company also combined two pairs of its standalone Dockers(R) and Levi's(R) outlet stores that were adjacent to each other into two Levi's(R)/Dockers(R) stores. By combining the individual stores into one store,</w:t>
      </w:r>
    </w:p>
    <w:p>
      <w:pPr>
        <w:sectPr>
          <w:pgSz w:w="11900" w:h="16838" w:orient="portrait"/>
          <w:cols w:equalWidth="0" w:num="1">
            <w:col w:w="10219"/>
          </w:cols>
          <w:pgMar w:left="240" w:top="136" w:right="1440" w:bottom="0" w:gutter="0" w:footer="0" w:header="0"/>
        </w:sectPr>
      </w:pPr>
    </w:p>
    <w:bookmarkStart w:id="10" w:name="page11"/>
    <w:bookmarkEnd w:id="10"/>
    <w:p>
      <w:pPr>
        <w:ind w:right="2319"/>
        <w:spacing w:after="0" w:line="235" w:lineRule="auto"/>
        <w:rPr>
          <w:sz w:val="20"/>
          <w:szCs w:val="20"/>
          <w:color w:val="auto"/>
        </w:rPr>
      </w:pPr>
      <w:r>
        <w:rPr>
          <w:rFonts w:ascii="Courier New" w:cs="Courier New" w:eastAsia="Courier New" w:hAnsi="Courier New"/>
          <w:sz w:val="18"/>
          <w:szCs w:val="18"/>
          <w:color w:val="auto"/>
        </w:rPr>
        <w:t>the Company was able to reduce total square footage, reduce labor costs and provide a cross-over environment for the brands.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present plans for expansion for the remainder of fiscal 2002, barring unforeseen circumstances, include remodeling up to an additional three existing outlet stores and opening up to four additional Levi's(R)/Dockers(R) stores, one of which will be located in Puerto Rico.</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financed its cash needs during the first quarter of fiscal 2002 with borrowings from its credit facility. At May 5, 2001, the Company had borrowings of approximately $30.8 million outstanding under this credit facility and had three outstanding standby letters of credit totaling approximately $2.5 million. Average borrowings outstanding under this credit facility for the first three months of fiscal 2002 were approximately $27.7 million. The Company had average unused excess availability under this credit facility of approximately $9.2 million during the first quarter of fiscal 2002. The unused availability under this credit facility was $8.7 million at May 5, 2001. The Company was in compliance with all debt covenants under this credit facility at May 5, 2001.</w:t>
      </w:r>
    </w:p>
    <w:p>
      <w:pPr>
        <w:spacing w:after="0" w:line="18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Company's working capital at May 5, 2001 was approximately $12.6 million, compared to $16.3 million at February 3, 2001. This decrease in working capital was attributable to capital expenditures incurred for new and remodeled stores and a negative cash flow incurred during the first quarter.</w:t>
      </w: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Form 8-K, previously filed with the United States Securities and Exchange Commission on April 28, 2000, which identifies certain risks and uncertainties that may have an impact on future earnings and the direction of the Company.</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 of these and other potential exposures.</w:t>
      </w:r>
    </w:p>
    <w:p>
      <w:pPr>
        <w:spacing w:after="0" w:line="210"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The Company utilizes cash from operations and short-term borrowings to fund its working capital needs. This debt instrument is viewed as a risk management tool and is not used for trading or speculative purposes. In addition, the Company has available letters of credit as sources of financing for its working capital requirements. Borrowings under this credit agreement, which expires in June 2001, bears interest at variable rates based on FleetBoston, N.A.'s prime rate or the London Interbank Offering Rate ("LIBOR"). These interest rates at May 5, 2001 were 7.5% for prime and with rates on varying LIBOR contracts of 6.384% to 7.573%. Based upon sensitivity analysis as of May 5, 2001, a 10% increase in interest rates would result in a potential cost of approximately $231,000 on an annualized basis.</w:t>
      </w:r>
    </w:p>
    <w:p>
      <w:pPr>
        <w:spacing w:after="0" w:line="200" w:lineRule="exact"/>
        <w:rPr>
          <w:sz w:val="20"/>
          <w:szCs w:val="20"/>
          <w:color w:val="auto"/>
        </w:rPr>
      </w:pPr>
    </w:p>
    <w:p>
      <w:pPr>
        <w:spacing w:after="0" w:line="38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17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May 1995, the Company purchased from Boston Trading Ltd., Inc. (d/b/a Atlantic Harbor, Inc.) certain assets including various trademarks and license agreements. The terms of the Asset Purchase Agreement, which was dated April 25, 1995 (the "Purchase Agreement"), included the Company delivering a $1 million promissory note ("Purchase Note") for the balance of the purchase price The principal amount of the Purchase Note was stated to be payable in two equal annual installments through May 1997. In the first quarter of fiscal 1997, the Company asserted certain indemnification rights under the Purchase Agreement. In accordance with the terms of the Purchase Agreement, the Company, when exercising its indemnification rights, had the right, among other courses of action, to offset against the payment of principal and interest due and payable under the Purchase Note. Accordingly, the Company did not make the</w:t>
      </w:r>
    </w:p>
    <w:p>
      <w:pPr>
        <w:sectPr>
          <w:pgSz w:w="11900" w:h="16838" w:orient="portrait"/>
          <w:cols w:equalWidth="0" w:num="1">
            <w:col w:w="10219"/>
          </w:cols>
          <w:pgMar w:left="240" w:top="142" w:right="1440" w:bottom="0"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two $500,000 principal payments on the Purchase Note that were due on May 2, 1996 and May 2, 1997. The Company paid all interest on the original principal amount through May 2, 1996 and continued to pay interest thereafter through January 31, 1998 on $500,000 of principal. In January 1998, Atlantic Harbor, Inc. filed a lawsuit against the Company for failing to pay the outstanding principal amount of the Purchase Note. In March 1998, the Company filed a counterclaim against Atlantic Harbor, Inc. alleging that the Company suffered damages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21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During the first quarter of fiscal 2002, the Company entered into a settlement agreement with Atlantic Harbor, Inc. whereby Atlantic Harbor, Inc. agreed to accept from the Company a cash payment of $450,000 to Atlantic Harbor, Inc. in settlement of all obligations under the Purchase Note. In exchange, the Company agreed to transfer and assign all trademarks and license agreements acquired as part of the Purchase Agreement to a new entity in which the Company would have a 15% equity interest, with Atlantic Harbor, Inc. and its affiliates retaining the remaining interest. The Company would also be entitled to receive up to</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an additional $150,000 from existing license royalties over the next four years. At February 3, 2001, the Company recorded a gain related to the settlement of this matter in the amount of $550,000, which was included in "Provision for impairment of assets, store closings and severance" on the Consolidated Statements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6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Courier New" w:cs="Courier New" w:eastAsia="Courier New" w:hAnsi="Courier New"/>
                <w:sz w:val="18"/>
                <w:szCs w:val="18"/>
                <w:color w:val="auto"/>
              </w:rPr>
              <w:t>Restated Certificate of Incorporation of the Company, as</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 of the</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Registration Statement on Form S-1 (No. 33-13402),</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Certificate of Amendment to Restated Certificate of</w:t>
            </w:r>
          </w:p>
        </w:tc>
        <w:tc>
          <w:tcPr>
            <w:tcW w:w="1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as amended, dated June 22, 1993 (included as</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3.2 to the Company's Quarterly Report on Form 10-Q</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June 17, 1996,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Certificate of Designations, Preferences and Rights of a</w:t>
            </w:r>
          </w:p>
        </w:tc>
        <w:tc>
          <w:tcPr>
            <w:tcW w:w="1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 of Preferred Stock of the Company established Series A</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Junior Participating Cumulative Preferred Stock dated May 1,</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(included as Exhibit 3.2 to the Company's Annual Report</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10-K dated May 1, 1996 and incorporated herein by</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By-Laws of the Company, as amended (included as Exhibit 3.4 to</w:t>
            </w:r>
          </w:p>
        </w:tc>
        <w:tc>
          <w:tcPr>
            <w:tcW w:w="1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December 12,2000,</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10.1</w:t>
            </w:r>
          </w:p>
        </w:tc>
        <w:tc>
          <w:tcPr>
            <w:tcW w:w="7520" w:type="dxa"/>
            <w:vAlign w:val="bottom"/>
          </w:tcPr>
          <w:p>
            <w:pPr>
              <w:ind w:left="100"/>
              <w:spacing w:after="0"/>
              <w:rPr>
                <w:sz w:val="20"/>
                <w:szCs w:val="20"/>
                <w:color w:val="auto"/>
              </w:rPr>
            </w:pPr>
            <w:r>
              <w:rPr>
                <w:rFonts w:ascii="Courier New" w:cs="Courier New" w:eastAsia="Courier New" w:hAnsi="Courier New"/>
                <w:sz w:val="18"/>
                <w:szCs w:val="18"/>
                <w:color w:val="auto"/>
                <w:w w:val="97"/>
              </w:rPr>
              <w:t>1992 Stock Incentive Plan, as amended (included as Exhibit 10.1 to the</w:t>
            </w:r>
          </w:p>
        </w:tc>
        <w:tc>
          <w:tcPr>
            <w:tcW w:w="1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Quarterly Report on Form 10-Q dated December 12, 2000, and</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10.2</w:t>
            </w:r>
          </w:p>
        </w:tc>
        <w:tc>
          <w:tcPr>
            <w:tcW w:w="752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1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 and</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10.3</w:t>
            </w:r>
          </w:p>
        </w:tc>
        <w:tc>
          <w:tcPr>
            <w:tcW w:w="752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Trademark License Agreement between the</w:t>
            </w:r>
          </w:p>
        </w:tc>
        <w:tc>
          <w:tcPr>
            <w:tcW w:w="1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 Report on</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1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Amendment to the Amended and Restated Trademark License</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dated March 22, 2000 (included as Exhibit 10.7 to</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Second Amended and Restated Loan and Security Agreement dated</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of December 7, 2000 among the Company and Fleet Retail</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 Inc., as agent for the Lender(s) identified therein.</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10.12 to the Company's Form 10-Q dated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 28, 2000, 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Amendment and Distribution Agreement dated as of October 31,</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the Designs Partner, the LOS Partner and the OLS</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(included as Exhibit 10.2 to the Company's Current</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Guaranty by the Company of the indemnification obligation of</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Designs Partner dated as of October 31, 1998 in favor of</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LS &amp; Co. (included as Exhibit 10.3 to the Company's Current</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gridSpan w:val="2"/>
          </w:tcPr>
          <w:p>
            <w:pPr>
              <w:spacing w:after="0"/>
              <w:rPr>
                <w:sz w:val="20"/>
                <w:szCs w:val="20"/>
                <w:color w:val="auto"/>
              </w:rPr>
            </w:pPr>
            <w:r>
              <w:rPr>
                <w:rFonts w:ascii="Courier New" w:cs="Courier New" w:eastAsia="Courier New" w:hAnsi="Courier New"/>
                <w:sz w:val="18"/>
                <w:szCs w:val="18"/>
                <w:color w:val="auto"/>
              </w:rPr>
              <w:t>10.8 Asset Purchase Agreement between LOS and the Company relating</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sale by the Company of stores located in Minneapolis,</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Minnesota dated January 28, 1995 (included as Exhibit 10.9 to</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gridSpan w:val="2"/>
          </w:tcPr>
          <w:p>
            <w:pPr>
              <w:spacing w:after="0"/>
              <w:rPr>
                <w:sz w:val="20"/>
                <w:szCs w:val="20"/>
                <w:color w:val="auto"/>
              </w:rPr>
            </w:pPr>
            <w:r>
              <w:rPr>
                <w:rFonts w:ascii="Courier New" w:cs="Courier New" w:eastAsia="Courier New" w:hAnsi="Courier New"/>
                <w:sz w:val="18"/>
                <w:szCs w:val="18"/>
                <w:color w:val="auto"/>
              </w:rPr>
              <w:t>10.9 Asset Purchase Agreement among Boston Trading Ltd., Inc.,</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Designs Acquisition Corp., the Company and others dated April</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 1995 (included as Exhibit 10.16 to the Company's Quarterly</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10-Q dated September 12, 1995, and incorporated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Non-Negotiable Promissory Note between the Company and</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Atlantic Harbor, Inc., formerly know as Boston Trading Ltd.,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dated May 2, 1995 (included as Exhibit 10.17 to the</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12,</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dated as of September 30, 1998</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LOS relating to the purchase by the</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of 16 Dockers(R) Outlet and nine Levi's(R) Outlet stores</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Agreement Regarding Leases dated November 2, 2000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O.M. 66 B Street LLC (included as Exhibit 10.36 to</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Form 10-Q dated October 28, 2000, and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be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December 15, 1999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George T. Porter, Jr. (included as Exhibit 10.22</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Form 10-K dated April 28, 2000, and</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November 14, 1999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Business Ventures International, Inc. (included as</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10.23 to the Company's Form 10-K dated April 28, 2000,</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May 9, 1997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Carolyn R. Faulkner (included as Exhibit 10.23 to</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June 17,</w:t>
            </w:r>
          </w:p>
        </w:tc>
        <w:tc>
          <w:tcPr>
            <w:tcW w:w="4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 and incorporated herein by reference.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1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March 31, 2000 between the</w:t>
            </w:r>
          </w:p>
        </w:tc>
        <w:tc>
          <w:tcPr>
            <w:tcW w:w="4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1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10.27 to the</w:t>
            </w:r>
          </w:p>
        </w:tc>
        <w:tc>
          <w:tcPr>
            <w:tcW w:w="46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Company's</w:t>
            </w:r>
          </w:p>
        </w:tc>
        <w:tc>
          <w:tcPr>
            <w:tcW w:w="6420" w:type="dxa"/>
            <w:vAlign w:val="bottom"/>
          </w:tcPr>
          <w:p>
            <w:pPr>
              <w:ind w:left="60"/>
              <w:spacing w:after="0"/>
              <w:rPr>
                <w:sz w:val="20"/>
                <w:szCs w:val="20"/>
                <w:color w:val="auto"/>
              </w:rPr>
            </w:pPr>
            <w:r>
              <w:rPr>
                <w:rFonts w:ascii="Courier New" w:cs="Courier New" w:eastAsia="Courier New" w:hAnsi="Courier New"/>
                <w:sz w:val="18"/>
                <w:szCs w:val="18"/>
                <w:color w:val="auto"/>
              </w:rPr>
              <w:t>Form 10-K dated April 28, 2000,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w:t>
            </w:r>
          </w:p>
        </w:tc>
        <w:tc>
          <w:tcPr>
            <w:tcW w:w="6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March 31, 2000</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David A. Levin.</w:t>
            </w:r>
          </w:p>
        </w:tc>
        <w:tc>
          <w:tcPr>
            <w:tcW w:w="1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Secured Promissory Note dated as of June 26, 2000 between the</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10.29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 Form 10-Q dated September 12, 2000,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10.21</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Pledge and Security Agreement dated June 26, 2000 between the</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Company and David A. Levin (included as Exhibit 10.29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Form 10-Q dated September 12, 2000,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10.22</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Employment Agreement dated as of August 14, 2000 between the</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and Dennis R. Hernreich (included as Exhibit 10.30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 Form 10-Q dated September 12, 2000,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10.23</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August 14, 2000</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Dennis R. Hernreich.</w:t>
            </w:r>
          </w:p>
        </w:tc>
        <w:tc>
          <w:tcPr>
            <w:tcW w:w="1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10.24</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Severance Agreement dated as of January 12, 2000 between the</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10.23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10.25</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Severance Agreement dated as of January 20, 2000 between the</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10.23 to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10.26</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Severance Agreement dated as of January 15, 2000 between the</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and Carolyn R. Faulkner (included as Exhibit 10.23 to</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10.27</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Joel H.</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Reichman, dated December 10, 1998 (included as Exhibit 10.34</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30,</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10.28</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Scott N.</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Semel, dated December 10, 1998 (included as Exhibit 10.35 to</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10.29</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Carolyn R.</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Faulkner, dated December 10, 1998 (included as Exhibit 10.36</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30,</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18.1</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Letter of Preferability from Ernst &amp; Young dated June 13, 2001.</w:t>
            </w:r>
          </w:p>
        </w:tc>
        <w:tc>
          <w:tcPr>
            <w:tcW w:w="160" w:type="dxa"/>
            <w:vAlign w:val="bottom"/>
          </w:tcPr>
          <w:p>
            <w:pPr>
              <w:spacing w:after="0"/>
              <w:rPr>
                <w:sz w:val="24"/>
                <w:szCs w:val="24"/>
                <w:color w:val="auto"/>
              </w:rPr>
            </w:pP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99</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Report of the Company on Form 8-K, dated April 28, 2000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concerning certain cautionary statements of the Company to be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taken into account in conjunction with consideration and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review of the Company's publicly-disseminated documents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(including oral statements made by others on behalf of the</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that include forward looking information.</w:t>
            </w:r>
          </w:p>
        </w:tc>
        <w:tc>
          <w:tcPr>
            <w:tcW w:w="160" w:type="dxa"/>
            <w:vAlign w:val="bottom"/>
          </w:tcPr>
          <w:p>
            <w:pPr>
              <w:spacing w:after="0"/>
              <w:rPr>
                <w:sz w:val="17"/>
                <w:szCs w:val="17"/>
                <w:color w:val="auto"/>
              </w:rPr>
            </w:pP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Previously filed with the Securities and Exchange Commission.</w:t>
            </w:r>
          </w:p>
        </w:tc>
        <w:tc>
          <w:tcPr>
            <w:tcW w:w="1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Dennis R. Hernreich,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 and Treasurer</w:t>
      </w:r>
    </w:p>
    <w:sectPr>
      <w:pgSz w:w="11900" w:h="16838" w:orient="portrait"/>
      <w:cols w:equalWidth="0" w:num="2">
        <w:col w:w="2760" w:space="720"/>
        <w:col w:w="673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2019-12-11T20:20:23Z</dcterms:created>
  <dcterms:modified xsi:type="dcterms:W3CDTF">2019-12-11T20:20:23Z</dcterms:modified>
</cp:coreProperties>
</file>