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6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Proxy Statement Pursuant to Section 14(a) of the Securities</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Exchange Act of 1934</w:t>
      </w:r>
    </w:p>
    <w:p>
      <w:pPr>
        <w:spacing w:after="0" w:line="101" w:lineRule="exact"/>
        <w:rPr>
          <w:sz w:val="24"/>
          <w:szCs w:val="24"/>
          <w:color w:val="auto"/>
        </w:rPr>
      </w:pPr>
    </w:p>
    <w:p>
      <w:pPr>
        <w:ind w:left="20"/>
        <w:spacing w:after="0" w:line="207" w:lineRule="exact"/>
        <w:tabs>
          <w:tab w:leader="none" w:pos="32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1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2" w:lineRule="exact"/>
        <w:rPr>
          <w:sz w:val="24"/>
          <w:szCs w:val="24"/>
          <w:color w:val="auto"/>
        </w:rPr>
      </w:pPr>
    </w:p>
    <w:p>
      <w:pPr>
        <w:ind w:left="376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3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-845820</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-562610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-151130</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3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131445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19" w:lineRule="exact"/>
        <w:rPr>
          <w:sz w:val="24"/>
          <w:szCs w:val="24"/>
          <w:color w:val="auto"/>
        </w:rPr>
      </w:pPr>
    </w:p>
    <w:p>
      <w:pPr>
        <w:ind w:left="900" w:hanging="446"/>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387"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1" w:lineRule="exact"/>
        <w:rPr>
          <w:rFonts w:ascii="MS PGothic" w:cs="MS PGothic" w:eastAsia="MS PGothic" w:hAnsi="MS PGothic"/>
          <w:sz w:val="16"/>
          <w:szCs w:val="16"/>
          <w:color w:val="auto"/>
        </w:rPr>
      </w:pPr>
    </w:p>
    <w:p>
      <w:pPr>
        <w:ind w:left="900" w:hanging="446"/>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-1686560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-716915</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-434340</wp:posOffset>
            </wp:positionV>
            <wp:extent cx="69551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-151130</wp:posOffset>
            </wp:positionV>
            <wp:extent cx="6955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122555</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320"/>
          </w:cols>
          <w:pgMar w:left="240" w:top="219" w:right="3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to be held on August 5, 2010</w:t>
      </w:r>
    </w:p>
    <w:p>
      <w:pPr>
        <w:spacing w:after="0" w:line="77" w:lineRule="exact"/>
        <w:rPr>
          <w:sz w:val="20"/>
          <w:szCs w:val="20"/>
          <w:color w:val="auto"/>
        </w:rPr>
      </w:pPr>
    </w:p>
    <w:p>
      <w:pPr>
        <w:ind w:right="240"/>
        <w:spacing w:after="0" w:line="325" w:lineRule="auto"/>
        <w:rPr>
          <w:sz w:val="20"/>
          <w:szCs w:val="20"/>
          <w:color w:val="auto"/>
        </w:rPr>
      </w:pPr>
      <w:r>
        <w:rPr>
          <w:rFonts w:ascii="Arial" w:cs="Arial" w:eastAsia="Arial" w:hAnsi="Arial"/>
          <w:sz w:val="16"/>
          <w:szCs w:val="16"/>
          <w:color w:val="auto"/>
        </w:rPr>
        <w:t>Notice is hereby given that the 2010 Annual Meeting of Stockholders of Casual Male Retail Group, Inc. (the “Company”) will be held at the Hyatt Regency Woodfield Schaumburg, 1800 East Golf Road, Schaumburg, Illinois, 60173 at 9:00 A.M., local time, on Thursday, August 5, 2010 for the following purposes:</w:t>
      </w:r>
    </w:p>
    <w:p>
      <w:pPr>
        <w:spacing w:after="0" w:line="1" w:lineRule="exact"/>
        <w:rPr>
          <w:sz w:val="20"/>
          <w:szCs w:val="20"/>
          <w:color w:val="auto"/>
        </w:rPr>
      </w:pPr>
    </w:p>
    <w:p>
      <w:pPr>
        <w:ind w:left="900" w:right="4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eight directors to serve until the next Annual Meeting of Stockholders and until their respective successors have been duly elected and qualified.</w:t>
      </w:r>
    </w:p>
    <w:p>
      <w:pPr>
        <w:spacing w:after="0" w:line="37" w:lineRule="exact"/>
        <w:rPr>
          <w:rFonts w:ascii="Arial" w:cs="Arial" w:eastAsia="Arial" w:hAnsi="Arial"/>
          <w:sz w:val="18"/>
          <w:szCs w:val="18"/>
          <w:color w:val="auto"/>
        </w:rPr>
      </w:pPr>
    </w:p>
    <w:p>
      <w:pPr>
        <w:ind w:left="900" w:right="120" w:hanging="446"/>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an amendment to our 2006 Incentive Compensation Plan to (i) increase the total number of shares of common stock authorized for issuance under the plan by 2,500,000 shares (only 1,209,664 shares currently remain available), (ii) as a sub-limit under the plan, increase the maximum number of those shares that may be subject to the granting of awards other than stock options and stock appreciation rights by 2,500,000 shares (only 259,503 shares currently remain available) and (iii) clarify and revise certain other provisions as described herein.</w:t>
      </w:r>
    </w:p>
    <w:p>
      <w:pPr>
        <w:spacing w:after="0" w:line="18" w:lineRule="exact"/>
        <w:rPr>
          <w:rFonts w:ascii="Arial" w:cs="Arial" w:eastAsia="Arial" w:hAnsi="Arial"/>
          <w:sz w:val="16"/>
          <w:szCs w:val="16"/>
          <w:color w:val="auto"/>
        </w:rPr>
      </w:pPr>
    </w:p>
    <w:p>
      <w:pPr>
        <w:ind w:left="900" w:right="180" w:hanging="446"/>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order to preserve tax deductibility under Section 162(m) of the Internal Revenue Code, (i) to reapprove the material terms of the 2006 Incentive Compensation Plan, which include the employees eligible to receive compensation under the plan, and the business criteria on which performance goals for compensation intended to be exempt from the Section 162(m) deduction limitations may be based, and (ii) to amend the 2006 Incentive Compensation Plan to increase the Section 162(m)-based individual limitations on the amount of certain awards.</w:t>
      </w:r>
    </w:p>
    <w:p>
      <w:pPr>
        <w:spacing w:after="0" w:line="18"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fiscal year ending January 29, 2011.</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These proposals are more fully described in the Proxy Statement following this Notice.</w:t>
      </w:r>
    </w:p>
    <w:p>
      <w:pPr>
        <w:spacing w:after="0" w:line="7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Board of Directors recommends that you vote (i) FOR the election of all eight nominees to serve as directors of the Company, (ii) FOR the approval of the amendment to our 2006 Incentive Compensation Plan to increase total number of shares of common stock authorized for issuance under the plan and, as a sub-limit under the plan, increase the maximum number of those shares that may be subject to the granting of awards other than stock options and stock appreciation rights and clarify and revise certain other provisions as described herein, (iii) FOR the reapproval of the material terms of the 2006 Incentive Compensation Plan, which include the employees eligible to receive compensation under the plan, and the business criteria on which performance goals for compensation intended to be exempt from the Section 162(m) deduction limitations may be based, and the approval of the amendments to the plan to increase the Section 162(m)-based individual limitations on the amount of certain awards, and (iv) FOR the ratification of the appointment of Ernst &amp; Young LLP as our independent registered public accounting firm.</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Along with the attached Proxy Statement, we are sending you copies of our Annual Report on Form 10-K for the fiscal year ended January 30, 2010.</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of Directors has fixed the close of business on June 15, 2010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15, 2010, will be available for inspection by any of our stockholders for any purpose germane to the Annual Meeting during normal business hours at our principal executive offices, 555 Turnpike Street, Canton, Massachusetts 02021, beginning on July 26, 2010 and at the Annual Meeting.</w:t>
      </w:r>
    </w:p>
    <w:p>
      <w:pPr>
        <w:spacing w:after="0" w:line="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Stockholders are cordially invited to attend the Annual Meeting in person. Regardless of whether you plan to attend the Annual Meeting, please mark, date, sign and return the enclosed proxy to ensure that your shares are represented at the Annual Meeting. Stockholders who attend the Annual Meeting may vote their shares personally, even though they have sent in proxies.</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ENNIS</w:t>
      </w:r>
      <w:r>
        <w:rPr>
          <w:rFonts w:ascii="Arial" w:cs="Arial" w:eastAsia="Arial" w:hAnsi="Arial"/>
          <w:sz w:val="18"/>
          <w:szCs w:val="18"/>
          <w:color w:val="auto"/>
        </w:rPr>
        <w:t xml:space="preserve"> R. H</w:t>
      </w:r>
      <w:r>
        <w:rPr>
          <w:rFonts w:ascii="Arial" w:cs="Arial" w:eastAsia="Arial" w:hAnsi="Arial"/>
          <w:sz w:val="14"/>
          <w:szCs w:val="14"/>
          <w:color w:val="auto"/>
        </w:rPr>
        <w:t>ERNREICH</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25, 2010</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August 5, 2010: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Proxy Statement and 2010 Annual Report to Stockholders are available at www.casualmale.com/proxymaterials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276465" cy="484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103" w:lineRule="exact"/>
        <w:rPr>
          <w:sz w:val="20"/>
          <w:szCs w:val="20"/>
          <w:color w:val="auto"/>
        </w:rPr>
      </w:pPr>
    </w:p>
    <w:p>
      <w:pPr>
        <w:ind w:left="140" w:right="360"/>
        <w:spacing w:after="0" w:line="259" w:lineRule="auto"/>
        <w:rPr>
          <w:sz w:val="20"/>
          <w:szCs w:val="20"/>
          <w:color w:val="auto"/>
        </w:rPr>
      </w:pPr>
      <w:r>
        <w:rPr>
          <w:rFonts w:ascii="Arial" w:cs="Arial" w:eastAsia="Arial" w:hAnsi="Arial"/>
          <w:sz w:val="18"/>
          <w:szCs w:val="18"/>
          <w:color w:val="auto"/>
        </w:rPr>
        <w:t>IMPORTANT: Please mark, date, sign and return the enclosed proxy as soon as possible. The proxy is revocable and it will not be used if you give written notice of revocation to the Secretary of the Company at 555 Turnpike Street, Canton, Massachusetts 02021, prior to the vote to be taken at the Annual Meeting, if you lodge a later-dated proxy or if you attend and vote at the Annual Meeting.</w:t>
      </w:r>
    </w:p>
    <w:p>
      <w:pPr>
        <w:sectPr>
          <w:pgSz w:w="11900" w:h="16838" w:orient="portrait"/>
          <w:cols w:equalWidth="0" w:num="1">
            <w:col w:w="11360"/>
          </w:cols>
          <w:pgMar w:left="240" w:top="27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(781) 828-9300</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5, 2010</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PROXIES</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Proxy Statement and the enclosed form of proxy are being mailed to stockholders on or about June 25, 2010, in connection with the solicitation by the Board of Directors of Casual Male Retail Group, Inc. (the “Company”) of proxies to be used at the Annual Meeting of Stockholders, to be held at the Hyatt Regency Woodfield Schaumburg, 1800 East Golf Road, Schaumburg, Illinois, 60173 at 9:00 A.M, local time, on Thursday, August 5, 2010 and at any and all adjournments thereof (the “Annual Meeting”). When proxies are returned properly executed, the shares represented will be voted in accordance with the stockholders’ instructions.</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Stockholders are encouraged to vote on the matters to be considered. However, if no instructions have been specified by a stockholder, the shares covered by an executed proxy will be voted (i) FOR the election of all eight nominees to serve as directors of the Company, (ii) FOR the approval of the amendment to our 2006 Incentive Compensation Plan to increase the total number of shares of common stock authorized for issuance under the plan and, as a sub-limit under the plan, to increase the maximum number of those shares that may be subject to the granting of awards other than stock options and stock appreciation rights, (iii) FOR the reapproval of the material terms of the 2006 Incentive Compensation Plan, which include the employees eligible to receive compensation under the plan, and the business criteria on which performance goals for compensation intended to be exempt from the Section 162(m) deduction limitations may be based, and the approval of the amendments to the plan to increase the Section 162(m)-based individual limitations on the amount of certain awards, (iv) FOR the ratification of the appointment of Ernst &amp; Young LLP as our independent registered public accounting firm, and (v) in the discretion of the proxies named in the proxy card with respect to any other matters properly brought before the Annual Meeting.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1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Only holders of our common stock, par value $0.01 per share, of record at the close of business on June 15, 2010, the record date for the Annual Meeting, will be entitled to notice of and to vote at the Annual Meeting. On that date, there were 47,700,124 shares of common stock issued and outstanding, excluding shares held by the Company in treasury. Each share is entitled to one vote at the Annual Meeting.</w:t>
      </w:r>
    </w:p>
    <w:p>
      <w:pPr>
        <w:spacing w:after="0" w:line="12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 plurality of the votes properly cast for the election of directors is required to elect directors. A majority of the votes properly cast is required for all other matters. No votes may be taken at the Annual Meeting, other than a vote to adjourn, unless a quorum, consisting of a majority of the shares of our common stock outstanding as of the record date, is present in person or represented by proxy at the Annual Meeting. Any stockholder who attends the Annual Meeting may not withhold such stockholder’s shares from the quorum count by declaring such shares absent from the Annual Meeting. Shares voted to abstain or to withhold as to a particular matter, or as to which a nominee (such as a broker holding shares in street name for a beneficial owner) has no voting authority in respect of a particular matter, shall be deemed present for quorum purposes. With respect to all proposals presented at the Annual Meeting, such shares will not be deemed to be voting with respect to such matter and will not count as votes for or against such matter. Votes will be tabulated by our transfer agent subject to the supervision of persons designated by the Board of Directors as inspectors.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w:t>
      </w:r>
    </w:p>
    <w:p>
      <w:pPr>
        <w:spacing w:after="0" w:line="8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May 15, 2010. We were informed that, except as indicated, each person has sole voting and investment power with respect to all shares of our common stock shown as beneficially owned by such person, subject to community property laws where applicable.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Beneficially</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1"/>
        </w:trPr>
        <w:tc>
          <w:tcPr>
            <w:tcW w:w="85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620" w:type="dxa"/>
            <w:vAlign w:val="bottom"/>
          </w:tcPr>
          <w:p>
            <w:pPr>
              <w:spacing w:after="0"/>
              <w:rPr>
                <w:sz w:val="14"/>
                <w:szCs w:val="14"/>
                <w:color w:val="auto"/>
              </w:rPr>
            </w:pP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9"/>
              </w:rPr>
              <w:t>Owned</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Class(1)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FMR LLC</w:t>
            </w:r>
          </w:p>
        </w:tc>
        <w:tc>
          <w:tcPr>
            <w:tcW w:w="61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6,975,703(2)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82 Devonshire Street</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Massachusetts 02109</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520" w:type="dxa"/>
            <w:vAlign w:val="bottom"/>
            <w:gridSpan w:val="3"/>
          </w:tcPr>
          <w:p>
            <w:pPr>
              <w:spacing w:after="0"/>
              <w:rPr>
                <w:sz w:val="20"/>
                <w:szCs w:val="20"/>
                <w:color w:val="auto"/>
              </w:rPr>
            </w:pPr>
            <w:r>
              <w:rPr>
                <w:rFonts w:ascii="Arial" w:cs="Arial" w:eastAsia="Arial" w:hAnsi="Arial"/>
                <w:sz w:val="18"/>
                <w:szCs w:val="18"/>
                <w:color w:val="auto"/>
              </w:rPr>
              <w:t>Chilton Investment Company, LLC</w:t>
            </w:r>
          </w:p>
        </w:tc>
        <w:tc>
          <w:tcPr>
            <w:tcW w:w="2100" w:type="dxa"/>
            <w:vAlign w:val="bottom"/>
            <w:gridSpan w:val="3"/>
          </w:tcPr>
          <w:p>
            <w:pPr>
              <w:ind w:left="620"/>
              <w:spacing w:after="0"/>
              <w:rPr>
                <w:sz w:val="20"/>
                <w:szCs w:val="20"/>
                <w:color w:val="auto"/>
              </w:rPr>
            </w:pPr>
            <w:r>
              <w:rPr>
                <w:rFonts w:ascii="Arial" w:cs="Arial" w:eastAsia="Arial" w:hAnsi="Arial"/>
                <w:sz w:val="18"/>
                <w:szCs w:val="18"/>
                <w:color w:val="auto"/>
              </w:rPr>
              <w:t>6,531,506(3)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6"/>
        </w:trPr>
        <w:tc>
          <w:tcPr>
            <w:tcW w:w="8520" w:type="dxa"/>
            <w:vAlign w:val="bottom"/>
            <w:gridSpan w:val="3"/>
          </w:tcPr>
          <w:p>
            <w:pPr>
              <w:spacing w:after="0"/>
              <w:rPr>
                <w:sz w:val="20"/>
                <w:szCs w:val="20"/>
                <w:color w:val="auto"/>
              </w:rPr>
            </w:pPr>
            <w:r>
              <w:rPr>
                <w:rFonts w:ascii="Arial" w:cs="Arial" w:eastAsia="Arial" w:hAnsi="Arial"/>
                <w:sz w:val="18"/>
                <w:szCs w:val="18"/>
                <w:color w:val="auto"/>
              </w:rPr>
              <w:t>1266 East Main Street, 7</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20" w:type="dxa"/>
            <w:vAlign w:val="bottom"/>
            <w:gridSpan w:val="3"/>
          </w:tcPr>
          <w:p>
            <w:pPr>
              <w:spacing w:after="0"/>
              <w:rPr>
                <w:sz w:val="20"/>
                <w:szCs w:val="20"/>
                <w:color w:val="auto"/>
              </w:rPr>
            </w:pPr>
            <w:r>
              <w:rPr>
                <w:rFonts w:ascii="Arial" w:cs="Arial" w:eastAsia="Arial" w:hAnsi="Arial"/>
                <w:sz w:val="18"/>
                <w:szCs w:val="18"/>
                <w:color w:val="auto"/>
              </w:rPr>
              <w:t>Stamford, Connecticut 06902</w:t>
            </w: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400" w:type="dxa"/>
            <w:vAlign w:val="bottom"/>
          </w:tcPr>
          <w:p>
            <w:pPr>
              <w:spacing w:after="0"/>
              <w:rPr>
                <w:sz w:val="6"/>
                <w:szCs w:val="6"/>
                <w:color w:val="auto"/>
              </w:rPr>
            </w:pPr>
          </w:p>
        </w:tc>
        <w:tc>
          <w:tcPr>
            <w:tcW w:w="6100" w:type="dxa"/>
            <w:vAlign w:val="bottom"/>
          </w:tcPr>
          <w:p>
            <w:pPr>
              <w:spacing w:after="0"/>
              <w:rPr>
                <w:sz w:val="6"/>
                <w:szCs w:val="6"/>
                <w:color w:val="auto"/>
              </w:rPr>
            </w:pPr>
          </w:p>
        </w:tc>
        <w:tc>
          <w:tcPr>
            <w:tcW w:w="1320" w:type="dxa"/>
            <w:vAlign w:val="bottom"/>
            <w:gridSpan w:val="2"/>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2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5,687,869(4)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N. Wilkes Barre Blvd.</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Wilkes Barre, Pennsylvania 18702</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520" w:type="dxa"/>
            <w:vAlign w:val="bottom"/>
            <w:gridSpan w:val="3"/>
          </w:tcPr>
          <w:p>
            <w:pPr>
              <w:spacing w:after="0"/>
              <w:rPr>
                <w:sz w:val="20"/>
                <w:szCs w:val="20"/>
                <w:color w:val="auto"/>
              </w:rPr>
            </w:pPr>
            <w:r>
              <w:rPr>
                <w:rFonts w:ascii="Arial" w:cs="Arial" w:eastAsia="Arial" w:hAnsi="Arial"/>
                <w:sz w:val="18"/>
                <w:szCs w:val="18"/>
                <w:color w:val="auto"/>
              </w:rPr>
              <w:t>Glenhill Advisors, LLC</w:t>
            </w:r>
          </w:p>
        </w:tc>
        <w:tc>
          <w:tcPr>
            <w:tcW w:w="2100" w:type="dxa"/>
            <w:vAlign w:val="bottom"/>
            <w:gridSpan w:val="3"/>
          </w:tcPr>
          <w:p>
            <w:pPr>
              <w:ind w:left="620"/>
              <w:spacing w:after="0"/>
              <w:rPr>
                <w:sz w:val="20"/>
                <w:szCs w:val="20"/>
                <w:color w:val="auto"/>
              </w:rPr>
            </w:pPr>
            <w:r>
              <w:rPr>
                <w:rFonts w:ascii="Arial" w:cs="Arial" w:eastAsia="Arial" w:hAnsi="Arial"/>
                <w:sz w:val="18"/>
                <w:szCs w:val="18"/>
                <w:color w:val="auto"/>
              </w:rPr>
              <w:t>4,099,190(5)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8520" w:type="dxa"/>
            <w:vAlign w:val="bottom"/>
            <w:gridSpan w:val="3"/>
          </w:tcPr>
          <w:p>
            <w:pPr>
              <w:spacing w:after="0"/>
              <w:rPr>
                <w:sz w:val="20"/>
                <w:szCs w:val="20"/>
                <w:color w:val="auto"/>
              </w:rPr>
            </w:pPr>
            <w:r>
              <w:rPr>
                <w:rFonts w:ascii="Arial" w:cs="Arial" w:eastAsia="Arial" w:hAnsi="Arial"/>
                <w:sz w:val="18"/>
                <w:szCs w:val="18"/>
                <w:color w:val="auto"/>
              </w:rPr>
              <w:t>Glenn J. Krevlin</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20" w:type="dxa"/>
            <w:vAlign w:val="bottom"/>
            <w:gridSpan w:val="3"/>
          </w:tcPr>
          <w:p>
            <w:pPr>
              <w:spacing w:after="0"/>
              <w:rPr>
                <w:sz w:val="20"/>
                <w:szCs w:val="20"/>
                <w:color w:val="auto"/>
              </w:rPr>
            </w:pPr>
            <w:r>
              <w:rPr>
                <w:rFonts w:ascii="Arial" w:cs="Arial" w:eastAsia="Arial" w:hAnsi="Arial"/>
                <w:sz w:val="18"/>
                <w:szCs w:val="18"/>
                <w:color w:val="auto"/>
              </w:rPr>
              <w:t>Glenhill Capital Management, LLC</w:t>
            </w: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20" w:type="dxa"/>
            <w:vAlign w:val="bottom"/>
            <w:gridSpan w:val="3"/>
          </w:tcPr>
          <w:p>
            <w:pPr>
              <w:spacing w:after="0"/>
              <w:rPr>
                <w:sz w:val="20"/>
                <w:szCs w:val="20"/>
                <w:color w:val="auto"/>
              </w:rPr>
            </w:pPr>
            <w:r>
              <w:rPr>
                <w:rFonts w:ascii="Arial" w:cs="Arial" w:eastAsia="Arial" w:hAnsi="Arial"/>
                <w:sz w:val="18"/>
                <w:szCs w:val="18"/>
                <w:color w:val="auto"/>
              </w:rPr>
              <w:t>156 West 56</w:t>
            </w:r>
            <w:r>
              <w:rPr>
                <w:rFonts w:ascii="Arial" w:cs="Arial" w:eastAsia="Arial" w:hAnsi="Arial"/>
                <w:sz w:val="11"/>
                <w:szCs w:val="11"/>
                <w:color w:val="auto"/>
              </w:rPr>
              <w:t>th</w:t>
            </w:r>
            <w:r>
              <w:rPr>
                <w:rFonts w:ascii="Arial" w:cs="Arial" w:eastAsia="Arial" w:hAnsi="Arial"/>
                <w:sz w:val="18"/>
                <w:szCs w:val="18"/>
                <w:color w:val="auto"/>
              </w:rPr>
              <w:t xml:space="preserve"> Street, 17</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20" w:type="dxa"/>
            <w:vAlign w:val="bottom"/>
            <w:gridSpan w:val="3"/>
          </w:tcPr>
          <w:p>
            <w:pPr>
              <w:spacing w:after="0"/>
              <w:rPr>
                <w:sz w:val="20"/>
                <w:szCs w:val="20"/>
                <w:color w:val="auto"/>
              </w:rPr>
            </w:pPr>
            <w:r>
              <w:rPr>
                <w:rFonts w:ascii="Arial" w:cs="Arial" w:eastAsia="Arial" w:hAnsi="Arial"/>
                <w:sz w:val="18"/>
                <w:szCs w:val="18"/>
                <w:color w:val="auto"/>
              </w:rPr>
              <w:t>New York, New York 10019</w:t>
            </w: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400" w:type="dxa"/>
            <w:vAlign w:val="bottom"/>
          </w:tcPr>
          <w:p>
            <w:pPr>
              <w:spacing w:after="0"/>
              <w:rPr>
                <w:sz w:val="7"/>
                <w:szCs w:val="7"/>
                <w:color w:val="auto"/>
              </w:rPr>
            </w:pPr>
          </w:p>
        </w:tc>
        <w:tc>
          <w:tcPr>
            <w:tcW w:w="6100" w:type="dxa"/>
            <w:vAlign w:val="bottom"/>
          </w:tcPr>
          <w:p>
            <w:pPr>
              <w:spacing w:after="0"/>
              <w:rPr>
                <w:sz w:val="7"/>
                <w:szCs w:val="7"/>
                <w:color w:val="auto"/>
              </w:rPr>
            </w:pPr>
          </w:p>
        </w:tc>
        <w:tc>
          <w:tcPr>
            <w:tcW w:w="1320" w:type="dxa"/>
            <w:vAlign w:val="bottom"/>
            <w:gridSpan w:val="2"/>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Royce &amp; Associates, LLC</w:t>
            </w:r>
          </w:p>
        </w:tc>
        <w:tc>
          <w:tcPr>
            <w:tcW w:w="2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4,088,734(6)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745 Fifth Avenue</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10151</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520" w:type="dxa"/>
            <w:vAlign w:val="bottom"/>
            <w:gridSpan w:val="3"/>
          </w:tcPr>
          <w:p>
            <w:pPr>
              <w:spacing w:after="0"/>
              <w:rPr>
                <w:sz w:val="20"/>
                <w:szCs w:val="20"/>
                <w:color w:val="auto"/>
              </w:rPr>
            </w:pPr>
            <w:r>
              <w:rPr>
                <w:rFonts w:ascii="Arial" w:cs="Arial" w:eastAsia="Arial" w:hAnsi="Arial"/>
                <w:sz w:val="18"/>
                <w:szCs w:val="18"/>
                <w:color w:val="auto"/>
              </w:rPr>
              <w:t>RBC Global Asset Management (U.S.) Inc.</w:t>
            </w:r>
          </w:p>
        </w:tc>
        <w:tc>
          <w:tcPr>
            <w:tcW w:w="2100" w:type="dxa"/>
            <w:vAlign w:val="bottom"/>
            <w:gridSpan w:val="3"/>
          </w:tcPr>
          <w:p>
            <w:pPr>
              <w:ind w:left="620"/>
              <w:spacing w:after="0"/>
              <w:rPr>
                <w:sz w:val="20"/>
                <w:szCs w:val="20"/>
                <w:color w:val="auto"/>
              </w:rPr>
            </w:pPr>
            <w:r>
              <w:rPr>
                <w:rFonts w:ascii="Arial" w:cs="Arial" w:eastAsia="Arial" w:hAnsi="Arial"/>
                <w:sz w:val="18"/>
                <w:szCs w:val="18"/>
                <w:color w:val="auto"/>
              </w:rPr>
              <w:t>2,509,571(7)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8520" w:type="dxa"/>
            <w:vAlign w:val="bottom"/>
            <w:gridSpan w:val="3"/>
          </w:tcPr>
          <w:p>
            <w:pPr>
              <w:spacing w:after="0"/>
              <w:rPr>
                <w:sz w:val="20"/>
                <w:szCs w:val="20"/>
                <w:color w:val="auto"/>
              </w:rPr>
            </w:pPr>
            <w:r>
              <w:rPr>
                <w:rFonts w:ascii="Arial" w:cs="Arial" w:eastAsia="Arial" w:hAnsi="Arial"/>
                <w:sz w:val="18"/>
                <w:szCs w:val="18"/>
                <w:color w:val="auto"/>
              </w:rPr>
              <w:t>100 South Fifth Street</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3"/>
          </w:tcPr>
          <w:p>
            <w:pPr>
              <w:spacing w:after="0"/>
              <w:rPr>
                <w:sz w:val="20"/>
                <w:szCs w:val="20"/>
                <w:color w:val="auto"/>
              </w:rPr>
            </w:pPr>
            <w:r>
              <w:rPr>
                <w:rFonts w:ascii="Arial" w:cs="Arial" w:eastAsia="Arial" w:hAnsi="Arial"/>
                <w:sz w:val="18"/>
                <w:szCs w:val="18"/>
                <w:color w:val="auto"/>
              </w:rPr>
              <w:t>Suite 2300</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20" w:type="dxa"/>
            <w:vAlign w:val="bottom"/>
            <w:gridSpan w:val="3"/>
          </w:tcPr>
          <w:p>
            <w:pPr>
              <w:spacing w:after="0"/>
              <w:rPr>
                <w:sz w:val="20"/>
                <w:szCs w:val="20"/>
                <w:color w:val="auto"/>
              </w:rPr>
            </w:pPr>
            <w:r>
              <w:rPr>
                <w:rFonts w:ascii="Arial" w:cs="Arial" w:eastAsia="Arial" w:hAnsi="Arial"/>
                <w:sz w:val="18"/>
                <w:szCs w:val="18"/>
                <w:color w:val="auto"/>
              </w:rPr>
              <w:t>Minneapolis, Minnesota 55402</w:t>
            </w: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line="283"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Securities and Exchange Commission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47,691,110 shares of our common stock outstanding as of May 15, 2010, plus securities deemed to be outstanding with respect to individual stockholders pursuant to Rule 13d-3(d)(1) under the Securities Exchange Act of 1934, as amended (“Exchange Act”).</w:t>
      </w:r>
    </w:p>
    <w:p>
      <w:pPr>
        <w:spacing w:after="0" w:line="1" w:lineRule="exact"/>
        <w:rPr>
          <w:rFonts w:ascii="Arial" w:cs="Arial" w:eastAsia="Arial" w:hAnsi="Arial"/>
          <w:sz w:val="16"/>
          <w:szCs w:val="16"/>
          <w:color w:val="auto"/>
        </w:rPr>
      </w:pPr>
    </w:p>
    <w:p>
      <w:pPr>
        <w:ind w:left="460" w:right="12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received Amendment No. 1 to Schedule 13G, dated as of December 31, 2009, stating that FMR LLC was the beneficial owner of the number of shares of common stock set forth opposite its name in the table.</w:t>
      </w:r>
    </w:p>
    <w:p>
      <w:pPr>
        <w:ind w:left="460" w:right="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received Amendment No. 6 to Schedule 13G, dated as of November 30, 2009, stating that Chilton Investment Company, LLC was the beneficial owner of the number of shares of common stock set forth opposite its name in the table.</w:t>
      </w:r>
    </w:p>
    <w:p>
      <w:pPr>
        <w:ind w:left="460" w:right="30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3,947,869 outstanding shares of common stock, 1,660,000 shares subject to options exercisable within 60 days, and 80,000 shares subject to warrants exercisable within 60 days.</w:t>
      </w:r>
    </w:p>
    <w:p>
      <w:pPr>
        <w:ind w:left="460" w:right="52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received Amendment No. 1 to Schedule 13G, dated as of December 31, 2009, stating that Glenhill Advisors, LLC, Glenn J. Krevlin and Glenhill Capital Management, LLC were the beneficial owners of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 w:name="page5"/>
    <w:bookmarkEnd w:id="4"/>
    <w:p>
      <w:pPr>
        <w:ind w:left="460"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of common stock set forth opposite their names in the table. Glenn J. Krevlin is the managing member and control person of Glenhill Advisors, LLC. Glenhill Advisors, LLC is the managing member of Glenhill Capital Management, LLC. Glenhill Capital Management, LLC is the general partner and investment advisor of Glenhill Capital LP, a security holder of the Company, managing member of Glenhill Concentrated Long Master Fund, LLC, a security holder of the Company, and sole shareholder of Glenhill Capital Overseas GP, Ltd. Glenhill Capital Overseas GP, Ltd. is general partner of Glenhill Capital Overseas Master Fund, LP, a security holder of the Company.</w:t>
      </w:r>
    </w:p>
    <w:p>
      <w:pPr>
        <w:spacing w:after="0" w:line="2" w:lineRule="exact"/>
        <w:rPr>
          <w:sz w:val="20"/>
          <w:szCs w:val="20"/>
          <w:color w:val="auto"/>
        </w:rPr>
      </w:pPr>
    </w:p>
    <w:p>
      <w:pPr>
        <w:ind w:left="460" w:right="8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received Amendment No. 3 to Schedule 13G, dated December 31, 2009, stating that Royce &amp; Associates, LLC was the beneficial owner of the number of shares of common stock set forth opposite its name in the table.</w:t>
      </w:r>
    </w:p>
    <w:p>
      <w:pPr>
        <w:ind w:left="460" w:right="8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received a Schedule 13G, dated December 31, 2009, stating that RBC Global Asset Management (U.S.) Inc. was the beneficial owner of the number of shares of common stock set forth opposite its name in the table.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following table sets forth certain information as of May 15, 2010, with respect to our directors, our Named Executive Officers (as defined below under “Executive Compensation”)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6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6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6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1"/>
        </w:trPr>
        <w:tc>
          <w:tcPr>
            <w:tcW w:w="8040" w:type="dxa"/>
            <w:vAlign w:val="bottom"/>
            <w:gridSpan w:val="3"/>
          </w:tcPr>
          <w:p>
            <w:pPr>
              <w:spacing w:after="0"/>
              <w:rPr>
                <w:sz w:val="20"/>
                <w:szCs w:val="20"/>
                <w:color w:val="auto"/>
              </w:rPr>
            </w:pPr>
            <w:r>
              <w:rPr>
                <w:rFonts w:ascii="Arial" w:cs="Arial" w:eastAsia="Arial" w:hAnsi="Arial"/>
                <w:sz w:val="14"/>
                <w:szCs w:val="14"/>
                <w:b w:val="1"/>
                <w:bCs w:val="1"/>
                <w:color w:val="auto"/>
              </w:rPr>
              <w:t>Name and Title</w:t>
            </w:r>
          </w:p>
        </w:tc>
        <w:tc>
          <w:tcPr>
            <w:tcW w:w="820" w:type="dxa"/>
            <w:vAlign w:val="bottom"/>
          </w:tcPr>
          <w:p>
            <w:pPr>
              <w:spacing w:after="0"/>
              <w:rPr>
                <w:sz w:val="14"/>
                <w:szCs w:val="14"/>
                <w:color w:val="auto"/>
              </w:rPr>
            </w:pPr>
          </w:p>
        </w:tc>
        <w:tc>
          <w:tcPr>
            <w:tcW w:w="176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9"/>
              </w:rPr>
              <w:t>Owned</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Class(1)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25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5,687,869(2)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of the Board and Director</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2580" w:type="dxa"/>
            <w:vAlign w:val="bottom"/>
            <w:gridSpan w:val="3"/>
          </w:tcPr>
          <w:p>
            <w:pPr>
              <w:jc w:val="right"/>
              <w:ind w:right="860"/>
              <w:spacing w:after="0"/>
              <w:rPr>
                <w:sz w:val="20"/>
                <w:szCs w:val="20"/>
                <w:color w:val="auto"/>
              </w:rPr>
            </w:pPr>
            <w:r>
              <w:rPr>
                <w:rFonts w:ascii="Arial" w:cs="Arial" w:eastAsia="Arial" w:hAnsi="Arial"/>
                <w:sz w:val="18"/>
                <w:szCs w:val="18"/>
                <w:color w:val="auto"/>
              </w:rPr>
              <w:t>1,210,379(3)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President and Director</w:t>
            </w: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25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380,941(4)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 Executive Vice President,</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 Treasurer and Secretary</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Mark E. Bean</w:t>
            </w:r>
          </w:p>
        </w:tc>
        <w:tc>
          <w:tcPr>
            <w:tcW w:w="820" w:type="dxa"/>
            <w:vAlign w:val="bottom"/>
          </w:tcPr>
          <w:p>
            <w:pPr>
              <w:spacing w:after="0"/>
              <w:rPr>
                <w:sz w:val="18"/>
                <w:szCs w:val="18"/>
                <w:color w:val="auto"/>
              </w:rPr>
            </w:pPr>
          </w:p>
        </w:tc>
        <w:tc>
          <w:tcPr>
            <w:tcW w:w="1760" w:type="dxa"/>
            <w:vAlign w:val="bottom"/>
            <w:gridSpan w:val="2"/>
          </w:tcPr>
          <w:p>
            <w:pPr>
              <w:jc w:val="right"/>
              <w:ind w:right="860"/>
              <w:spacing w:after="0"/>
              <w:rPr>
                <w:sz w:val="20"/>
                <w:szCs w:val="20"/>
                <w:color w:val="auto"/>
              </w:rPr>
            </w:pPr>
            <w:r>
              <w:rPr>
                <w:rFonts w:ascii="Arial" w:cs="Arial" w:eastAsia="Arial" w:hAnsi="Arial"/>
                <w:sz w:val="18"/>
                <w:szCs w:val="18"/>
                <w:color w:val="auto"/>
              </w:rPr>
              <w:t>36,667(5)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2"/>
          </w:tcPr>
          <w:p>
            <w:pPr>
              <w:ind w:left="200"/>
              <w:spacing w:after="0"/>
              <w:rPr>
                <w:sz w:val="20"/>
                <w:szCs w:val="20"/>
                <w:color w:val="auto"/>
              </w:rPr>
            </w:pPr>
            <w:r>
              <w:rPr>
                <w:rFonts w:ascii="Arial" w:cs="Arial" w:eastAsia="Arial" w:hAnsi="Arial"/>
                <w:sz w:val="18"/>
                <w:szCs w:val="18"/>
                <w:color w:val="auto"/>
              </w:rPr>
              <w:t>Former Senior Vice President of Store Sales and Operations</w:t>
            </w: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J. Metscher</w:t>
            </w:r>
          </w:p>
        </w:tc>
        <w:tc>
          <w:tcPr>
            <w:tcW w:w="25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45,667(6)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Vice President, General Merchandise Manager,</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Businesses</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820" w:type="dxa"/>
            <w:vAlign w:val="bottom"/>
          </w:tcPr>
          <w:p>
            <w:pPr>
              <w:spacing w:after="0"/>
              <w:rPr>
                <w:sz w:val="18"/>
                <w:szCs w:val="18"/>
                <w:color w:val="auto"/>
              </w:rPr>
            </w:pPr>
          </w:p>
        </w:tc>
        <w:tc>
          <w:tcPr>
            <w:tcW w:w="1760" w:type="dxa"/>
            <w:vAlign w:val="bottom"/>
            <w:gridSpan w:val="2"/>
          </w:tcPr>
          <w:p>
            <w:pPr>
              <w:jc w:val="right"/>
              <w:ind w:right="860"/>
              <w:spacing w:after="0"/>
              <w:rPr>
                <w:sz w:val="20"/>
                <w:szCs w:val="20"/>
                <w:color w:val="auto"/>
              </w:rPr>
            </w:pPr>
            <w:r>
              <w:rPr>
                <w:rFonts w:ascii="Arial" w:cs="Arial" w:eastAsia="Arial" w:hAnsi="Arial"/>
                <w:sz w:val="18"/>
                <w:szCs w:val="18"/>
                <w:color w:val="auto"/>
              </w:rPr>
              <w:t>47,917(7)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2"/>
          </w:tcPr>
          <w:p>
            <w:pPr>
              <w:ind w:left="200"/>
              <w:spacing w:after="0"/>
              <w:rPr>
                <w:sz w:val="20"/>
                <w:szCs w:val="20"/>
                <w:color w:val="auto"/>
              </w:rPr>
            </w:pPr>
            <w:r>
              <w:rPr>
                <w:rFonts w:ascii="Arial" w:cs="Arial" w:eastAsia="Arial" w:hAnsi="Arial"/>
                <w:sz w:val="18"/>
                <w:szCs w:val="18"/>
                <w:color w:val="auto"/>
              </w:rPr>
              <w:t>Senior Vice President and General Counsel</w:t>
            </w: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 Director</w:t>
            </w:r>
          </w:p>
        </w:tc>
        <w:tc>
          <w:tcPr>
            <w:tcW w:w="25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88,296(8)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Jesse Choper, Director</w:t>
            </w:r>
          </w:p>
        </w:tc>
        <w:tc>
          <w:tcPr>
            <w:tcW w:w="2580" w:type="dxa"/>
            <w:vAlign w:val="bottom"/>
            <w:gridSpan w:val="3"/>
          </w:tcPr>
          <w:p>
            <w:pPr>
              <w:jc w:val="right"/>
              <w:ind w:right="860"/>
              <w:spacing w:after="0"/>
              <w:rPr>
                <w:sz w:val="20"/>
                <w:szCs w:val="20"/>
                <w:color w:val="auto"/>
              </w:rPr>
            </w:pPr>
            <w:r>
              <w:rPr>
                <w:rFonts w:ascii="Arial" w:cs="Arial" w:eastAsia="Arial" w:hAnsi="Arial"/>
                <w:sz w:val="18"/>
                <w:szCs w:val="18"/>
                <w:color w:val="auto"/>
              </w:rPr>
              <w:t>178,825(9)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E. Kyees, Director</w:t>
            </w:r>
          </w:p>
        </w:tc>
        <w:tc>
          <w:tcPr>
            <w:tcW w:w="25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5,000(10)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Ward K. Mooney, Director</w:t>
            </w:r>
          </w:p>
        </w:tc>
        <w:tc>
          <w:tcPr>
            <w:tcW w:w="2580" w:type="dxa"/>
            <w:vAlign w:val="bottom"/>
            <w:gridSpan w:val="3"/>
          </w:tcPr>
          <w:p>
            <w:pPr>
              <w:jc w:val="right"/>
              <w:ind w:right="780"/>
              <w:spacing w:after="0"/>
              <w:rPr>
                <w:sz w:val="20"/>
                <w:szCs w:val="20"/>
                <w:color w:val="auto"/>
              </w:rPr>
            </w:pPr>
            <w:r>
              <w:rPr>
                <w:rFonts w:ascii="Arial" w:cs="Arial" w:eastAsia="Arial" w:hAnsi="Arial"/>
                <w:sz w:val="18"/>
                <w:szCs w:val="18"/>
                <w:color w:val="auto"/>
              </w:rPr>
              <w:t>31,940(11)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 Porter, Jr., Director</w:t>
            </w:r>
          </w:p>
        </w:tc>
        <w:tc>
          <w:tcPr>
            <w:tcW w:w="25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173,891(9)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Mitchell S. Presser, Director</w:t>
            </w:r>
          </w:p>
        </w:tc>
        <w:tc>
          <w:tcPr>
            <w:tcW w:w="2580" w:type="dxa"/>
            <w:vAlign w:val="bottom"/>
            <w:gridSpan w:val="3"/>
          </w:tcPr>
          <w:p>
            <w:pPr>
              <w:jc w:val="right"/>
              <w:ind w:right="780"/>
              <w:spacing w:after="0"/>
              <w:rPr>
                <w:sz w:val="20"/>
                <w:szCs w:val="20"/>
                <w:color w:val="auto"/>
              </w:rPr>
            </w:pPr>
            <w:r>
              <w:rPr>
                <w:rFonts w:ascii="Arial" w:cs="Arial" w:eastAsia="Arial" w:hAnsi="Arial"/>
                <w:sz w:val="18"/>
                <w:szCs w:val="18"/>
                <w:color w:val="auto"/>
              </w:rPr>
              <w:t>32,228(11)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Executive Officers as a group (21 persons)</w:t>
            </w:r>
          </w:p>
        </w:tc>
        <w:tc>
          <w:tcPr>
            <w:tcW w:w="25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8,300,946(12)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20" w:hanging="452"/>
        <w:spacing w:after="0" w:line="30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 w:name="page6"/>
    <w:bookmarkEnd w:id="5"/>
    <w:p>
      <w:pPr>
        <w:ind w:left="452"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deemed outstanding. Such shares, however, are not deemed outstanding for the purpose of computing the percentage ownership of any other person. Percentage ownership is based on 47,691,110 shares of our common stock outstanding as of May 15, 2010, plus securities deemed to be outstanding with respect to individual stockholders pursuant to Rule 13d-3(d)(1) under the Exchange Act.</w:t>
      </w:r>
    </w:p>
    <w:p>
      <w:pPr>
        <w:ind w:left="452" w:right="300" w:hanging="452"/>
        <w:spacing w:after="0" w:line="250"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Holtzman may be deemed to have shared voting and investment power over 5,687,869 shares of common stock, which includes 1,660,000 shares subject to stock options and 80,000 shares subject to warrants, in each case exercisable within 60 days.</w:t>
      </w:r>
    </w:p>
    <w:p>
      <w:pPr>
        <w:ind w:left="452" w:hanging="452"/>
        <w:spacing w:after="0" w:line="250"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350,000 shares subject to stock options exercisable within 60 days, 152,434 shares of unvested restricted stock and 3,539 shares held pursuant to his 401(k) Plan account.</w:t>
      </w: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111,526 shares subject to stock options exercisable within 60 days and 116,866 shares of unvested restricted stock.</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16,667 shares subject to stock options exercisable within 60 days and 20,000 shares of unvested restricted stock.</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6,667 shares subject to stock options exercisable within 60 days and 20,000 shares of unvested restricted stock.</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6,667 shares subject to stock options exercisable within 60 days and 34,250 shares of unvested restricted stock.</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61,667 shares subject to stock options exercisable within 60 days and 4,000 shares subject to warrants exercisable within 60 days.</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91,667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5,000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16,667 shares subject to stock options exercisable within 60 days.</w:t>
      </w:r>
    </w:p>
    <w:p>
      <w:pPr>
        <w:spacing w:after="0" w:line="9" w:lineRule="exact"/>
        <w:rPr>
          <w:rFonts w:ascii="Arial" w:cs="Arial" w:eastAsia="Arial" w:hAnsi="Arial"/>
          <w:sz w:val="18"/>
          <w:szCs w:val="18"/>
          <w:color w:val="auto"/>
        </w:rPr>
      </w:pPr>
    </w:p>
    <w:p>
      <w:pPr>
        <w:ind w:left="452" w:right="260" w:hanging="452"/>
        <w:spacing w:after="0" w:line="261"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2,536,534 shares subject to stock options and 84,000 shares subject to warrants exercisable within 60 days and 513,550 of unvested shares of restricted stock.</w:t>
      </w:r>
    </w:p>
    <w:p>
      <w:pPr>
        <w:spacing w:after="0" w:line="124"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52"/>
          </w:cols>
          <w:pgMar w:left="248" w:top="280" w:right="3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Board of Directors, in accordance with our By-Laws, as amended (the “By-Laws”), has set the number of members of our Board of Directors at nine. At the Annual Meeting, eight nominees are to be elected to serve on the Board until the 2011 Annual Meeting of Stockholders and until their respective successors have been duly elected and qualified (leaving one vacancy). All of the nominees currently serve as members of our Board of Directors. Unless a proxy shall specify that it is not to be voted for a nominee, it is intended that the shares represented by each duly executed and returned proxy will be voted in favor of the election as directors of Seymour Holtzman, David A. Levin, Alan S. Bernikow, Jesse Choper, John E. Kyees, Ward K. Mooney, George T. Porter Jr. and Mitchell S. Presser. Although the Board of Directors is actively searching for a ninth board member, the Board of Directors does not intend to nominate an individual to fill the vacancy at this time, although, in accordance with our By-Laws, a new director could be named at any time. Although management expects all nominees to accept nomination and to serve if elected, proxies will be voted for a substitute if a nominee is unable or unwilling to accept nomination or election. Cumulative voting is not permitted.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that you vote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the eight individuals named below as directors of our Company.</w:t>
      </w:r>
    </w:p>
    <w:p>
      <w:pPr>
        <w:spacing w:after="0" w:line="15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Set forth below is certain information regarding our directors, including information furnished by them as to their principal occupations and business experience for the past five years, certain directorships held by each director within the past five years, their respective ages as of May 15, 2010 and the year in which each became a director of our Company: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DIRECTOR</w:t>
            </w:r>
          </w:p>
        </w:tc>
      </w:tr>
      <w:tr>
        <w:trPr>
          <w:trHeight w:val="161"/>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NAME(1)</w:t>
            </w:r>
          </w:p>
        </w:tc>
        <w:tc>
          <w:tcPr>
            <w:tcW w:w="394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AGE</w:t>
            </w:r>
          </w:p>
        </w:tc>
        <w:tc>
          <w:tcPr>
            <w:tcW w:w="258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c>
          <w:tcPr>
            <w:tcW w:w="25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SINCE</w:t>
            </w:r>
          </w:p>
        </w:tc>
      </w:tr>
      <w:tr>
        <w:trPr>
          <w:trHeight w:val="201"/>
        </w:trPr>
        <w:tc>
          <w:tcPr>
            <w:tcW w:w="600" w:type="dxa"/>
            <w:vAlign w:val="bottom"/>
          </w:tcPr>
          <w:p>
            <w:pPr>
              <w:spacing w:after="0" w:line="201" w:lineRule="exact"/>
              <w:rPr>
                <w:sz w:val="20"/>
                <w:szCs w:val="20"/>
                <w:color w:val="auto"/>
              </w:rPr>
            </w:pPr>
            <w:r>
              <w:rPr>
                <w:rFonts w:ascii="Arial" w:cs="Arial" w:eastAsia="Arial" w:hAnsi="Arial"/>
                <w:sz w:val="18"/>
                <w:szCs w:val="18"/>
                <w:color w:val="auto"/>
                <w:w w:val="80"/>
              </w:rPr>
              <w:t>Seymour</w:t>
            </w:r>
          </w:p>
        </w:tc>
        <w:tc>
          <w:tcPr>
            <w:tcW w:w="3940" w:type="dxa"/>
            <w:vAlign w:val="bottom"/>
          </w:tcPr>
          <w:p>
            <w:pPr>
              <w:ind w:left="80"/>
              <w:spacing w:after="0" w:line="201" w:lineRule="exact"/>
              <w:rPr>
                <w:sz w:val="20"/>
                <w:szCs w:val="20"/>
                <w:color w:val="auto"/>
              </w:rPr>
            </w:pPr>
            <w:r>
              <w:rPr>
                <w:rFonts w:ascii="Arial" w:cs="Arial" w:eastAsia="Arial" w:hAnsi="Arial"/>
                <w:sz w:val="18"/>
                <w:szCs w:val="18"/>
                <w:color w:val="auto"/>
              </w:rPr>
              <w:t>Holtzman</w:t>
            </w:r>
          </w:p>
        </w:tc>
        <w:tc>
          <w:tcPr>
            <w:tcW w:w="280" w:type="dxa"/>
            <w:vAlign w:val="bottom"/>
          </w:tcPr>
          <w:p>
            <w:pPr>
              <w:jc w:val="center"/>
              <w:spacing w:after="0" w:line="201" w:lineRule="exact"/>
              <w:rPr>
                <w:sz w:val="20"/>
                <w:szCs w:val="20"/>
                <w:color w:val="auto"/>
              </w:rPr>
            </w:pPr>
            <w:r>
              <w:rPr>
                <w:rFonts w:ascii="Arial" w:cs="Arial" w:eastAsia="Arial" w:hAnsi="Arial"/>
                <w:sz w:val="18"/>
                <w:szCs w:val="18"/>
                <w:color w:val="auto"/>
                <w:w w:val="79"/>
              </w:rPr>
              <w:t>74</w:t>
            </w:r>
          </w:p>
        </w:tc>
        <w:tc>
          <w:tcPr>
            <w:tcW w:w="3300" w:type="dxa"/>
            <w:vAlign w:val="bottom"/>
            <w:gridSpan w:val="2"/>
          </w:tcPr>
          <w:p>
            <w:pPr>
              <w:ind w:left="440"/>
              <w:spacing w:after="0" w:line="201" w:lineRule="exact"/>
              <w:rPr>
                <w:sz w:val="20"/>
                <w:szCs w:val="20"/>
                <w:color w:val="auto"/>
              </w:rPr>
            </w:pPr>
            <w:r>
              <w:rPr>
                <w:rFonts w:ascii="Arial" w:cs="Arial" w:eastAsia="Arial" w:hAnsi="Arial"/>
                <w:sz w:val="18"/>
                <w:szCs w:val="18"/>
                <w:color w:val="auto"/>
                <w:w w:val="99"/>
              </w:rPr>
              <w:t>Chairman of the Board and Director</w:t>
            </w:r>
          </w:p>
        </w:tc>
        <w:tc>
          <w:tcPr>
            <w:tcW w:w="25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9"/>
              </w:rPr>
              <w:t>2000</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59</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President, Chief Executive Officer and Director</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2000</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69</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Director(2),(3)</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2003</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74</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Director(2),(3),(4)</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1999</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John E. Kyees</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63</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Director(2),(5)</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2010</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61</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Director(4)</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2006</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63</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Director(4),(6)</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1999</w:t>
            </w: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45</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Director(3)</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Robert L. Sockolov, a director of the Company since 2004, resigned effective March 29, 2010.</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member of the Compensation Committee.</w:t>
      </w:r>
    </w:p>
    <w:p>
      <w:pPr>
        <w:spacing w:after="0" w:line="9"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Kyees was appointed a director of the Company on May 3, 2010. Mr. Kyees was also appointed a member of the Audit Committee effective May 3, 2010.</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Porter was a member of the Audit Committee until his seat was filled by Mr. Kyees effective May 3, 2010.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Seymour Holtzman</w:t>
      </w:r>
      <w:r>
        <w:rPr>
          <w:rFonts w:ascii="Arial" w:cs="Arial" w:eastAsia="Arial" w:hAnsi="Arial"/>
          <w:sz w:val="16"/>
          <w:szCs w:val="16"/>
          <w:color w:val="auto"/>
        </w:rPr>
        <w:t>, has been a director since April 7, 2000 and Chairman of the Board since April 11, 2000. On May 25, 2001, the Board of Directors hired</w:t>
      </w:r>
    </w:p>
    <w:p>
      <w:pPr>
        <w:spacing w:after="0" w:line="3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Mr. Holtzman as an officer and employee. Mr. Holtzman has been involved in the retail business for over 40 years. For many years, he has been the President and Chief Executive Officer of Jewelcor, Incorporated, a former New York Stock Exchange listed company that operated a chain of retail stores. From 1986 to 1988, Mr. Holtzman was Chairman of the Board and also Chief Executive Officer of Gruen Marketing Corporation, an American Stock Exchange listed company involved in the nationwide distribution of watches. Mr. Holtzman was formerly on the board of directors of two banks. For at least the last five years, Mr. Holtzman has served as Chairman and Chief Executive Officer of Jewelcor Management, Inc., a</w:t>
      </w:r>
    </w:p>
    <w:p>
      <w:pPr>
        <w:spacing w:after="0" w:line="10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7" w:name="page8"/>
    <w:bookmarkEnd w:id="7"/>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primarily involved in investment and management services; and he is the owner of C.D. Peacock, Inc., a Chicago, Illinois retail jewelry establishment, and the owner of Homeclick, LLC, a privately held internet retailer specializing in luxury brands for the home. Mr. Holtzman is currently the Chief Executive Officer and Co-Chairman of the Board of George Foreman Enterprises, Inc. (OTCBB: “GFME.PK”), formerly MM Companies, Inc. Mr. Holtzman is a successful entrepreneur with extensive experience working with public companies and provides valuable insight to the Board with respect to strategic planning.</w:t>
      </w:r>
    </w:p>
    <w:p>
      <w:pPr>
        <w:spacing w:after="0" w:line="9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David A. Levin </w:t>
      </w:r>
      <w:r>
        <w:rPr>
          <w:rFonts w:ascii="Arial" w:cs="Arial" w:eastAsia="Arial" w:hAnsi="Arial"/>
          <w:sz w:val="16"/>
          <w:szCs w:val="16"/>
          <w:color w:val="auto"/>
        </w:rPr>
        <w:t>has been our President and Chief Executive Officer since April 10, 2000 and a director since April 11, 2000. From 1999 to 2000, he served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 Since joining the Company, Mr. Levin has been instrumental in transforming the Company from a company which exclusively operated Levi Strauss &amp; Co. branded apparel to the largest specialty retailer of big &amp; tall men’s apparel. In addition, Mr. Levin brings to the Board valuable experience in merchandising and marketing initiatives.</w:t>
      </w:r>
    </w:p>
    <w:p>
      <w:pPr>
        <w:spacing w:after="0" w:line="107"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i w:val="1"/>
          <w:iCs w:val="1"/>
          <w:color w:val="auto"/>
        </w:rPr>
        <w:t xml:space="preserve">Alan S. Bernikow </w:t>
      </w:r>
      <w:r>
        <w:rPr>
          <w:rFonts w:ascii="Arial" w:cs="Arial" w:eastAsia="Arial" w:hAnsi="Arial"/>
          <w:sz w:val="16"/>
          <w:szCs w:val="16"/>
          <w:color w:val="auto"/>
        </w:rPr>
        <w:t>has been a director since June 29, 2003. From 1998 until his retirement in May 2003, Mr. Bernikow was the Deputy Chief Executive Officer at</w:t>
      </w:r>
      <w:r>
        <w:rPr>
          <w:rFonts w:ascii="Arial" w:cs="Arial" w:eastAsia="Arial" w:hAnsi="Arial"/>
          <w:sz w:val="16"/>
          <w:szCs w:val="16"/>
          <w:i w:val="1"/>
          <w:iCs w:val="1"/>
          <w:color w:val="auto"/>
        </w:rPr>
        <w:t xml:space="preserve"> </w:t>
      </w:r>
      <w:r>
        <w:rPr>
          <w:rFonts w:ascii="Arial" w:cs="Arial" w:eastAsia="Arial" w:hAnsi="Arial"/>
          <w:sz w:val="16"/>
          <w:szCs w:val="16"/>
          <w:color w:val="auto"/>
        </w:rPr>
        <w:t>Deloitte &amp; Touche LLP where he was responsible for assisting the firm on special projects such as firm mergers and acquisitions, litigation matters and partner affairs. He was a member of Deloitte &amp; Touche’s Executive &amp; Management Committees; Chairman for the Professional Asset Indemnity Limited (“PAIL” Bermuda) Big 4 Insurance Representatives; and President for the PAIL Vermont Insurance Company Big 4 Insurance Representatives. Mr. Bernikow joined Touche Ross, the predecessor firm of Deloitte &amp; Touche LLP, in 1977, prior to which Mr. Bernikow was the National Administrative Partner in Charge for the accounting firm of J.K. Lasser &amp; Company. Mr. Bernikow is a member of the Board of Directors of Revlon, Inc. and Revlon Consumer Products Corporation and serves as Chairman of the Audit Committee of Revlon, Inc.; as well as Chairman of the Revlon, Inc. Compensation and Stock Plan Committee; a member of the Board of Directors of Mack-Cali, as well as the Chairman of the Audit Committee of Mack-Cali; a member of the Board of Premier American Bank, as well a member of the Compensation Committee and Chairman of the Audit Committee of Premier American Bank; and serves as a Director of the Board of the UBS Global Asset Management (US) Inc.,—a wholly owned subsidiary of UBS AG, including serving as Chairman of its Audit Committee. Mr. Bernikow has had extensive international experience in his role in Deloitte &amp; Touche’s management/risk management group, as well as worldwide insurance responsibilities.</w:t>
      </w:r>
    </w:p>
    <w:p>
      <w:pPr>
        <w:spacing w:after="0" w:line="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Mr. Bernikow provides the Board with substantial financial expertise and strategic planning as a result of his years of experience at Deloitte &amp; Touche LLP. His strong financial background qualifies him as an “audit committee financial expert”. Mr. Bernikow provides the Board with valuable insight with respect to financial reporting based on his experiences serving on the audit committees of several boards.</w:t>
      </w:r>
    </w:p>
    <w:p>
      <w:pPr>
        <w:spacing w:after="0" w:line="13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i w:val="1"/>
          <w:iCs w:val="1"/>
          <w:color w:val="auto"/>
        </w:rPr>
        <w:t xml:space="preserve">Jesse Choper </w:t>
      </w:r>
      <w:r>
        <w:rPr>
          <w:rFonts w:ascii="Arial" w:cs="Arial" w:eastAsia="Arial" w:hAnsi="Arial"/>
          <w:sz w:val="16"/>
          <w:szCs w:val="16"/>
          <w:color w:val="auto"/>
        </w:rPr>
        <w:t>has been a director since October 8, 1999. Mr. Choper is the Earl Warren Professor of Public Law at the University of California at Berkeley School</w:t>
      </w:r>
      <w:r>
        <w:rPr>
          <w:rFonts w:ascii="Arial" w:cs="Arial" w:eastAsia="Arial" w:hAnsi="Arial"/>
          <w:sz w:val="16"/>
          <w:szCs w:val="16"/>
          <w:i w:val="1"/>
          <w:iCs w:val="1"/>
          <w:color w:val="auto"/>
        </w:rPr>
        <w:t xml:space="preserve"> </w:t>
      </w:r>
      <w:r>
        <w:rPr>
          <w:rFonts w:ascii="Arial" w:cs="Arial" w:eastAsia="Arial" w:hAnsi="Arial"/>
          <w:sz w:val="16"/>
          <w:szCs w:val="16"/>
          <w:color w:val="auto"/>
        </w:rPr>
        <w:t>of Law, where he has taught since 1965. From 1960 to 1961, Professor Choper was a law clerk for Supreme Court Chief Justice Earl Warren. Mr. Choper is a member of the Board of Directors of George Foreman Enterprises, Inc. (OTCBB: “GFME.PK”) and is also a member of the California Horseracing Board.</w:t>
      </w:r>
    </w:p>
    <w:p>
      <w:pPr>
        <w:spacing w:after="0" w:line="1" w:lineRule="exact"/>
        <w:rPr>
          <w:sz w:val="20"/>
          <w:szCs w:val="20"/>
          <w:color w:val="auto"/>
        </w:rPr>
      </w:pPr>
    </w:p>
    <w:p>
      <w:pPr>
        <w:ind w:right="280"/>
        <w:spacing w:after="0" w:line="361" w:lineRule="auto"/>
        <w:rPr>
          <w:sz w:val="20"/>
          <w:szCs w:val="20"/>
          <w:color w:val="auto"/>
        </w:rPr>
      </w:pPr>
      <w:r>
        <w:rPr>
          <w:rFonts w:ascii="Arial" w:cs="Arial" w:eastAsia="Arial" w:hAnsi="Arial"/>
          <w:sz w:val="15"/>
          <w:szCs w:val="15"/>
          <w:color w:val="auto"/>
        </w:rPr>
        <w:t>Mr. Choper provides valuable legal expertise to the Board. His specific legal background makes him an authority on ethical behavior and he provides valuable insight with respect to corporate governance. Mr. Choper’s tenure and service as a director for over ten years is also considered a valuable asset to the Board.</w:t>
      </w:r>
    </w:p>
    <w:p>
      <w:pPr>
        <w:spacing w:after="0" w:line="5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i w:val="1"/>
          <w:iCs w:val="1"/>
          <w:color w:val="auto"/>
        </w:rPr>
        <w:t xml:space="preserve">John E. Kyees </w:t>
      </w:r>
      <w:r>
        <w:rPr>
          <w:rFonts w:ascii="Arial" w:cs="Arial" w:eastAsia="Arial" w:hAnsi="Arial"/>
          <w:sz w:val="18"/>
          <w:szCs w:val="18"/>
          <w:color w:val="auto"/>
        </w:rPr>
        <w:t>was appointed a director on May 3, 2010. From 2003 until his retirement in 2010, Mr. Kyees was the Chief Financial Officer of Urban Outfitters,</w:t>
      </w:r>
      <w:r>
        <w:rPr>
          <w:rFonts w:ascii="Arial" w:cs="Arial" w:eastAsia="Arial" w:hAnsi="Arial"/>
          <w:sz w:val="18"/>
          <w:szCs w:val="18"/>
          <w:i w:val="1"/>
          <w:iCs w:val="1"/>
          <w:color w:val="auto"/>
        </w:rPr>
        <w:t xml:space="preserve"> </w:t>
      </w:r>
      <w:r>
        <w:rPr>
          <w:rFonts w:ascii="Arial" w:cs="Arial" w:eastAsia="Arial" w:hAnsi="Arial"/>
          <w:sz w:val="18"/>
          <w:szCs w:val="18"/>
          <w:color w:val="auto"/>
        </w:rPr>
        <w:t>Inc. Mr. Kyees will continue to serve as the Chief of Investor Relations for Urban Outfitters through June 30, 2010. Prior to that, from 2002 to 2003, Mr. Kyees was the Chief Financial Officer and Chief Administrative Officer of bebe Stores, Inc. Mr. Kyees brings to the Board extensive executive level retail experience having served as Chief Financial Officer for several prominent retailers. His insight with respect to merchandising, operational activities and finance will be an asset to our Board.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8" w:name="page9"/>
    <w:bookmarkEnd w:id="8"/>
    <w:p>
      <w:pPr>
        <w:ind w:right="320"/>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Ward K. Mooney </w:t>
      </w:r>
      <w:r>
        <w:rPr>
          <w:rFonts w:ascii="Arial" w:cs="Arial" w:eastAsia="Arial" w:hAnsi="Arial"/>
          <w:sz w:val="18"/>
          <w:szCs w:val="18"/>
          <w:color w:val="auto"/>
        </w:rPr>
        <w:t>has been a director since July 31, 2006. Mr. Mooney is the founding partner and Executive Managing Director of Crystal Capital Fund since</w:t>
      </w:r>
      <w:r>
        <w:rPr>
          <w:rFonts w:ascii="Arial" w:cs="Arial" w:eastAsia="Arial" w:hAnsi="Arial"/>
          <w:sz w:val="18"/>
          <w:szCs w:val="18"/>
          <w:i w:val="1"/>
          <w:iCs w:val="1"/>
          <w:color w:val="auto"/>
        </w:rPr>
        <w:t xml:space="preserve"> </w:t>
      </w:r>
      <w:r>
        <w:rPr>
          <w:rFonts w:ascii="Arial" w:cs="Arial" w:eastAsia="Arial" w:hAnsi="Arial"/>
          <w:sz w:val="18"/>
          <w:szCs w:val="18"/>
          <w:color w:val="auto"/>
        </w:rPr>
        <w:t>2005. Prior to that, Mr. Mooney was the President of Bank of America Retail Finance Group and Chief Operating Officer of Back Bay Capital, both of which were formerly Bank of Boston businesses which Mr. Mooney founded. Mr. Mooney provides the Board with valuable insight with respect to his extensive experience as a lender in the apparel industry.</w:t>
      </w:r>
    </w:p>
    <w:p>
      <w:pPr>
        <w:spacing w:after="0" w:line="130"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George T. Porter</w:t>
      </w:r>
      <w:r>
        <w:rPr>
          <w:rFonts w:ascii="Arial" w:cs="Arial" w:eastAsia="Arial" w:hAnsi="Arial"/>
          <w:sz w:val="16"/>
          <w:szCs w:val="16"/>
          <w:color w:val="auto"/>
        </w:rPr>
        <w:t>,</w:t>
      </w:r>
      <w:r>
        <w:rPr>
          <w:rFonts w:ascii="Arial" w:cs="Arial" w:eastAsia="Arial" w:hAnsi="Arial"/>
          <w:sz w:val="16"/>
          <w:szCs w:val="16"/>
          <w:i w:val="1"/>
          <w:iCs w:val="1"/>
          <w:color w:val="auto"/>
        </w:rPr>
        <w:t xml:space="preserve"> Jr</w:t>
      </w:r>
      <w:r>
        <w:rPr>
          <w:rFonts w:ascii="Arial" w:cs="Arial" w:eastAsia="Arial" w:hAnsi="Arial"/>
          <w:sz w:val="16"/>
          <w:szCs w:val="16"/>
          <w:color w:val="auto"/>
        </w:rPr>
        <w:t>. has been a director since October 28, 1999. Mr. Porter was President of Levi’s USA for Levi Strauss &amp; Co. from 1994 to 1997. Beginning in</w:t>
      </w:r>
      <w:r>
        <w:rPr>
          <w:rFonts w:ascii="Arial" w:cs="Arial" w:eastAsia="Arial" w:hAnsi="Arial"/>
          <w:sz w:val="16"/>
          <w:szCs w:val="16"/>
          <w:i w:val="1"/>
          <w:iCs w:val="1"/>
          <w:color w:val="auto"/>
        </w:rPr>
        <w:t xml:space="preserve"> </w:t>
      </w:r>
      <w:r>
        <w:rPr>
          <w:rFonts w:ascii="Arial" w:cs="Arial" w:eastAsia="Arial" w:hAnsi="Arial"/>
          <w:sz w:val="16"/>
          <w:szCs w:val="16"/>
          <w:color w:val="auto"/>
        </w:rPr>
        <w:t>1974, Mr. Porter held various positions at Levi Strauss &amp; Co., including President of Levi’s Men’s Jeans Division. Mr. Porter was also Corporate Vice President and General Manager of Nike USA from 1997 to 1998. Mr. Porter provides the Board with extensive merchandising experience having worked at two highly prominent companies. Mr. Porter’s tenure and service as a director for over ten years is also considered a valuable asset to the Board.</w:t>
      </w:r>
    </w:p>
    <w:p>
      <w:pPr>
        <w:spacing w:after="0" w:line="99"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Mitchell S. Presser </w:t>
      </w:r>
      <w:r>
        <w:rPr>
          <w:rFonts w:ascii="Arial" w:cs="Arial" w:eastAsia="Arial" w:hAnsi="Arial"/>
          <w:sz w:val="16"/>
          <w:szCs w:val="16"/>
          <w:color w:val="auto"/>
        </w:rPr>
        <w:t>has been a director since May 1, 2007. Since November 2006, Mr. Presser has been a founding partner of Paine &amp; Partners, LLC (including its</w:t>
      </w:r>
      <w:r>
        <w:rPr>
          <w:rFonts w:ascii="Arial" w:cs="Arial" w:eastAsia="Arial" w:hAnsi="Arial"/>
          <w:sz w:val="16"/>
          <w:szCs w:val="16"/>
          <w:i w:val="1"/>
          <w:iCs w:val="1"/>
          <w:color w:val="auto"/>
        </w:rPr>
        <w:t xml:space="preserve"> </w:t>
      </w:r>
      <w:r>
        <w:rPr>
          <w:rFonts w:ascii="Arial" w:cs="Arial" w:eastAsia="Arial" w:hAnsi="Arial"/>
          <w:sz w:val="16"/>
          <w:szCs w:val="16"/>
          <w:color w:val="auto"/>
        </w:rPr>
        <w:t>predecessor), a private equity firm. Prior to that, Mr. Presser was a law partner with Wachtell, Lipton, Rosen &amp; Katz, specializing in mergers &amp; acquisitions. Mr. Presser’s extensive experience in private equity and strategic planning provides valuable insight to the Board.</w:t>
      </w:r>
    </w:p>
    <w:p>
      <w:pPr>
        <w:spacing w:after="0" w:line="9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Non-Director Executive Officers</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Dennis R. Hernreich</w:t>
      </w:r>
      <w:r>
        <w:rPr>
          <w:rFonts w:ascii="Arial" w:cs="Arial" w:eastAsia="Arial" w:hAnsi="Arial"/>
          <w:sz w:val="18"/>
          <w:szCs w:val="18"/>
          <w:color w:val="auto"/>
        </w:rPr>
        <w:t>, 53, has been our Executive Vice President, Chief Operating Officer, Chief Financial Officer, Treasurer and Secretary since September 2002.</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that, Mr. Hernreich served as our Senior Vice President, Chief Financial Officer and Treasurer upon joining us on September 5, 2000. Prior to joining our Company, from 1996 through 1999, Mr. Hernreich held the position of Senior Vice President and Chief Financial Officer of Loehmann’s, a national retailer of women’s apparel. From 1999 to August 2000, Mr. Hernreich was Senior Vice President and Chief Financial Officer of Pennsylvania Fashions, Inc., a 275-store retail outlet chain operating under the name Rue 21.</w:t>
      </w:r>
    </w:p>
    <w:p>
      <w:pPr>
        <w:spacing w:after="0" w:line="12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i w:val="1"/>
          <w:iCs w:val="1"/>
          <w:color w:val="auto"/>
        </w:rPr>
        <w:t>Francis Chane</w:t>
      </w:r>
      <w:r>
        <w:rPr>
          <w:rFonts w:ascii="Arial" w:cs="Arial" w:eastAsia="Arial" w:hAnsi="Arial"/>
          <w:sz w:val="18"/>
          <w:szCs w:val="18"/>
          <w:color w:val="auto"/>
        </w:rPr>
        <w:t>, 47, joined us in June 2008 as our Vice President of Distribution &amp; Logistics. Prior to joining our Company, Mr. Chane was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&amp; Facilities for RedcatsUSA from 1999 to April 2008.</w:t>
      </w:r>
    </w:p>
    <w:p>
      <w:pPr>
        <w:spacing w:after="0" w:line="11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i w:val="1"/>
          <w:iCs w:val="1"/>
          <w:color w:val="auto"/>
        </w:rPr>
        <w:t xml:space="preserve">Richard Della Bernarda, </w:t>
      </w:r>
      <w:r>
        <w:rPr>
          <w:rFonts w:ascii="Arial" w:cs="Arial" w:eastAsia="Arial" w:hAnsi="Arial"/>
          <w:sz w:val="16"/>
          <w:szCs w:val="16"/>
          <w:color w:val="auto"/>
        </w:rPr>
        <w:t>48, has been our Senior Vice President and Chief Marketing Officer since June 2007. Mr. Della Bernarda began his career with Casual</w:t>
      </w:r>
      <w:r>
        <w:rPr>
          <w:rFonts w:ascii="Arial" w:cs="Arial" w:eastAsia="Arial" w:hAnsi="Arial"/>
          <w:sz w:val="16"/>
          <w:szCs w:val="16"/>
          <w:i w:val="1"/>
          <w:iCs w:val="1"/>
          <w:color w:val="auto"/>
        </w:rPr>
        <w:t xml:space="preserve"> </w:t>
      </w:r>
      <w:r>
        <w:rPr>
          <w:rFonts w:ascii="Arial" w:cs="Arial" w:eastAsia="Arial" w:hAnsi="Arial"/>
          <w:sz w:val="16"/>
          <w:szCs w:val="16"/>
          <w:color w:val="auto"/>
        </w:rPr>
        <w:t>Male Corp. in 1992 and joined our Company in May 2002 as part of our acquisition of Casual Male Corp. as our Senior Vice President of Marketing.</w:t>
      </w:r>
    </w:p>
    <w:p>
      <w:pPr>
        <w:spacing w:after="0" w:line="7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auto"/>
        </w:rPr>
        <w:t xml:space="preserve">Kenneth M .Ederle, </w:t>
      </w:r>
      <w:r>
        <w:rPr>
          <w:rFonts w:ascii="Arial" w:cs="Arial" w:eastAsia="Arial" w:hAnsi="Arial"/>
          <w:sz w:val="16"/>
          <w:szCs w:val="16"/>
          <w:color w:val="auto"/>
        </w:rPr>
        <w:t>45, has been our Vice President, General Merchandise Manager of Rochester Clothing since August 2008. Mr. Ederle joined our Company in</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2006 and was our Merchandise Manager of Sportswear for Rochester Clothing from January 2008 until August 2008 and prior to that was one of our Merchandise Managers for Casual Male. Prior to joining the Company, Mr. Ederle was a Senior Buyer and Senior Planner for Limited Brands.</w:t>
      </w:r>
    </w:p>
    <w:p>
      <w:pPr>
        <w:spacing w:after="0" w:line="9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i w:val="1"/>
          <w:iCs w:val="1"/>
          <w:color w:val="auto"/>
        </w:rPr>
        <w:t>Douglas Hearn</w:t>
      </w:r>
      <w:r>
        <w:rPr>
          <w:rFonts w:ascii="Arial" w:cs="Arial" w:eastAsia="Arial" w:hAnsi="Arial"/>
          <w:sz w:val="18"/>
          <w:szCs w:val="18"/>
          <w:color w:val="auto"/>
        </w:rPr>
        <w:t>, 55, joined us in June 2008 and is our Senior Vice President, General Merchandise Manager of Casual Male XL and Global Sourcing.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joining our Company, Mr. Hearn was VP/Sportswear for Jos A. Bank Clothiers from June 2002 to June 2008.</w:t>
      </w:r>
    </w:p>
    <w:p>
      <w:pPr>
        <w:spacing w:after="0" w:line="11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Jack R. McKinney</w:t>
      </w:r>
      <w:r>
        <w:rPr>
          <w:rFonts w:ascii="Arial" w:cs="Arial" w:eastAsia="Arial" w:hAnsi="Arial"/>
          <w:sz w:val="18"/>
          <w:szCs w:val="18"/>
          <w:color w:val="auto"/>
        </w:rPr>
        <w:t>, 54, has been our Senior Vice President and Chief Information Officer since June 2002. Mr. McKinney began his career with Casual Male</w:t>
      </w:r>
      <w:r>
        <w:rPr>
          <w:rFonts w:ascii="Arial" w:cs="Arial" w:eastAsia="Arial" w:hAnsi="Arial"/>
          <w:sz w:val="18"/>
          <w:szCs w:val="18"/>
          <w:i w:val="1"/>
          <w:iCs w:val="1"/>
          <w:color w:val="auto"/>
        </w:rPr>
        <w:t xml:space="preserve"> </w:t>
      </w:r>
      <w:r>
        <w:rPr>
          <w:rFonts w:ascii="Arial" w:cs="Arial" w:eastAsia="Arial" w:hAnsi="Arial"/>
          <w:sz w:val="18"/>
          <w:szCs w:val="18"/>
          <w:color w:val="auto"/>
        </w:rPr>
        <w:t>Corp. in 1997 and joined our Company in May 2002 as part of our acquisition of Casual Male Corp.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Henry J. Metscher, </w:t>
      </w:r>
      <w:r>
        <w:rPr>
          <w:rFonts w:ascii="Arial" w:cs="Arial" w:eastAsia="Arial" w:hAnsi="Arial"/>
          <w:sz w:val="16"/>
          <w:szCs w:val="16"/>
          <w:color w:val="auto"/>
        </w:rPr>
        <w:t>53, has been our Senior Vice President, General Merchandise Manager, Direct Businesses and President of Footwear since May 2008.</w:t>
      </w:r>
    </w:p>
    <w:p>
      <w:pPr>
        <w:spacing w:after="0" w:line="3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Mr. Metscher joined us in November 2006 as President of Footwear. Prior to joining our Company, Mr. Metscher was an independent consultant and analyst with the Gerson Lehrman Group from 2003 to 2006. Mr. Metscher was the Executive Vice President—Chief Merchandising Officer at Talbots from 1998 to 2003. Prior to that, Mr. Metscher served as President and CEO of Custom Foot and had also served as President of the Retail Group at Liz Claiborne.</w:t>
      </w:r>
    </w:p>
    <w:p>
      <w:pPr>
        <w:spacing w:after="0" w:line="9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i w:val="1"/>
          <w:iCs w:val="1"/>
          <w:color w:val="auto"/>
        </w:rPr>
        <w:t>Robert S. Molloy</w:t>
      </w:r>
      <w:r>
        <w:rPr>
          <w:rFonts w:ascii="Arial" w:cs="Arial" w:eastAsia="Arial" w:hAnsi="Arial"/>
          <w:sz w:val="16"/>
          <w:szCs w:val="16"/>
          <w:color w:val="auto"/>
        </w:rPr>
        <w:t>, 50, joined our Company in February 2008 and is our Senior Vice President and General Counsel. Prior to that, Mr. Molloy served as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Assistant General Counsel at Staples, Inc. from May 1999 to February 2008. Prior to May 1999, Mr. Molloy served as a trial attorney.</w:t>
      </w:r>
    </w:p>
    <w:p>
      <w:pPr>
        <w:spacing w:after="0" w:line="7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Brian Reaves</w:t>
      </w:r>
      <w:r>
        <w:rPr>
          <w:rFonts w:ascii="Arial" w:cs="Arial" w:eastAsia="Arial" w:hAnsi="Arial"/>
          <w:sz w:val="18"/>
          <w:szCs w:val="18"/>
          <w:color w:val="auto"/>
        </w:rPr>
        <w:t>, 49, joined our Company in May 2010 as our Senior Vice President of Store Sales and Operations. Prior to joining our Company, Mr. Reaves was</w:t>
      </w:r>
      <w:r>
        <w:rPr>
          <w:rFonts w:ascii="Arial" w:cs="Arial" w:eastAsia="Arial" w:hAnsi="Arial"/>
          <w:sz w:val="18"/>
          <w:szCs w:val="18"/>
          <w:i w:val="1"/>
          <w:iCs w:val="1"/>
          <w:color w:val="auto"/>
        </w:rPr>
        <w:t xml:space="preserve"> </w:t>
      </w:r>
      <w:r>
        <w:rPr>
          <w:rFonts w:ascii="Arial" w:cs="Arial" w:eastAsia="Arial" w:hAnsi="Arial"/>
          <w:sz w:val="18"/>
          <w:szCs w:val="18"/>
          <w:color w:val="auto"/>
        </w:rPr>
        <w:t>the Vice President—Outreach and Group Sales for David’s Bridal from 2007 to 2009. Before that, Mr. Reaves was the Senior Vice President of Sales for The Bridal Group from 2004 to 2007.</w:t>
      </w:r>
    </w:p>
    <w:p>
      <w:pPr>
        <w:spacing w:after="0" w:line="12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Peter E. Schmitz</w:t>
      </w:r>
      <w:r>
        <w:rPr>
          <w:rFonts w:ascii="Arial" w:cs="Arial" w:eastAsia="Arial" w:hAnsi="Arial"/>
          <w:sz w:val="18"/>
          <w:szCs w:val="18"/>
          <w:color w:val="auto"/>
        </w:rPr>
        <w:t>, 51, joined the Company in August 2007 as our Senior Vice President, Real Estate and Store Development. Prior to that, Mr. Schmitz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Real Estate for Brooks/Eckerd Pharmacy Chain since 1995.</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Vickie S. Smith</w:t>
      </w:r>
      <w:r>
        <w:rPr>
          <w:rFonts w:ascii="Arial" w:cs="Arial" w:eastAsia="Arial" w:hAnsi="Arial"/>
          <w:sz w:val="18"/>
          <w:szCs w:val="18"/>
          <w:color w:val="auto"/>
        </w:rPr>
        <w:t>, 53, joined the Company in February 2008 as our Senior Vice President, Planning and Development. Prior to that, Ms. Smith worked at Urban</w:t>
      </w:r>
      <w:r>
        <w:rPr>
          <w:rFonts w:ascii="Arial" w:cs="Arial" w:eastAsia="Arial" w:hAnsi="Arial"/>
          <w:sz w:val="18"/>
          <w:szCs w:val="18"/>
          <w:i w:val="1"/>
          <w:iCs w:val="1"/>
          <w:color w:val="auto"/>
        </w:rPr>
        <w:t xml:space="preserve"> </w:t>
      </w:r>
      <w:r>
        <w:rPr>
          <w:rFonts w:ascii="Arial" w:cs="Arial" w:eastAsia="Arial" w:hAnsi="Arial"/>
          <w:sz w:val="18"/>
          <w:szCs w:val="18"/>
          <w:color w:val="auto"/>
        </w:rPr>
        <w:t>Brands as Senior Vice President, Planning, Allocation and Marketing from May 2006 to November 2007. From May 2001 to December 2005, Ms. Smith was the Vice President, Corporate Planning and Allocation at JCPenney.</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Walter E. Sprague, </w:t>
      </w:r>
      <w:r>
        <w:rPr>
          <w:rFonts w:ascii="Arial" w:cs="Arial" w:eastAsia="Arial" w:hAnsi="Arial"/>
          <w:sz w:val="18"/>
          <w:szCs w:val="18"/>
          <w:color w:val="auto"/>
        </w:rPr>
        <w:t>61, has been our Senior Vice President of Human Resources since May 2006. From August 2003 through April 2006, Mr. Sprague was our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Human Resources. Prior to joining our Company, Mr. Sprague was the Managing Director Northeast, for Marc-Allen Associates, a nationwide executive recruiting firm. From 1996 to 2002 Mr. Sprague was the Assistant Vice President—Senior Director of Human Resources for Foot Locker Inc. and prior to that the Assistant Vice President—Senior Director of Human Resources of Human Resources for Woolworth Corporation, the predecessor company to Foot Locker Inc.</w:t>
      </w:r>
    </w:p>
    <w:p>
      <w:pPr>
        <w:spacing w:after="0" w:line="1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Peter H. Stratton, Jr</w:t>
      </w:r>
      <w:r>
        <w:rPr>
          <w:rFonts w:ascii="Arial" w:cs="Arial" w:eastAsia="Arial" w:hAnsi="Arial"/>
          <w:sz w:val="18"/>
          <w:szCs w:val="18"/>
          <w:color w:val="auto"/>
        </w:rPr>
        <w:t>., 37, has been our Senior Vice President of Finance, Corporate Controller and Chief Accounting Officer since August 28, 2009. Mr. Stratton</w:t>
      </w:r>
      <w:r>
        <w:rPr>
          <w:rFonts w:ascii="Arial" w:cs="Arial" w:eastAsia="Arial" w:hAnsi="Arial"/>
          <w:sz w:val="18"/>
          <w:szCs w:val="18"/>
          <w:i w:val="1"/>
          <w:iCs w:val="1"/>
          <w:color w:val="auto"/>
        </w:rPr>
        <w:t xml:space="preserve"> </w:t>
      </w:r>
      <w:r>
        <w:rPr>
          <w:rFonts w:ascii="Arial" w:cs="Arial" w:eastAsia="Arial" w:hAnsi="Arial"/>
          <w:sz w:val="18"/>
          <w:szCs w:val="18"/>
          <w:color w:val="auto"/>
        </w:rPr>
        <w:t>joined us in June 2009 as Vice President of Finance. From May 2007 to June 2009, he served as Senior Director of Corporate Accounting at BearingPoint, Inc. Prior to May 2007, Mr. Stratton held various finance and accounting leadership positions at Legal Sea Foods, Inc., Shaw’s Supermarkets, Inc. and Cintas Corporation.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15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Directors is currently comprised of eight members (there is currently one vacancy which will not be filled at the Annual Meeting). A majority of the members of the Board are “independent” under the rules of the Nasdaq Global Select Market (“Nasdaq”). The Board has determined that the following directors are independent: Messrs. Bernikow, Choper, Kyees, Mooney, Porter and Presser.</w:t>
      </w:r>
    </w:p>
    <w:p>
      <w:pPr>
        <w:spacing w:after="0" w:line="12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Our Board of Directors met seven times during our fiscal year ended January 30, 2010 (“fiscal 2009”). Each of the directors attended at least 75 percent of the aggregate of the total meetings of the Board and the total meetings of the committees of the Board on which each director served.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0" w:name="page11"/>
    <w:bookmarkEnd w:id="1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believe that it is important for and we encourage the members of our Board of Directors to attend Annual Meetings of Stockholders. Last year, all members of the Board of Directors attended the Annual Meeting of Stockholders held on August 27, 2009.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Directors has three standing committees: the Nominating and Corporate Governance Committee, the Audit Committee and the Compensation Committee. The Nominating and Corporate Governance Committee, the Audit Committee and the Compensation Committee are each comprised of directors who are “independent” under the rules of Nasdaq.</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The Nominating and Corporate Governance Committee has a written charter, which can be found under “Corporate Governance” on the Investor Relations page of our website at </w:t>
      </w:r>
      <w:r>
        <w:rPr>
          <w:rFonts w:ascii="Arial" w:cs="Arial" w:eastAsia="Arial" w:hAnsi="Arial"/>
          <w:sz w:val="16"/>
          <w:szCs w:val="16"/>
          <w:i w:val="1"/>
          <w:iCs w:val="1"/>
          <w:color w:val="auto"/>
        </w:rPr>
        <w:t>www.casualmaleXL.com</w:t>
      </w:r>
      <w:r>
        <w:rPr>
          <w:rFonts w:ascii="Arial" w:cs="Arial" w:eastAsia="Arial" w:hAnsi="Arial"/>
          <w:sz w:val="16"/>
          <w:szCs w:val="16"/>
          <w:color w:val="auto"/>
        </w:rPr>
        <w:t>. The Committee was established to perform functions related to governance of our Company, including, but not limited to, planning for the succession of our CEO and such other officers as the Committee shall determine from time to time, recommending to the Board of Directors individuals to stand for election as directors, overseeing and recommending the selection and composition of committees of the Board of Directors, and developing and recommending to the Board of Directors a set of corporate governance principles applicable to our Company. The present members of the Nominating and Corporate Governance Committee are Messrs. Choper, Bernikow and Presser, each of whom is “independent” under the rules of Nasdaq. Although Mr. Holtzman is not a member of the Nominating and Corporate Governance Committee and is not entitled to vote or receive compensation for his participation, he routinely attends all meetings of the Nominating and Corporate Governance Committee. The Nominating and Corporate Governance Committee met twice during fiscal 2009.</w:t>
      </w:r>
    </w:p>
    <w:p>
      <w:pPr>
        <w:spacing w:after="0" w:line="10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Board’s current policy with regard to the consideration of director candidates recommended by stockholders is that the Nominating and Corporate Governance Committee will review and consider any director candidates who have been recommended by stockholders in compliance with the procedures established from time to time by the Committee (the current procedures are described below), and conduct inquiries it deems appropriate. The Nominating and Corporate Governance Committee will consider for nomination any such proposed director candidate who is deemed qualified by the Nominating and Corporate Governance Committee in light of the minimum qualifications and other criteria for Board membership approved by the Committee from time to time.</w:t>
      </w:r>
    </w:p>
    <w:p>
      <w:pPr>
        <w:spacing w:after="0" w:line="10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While the Nominating and Corporate Governance Committee does not have a formal diversity policy for Board membership and identifies qualified candidates without regard to race, color, disability, gender, national origin, religion or creed, it does seek to ensure the fair representation of all stockholder interests on the Board. In that regard, in considering candidates for the Board, the Nominating and Corporate Governance Committee considers, among other factors, diversity with respect to viewpoint, skills and experience. The Board believes that the use of these general criteria, along with the minimum qualifications listed below, will result in nominees who represent a mix of backgrounds and experiences that will enhance the quality of the Board.</w:t>
      </w:r>
    </w:p>
    <w:p>
      <w:pPr>
        <w:spacing w:after="0" w:line="1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 a minimum, the Nominating and Corporate Governance Committee must be satisfied that each nominee, both those recommended by the Committee and those recommended by stockholders, meets the following minimum qualifications:</w:t>
      </w:r>
    </w:p>
    <w:p>
      <w:pPr>
        <w:spacing w:after="0" w:line="37"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nominee should have a reputation for integrity, honesty and adherence to high ethical standards.</w:t>
      </w:r>
    </w:p>
    <w:p>
      <w:pPr>
        <w:spacing w:after="0" w:line="103"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nominee should have demonstrated business acumen, experience and ability to exercise sound judgments in matters that relate to our current and long-term objectives and should be willing and able to contribute positively to our decision-making process.</w:t>
      </w:r>
    </w:p>
    <w:p>
      <w:pPr>
        <w:spacing w:after="0" w:line="37"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nominee should have a commitment to understand our Company and our industry and to regularly attend and participate in meetings of the Board and its committees.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1" w:name="page12"/>
    <w:bookmarkEnd w:id="11"/>
    <w:p>
      <w:pPr>
        <w:ind w:left="780" w:right="20" w:hanging="326"/>
        <w:spacing w:after="0" w:line="347" w:lineRule="auto"/>
        <w:tabs>
          <w:tab w:leader="none" w:pos="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ind w:left="780" w:right="24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nominee should not have, nor appear to have, a conflict of interest that would impair the nominee’s ability to represent the interests of all of our stockholders and to fulfill the responsibilities of a director.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current procedures to be followed by stockholders in submitting recommendations for director candidates are as follows:</w:t>
      </w:r>
    </w:p>
    <w:p>
      <w:pPr>
        <w:spacing w:after="0" w:line="77" w:lineRule="exact"/>
        <w:rPr>
          <w:sz w:val="20"/>
          <w:szCs w:val="20"/>
          <w:color w:val="auto"/>
        </w:rPr>
      </w:pPr>
    </w:p>
    <w:p>
      <w:pPr>
        <w:ind w:left="460" w:right="480" w:firstLine="443"/>
        <w:spacing w:after="0" w:line="325" w:lineRule="auto"/>
        <w:tabs>
          <w:tab w:leader="none" w:pos="1074"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stockholder recommendations for director candidates must be submitted to the Secretary at our corporate offices located at 555 Turnpike Street, Canton, Massachusetts, 02021 who will forward all recommendations to the Nominating and Corporate Governance Committee.</w:t>
      </w:r>
    </w:p>
    <w:p>
      <w:pPr>
        <w:spacing w:after="0" w:line="1" w:lineRule="exact"/>
        <w:rPr>
          <w:rFonts w:ascii="Arial" w:cs="Arial" w:eastAsia="Arial" w:hAnsi="Arial"/>
          <w:sz w:val="16"/>
          <w:szCs w:val="16"/>
          <w:color w:val="auto"/>
        </w:rPr>
      </w:pPr>
    </w:p>
    <w:p>
      <w:pPr>
        <w:ind w:left="460" w:right="260" w:firstLine="443"/>
        <w:spacing w:after="0" w:line="268" w:lineRule="auto"/>
        <w:tabs>
          <w:tab w:leader="none" w:pos="10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be submitted to us not less than 120 calendar days prior to the date on which our proxy statement was released to stockholders in connection with our previous year’s annual meeting.</w:t>
      </w:r>
    </w:p>
    <w:p>
      <w:pPr>
        <w:spacing w:after="0" w:line="37" w:lineRule="exact"/>
        <w:rPr>
          <w:rFonts w:ascii="Arial" w:cs="Arial" w:eastAsia="Arial" w:hAnsi="Arial"/>
          <w:sz w:val="18"/>
          <w:szCs w:val="18"/>
          <w:color w:val="auto"/>
        </w:rPr>
      </w:pPr>
    </w:p>
    <w:p>
      <w:pPr>
        <w:ind w:left="1080" w:hanging="177"/>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include the following information:</w:t>
      </w:r>
    </w:p>
    <w:p>
      <w:pPr>
        <w:spacing w:after="0" w:line="76" w:lineRule="exact"/>
        <w:rPr>
          <w:rFonts w:ascii="Arial" w:cs="Arial" w:eastAsia="Arial" w:hAnsi="Arial"/>
          <w:sz w:val="18"/>
          <w:szCs w:val="18"/>
          <w:color w:val="auto"/>
        </w:rPr>
      </w:pPr>
    </w:p>
    <w:p>
      <w:pPr>
        <w:ind w:left="1500" w:hanging="159"/>
        <w:spacing w:after="0"/>
        <w:tabs>
          <w:tab w:leader="none" w:pos="15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name and address of record of the stockholder.</w:t>
      </w:r>
    </w:p>
    <w:p>
      <w:pPr>
        <w:spacing w:after="0" w:line="76" w:lineRule="exact"/>
        <w:rPr>
          <w:rFonts w:ascii="Arial" w:cs="Arial" w:eastAsia="Arial" w:hAnsi="Arial"/>
          <w:sz w:val="18"/>
          <w:szCs w:val="18"/>
          <w:color w:val="auto"/>
        </w:rPr>
      </w:pPr>
    </w:p>
    <w:p>
      <w:pPr>
        <w:ind w:left="920" w:right="160" w:firstLine="421"/>
        <w:spacing w:after="0" w:line="268" w:lineRule="auto"/>
        <w:tabs>
          <w:tab w:leader="none" w:pos="1515" w:val="left"/>
        </w:tabs>
        <w:numPr>
          <w:ilvl w:val="2"/>
          <w:numId w:val="17"/>
        </w:numPr>
        <w:rPr>
          <w:rFonts w:ascii="Arial" w:cs="Arial" w:eastAsia="Arial" w:hAnsi="Arial"/>
          <w:sz w:val="18"/>
          <w:szCs w:val="18"/>
          <w:color w:val="auto"/>
        </w:rPr>
      </w:pPr>
      <w:r>
        <w:rPr>
          <w:rFonts w:ascii="Arial" w:cs="Arial" w:eastAsia="Arial" w:hAnsi="Arial"/>
          <w:sz w:val="18"/>
          <w:szCs w:val="18"/>
          <w:color w:val="auto"/>
        </w:rPr>
        <w:t>A representation that the stockholder is a record holder of our securities, or if the stockholder is not a record holder, evidence of ownership in accordance with Rule 14a-8(b)(2) of the Exchange Act.</w:t>
      </w:r>
    </w:p>
    <w:p>
      <w:pPr>
        <w:spacing w:after="0" w:line="37" w:lineRule="exact"/>
        <w:rPr>
          <w:rFonts w:ascii="Arial" w:cs="Arial" w:eastAsia="Arial" w:hAnsi="Arial"/>
          <w:sz w:val="18"/>
          <w:szCs w:val="18"/>
          <w:color w:val="auto"/>
        </w:rPr>
      </w:pPr>
    </w:p>
    <w:p>
      <w:pPr>
        <w:ind w:left="920" w:right="600" w:firstLine="421"/>
        <w:spacing w:after="0" w:line="325" w:lineRule="auto"/>
        <w:tabs>
          <w:tab w:leader="none" w:pos="1506" w:val="left"/>
        </w:tabs>
        <w:numPr>
          <w:ilvl w:val="2"/>
          <w:numId w:val="17"/>
        </w:numPr>
        <w:rPr>
          <w:rFonts w:ascii="Arial" w:cs="Arial" w:eastAsia="Arial" w:hAnsi="Arial"/>
          <w:sz w:val="16"/>
          <w:szCs w:val="16"/>
          <w:color w:val="auto"/>
        </w:rPr>
      </w:pPr>
      <w:r>
        <w:rPr>
          <w:rFonts w:ascii="Arial" w:cs="Arial" w:eastAsia="Arial" w:hAnsi="Arial"/>
          <w:sz w:val="16"/>
          <w:szCs w:val="16"/>
          <w:color w:val="auto"/>
        </w:rPr>
        <w:t>The name, age, business and residential address, educational background, current principal occupation or employment, and principal occupation or employment for the preceding five (5) full fiscal years of the proposed director candidate.</w:t>
      </w:r>
    </w:p>
    <w:p>
      <w:pPr>
        <w:spacing w:after="0" w:line="1" w:lineRule="exact"/>
        <w:rPr>
          <w:rFonts w:ascii="Arial" w:cs="Arial" w:eastAsia="Arial" w:hAnsi="Arial"/>
          <w:sz w:val="16"/>
          <w:szCs w:val="16"/>
          <w:color w:val="auto"/>
        </w:rPr>
      </w:pPr>
    </w:p>
    <w:p>
      <w:pPr>
        <w:ind w:left="920" w:right="20" w:firstLine="421"/>
        <w:spacing w:after="0" w:line="268" w:lineRule="auto"/>
        <w:tabs>
          <w:tab w:leader="none" w:pos="1515" w:val="left"/>
        </w:tabs>
        <w:numPr>
          <w:ilvl w:val="2"/>
          <w:numId w:val="17"/>
        </w:numPr>
        <w:rPr>
          <w:rFonts w:ascii="Arial" w:cs="Arial" w:eastAsia="Arial" w:hAnsi="Arial"/>
          <w:sz w:val="18"/>
          <w:szCs w:val="18"/>
          <w:color w:val="auto"/>
        </w:rPr>
      </w:pPr>
      <w:r>
        <w:rPr>
          <w:rFonts w:ascii="Arial" w:cs="Arial" w:eastAsia="Arial" w:hAnsi="Arial"/>
          <w:sz w:val="18"/>
          <w:szCs w:val="18"/>
          <w:color w:val="auto"/>
        </w:rPr>
        <w:t>A description of the qualifications and background of the proposed director candidate which addresses the minimum qualifications and other criteria for Board membership approved by the Board from time to time.</w:t>
      </w:r>
    </w:p>
    <w:p>
      <w:pPr>
        <w:spacing w:after="0" w:line="37" w:lineRule="exact"/>
        <w:rPr>
          <w:rFonts w:ascii="Arial" w:cs="Arial" w:eastAsia="Arial" w:hAnsi="Arial"/>
          <w:sz w:val="18"/>
          <w:szCs w:val="18"/>
          <w:color w:val="auto"/>
        </w:rPr>
      </w:pPr>
    </w:p>
    <w:p>
      <w:pPr>
        <w:ind w:left="1500" w:hanging="159"/>
        <w:spacing w:after="0"/>
        <w:tabs>
          <w:tab w:leader="none" w:pos="15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stockholder and the proposed director candidate.</w:t>
      </w:r>
    </w:p>
    <w:p>
      <w:pPr>
        <w:spacing w:after="0" w:line="76" w:lineRule="exact"/>
        <w:rPr>
          <w:rFonts w:ascii="Arial" w:cs="Arial" w:eastAsia="Arial" w:hAnsi="Arial"/>
          <w:sz w:val="18"/>
          <w:szCs w:val="18"/>
          <w:color w:val="auto"/>
        </w:rPr>
      </w:pPr>
    </w:p>
    <w:p>
      <w:pPr>
        <w:ind w:left="1480" w:hanging="139"/>
        <w:spacing w:after="0"/>
        <w:tabs>
          <w:tab w:leader="none" w:pos="1480" w:val="left"/>
        </w:tabs>
        <w:numPr>
          <w:ilvl w:val="2"/>
          <w:numId w:val="17"/>
        </w:numPr>
        <w:rPr>
          <w:rFonts w:ascii="Arial" w:cs="Arial" w:eastAsia="Arial" w:hAnsi="Arial"/>
          <w:sz w:val="16"/>
          <w:szCs w:val="16"/>
          <w:color w:val="auto"/>
        </w:rPr>
      </w:pPr>
      <w:r>
        <w:rPr>
          <w:rFonts w:ascii="Arial" w:cs="Arial" w:eastAsia="Arial" w:hAnsi="Arial"/>
          <w:sz w:val="16"/>
          <w:szCs w:val="16"/>
          <w:color w:val="auto"/>
        </w:rPr>
        <w:t>The consent of the proposed director candidate (i) to be named in the proxy statement relating to our annual meeting of stockholders and</w:t>
      </w:r>
    </w:p>
    <w:p>
      <w:pPr>
        <w:spacing w:after="0" w:line="38" w:lineRule="exact"/>
        <w:rPr>
          <w:rFonts w:ascii="Arial" w:cs="Arial" w:eastAsia="Arial" w:hAnsi="Arial"/>
          <w:sz w:val="16"/>
          <w:szCs w:val="16"/>
          <w:color w:val="auto"/>
        </w:rPr>
      </w:pPr>
    </w:p>
    <w:p>
      <w:pPr>
        <w:ind w:left="1180" w:hanging="259"/>
        <w:spacing w:after="0"/>
        <w:tabs>
          <w:tab w:leader="none" w:pos="1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serve as a director if elected at such annual meeting.</w:t>
      </w:r>
    </w:p>
    <w:p>
      <w:pPr>
        <w:spacing w:after="0" w:line="70" w:lineRule="exact"/>
        <w:rPr>
          <w:rFonts w:ascii="Arial" w:cs="Arial" w:eastAsia="Arial" w:hAnsi="Arial"/>
          <w:sz w:val="18"/>
          <w:szCs w:val="18"/>
          <w:color w:val="auto"/>
        </w:rPr>
      </w:pPr>
    </w:p>
    <w:p>
      <w:pPr>
        <w:ind w:left="920" w:right="300" w:firstLine="421"/>
        <w:spacing w:after="0" w:line="268" w:lineRule="auto"/>
        <w:tabs>
          <w:tab w:leader="none" w:pos="1515"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Any other information regarding the proposed director candidate that is required to be included in a proxy statement filed pursuant to the rules of the SEC.</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Except where we are legally required by contract or otherwise to provide third parties with the ability to nominate directors, the Nominating and Corporate Governance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Committee may solicit recommendations from any or all of the following sources: non-management directors, the CEO, other executive officers, third-party search firms or any other source it deems appropriate. The Committee will review and evaluate the qualifications of any such proposed director candidate, and conduct inquiries it deems appropriate. The Committee will evaluate all such proposed director candidates in the same manner, with no regard to the source of the initial recommendation of such proposed director candidate. Accordingly, there are no differences in the manner in which the Nominating and Corporate Governance evaluates director nominees recommended by stockholders. In identifying and evaluating candidates for membership on the Board of Directors, the Committee will take into account all factors it considers appropriate, which may include strength of character, mature judgment, career specialization, relevant technical skills, diversity, and the extent to which the candidate would fill a present need on the Board of Directors.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w:t>
      </w:r>
    </w:p>
    <w:p>
      <w:pPr>
        <w:spacing w:after="0" w:line="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have a separately-designated standing Audit Committee established in accordance with section 3(a)(58)(A) of the Exchange Act. The Audit Committee is currently comprised of Messrs. Choper, Bernikow and Kyees. Mr. Kyees replaced Mr. Porter as a member of the Audit Committee on May 3, 2010. Each of the members of the Audit Committee is independent, as independence for Audit Committee members is defined under the rules of Nasdaq. In addition, the Board of Directors has determined that Mr. Bernikow is an “audit committee financial expert” under the rules of the SEC.</w:t>
      </w:r>
    </w:p>
    <w:p>
      <w:pPr>
        <w:spacing w:after="0" w:line="99"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on the Investor Relations page of our website at </w:t>
      </w:r>
      <w:r>
        <w:rPr>
          <w:rFonts w:ascii="Arial" w:cs="Arial" w:eastAsia="Arial" w:hAnsi="Arial"/>
          <w:sz w:val="18"/>
          <w:szCs w:val="18"/>
          <w:i w:val="1"/>
          <w:iCs w:val="1"/>
          <w:color w:val="auto"/>
        </w:rPr>
        <w:t>www.casualmaleXL.com</w:t>
      </w:r>
      <w:r>
        <w:rPr>
          <w:rFonts w:ascii="Arial" w:cs="Arial" w:eastAsia="Arial" w:hAnsi="Arial"/>
          <w:sz w:val="18"/>
          <w:szCs w:val="18"/>
          <w:color w:val="auto"/>
        </w:rPr>
        <w:t>.</w:t>
      </w:r>
    </w:p>
    <w:p>
      <w:pPr>
        <w:spacing w:after="0" w:line="11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purpose of the Audit Committee is to (i) assist the Board of Directors in fulfilling its oversight responsibilities to the shareholders, potential shareholders and the investment community; (ii) oversee the audits of our financial statements and our relationship with our independent registered public accounting firm;</w:t>
      </w:r>
    </w:p>
    <w:p>
      <w:pPr>
        <w:ind w:right="40" w:firstLine="8"/>
        <w:spacing w:after="0" w:line="253" w:lineRule="auto"/>
        <w:tabs>
          <w:tab w:leader="none" w:pos="3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of Directors and the independent registered public accounting firm, unfiltered access to each other on a regular basis. The Audit Committee meets at least quarterly and as often as it deems necessary in order to perform its responsibilities. During fiscal 2009, the Audit Committee met nine times.</w:t>
      </w:r>
    </w:p>
    <w:p>
      <w:pPr>
        <w:spacing w:after="0" w:line="132" w:lineRule="exact"/>
        <w:rPr>
          <w:sz w:val="20"/>
          <w:szCs w:val="20"/>
          <w:color w:val="auto"/>
        </w:rPr>
      </w:pPr>
    </w:p>
    <w:p>
      <w:pPr>
        <w:ind w:right="1200"/>
        <w:spacing w:after="0" w:line="375" w:lineRule="auto"/>
        <w:rPr>
          <w:sz w:val="20"/>
          <w:szCs w:val="20"/>
          <w:color w:val="auto"/>
        </w:rPr>
      </w:pPr>
      <w:r>
        <w:rPr>
          <w:rFonts w:ascii="Arial" w:cs="Arial" w:eastAsia="Arial" w:hAnsi="Arial"/>
          <w:sz w:val="18"/>
          <w:szCs w:val="18"/>
          <w:color w:val="auto"/>
        </w:rPr>
        <w:t xml:space="preserve">For additional information regarding the Audit Committee, see the “Report of the Audit Committee” included elsewhere in this Proxy Statement. </w:t>
      </w:r>
      <w:r>
        <w:rPr>
          <w:rFonts w:ascii="Arial" w:cs="Arial" w:eastAsia="Arial" w:hAnsi="Arial"/>
          <w:sz w:val="18"/>
          <w:szCs w:val="18"/>
          <w:i w:val="1"/>
          <w:iCs w:val="1"/>
          <w:color w:val="auto"/>
        </w:rPr>
        <w:t>Compensation Committee</w:t>
      </w:r>
    </w:p>
    <w:p>
      <w:pPr>
        <w:spacing w:after="0" w:line="1"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The primary purpose of the Compensation Committee is to discharge the Board’s responsibilities relating to executive compensation. The Compensation Committee also reviews and makes recommendations to the full Board, or independently approves, all stock-based compensation awards to our executive officers under our equity incentive plans. The Compensation Committee met nine times during fiscal 2009. The present members of the Compensation Committee are Messrs. Choper, Mooney and Porter, each of whom is “independent” under the rules of the Nasdaq. Although Mr. Holtzman is not a member of the Compensation Committee and is not entitled to vote or receive compensation for his participation, he routinely attends all meetings of the Compensation Committee.</w:t>
      </w:r>
    </w:p>
    <w:p>
      <w:pPr>
        <w:spacing w:after="0" w:line="8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The Compensation Committee operates under a written charter, which can be found under “Corporate Governance” on the Investor Relations page of our website at </w:t>
      </w:r>
      <w:r>
        <w:rPr>
          <w:rFonts w:ascii="Arial" w:cs="Arial" w:eastAsia="Arial" w:hAnsi="Arial"/>
          <w:sz w:val="18"/>
          <w:szCs w:val="18"/>
          <w:i w:val="1"/>
          <w:iCs w:val="1"/>
          <w:color w:val="auto"/>
        </w:rPr>
        <w:t>www.casualmaleXL.com</w:t>
      </w:r>
      <w:r>
        <w:rPr>
          <w:rFonts w:ascii="Arial" w:cs="Arial" w:eastAsia="Arial" w:hAnsi="Arial"/>
          <w:sz w:val="18"/>
          <w:szCs w:val="18"/>
          <w:color w:val="auto"/>
        </w:rPr>
        <w:t>.</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Compensation Discussion and Analysis recommended by the Compensation Committee to be included in the Proxy Statement begins on page 16 of this Proxy Statement. Among other things, the Compensation Discussion and Analysis describes in greater detail the Compensation Committee’s role in the executive compensation process.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Leadership Structure</w:t>
      </w:r>
    </w:p>
    <w:p>
      <w:pPr>
        <w:spacing w:after="0" w:line="7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currently separate the positions of Chief Executive Officer and Chairman of the Board of Directors. Since 2002, Mr. Holtzman has served as our Chairman. The responsibilities of the Chairman of the Board of Directors include setting the agenda for each meeting of the Board of Directors, in consultation with the Chief Executive Officer; attending executive sessions of the non-management directors; and facilitating communication with the Board of Directors, executive officers and stockholders.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3" w:name="page14"/>
    <w:bookmarkEnd w:id="1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Separating the positions of Chief Executive Officer and Chairman of the Board of Directors allows our Chief Executive Officer to focus on our day-to-day business, while allowing the Chairman of the Board of Directors to lead the Board of Directors in its fundamental role of providing independent advice to and oversight of management. Although Mr. Holtzman is not an independent director, the Board of Directors believes that having Mr. Holtzman serve as Chairman of the Board of Directors is the appropriate leadership structure for the Company, given his wealth of retail experience, his extensive knowledge of the Company and his history of innovative and strategic thinking.</w:t>
      </w:r>
    </w:p>
    <w:p>
      <w:pPr>
        <w:spacing w:after="0" w:line="12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addition, as described above, our Board of Directors has three standing committees, each chairman and each member of which is an independent director. Our Board of Directors delegates substantial responsibility to each committee of the Board of Directors, which reports their activities and actions back to the full Board of Directors. We believe that the independent committees of our Board of Directors and their chairpersons are an important aspect of the leadership structure of our Board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Oversight</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Board of Directors, as a whole and through its committees, has responsibility for the oversight of risk management. With the oversight of our full Board of Directors, our executive officers are responsible for the day-to-day management of the material risks we face. In its oversight role, our Board of Directors has the responsibility to satisfy itself that the risk management processes designed and implemented by our executive officers are adequate and functioning as designed. The involvement of the full Board of Directors in setting our business strategy is a key part of its oversight of risk management and in determining what constitutes an appropriate level of risk for us. The full Board of Directors receives updates from our executive officers and outside advisors regarding certain risks our Company faces, including various operating risks and corporate governance best practices.</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fiscal 2009, our Board of Directors engaged Ernst &amp; Young LLP to assist our senior management team in completing a risk assessment. With Ernst &amp; Young LLP as the facilitator, our senior management team identified, assessed and prioritized various risks throughout the Company. Management also identified compensating controls currently in place or recommendations for minimizing risk. The results of the risk assessment were presented to the full Board of Directors.</w:t>
      </w:r>
    </w:p>
    <w:p>
      <w:pPr>
        <w:spacing w:after="0" w:line="13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our Board committees each oversee certain aspects of risk management. For example, our Audit Committee is responsible for overseeing the management of risks associated with the Company’s financial reporting, accounting and auditing matters; our Compensation Committee oversees our risks associated with our compensation policies and programs; and our Nominating and Corporate Governance Committee oversees the management of risks associated with director independence, conflicts of interest, composition and organization of our Board of Directors, and director succession planning. Our Board committees report their findings to the full Board of Directors.</w:t>
      </w:r>
    </w:p>
    <w:p>
      <w:pPr>
        <w:spacing w:after="0" w:line="12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Our Chief Executive Officer and Chief Financial Officer attend all meetings of the Board of Directors and are available to address any questions or concerns raised by the Board of Directors on risk management-related and any other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Compensation Committee is responsible for reviewing and making recommendations to our Board of Directors with respect to the compensation paid to our non-employee directors. Annually from 2001 until January 28, 2009, our non-employee directors had elected to receive their directors’ fees, on a current or deferred basis, in shares of our common stock. Each director entered into an irrevocable agreement with us in advance of the beginning of a calendar year if they wish to receive common stock in lieu of cash. However, due to the limited number of shares available under the 2006 Incentive Compensation Plan (the “2006 Plan”), the non-employee directors agreed to receive cash payment for all director fees for fiscal 2009.</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4" w:name="page15"/>
    <w:bookmarkEnd w:id="14"/>
    <w:p>
      <w:pPr>
        <w:ind w:right="5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fiscal 2008, the Compensation Committee retained the independent consultant to review the compensation of directors at our peer companies. The following peer companies were used for this review:</w:t>
      </w:r>
    </w:p>
    <w:p>
      <w:pPr>
        <w:spacing w:after="0" w:line="118"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Bebe</w:t>
            </w:r>
          </w:p>
        </w:tc>
        <w:tc>
          <w:tcPr>
            <w:tcW w:w="2400" w:type="dxa"/>
            <w:vAlign w:val="bottom"/>
          </w:tcPr>
          <w:p>
            <w:pPr>
              <w:ind w:left="228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color w:val="auto"/>
              </w:rPr>
              <w:t>Citi Trends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The Buckle</w:t>
            </w:r>
          </w:p>
        </w:tc>
        <w:tc>
          <w:tcPr>
            <w:tcW w:w="2400" w:type="dxa"/>
            <w:vAlign w:val="bottom"/>
          </w:tcPr>
          <w:p>
            <w:pPr>
              <w:ind w:left="228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color w:val="auto"/>
                <w:w w:val="89"/>
              </w:rPr>
              <w:t>Mothers Work</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Cache</w:t>
            </w:r>
          </w:p>
        </w:tc>
        <w:tc>
          <w:tcPr>
            <w:tcW w:w="2400" w:type="dxa"/>
            <w:vAlign w:val="bottom"/>
          </w:tcPr>
          <w:p>
            <w:pPr>
              <w:ind w:left="228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color w:val="auto"/>
              </w:rPr>
              <w:t>Hibbett</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Cato Group</w:t>
            </w:r>
          </w:p>
        </w:tc>
        <w:tc>
          <w:tcPr>
            <w:tcW w:w="2400" w:type="dxa"/>
            <w:vAlign w:val="bottom"/>
          </w:tcPr>
          <w:p>
            <w:pPr>
              <w:ind w:left="228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color w:val="auto"/>
              </w:rPr>
              <w:t>Hot Topic</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Charlotte Russe</w:t>
            </w:r>
          </w:p>
        </w:tc>
        <w:tc>
          <w:tcPr>
            <w:tcW w:w="2400" w:type="dxa"/>
            <w:vAlign w:val="bottom"/>
          </w:tcPr>
          <w:p>
            <w:pPr>
              <w:ind w:left="228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color w:val="auto"/>
              </w:rPr>
              <w:t>JoS A. Bank</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80"/>
              <w:spacing w:after="0"/>
              <w:rPr>
                <w:sz w:val="20"/>
                <w:szCs w:val="20"/>
                <w:color w:val="auto"/>
              </w:rPr>
            </w:pPr>
            <w:r>
              <w:rPr>
                <w:rFonts w:ascii="Arial" w:cs="Arial" w:eastAsia="Arial" w:hAnsi="Arial"/>
                <w:sz w:val="18"/>
                <w:szCs w:val="18"/>
                <w:color w:val="auto"/>
              </w:rPr>
              <w:t>Christopher Banks</w:t>
            </w:r>
          </w:p>
        </w:tc>
        <w:tc>
          <w:tcPr>
            <w:tcW w:w="2400" w:type="dxa"/>
            <w:vAlign w:val="bottom"/>
          </w:tcPr>
          <w:p>
            <w:pPr>
              <w:ind w:left="228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color w:val="auto"/>
                <w:w w:val="91"/>
              </w:rPr>
              <w:t>The Wet Seal</w:t>
            </w:r>
          </w:p>
        </w:tc>
      </w:tr>
    </w:tbl>
    <w:p>
      <w:pPr>
        <w:spacing w:after="0" w:line="14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Compensation Committee’s goal is to maintain a level of compensation paid to our non-employee directors that is in the median of the companies within our peer group as well as similarly-sized companies. Based on the recommendation of the independent consultant, in November 2008, the Board of Directors approved the Casual Male Retail Group, Inc. Non-Employee Director Compensation Plan. Pursuant to the plan, the non-employee directors were entitled to elect to receive their fiscal 2009 payments in cash, common stock or options. Prior to the commencement of fiscal 2009, the Board of Directors voted that all non-employee directors would receive cash, regardless of such director’s election, because of the limited number of shares available under the 2006 Plan.</w:t>
      </w:r>
    </w:p>
    <w:p>
      <w:pPr>
        <w:spacing w:after="0" w:line="1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Non-employee directors receive an annual retainer of $20,000 which is paid in quarterly installments of $5,000. Each director receives $1,500 for each meeting of the Board and its committees and $750 for each telephonic meeting. In addition, the Chairmen of the Audit Committee, Compensation Committee and Nominating and Corporate Governance Committee receive an annual payment of $10,000, $5,000 and $5,000, respectively, which is paid quarterly. Upon each non-employee director’s re-election to the Board, each director will receive $82,250. Upon the initial election to the Board, a non-employee director will receive a stock option grant of 15,000 shares. We believe that our Non-Employee Director Compensation Plan will support our ongoing efforts to attract and retain exceptional directors to provide strategic guidance to our Company.</w:t>
      </w:r>
    </w:p>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May 2009, the Board of Directors voted to reduce the pay to be received by the non-employee directors for the remainder of fiscal 2009 by 10%, commencing with any payments to be made after May 17, 2009, consistent with the reductions taken throughout the Company. As a result of financial performance in fiscal 2009, in February 2010, the Board of Directors approved reinstatement of the 10% adjustment.</w:t>
      </w:r>
    </w:p>
    <w:p>
      <w:pPr>
        <w:spacing w:after="0" w:line="12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Effective January 29, 2010, we established the Casual Male Retail Group, Inc. Fiscal 2010 Non-Employee Director Stock Purchase Plan (the “2010 Director Plan”) to provide a convenient method for our non-employee directors to acquire shares of our common stock at fair market value by voluntarily electing to receive shares of common stock in lieu of cash for service as a director. In accordance with the terms of the 2010 Director Plan, each non-employee director was required to make an irrevocable election by January 29, 2010 stating the form of payment for their respective fees. If a director joins the Board subsequent to January 29, 2010, no election is available and the director will receive all fees in cash. There are 250,000 shares available for issuance under the 2010 Director Plan as of January 30, 2010. The 2010 Director Plan is a stand-alone plan and is not a sub-plan under the 2006 Plan. Accordingly, shares issued under the 2010 Director Plan do not reduce the shares available for issuance under the 2006 Plan.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 Table</w:t>
      </w:r>
    </w:p>
    <w:p>
      <w:pPr>
        <w:spacing w:after="0" w:line="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following table sets forth the compensation paid to our non-employee directors during fiscal 2009. David A. Levin is not included in the following table as he was a Named Executives Officer (as defined below under “Executive Compensation”) and, accordingly, received no compensation for his services as a director. The compensation received by Mr. Levin as an employee of our Company is shown below in the “Summary Compensation Table.”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DIRECTOR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in Pension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Fees Earned or</w:t>
            </w:r>
          </w:p>
        </w:tc>
        <w:tc>
          <w:tcPr>
            <w:tcW w:w="2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Stock</w:t>
            </w:r>
          </w:p>
        </w:tc>
        <w:tc>
          <w:tcPr>
            <w:tcW w:w="2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Option</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All Other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Paid in Cash</w:t>
            </w:r>
          </w:p>
        </w:tc>
        <w:tc>
          <w:tcPr>
            <w:tcW w:w="2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Awards</w:t>
            </w:r>
          </w:p>
        </w:tc>
        <w:tc>
          <w:tcPr>
            <w:tcW w:w="2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Awards</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280" w:type="dxa"/>
            <w:vAlign w:val="bottom"/>
          </w:tcPr>
          <w:p>
            <w:pPr>
              <w:spacing w:after="0"/>
              <w:rPr>
                <w:sz w:val="12"/>
                <w:szCs w:val="12"/>
                <w:color w:val="auto"/>
              </w:rPr>
            </w:pPr>
          </w:p>
        </w:tc>
        <w:tc>
          <w:tcPr>
            <w:tcW w:w="12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4"/>
                <w:szCs w:val="14"/>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($)(1)</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w:t>
            </w:r>
          </w:p>
        </w:tc>
        <w:tc>
          <w:tcPr>
            <w:tcW w:w="112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w w:val="93"/>
              </w:rPr>
              <w:t>($)</w:t>
            </w:r>
          </w:p>
        </w:tc>
        <w:tc>
          <w:tcPr>
            <w:tcW w:w="112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 Chairman(3)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7"/>
              </w:rPr>
              <w:t>534,965(4)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534,965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113,500</w:t>
            </w:r>
          </w:p>
        </w:tc>
        <w:tc>
          <w:tcPr>
            <w:tcW w:w="260" w:type="dxa"/>
            <w:vAlign w:val="bottom"/>
          </w:tcPr>
          <w:p>
            <w:pPr>
              <w:spacing w:after="0"/>
              <w:rPr>
                <w:sz w:val="18"/>
                <w:szCs w:val="18"/>
                <w:color w:val="auto"/>
              </w:rPr>
            </w:pPr>
          </w:p>
        </w:tc>
        <w:tc>
          <w:tcPr>
            <w:tcW w:w="4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Jesse Choper</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135,475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John E. Kyees(5)</w:t>
            </w:r>
          </w:p>
        </w:tc>
        <w:tc>
          <w:tcPr>
            <w:tcW w:w="1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Ward K. Mooney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110,350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122,600</w:t>
            </w:r>
          </w:p>
        </w:tc>
        <w:tc>
          <w:tcPr>
            <w:tcW w:w="260" w:type="dxa"/>
            <w:vAlign w:val="bottom"/>
          </w:tcPr>
          <w:p>
            <w:pPr>
              <w:spacing w:after="0"/>
              <w:rPr>
                <w:sz w:val="18"/>
                <w:szCs w:val="18"/>
                <w:color w:val="auto"/>
              </w:rPr>
            </w:pPr>
          </w:p>
        </w:tc>
        <w:tc>
          <w:tcPr>
            <w:tcW w:w="4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S. Presser</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106,075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Robert L. Sockolov(6)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99,775</w:t>
            </w:r>
          </w:p>
        </w:tc>
        <w:tc>
          <w:tcPr>
            <w:tcW w:w="260" w:type="dxa"/>
            <w:vAlign w:val="bottom"/>
          </w:tcPr>
          <w:p>
            <w:pPr>
              <w:spacing w:after="0"/>
              <w:rPr>
                <w:sz w:val="19"/>
                <w:szCs w:val="19"/>
                <w:color w:val="auto"/>
              </w:rPr>
            </w:pPr>
          </w:p>
        </w:tc>
        <w:tc>
          <w:tcPr>
            <w:tcW w:w="4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99,775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52"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January 28, 2009, the directors agreed that all future fees for fiscal 2009 would be paid in cash. Effective May 17, 2009, the Board of Directors agreed to a 10% reduction for all fees paid to them for fiscal 2009. In addition to compensation received for board meetings and committee meetings, Mr. Choper also received a cash payment of $14,250 for serving as Chairman for both the Audit Committee and the Nominating and Corporate Governance Committee. Mr. Porter also received a cash payment of $4,750 for serving as Chairman of the Compensation Committee. Mr. Holtzman did not receive any payment for director meetings.</w:t>
      </w:r>
    </w:p>
    <w:p>
      <w:pPr>
        <w:ind w:left="460" w:right="2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were no Stock Awards or Options Awards to any of the directors for fiscal 2009. Each director has the following number of stock options outstanding at January 30, 2010: Mr. Holtzman: 1,660,000; Mr. Bernikow: 70,000; Mr. Choper: 100,000; Mr. Mooney: 25,000; Mr. Porter: 100,000; Mr. Presser: 25,000; and Mr. Sockolov: 25,000.</w:t>
      </w:r>
    </w:p>
    <w:p>
      <w:pPr>
        <w:spacing w:after="0" w:line="1" w:lineRule="exact"/>
        <w:rPr>
          <w:rFonts w:ascii="Arial" w:cs="Arial" w:eastAsia="Arial" w:hAnsi="Arial"/>
          <w:sz w:val="18"/>
          <w:szCs w:val="18"/>
          <w:color w:val="auto"/>
        </w:rPr>
      </w:pPr>
    </w:p>
    <w:p>
      <w:pPr>
        <w:jc w:val="both"/>
        <w:ind w:left="460" w:right="16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During fiscal 2009, Mr. Holtzman received compensation from us both directly (as an employee of our Company) and indirectly (as a consultant pursuant to a consulting agreement we have with Jewelcor Management Inc. (“JMI”)). Mr. Holtzman is the president and chief executive officer and, together with his wife, indirectly, the majority shareholder of JMI. There were no services performed on behalf of the Company by JMI, other than those performed by Mr. Holtzman. See below for our discussion of the compensation paid to Mr. Holtzman under “</w:t>
      </w:r>
      <w:r>
        <w:rPr>
          <w:rFonts w:ascii="Arial" w:cs="Arial" w:eastAsia="Arial" w:hAnsi="Arial"/>
          <w:sz w:val="16"/>
          <w:szCs w:val="16"/>
          <w:i w:val="1"/>
          <w:iCs w:val="1"/>
          <w:color w:val="auto"/>
        </w:rPr>
        <w:t>Chairman Compensation.</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Other Compensation for Mr. Holtzman includes annual compensation paid to Mr. Holtzman of $534,965 pursuant to a consulting agreement with the Company.</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Kyees was appointed a director of our Company on May 3, 2010 and, accordingly, received no compensation for fiscal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Sockolov resigned as a director of our Company on March 29, 2010.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Compensation</w:t>
      </w:r>
    </w:p>
    <w:p>
      <w:pPr>
        <w:spacing w:after="0" w:line="8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Pursuant to the consulting agreement with JMI, which was most recently amended as of May 2009, Mr. Holtzman receives, in aggregate, annual consulting and employment compensation of $575,000, payable in cash. However, consistent with the executive and Board fee reductions, JMI and Mr. Holtzman agreed to a 10% reduction in consulting fees, which was in effect from May 17, 2009 until February 5, 2010. If we engage Mr. Holtzman’s services to assist us in a specific and significant corporate transaction or event, the Compensation Committee, at their discretion, has the right to grant Mr. Holtzman a bonus for his additional services. No such bonus was granted during fiscal 2009.</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Interlocks and Insider Participation</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fiscal 2009, the members of the Compensation Committee were Messrs. Choper, Mooney and Porter. Persons serving on the Compensation Committee had no relationships with our Company in fiscal 2009 other than their relationship to us as directors entitled to the receipt of standard compensation as directors and members of certain committees of the Board and their relationship to us as beneficial owners of shares of our common stock and options exercisable for shares of common stock. No person serving on the Compensation Committee or on the Board of Directors is an executive officer of another entity for which an executive officer of ours serves on such entity’s board of directors or compensation committee.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We have adopted a Code of Ethics which applies to our directors, Chief Executive Officer and Chief Financial Officer, as well as our other senior officers. The full text of the Code of Ethics can be found under “Corporate Governance” on the Investor Relations page of the our corporate web site, which is at </w:t>
      </w:r>
      <w:r>
        <w:rPr>
          <w:rFonts w:ascii="Arial" w:cs="Arial" w:eastAsia="Arial" w:hAnsi="Arial"/>
          <w:sz w:val="18"/>
          <w:szCs w:val="18"/>
          <w:i w:val="1"/>
          <w:iCs w:val="1"/>
          <w:color w:val="auto"/>
        </w:rPr>
        <w:t>www.casualmaleXL.com.</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8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This Compensation Discussion and Analysis discusses the compensation paid to our key executives which includes our Chief Executive Officer and our Chief Financial Officer (“Key Executives”) as well as our other executive officers (the “Senior Executives”). For the purposes of this Proxy Statement, the Key Executives and our next three most highly-compensated Senior Executives for fiscal 2009, which includes our former Senior Vice President of Store Sales and Operations, are collectively referred to herein as our “Named Executive Officers.”</w:t>
      </w:r>
    </w:p>
    <w:p>
      <w:pPr>
        <w:spacing w:after="0" w:line="13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Our Key Executives are David A. Levin, President and Chief Executive Officer, and Dennis R. Hernreich, Executive Vice President, Chief Financial Officer, Chief Operating Officer, Treasurer and Secretary.</w:t>
      </w:r>
    </w:p>
    <w:p>
      <w:pPr>
        <w:spacing w:after="0" w:line="11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Senior Executives are listed above under “Proposal 1. Election of Directors-Non-Director Executive Officers,” with the exception of Dennis R. Hernreich who is a Key Executive.</w:t>
      </w:r>
    </w:p>
    <w:p>
      <w:pPr>
        <w:spacing w:after="0" w:line="11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Ronald G. Threadgill, former Vice President of Global Sourcing, and Mark E. Bean, former Senior Vice President of Store Sales and Operations, were also Senior Executives while employed with us prior to their departures on November 21, 2009 and May 17, 2010,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Named Executive Officers for fiscal 2009 are: Messrs. Levin, Hernreich, Bean, Metscher and Molloy.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Performance in 2009</w:t>
      </w:r>
    </w:p>
    <w:p>
      <w:pPr>
        <w:spacing w:after="0" w:line="77"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The overall weakness in the economy directly impacted our business in the past two years, particularly our sales volume. However, fiscal 2009 was a very pivotal year for us. Our management team started to take the steps which were necessary to be profitable and cash flow positive, given the potential for double-digit decreases in sales for fiscal 2009. Our focus shifted toward improving our operating income and optimizing our free cash flow, assuming a smaller sales base.</w:t>
      </w:r>
    </w:p>
    <w:p>
      <w:pPr>
        <w:spacing w:after="0" w:line="7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Despite a sales decrease of $49.0 million, our merchandise margins improved and we reduced our selling, general and administrative expenses by approximately $27.0 million. As a result, our net income for fiscal 2009 was $6.1 million, or $0.14 per diluted share, as compared to a net loss of $(109.3) million, or $(2.64) per diluted share for fiscal 2008. In addition, we improved our liquidity position, reducing debt by approximately 78%, reducing inventory levels by approximately 9% and improving free cash flow.</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earned by the Key Executives and Senior Executives addressed in the “Summary Compensation Table” below recognizes these achievements.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Based on our strong results for fiscal 2009, we exceeded our performance targets pursuant to our performance plans for fiscal 2009.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Responsibility of the Compensation Committee</w:t>
      </w:r>
    </w:p>
    <w:p>
      <w:pPr>
        <w:spacing w:after="0" w:line="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responsibility of our Compensation Committee is to establish, implement and continually monitor adherence to our compensation philosophy, ensuring that the total compensation is fair, reasonable and competitive. See “Compensation Committee Process”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primary objective of our executive compensation program is to attract, retain and motivate the best possible executive talent. The Compensation Committee believes that the most effective executive compensation program is one designed to:</w:t>
      </w:r>
    </w:p>
    <w:p>
      <w:pPr>
        <w:spacing w:after="0" w:line="37"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Reward the achievement of specific annual, long-term and strategic goals through a combination of both cash and stock-based compensation;</w:t>
      </w:r>
    </w:p>
    <w:p>
      <w:pPr>
        <w:spacing w:after="0" w:line="207"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8" w:name="page19"/>
    <w:bookmarkEnd w:id="18"/>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Align the executives’ interests with those of our stockholders; and</w:t>
      </w:r>
    </w:p>
    <w:p>
      <w:pPr>
        <w:spacing w:after="0" w:line="103" w:lineRule="exact"/>
        <w:rPr>
          <w:rFonts w:ascii="Arial" w:cs="Arial" w:eastAsia="Arial" w:hAnsi="Arial"/>
          <w:sz w:val="18"/>
          <w:szCs w:val="18"/>
          <w:color w:val="auto"/>
        </w:rPr>
      </w:pPr>
    </w:p>
    <w:p>
      <w:pPr>
        <w:ind w:left="780" w:right="120" w:hanging="326"/>
        <w:spacing w:after="0" w:line="332" w:lineRule="auto"/>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Evaluate both performance and compensation to ensure that we maintain our ability to attract and retain talented executives and that compensation to such executives remains competitive relative to compensation paid to similar executives of our peer companies.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Compensation Committee wants to ensure that we remain competitive with our peers by offering our executives a strong compensation package that rewards achieving our Company’s performance goals. Given the recent economic recession and its direct impact on our business and market capitalization, the Committee is also challenged with providing competitive compensation to our executives, both short-term and long-term, during a period where our sales trends are expected to recover slowly.</w:t>
      </w:r>
    </w:p>
    <w:p>
      <w:pPr>
        <w:spacing w:after="0" w:line="13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When reviewing compensation, the Compensation Committee evaluates the pay structure in two primary ways: “total cash compensation” and “total direct compensation.” The total cash compensation, which consists of the executive’s base salary and annual performance-based cash bonus, is tied to our annual performance targets, which is generally EBITDA (income from continuing operations before interest, taxes, depreciation and amortization) but can include other performance targets. The total direct compensation includes the total cash compensation plus the fair value of any long-term incentive awards and is geared toward achieving our long-term objectives of increased market share, and stockholder returns, while retaining our executive talent.</w:t>
      </w:r>
    </w:p>
    <w:p>
      <w:pPr>
        <w:spacing w:after="0" w:line="10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Our policy for allocating between long-term and currently paid compensation is to ensure adequate base compensation to attract and retain personnel, while providing incentives to maximize long-term value for our Company and our stockholders.</w:t>
      </w:r>
    </w:p>
    <w:p>
      <w:pPr>
        <w:spacing w:after="0" w:line="11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Historically, we have (i) provided cash compensation in the form of base salary to meet competitive salary norms and rewarded performance against specific short-term goals in the form of bonus compensation and (ii) provided non-cash compensation to reward superior performance against specific objectives and long-term strategic goals, traditionally in the form of stock options. In fiscal 2008, with the adoption of our Long-Term Incentive Plan, our management team was offered a compensation plan designed to award superior performance against short-term objectives but any award earned, which could be in the form of cash, stock options, restricted stock or any combination thereof (based on the prior election of the executives) would be subject to a three-year vesting period. These types of awards are intended to align executive compensation with shareholders’ interest and the Company’s long-term strategic goals. Currently, management is hindered from receiving stock options or restricted stock due to the lack of available shares under the 2006 Plan. Even though the amount of stock options and restricted stock is not sufficient, on June 15, 2010, the Compensation Committee will require that all participants, through their irrevocable elections, elect to receive at least 50% of any award in equity, through either shares of restricted stock and/or stock options.</w:t>
      </w:r>
    </w:p>
    <w:p>
      <w:pPr>
        <w:spacing w:after="0" w:line="106"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With respect to the overall compensation paid to our Key Executives, the Compensation Committee’s objective is to aim toward a total direct compensation amount that is within our peer median if we are able to achieve financial targets. As such, the Compensation Committee’s objective is to allocate the Key Executive’s total direct compensation equally between base salary, short-term rewards and long-term rewards.</w:t>
      </w:r>
    </w:p>
    <w:p>
      <w:pPr>
        <w:spacing w:after="0" w:line="9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Compensation Committee’s overall objective is to provide our Senior Executives with a competitive base salary that is within our peer median, while providing them with an opportunity for long-term compensation if our Company meets or exceeds its financial targets, such as EBITDA and overall operating margins.</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Committee’s compensation philosophy continues to be to achieve our primary business objectives of increasing our market share within the Big &amp; Tall retail industry while working towards increasing operating margins and ultimately stockholder returns, through increased stock price. With the current economic conditions, we still remain focused on these long-term objectives, and for fiscal 2010 EBITDA remains the target for our annual incentive plan and EBITDA and operating margin percent remain our targets for our long-term incentive plan. Our targets are based generally on a 50% probability of achieving the current year’s planned EBITDA and operating margin planned levels.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Risk Assessment</w:t>
      </w:r>
    </w:p>
    <w:p>
      <w:pPr>
        <w:spacing w:after="0" w:line="7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believe that our compensation programs do not provide incentives for unnecessary risk taking by our employees. Our employment agreements with each of our executives include a “clawback” provision which permits us to demand full repayment of all amounts paid to the executive in the event we learn after the executive’s termination that the executive could have been terminated for “justifiable cause.” Our emphasis on long-term incentive awards, in addition to our annual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Process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-Key Executives</w:t>
      </w:r>
    </w:p>
    <w:p>
      <w:pPr>
        <w:spacing w:after="0" w:line="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consultation with a leading independent firm which specializes in benefits and compensation, the Compensation Committee has developed a compensation program that is competitive within our peer group. The consultant analyzed compensation and benefits of our peer companies with respect to our Key Executive compensation as well as compensation levels and practices for our Board of Directors.</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When creating the compensation program, the Compensation Committee used the following list of companies as our primary peer group when evaluating and assessing compensation levels for our Key Executives. When determining peer companies, we chose public companies within the specialty retail apparel business with similar sales and market capitalization:</w:t>
      </w:r>
    </w:p>
    <w:p>
      <w:pPr>
        <w:spacing w:after="0" w:line="127" w:lineRule="exact"/>
        <w:rPr>
          <w:sz w:val="20"/>
          <w:szCs w:val="20"/>
          <w:color w:val="auto"/>
        </w:rPr>
      </w:pPr>
    </w:p>
    <w:tbl>
      <w:tblPr>
        <w:tblLayout w:type="fixed"/>
        <w:tblInd w:w="1020" w:type="dxa"/>
        <w:tblCellMar>
          <w:top w:w="0" w:type="dxa"/>
          <w:left w:w="0" w:type="dxa"/>
          <w:bottom w:w="0" w:type="dxa"/>
          <w:right w:w="0" w:type="dxa"/>
        </w:tblCellMar>
      </w:tblP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tcPr>
          <w:p>
            <w:pPr>
              <w:ind w:left="60"/>
              <w:spacing w:after="0"/>
              <w:rPr>
                <w:sz w:val="20"/>
                <w:szCs w:val="20"/>
                <w:color w:val="auto"/>
              </w:rPr>
            </w:pPr>
            <w:r>
              <w:rPr>
                <w:rFonts w:ascii="Arial" w:cs="Arial" w:eastAsia="Arial" w:hAnsi="Arial"/>
                <w:sz w:val="18"/>
                <w:szCs w:val="18"/>
                <w:color w:val="auto"/>
              </w:rPr>
              <w:t>Aeropostale</w:t>
            </w:r>
          </w:p>
        </w:tc>
        <w:tc>
          <w:tcPr>
            <w:tcW w:w="2160" w:type="dxa"/>
            <w:vAlign w:val="bottom"/>
          </w:tcPr>
          <w:p>
            <w:pPr>
              <w:ind w:left="2020"/>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rPr>
              <w:t>Deb Shops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tcPr>
          <w:p>
            <w:pPr>
              <w:ind w:left="60"/>
              <w:spacing w:after="0"/>
              <w:rPr>
                <w:sz w:val="20"/>
                <w:szCs w:val="20"/>
                <w:color w:val="auto"/>
              </w:rPr>
            </w:pPr>
            <w:r>
              <w:rPr>
                <w:rFonts w:ascii="Arial" w:cs="Arial" w:eastAsia="Arial" w:hAnsi="Arial"/>
                <w:sz w:val="18"/>
                <w:szCs w:val="18"/>
                <w:color w:val="auto"/>
              </w:rPr>
              <w:t>The Buckle</w:t>
            </w:r>
          </w:p>
        </w:tc>
        <w:tc>
          <w:tcPr>
            <w:tcW w:w="2160" w:type="dxa"/>
            <w:vAlign w:val="bottom"/>
          </w:tcPr>
          <w:p>
            <w:pPr>
              <w:ind w:left="2020"/>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w w:val="89"/>
              </w:rPr>
              <w:t>Destination Maternity</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tcPr>
          <w:p>
            <w:pPr>
              <w:ind w:left="60"/>
              <w:spacing w:after="0"/>
              <w:rPr>
                <w:sz w:val="20"/>
                <w:szCs w:val="20"/>
                <w:color w:val="auto"/>
              </w:rPr>
            </w:pPr>
            <w:r>
              <w:rPr>
                <w:rFonts w:ascii="Arial" w:cs="Arial" w:eastAsia="Arial" w:hAnsi="Arial"/>
                <w:sz w:val="18"/>
                <w:szCs w:val="18"/>
                <w:color w:val="auto"/>
              </w:rPr>
              <w:t>Bebe Stores, Inc.</w:t>
            </w:r>
          </w:p>
        </w:tc>
        <w:tc>
          <w:tcPr>
            <w:tcW w:w="2160" w:type="dxa"/>
            <w:vAlign w:val="bottom"/>
          </w:tcPr>
          <w:p>
            <w:pPr>
              <w:ind w:left="2020"/>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rPr>
              <w:t>Hibbett</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tcPr>
          <w:p>
            <w:pPr>
              <w:ind w:left="60"/>
              <w:spacing w:after="0"/>
              <w:rPr>
                <w:sz w:val="20"/>
                <w:szCs w:val="20"/>
                <w:color w:val="auto"/>
              </w:rPr>
            </w:pPr>
            <w:r>
              <w:rPr>
                <w:rFonts w:ascii="Arial" w:cs="Arial" w:eastAsia="Arial" w:hAnsi="Arial"/>
                <w:sz w:val="18"/>
                <w:szCs w:val="18"/>
                <w:color w:val="auto"/>
              </w:rPr>
              <w:t>Charlotte Russe</w:t>
            </w:r>
          </w:p>
        </w:tc>
        <w:tc>
          <w:tcPr>
            <w:tcW w:w="2160" w:type="dxa"/>
            <w:vAlign w:val="bottom"/>
          </w:tcPr>
          <w:p>
            <w:pPr>
              <w:ind w:left="2020"/>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rPr>
              <w:t>Hot Topic</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tcPr>
          <w:p>
            <w:pPr>
              <w:ind w:left="60"/>
              <w:spacing w:after="0"/>
              <w:rPr>
                <w:sz w:val="20"/>
                <w:szCs w:val="20"/>
                <w:color w:val="auto"/>
              </w:rPr>
            </w:pPr>
            <w:r>
              <w:rPr>
                <w:rFonts w:ascii="Arial" w:cs="Arial" w:eastAsia="Arial" w:hAnsi="Arial"/>
                <w:sz w:val="18"/>
                <w:szCs w:val="18"/>
                <w:color w:val="auto"/>
              </w:rPr>
              <w:t>Cato Group</w:t>
            </w:r>
          </w:p>
        </w:tc>
        <w:tc>
          <w:tcPr>
            <w:tcW w:w="2160" w:type="dxa"/>
            <w:vAlign w:val="bottom"/>
          </w:tcPr>
          <w:p>
            <w:pPr>
              <w:ind w:left="2020"/>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rPr>
              <w:t>JoS A. Bank</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tcPr>
          <w:p>
            <w:pPr>
              <w:ind w:left="60"/>
              <w:spacing w:after="0"/>
              <w:rPr>
                <w:sz w:val="20"/>
                <w:szCs w:val="20"/>
                <w:color w:val="auto"/>
              </w:rPr>
            </w:pPr>
            <w:r>
              <w:rPr>
                <w:rFonts w:ascii="Arial" w:cs="Arial" w:eastAsia="Arial" w:hAnsi="Arial"/>
                <w:sz w:val="18"/>
                <w:szCs w:val="18"/>
                <w:color w:val="auto"/>
              </w:rPr>
              <w:t>Christopher Banks</w:t>
            </w:r>
          </w:p>
        </w:tc>
        <w:tc>
          <w:tcPr>
            <w:tcW w:w="2160" w:type="dxa"/>
            <w:vAlign w:val="bottom"/>
          </w:tcPr>
          <w:p>
            <w:pPr>
              <w:ind w:left="2020"/>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w w:val="96"/>
              </w:rPr>
              <w:t>United Retail Group</w:t>
            </w:r>
          </w:p>
        </w:tc>
      </w:tr>
    </w:tbl>
    <w:p>
      <w:pPr>
        <w:spacing w:after="0" w:line="14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Committee’s overall goal is for our Key Executives’ total direct compensation to fall within the median of our peer group; however, this guideline may differ depending on an individual’s qualification, past performance, the demand for individuals with the executive’s specific expertise and experience, achievement of our financial objectives and the executive’s contribution to such achievement and overall responsibility, among other criteria.</w:t>
      </w:r>
    </w:p>
    <w:p>
      <w:pPr>
        <w:spacing w:after="0" w:line="9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Compensation Committee is directly responsible for determining the compensation paid to our Key Executives. For our Key Executives, the Compensation Committee compares each element of compensation to published survey data from our peer group for executives in the comparable positions and responsibilities and also seeks advice as needed from compensation consultants. In summary:</w:t>
      </w:r>
    </w:p>
    <w:p>
      <w:pPr>
        <w:spacing w:after="0" w:line="46" w:lineRule="exact"/>
        <w:rPr>
          <w:sz w:val="20"/>
          <w:szCs w:val="20"/>
          <w:color w:val="auto"/>
        </w:rPr>
      </w:pPr>
    </w:p>
    <w:p>
      <w:pPr>
        <w:ind w:left="780" w:right="80" w:hanging="326"/>
        <w:spacing w:after="0" w:line="306" w:lineRule="auto"/>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Committee believes that Mr. Levin’s total cash compensation is competitive and within our peer median. However, over the past two years as a result of the effect of the economy on the Company’s stock, Mr. Levin’s total direct compensation, which as stated above includes the present value of long-term incentive awards, has been substantially impacted due to the decreased value in the Company’s stock.</w:t>
      </w:r>
    </w:p>
    <w:p>
      <w:pPr>
        <w:spacing w:after="0" w:line="12" w:lineRule="exact"/>
        <w:rPr>
          <w:rFonts w:ascii="Arial" w:cs="Arial" w:eastAsia="Arial" w:hAnsi="Arial"/>
          <w:sz w:val="16"/>
          <w:szCs w:val="16"/>
          <w:color w:val="auto"/>
        </w:rPr>
      </w:pPr>
    </w:p>
    <w:p>
      <w:pPr>
        <w:jc w:val="both"/>
        <w:ind w:left="780" w:hanging="326"/>
        <w:spacing w:after="0" w:line="370" w:lineRule="auto"/>
        <w:tabs>
          <w:tab w:leader="none" w:pos="7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Mr. Hernreich’s total cash compensation is above the market median for either a chief financial officer or chief operating officer when compared to our peers; however, given the fact that Mr. Hernreich serves multiple roles as our Chief Financial Officer, Chief Operating Officer, Treasurer and Secretary,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0" w:name="page21"/>
    <w:bookmarkEnd w:id="20"/>
    <w:p>
      <w:pPr>
        <w:ind w:left="800"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believes that a base pay above the median is appropriate. The present value of Mr. Hernreich’s long-term incentive awards has also been substantially impacted due to the decreased value in the Company’s stock resulting from the poor economy.</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Committee believes that as a result of actions taken by the Board of Directors and the Compensation Committee in fiscal 2008 in establishing the Annual Incentive Plan and Long-Term Incentive Plan (as discussed below), there can be significant upside to our Key Executives and Senior Executives if we are able to achieve our short-term and long-term objectives. Similarly, there is also potential upside present in the equity portions of their long-term award if our objectives are achieved and the economy continues to improve. See “</w:t>
      </w:r>
      <w:r>
        <w:rPr>
          <w:rFonts w:ascii="Arial" w:cs="Arial" w:eastAsia="Arial" w:hAnsi="Arial"/>
          <w:sz w:val="18"/>
          <w:szCs w:val="18"/>
          <w:i w:val="1"/>
          <w:iCs w:val="1"/>
          <w:color w:val="auto"/>
        </w:rPr>
        <w:t>Outstanding Equity Award Value at Fiscal Year End</w:t>
      </w:r>
      <w:r>
        <w:rPr>
          <w:rFonts w:ascii="Arial" w:cs="Arial" w:eastAsia="Arial" w:hAnsi="Arial"/>
          <w:sz w:val="18"/>
          <w:szCs w:val="18"/>
          <w:color w:val="auto"/>
        </w:rPr>
        <w:t>” for a detailed listing of such awards outstanding for each executive.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b w:val="1"/>
          <w:bCs w:val="1"/>
          <w:i w:val="1"/>
          <w:iCs w:val="1"/>
          <w:u w:val="single" w:color="auto"/>
          <w:color w:val="auto"/>
        </w:rPr>
        <w:t>Senior Executives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Key Executives together with our Senior Vice President of Human Resources are primarily responsible for determining the compensation paid to our Senior Executives, subject to ratification or approval by the Compensation Committee. For benchmarking purposes, the Key Executives utilize several published industry compensation surveys when determining compensation packages for our Senior Executives. A combination of performance, achievement of goals and survey data, among other criteria, is used to determine each Senior Executive’s total direct compensation. The Senior Executives are provided with a competitive base salary within our retail industry and are provided with an opportunity to earn performance awards each year which are primarily driven by our Company’s overall financial targets as with our Key Executives. See “</w:t>
      </w:r>
      <w:r>
        <w:rPr>
          <w:rFonts w:ascii="Arial" w:cs="Arial" w:eastAsia="Arial" w:hAnsi="Arial"/>
          <w:sz w:val="16"/>
          <w:szCs w:val="16"/>
          <w:i w:val="1"/>
          <w:iCs w:val="1"/>
          <w:color w:val="auto"/>
        </w:rPr>
        <w:t>Components of Executive Compensation—Performance–based annual cash bonuses and—Long-term</w:t>
      </w:r>
      <w:r>
        <w:rPr>
          <w:rFonts w:ascii="Arial" w:cs="Arial" w:eastAsia="Arial" w:hAnsi="Arial"/>
          <w:sz w:val="16"/>
          <w:szCs w:val="16"/>
          <w:color w:val="auto"/>
        </w:rPr>
        <w:t xml:space="preserve"> </w:t>
      </w:r>
      <w:r>
        <w:rPr>
          <w:rFonts w:ascii="Arial" w:cs="Arial" w:eastAsia="Arial" w:hAnsi="Arial"/>
          <w:sz w:val="16"/>
          <w:szCs w:val="16"/>
          <w:i w:val="1"/>
          <w:iCs w:val="1"/>
          <w:color w:val="auto"/>
        </w:rPr>
        <w:t>performance based awards.</w:t>
      </w:r>
      <w:r>
        <w:rPr>
          <w:rFonts w:ascii="Arial" w:cs="Arial" w:eastAsia="Arial" w:hAnsi="Arial"/>
          <w:sz w:val="16"/>
          <w:szCs w:val="16"/>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primary components of compensation for our Key Executives and Senior Executives include base salary, current year performance-based cash bonuses and long-term incentives. The components of compensation are described as follows:</w:t>
      </w:r>
    </w:p>
    <w:p>
      <w:pPr>
        <w:spacing w:after="0" w:line="37"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Base salary</w:t>
      </w:r>
    </w:p>
    <w:p>
      <w:pPr>
        <w:spacing w:after="0" w:line="36" w:lineRule="exact"/>
        <w:rPr>
          <w:sz w:val="20"/>
          <w:szCs w:val="20"/>
          <w:color w:val="auto"/>
        </w:rPr>
      </w:pPr>
    </w:p>
    <w:p>
      <w:pPr>
        <w:ind w:left="800" w:right="120"/>
        <w:spacing w:after="0" w:line="325" w:lineRule="auto"/>
        <w:rPr>
          <w:sz w:val="20"/>
          <w:szCs w:val="20"/>
          <w:color w:val="auto"/>
        </w:rPr>
      </w:pPr>
      <w:r>
        <w:rPr>
          <w:rFonts w:ascii="Arial" w:cs="Arial" w:eastAsia="Arial" w:hAnsi="Arial"/>
          <w:sz w:val="16"/>
          <w:szCs w:val="16"/>
          <w:color w:val="auto"/>
        </w:rPr>
        <w:t>The base salary represents the fixed component of an executive’s annual compensation. In order to be competitive in the marketplace and attract the top executive talent, we believe that it is important that our base salary be competitive, generally falling within the median of our industry peers.</w:t>
      </w:r>
    </w:p>
    <w:p>
      <w:pPr>
        <w:spacing w:after="0" w:line="1" w:lineRule="exact"/>
        <w:rPr>
          <w:sz w:val="20"/>
          <w:szCs w:val="20"/>
          <w:color w:val="auto"/>
        </w:rPr>
      </w:pPr>
    </w:p>
    <w:p>
      <w:pPr>
        <w:ind w:left="800" w:right="20"/>
        <w:spacing w:after="0" w:line="256" w:lineRule="auto"/>
        <w:rPr>
          <w:sz w:val="20"/>
          <w:szCs w:val="20"/>
          <w:color w:val="auto"/>
        </w:rPr>
      </w:pPr>
      <w:r>
        <w:rPr>
          <w:rFonts w:ascii="Arial" w:cs="Arial" w:eastAsia="Arial" w:hAnsi="Arial"/>
          <w:sz w:val="18"/>
          <w:szCs w:val="18"/>
          <w:color w:val="auto"/>
        </w:rPr>
        <w:t>Base salaries are reviewed annually and adjustments are influenced by our performance in the previous fiscal year and the executive’s contribution to that performance. The executive’s performance is measured by various factors, including, but not limited to, achievement of specific individual and department goals, promotions of the individual that may have occurred during the fiscal year, and any increases in the individual’s level of responsibility.</w:t>
      </w:r>
    </w:p>
    <w:p>
      <w:pPr>
        <w:spacing w:after="0" w:line="49" w:lineRule="exact"/>
        <w:rPr>
          <w:sz w:val="20"/>
          <w:szCs w:val="20"/>
          <w:color w:val="auto"/>
        </w:rPr>
      </w:pPr>
    </w:p>
    <w:p>
      <w:pPr>
        <w:ind w:left="800"/>
        <w:spacing w:after="0" w:line="306" w:lineRule="auto"/>
        <w:rPr>
          <w:sz w:val="20"/>
          <w:szCs w:val="20"/>
          <w:color w:val="auto"/>
        </w:rPr>
      </w:pPr>
      <w:r>
        <w:rPr>
          <w:rFonts w:ascii="Arial" w:cs="Arial" w:eastAsia="Arial" w:hAnsi="Arial"/>
          <w:sz w:val="16"/>
          <w:szCs w:val="16"/>
          <w:color w:val="auto"/>
        </w:rPr>
        <w:t>As mentioned above, the Compensation Committee looks to our Key Executives’ overall compensation and expects that approximately one-third of their total direct compensation will be in the form of base salary, while maintaining a range that is within our peer median. For our Senior Executives, the Key Executives rely on industry compensation surveys and target a median range that is competitive.</w:t>
      </w:r>
    </w:p>
    <w:p>
      <w:pPr>
        <w:spacing w:after="0" w:line="12" w:lineRule="exact"/>
        <w:rPr>
          <w:sz w:val="20"/>
          <w:szCs w:val="20"/>
          <w:color w:val="auto"/>
        </w:rPr>
      </w:pPr>
    </w:p>
    <w:p>
      <w:pPr>
        <w:ind w:left="800" w:right="200"/>
        <w:spacing w:after="0" w:line="305" w:lineRule="auto"/>
        <w:rPr>
          <w:sz w:val="20"/>
          <w:szCs w:val="20"/>
          <w:color w:val="auto"/>
        </w:rPr>
      </w:pPr>
      <w:r>
        <w:rPr>
          <w:rFonts w:ascii="Arial" w:cs="Arial" w:eastAsia="Arial" w:hAnsi="Arial"/>
          <w:sz w:val="15"/>
          <w:szCs w:val="15"/>
          <w:color w:val="auto"/>
        </w:rPr>
        <w:t>As part of our overall Company objectives of reducing expenses in expectation of a lower projected sales base in light of the economy, on May 17, 2009, the Compensation Committee and the Board of Directors approved the recommendation of the Key Executives for a base salary decrease of</w:t>
      </w:r>
    </w:p>
    <w:p>
      <w:pPr>
        <w:jc w:val="both"/>
        <w:ind w:left="800"/>
        <w:spacing w:after="0" w:line="255" w:lineRule="auto"/>
        <w:rPr>
          <w:sz w:val="20"/>
          <w:szCs w:val="20"/>
          <w:color w:val="auto"/>
        </w:rPr>
      </w:pPr>
      <w:r>
        <w:rPr>
          <w:rFonts w:ascii="Arial" w:cs="Arial" w:eastAsia="Arial" w:hAnsi="Arial"/>
          <w:sz w:val="18"/>
          <w:szCs w:val="18"/>
          <w:color w:val="auto"/>
        </w:rPr>
        <w:t>5.0% for all members of senior management, including our Key Executives and Senior Executives. The Chief Executive Officer did not participate in the Board vote. The Compensation Committee relied upon the performance-based annual cash bonus program and the long-term performance-based plan as incentives to achieve the Company’s financial goals for fiscal 2009.</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280" w:right="339" w:bottom="1440" w:gutter="0" w:footer="0" w:header="0"/>
        </w:sectPr>
      </w:pPr>
    </w:p>
    <w:bookmarkStart w:id="21" w:name="page22"/>
    <w:bookmarkEnd w:id="21"/>
    <w:p>
      <w:pPr>
        <w:ind w:left="346"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result of our financial performance in fiscal 2009, on February 5, 2010, the Compensation Committee approved reinstatement of the 5.0% salary adjustment to all members of senior management, including our Key Executives and Senior Executives.</w:t>
      </w:r>
    </w:p>
    <w:p>
      <w:pPr>
        <w:spacing w:after="0" w:line="37" w:lineRule="exact"/>
        <w:rPr>
          <w:sz w:val="20"/>
          <w:szCs w:val="20"/>
          <w:color w:val="auto"/>
        </w:rPr>
      </w:pPr>
    </w:p>
    <w:p>
      <w:pPr>
        <w:ind w:left="326" w:hanging="326"/>
        <w:spacing w:after="0"/>
        <w:tabs>
          <w:tab w:leader="none" w:pos="326"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Performance-based annual cash bonuses</w:t>
      </w:r>
    </w:p>
    <w:p>
      <w:pPr>
        <w:spacing w:after="0" w:line="36" w:lineRule="exact"/>
        <w:rPr>
          <w:sz w:val="20"/>
          <w:szCs w:val="20"/>
          <w:color w:val="auto"/>
        </w:rPr>
      </w:pPr>
    </w:p>
    <w:p>
      <w:pPr>
        <w:ind w:left="346" w:right="40"/>
        <w:spacing w:after="0" w:line="298" w:lineRule="auto"/>
        <w:rPr>
          <w:sz w:val="20"/>
          <w:szCs w:val="20"/>
          <w:color w:val="auto"/>
        </w:rPr>
      </w:pPr>
      <w:r>
        <w:rPr>
          <w:rFonts w:ascii="Arial" w:cs="Arial" w:eastAsia="Arial" w:hAnsi="Arial"/>
          <w:sz w:val="16"/>
          <w:szCs w:val="16"/>
          <w:color w:val="auto"/>
        </w:rPr>
        <w:t>The Compensation Committee believes that a substantial portion of each executive’s compensation should tie directly to our financial performance as well as to each executive’s own performance. Our compensation program includes eligibility for an annual performance-based cash bonus for all executives as well as certain non-executive employees. The Committee believes that an annual cash bonus component of compensation is necessary to provide additional incentive to help achieve annual goals, benefiting our stockholder value.</w:t>
      </w:r>
    </w:p>
    <w:p>
      <w:pPr>
        <w:spacing w:after="0" w:line="18" w:lineRule="exact"/>
        <w:rPr>
          <w:sz w:val="20"/>
          <w:szCs w:val="20"/>
          <w:color w:val="auto"/>
        </w:rPr>
      </w:pPr>
    </w:p>
    <w:p>
      <w:pPr>
        <w:ind w:left="346"/>
        <w:spacing w:after="0"/>
        <w:rPr>
          <w:sz w:val="20"/>
          <w:szCs w:val="20"/>
          <w:color w:val="auto"/>
        </w:rPr>
      </w:pPr>
      <w:r>
        <w:rPr>
          <w:rFonts w:ascii="Arial" w:cs="Arial" w:eastAsia="Arial" w:hAnsi="Arial"/>
          <w:sz w:val="18"/>
          <w:szCs w:val="18"/>
          <w:u w:val="single" w:color="auto"/>
          <w:color w:val="auto"/>
        </w:rPr>
        <w:t>Annual Incentive Plan</w:t>
      </w:r>
    </w:p>
    <w:p>
      <w:pPr>
        <w:spacing w:after="0" w:line="77" w:lineRule="exact"/>
        <w:rPr>
          <w:sz w:val="20"/>
          <w:szCs w:val="20"/>
          <w:color w:val="auto"/>
        </w:rPr>
      </w:pPr>
    </w:p>
    <w:p>
      <w:pPr>
        <w:ind w:left="346"/>
        <w:spacing w:after="0" w:line="290" w:lineRule="auto"/>
        <w:rPr>
          <w:sz w:val="20"/>
          <w:szCs w:val="20"/>
          <w:color w:val="auto"/>
        </w:rPr>
      </w:pPr>
      <w:r>
        <w:rPr>
          <w:rFonts w:ascii="Arial" w:cs="Arial" w:eastAsia="Arial" w:hAnsi="Arial"/>
          <w:sz w:val="16"/>
          <w:szCs w:val="16"/>
          <w:color w:val="auto"/>
        </w:rPr>
        <w:t>The Casual Male Retail Group, Inc. Annual Incentive Plan, which was established in May 2008, is an annual performance-based cash bonus plan. The participants include both the Key Executives and the Senior Executives. The Annual Incentive Plan uses EBITDA as the benchmark. The target range of EBITDA for fiscal 2009 was approved by our Board of Directors. Our executives were eligible to receive a cash bonus ranging from 80% to 150% of their designated percentage (which is 100% for the Key Executives and 35% for the Senior Executives) of their respective earned salaries during the plan year if we achieved a certain target range for EBITDA of between 80% and 150% during fiscal 2009. The maximum payout of 150% was achieved for fiscal 2009 and on March 19, 2010 the Compensation Committee approved payment of the cash bonuses. The total cash award for the 2009 Annual Incentive Plan was $5.3 million of which $3.6 million was paid to our Key Executives and Senior Executives.</w:t>
      </w:r>
    </w:p>
    <w:p>
      <w:pPr>
        <w:spacing w:after="0" w:line="24" w:lineRule="exact"/>
        <w:rPr>
          <w:sz w:val="20"/>
          <w:szCs w:val="20"/>
          <w:color w:val="auto"/>
        </w:rPr>
      </w:pPr>
    </w:p>
    <w:p>
      <w:pPr>
        <w:ind w:left="346" w:right="60"/>
        <w:spacing w:after="0" w:line="284" w:lineRule="auto"/>
        <w:rPr>
          <w:sz w:val="20"/>
          <w:szCs w:val="20"/>
          <w:color w:val="auto"/>
        </w:rPr>
      </w:pPr>
      <w:r>
        <w:rPr>
          <w:rFonts w:ascii="Arial" w:cs="Arial" w:eastAsia="Arial" w:hAnsi="Arial"/>
          <w:sz w:val="16"/>
          <w:szCs w:val="16"/>
          <w:color w:val="auto"/>
        </w:rPr>
        <w:t>On April 9, 2010, the Compensation Committee approved the EBITDA target range for fiscal 2010. If the bonuses were to be paid today based on salaries as of May 24, 2010, the cash bonuses would be based on salaries earned of $811,200 for Mr. Levin, $621,920 for Mr. Hernreich, $180,000 for Mr. Chane, $225,000 for Mr. Ederle, $253,000 for Mr. Della Bernarda, $275,000 for Mr. Hearn, $300,000 for Mr. Metscher, $255,528 for</w:t>
      </w:r>
    </w:p>
    <w:p>
      <w:pPr>
        <w:spacing w:after="0" w:line="1" w:lineRule="exact"/>
        <w:rPr>
          <w:sz w:val="20"/>
          <w:szCs w:val="20"/>
          <w:color w:val="auto"/>
        </w:rPr>
      </w:pPr>
    </w:p>
    <w:p>
      <w:pPr>
        <w:ind w:left="346" w:right="60"/>
        <w:spacing w:after="0" w:line="302" w:lineRule="auto"/>
        <w:rPr>
          <w:sz w:val="20"/>
          <w:szCs w:val="20"/>
          <w:color w:val="auto"/>
        </w:rPr>
      </w:pPr>
      <w:r>
        <w:rPr>
          <w:rFonts w:ascii="Arial" w:cs="Arial" w:eastAsia="Arial" w:hAnsi="Arial"/>
          <w:sz w:val="16"/>
          <w:szCs w:val="16"/>
          <w:color w:val="auto"/>
        </w:rPr>
        <w:t>Mr. McKinney, $325,000 for Mr. Molloy, $275,000 for Mr. Reaves, $225,112 for Mr. Schmitz, $260,000 for Ms. Smith, $200,000 for Mr. Stratton and $242,000 for Mr. Sprague. Assuming we achieve 100% of the EBITDA target for fiscal 2010, we estimate that the total potential payout would be approximately $3.7 million, of which $2.5 million would be paid to our Key Executives and Senior Executives.</w:t>
      </w:r>
    </w:p>
    <w:p>
      <w:pPr>
        <w:spacing w:after="0" w:line="15" w:lineRule="exact"/>
        <w:rPr>
          <w:sz w:val="20"/>
          <w:szCs w:val="20"/>
          <w:color w:val="auto"/>
        </w:rPr>
      </w:pPr>
    </w:p>
    <w:p>
      <w:pPr>
        <w:ind w:left="346" w:right="40"/>
        <w:spacing w:after="0" w:line="298" w:lineRule="auto"/>
        <w:rPr>
          <w:sz w:val="20"/>
          <w:szCs w:val="20"/>
          <w:color w:val="auto"/>
        </w:rPr>
      </w:pPr>
      <w:r>
        <w:rPr>
          <w:rFonts w:ascii="Arial" w:cs="Arial" w:eastAsia="Arial" w:hAnsi="Arial"/>
          <w:sz w:val="16"/>
          <w:szCs w:val="16"/>
          <w:color w:val="auto"/>
        </w:rPr>
        <w:t>The Compensation Committee believes this is a competitive level of compensation and provides incentives to all of our senior executives to achieve our annual financial goals. The Compensation Committee also believed it was important to establish a plan that awarded all of management, including our Key Executives and Senior Executives, using the same performance criteria. In addition, there is no personal performance component of the plan for Key Executives and Senior Executives, thereby creating one single Company-wide target.</w:t>
      </w:r>
    </w:p>
    <w:p>
      <w:pPr>
        <w:spacing w:after="0" w:line="18" w:lineRule="exact"/>
        <w:rPr>
          <w:sz w:val="20"/>
          <w:szCs w:val="20"/>
          <w:color w:val="auto"/>
        </w:rPr>
      </w:pPr>
    </w:p>
    <w:p>
      <w:pPr>
        <w:ind w:left="346" w:right="80"/>
        <w:spacing w:after="0" w:line="290" w:lineRule="auto"/>
        <w:rPr>
          <w:sz w:val="20"/>
          <w:szCs w:val="20"/>
          <w:color w:val="auto"/>
        </w:rPr>
      </w:pPr>
      <w:r>
        <w:rPr>
          <w:rFonts w:ascii="Arial" w:cs="Arial" w:eastAsia="Arial" w:hAnsi="Arial"/>
          <w:sz w:val="16"/>
          <w:szCs w:val="16"/>
          <w:color w:val="auto"/>
        </w:rPr>
        <w:t>The Compensation Committee believes that it is possible to meet or exceed the EBITDA target set for fiscal 2010. The established EBITDA target is intended to be achievable within an approximate 50% probability as a result of executing the Company’s operating plan in the midst of a slow recovering economy. The target level is derived from our annual operating plan and budget for the fiscal year. The operating plan and budget set forth our internal goals and objectives for our growth and development and are expected to require substantial efforts by the entire Company to achieve. As a result, the likelihood of achieving the 2010 EBITDA target reflects the challenges inherent in achieving the goals and objectives in the operating plan and budget. The Compensation Committee considered the likelihood of achieving the target levels when approving the target amount, including historical achievement by our executive officers.</w:t>
      </w:r>
    </w:p>
    <w:p>
      <w:pPr>
        <w:spacing w:after="0" w:line="24" w:lineRule="exact"/>
        <w:rPr>
          <w:sz w:val="20"/>
          <w:szCs w:val="20"/>
          <w:color w:val="auto"/>
        </w:rPr>
      </w:pPr>
    </w:p>
    <w:p>
      <w:pPr>
        <w:ind w:left="346" w:right="140"/>
        <w:spacing w:after="0" w:line="268" w:lineRule="auto"/>
        <w:rPr>
          <w:sz w:val="20"/>
          <w:szCs w:val="20"/>
          <w:color w:val="auto"/>
        </w:rPr>
      </w:pPr>
      <w:r>
        <w:rPr>
          <w:rFonts w:ascii="Arial" w:cs="Arial" w:eastAsia="Arial" w:hAnsi="Arial"/>
          <w:sz w:val="18"/>
          <w:szCs w:val="18"/>
          <w:color w:val="auto"/>
        </w:rPr>
        <w:t>With the exception of fiscal 2009, our EBITDA target has not been reached by our executive officers on a historical basis. As discussed above, based on the Company’s strong operating results for fiscal 2009,</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6"/>
          </w:cols>
          <w:pgMar w:left="694" w:top="280" w:right="239" w:bottom="1440" w:gutter="0" w:footer="0" w:header="0"/>
        </w:sectPr>
      </w:pPr>
    </w:p>
    <w:bookmarkStart w:id="22" w:name="page23"/>
    <w:bookmarkEnd w:id="22"/>
    <w:p>
      <w:pPr>
        <w:ind w:left="346"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were primarily driven by improved gross margins and reduced expenses, the EBITDA target under the Annual Incentive Plan was exceeded and bonus awards were based on the maximum payout of 150%.</w:t>
      </w:r>
    </w:p>
    <w:p>
      <w:pPr>
        <w:spacing w:after="0" w:line="37" w:lineRule="exact"/>
        <w:rPr>
          <w:sz w:val="20"/>
          <w:szCs w:val="20"/>
          <w:color w:val="auto"/>
        </w:rPr>
      </w:pPr>
    </w:p>
    <w:p>
      <w:pPr>
        <w:ind w:left="326" w:hanging="326"/>
        <w:spacing w:after="0"/>
        <w:tabs>
          <w:tab w:leader="none" w:pos="326"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Long-term performance based plans</w:t>
      </w:r>
    </w:p>
    <w:p>
      <w:pPr>
        <w:spacing w:after="0" w:line="104" w:lineRule="exact"/>
        <w:rPr>
          <w:sz w:val="20"/>
          <w:szCs w:val="20"/>
          <w:color w:val="auto"/>
        </w:rPr>
      </w:pPr>
    </w:p>
    <w:p>
      <w:pPr>
        <w:ind w:left="346" w:right="620"/>
        <w:spacing w:after="0" w:line="268" w:lineRule="auto"/>
        <w:rPr>
          <w:sz w:val="20"/>
          <w:szCs w:val="20"/>
          <w:color w:val="auto"/>
        </w:rPr>
      </w:pPr>
      <w:r>
        <w:rPr>
          <w:rFonts w:ascii="Arial" w:cs="Arial" w:eastAsia="Arial" w:hAnsi="Arial"/>
          <w:sz w:val="18"/>
          <w:szCs w:val="18"/>
          <w:color w:val="auto"/>
        </w:rPr>
        <w:t>Our long-term incentives reward the achievement of meeting our current year objectives but awards vest over a three-year period once earned, ultimately benefiting our stockholders while developing and retaining a strong management team.</w:t>
      </w:r>
    </w:p>
    <w:p>
      <w:pPr>
        <w:spacing w:after="0" w:line="37" w:lineRule="exact"/>
        <w:rPr>
          <w:sz w:val="20"/>
          <w:szCs w:val="20"/>
          <w:color w:val="auto"/>
        </w:rPr>
      </w:pPr>
    </w:p>
    <w:p>
      <w:pPr>
        <w:ind w:left="346"/>
        <w:spacing w:after="0"/>
        <w:rPr>
          <w:sz w:val="20"/>
          <w:szCs w:val="20"/>
          <w:color w:val="auto"/>
        </w:rPr>
      </w:pPr>
      <w:r>
        <w:rPr>
          <w:rFonts w:ascii="Arial" w:cs="Arial" w:eastAsia="Arial" w:hAnsi="Arial"/>
          <w:sz w:val="18"/>
          <w:szCs w:val="18"/>
          <w:u w:val="single" w:color="auto"/>
          <w:color w:val="auto"/>
        </w:rPr>
        <w:t>Long-Term Incentive Plan</w:t>
      </w:r>
    </w:p>
    <w:p>
      <w:pPr>
        <w:spacing w:after="0" w:line="77" w:lineRule="exact"/>
        <w:rPr>
          <w:sz w:val="20"/>
          <w:szCs w:val="20"/>
          <w:color w:val="auto"/>
        </w:rPr>
      </w:pPr>
    </w:p>
    <w:p>
      <w:pPr>
        <w:ind w:left="346" w:right="40"/>
        <w:spacing w:after="0" w:line="289" w:lineRule="auto"/>
        <w:rPr>
          <w:sz w:val="20"/>
          <w:szCs w:val="20"/>
          <w:color w:val="auto"/>
        </w:rPr>
      </w:pPr>
      <w:r>
        <w:rPr>
          <w:rFonts w:ascii="Arial" w:cs="Arial" w:eastAsia="Arial" w:hAnsi="Arial"/>
          <w:sz w:val="16"/>
          <w:szCs w:val="16"/>
          <w:color w:val="auto"/>
        </w:rPr>
        <w:t>In 2008, the Board adopted a Long-Term Incentive Plan pursuant to which only our executive officers, both Key Executives and Senior Executives, were eligible to participate. Pursuant to the plan and prior to its amendment in May 2010, as discussed below, if we achieve certain EBITDA and operating margin percent targets (collectively the “Metrics”), as set annually, each participant in the plan will be entitled to receive an award (depending on the target level achieved for each Metric) of the participant’s “Target Cash Value” which is defined as the participant’s respective actual annual base salary which is the blend of salary plus any salary adjustments made during the course of the relevant fiscal year multiplied by the long-term incentive program percentage in such participant’s employment agreement or otherwise on file with us (which is 100% for the Key Executives and 70% for the Senior Executives). For fiscal 2009 and 2010, the minimum threshold to receive an award is 85% to receive 80% of target and the maximum award is capped at achieving 125% to obtain a payment of 150% of the target level for each Metric.</w:t>
      </w:r>
    </w:p>
    <w:p>
      <w:pPr>
        <w:spacing w:after="0" w:line="24" w:lineRule="exact"/>
        <w:rPr>
          <w:sz w:val="20"/>
          <w:szCs w:val="20"/>
          <w:color w:val="auto"/>
        </w:rPr>
      </w:pPr>
    </w:p>
    <w:p>
      <w:pPr>
        <w:ind w:left="346" w:right="60"/>
        <w:spacing w:after="0" w:line="298" w:lineRule="auto"/>
        <w:rPr>
          <w:sz w:val="20"/>
          <w:szCs w:val="20"/>
          <w:color w:val="auto"/>
        </w:rPr>
      </w:pPr>
      <w:r>
        <w:rPr>
          <w:rFonts w:ascii="Arial" w:cs="Arial" w:eastAsia="Arial" w:hAnsi="Arial"/>
          <w:sz w:val="16"/>
          <w:szCs w:val="16"/>
          <w:color w:val="auto"/>
        </w:rPr>
        <w:t>At the irrevocable election of each participant, which must be made no later than six months prior to the end of each fiscal year, the award will be payable to the participant in the form of cash, stock options, restricted shares or any combination thereof. The awards will be granted by the Compensation Committee after the audited financial statements for the applicable fiscal year are available, which is expected to occur no later than 90 days after the close of the relevant fiscal year. Any awards granted under the plan vest over a three-year period.</w:t>
      </w:r>
    </w:p>
    <w:p>
      <w:pPr>
        <w:spacing w:after="0" w:line="18" w:lineRule="exact"/>
        <w:rPr>
          <w:sz w:val="20"/>
          <w:szCs w:val="20"/>
          <w:color w:val="auto"/>
        </w:rPr>
      </w:pPr>
    </w:p>
    <w:p>
      <w:pPr>
        <w:ind w:left="346" w:right="260"/>
        <w:spacing w:after="0" w:line="259" w:lineRule="auto"/>
        <w:rPr>
          <w:sz w:val="20"/>
          <w:szCs w:val="20"/>
          <w:color w:val="auto"/>
        </w:rPr>
      </w:pPr>
      <w:r>
        <w:rPr>
          <w:rFonts w:ascii="Arial" w:cs="Arial" w:eastAsia="Arial" w:hAnsi="Arial"/>
          <w:sz w:val="18"/>
          <w:szCs w:val="18"/>
          <w:color w:val="auto"/>
        </w:rPr>
        <w:t>For fiscal 2009, the Metrics were achieved, with the Company’s performance meeting 124.7% of target, accordingly, on March 19, 2010, the Compensation Committee approved the grant of awards pursuant to the Long-Term Incentive Plan. Fiscal 2009 represents the first year that awards were granted under any long-term incentive program.</w:t>
      </w:r>
    </w:p>
    <w:p>
      <w:pPr>
        <w:spacing w:after="0" w:line="46" w:lineRule="exact"/>
        <w:rPr>
          <w:sz w:val="20"/>
          <w:szCs w:val="20"/>
          <w:color w:val="auto"/>
        </w:rPr>
      </w:pPr>
    </w:p>
    <w:p>
      <w:pPr>
        <w:ind w:left="346" w:right="20"/>
        <w:spacing w:after="0" w:line="254" w:lineRule="auto"/>
        <w:rPr>
          <w:sz w:val="20"/>
          <w:szCs w:val="20"/>
          <w:color w:val="auto"/>
        </w:rPr>
      </w:pPr>
      <w:r>
        <w:rPr>
          <w:rFonts w:ascii="Arial" w:cs="Arial" w:eastAsia="Arial" w:hAnsi="Arial"/>
          <w:sz w:val="18"/>
          <w:szCs w:val="18"/>
          <w:color w:val="auto"/>
        </w:rPr>
        <w:t>Pursuant to the terms of the Long-Term Incentive Plan, together with the irrevocable elections of each participant, on March 19, 2010 we granted cash awards totaling $3.3 million and equity awards totaling $0.9 million, excluding potential forfeitures that may occur. Both the cash and equity awards will vest, based on each executive’s election, in three separate tranches, with the first tranche vesting on March 19, 2011. Except in the case of a change in control, our Senior Executives must still be employed by the Company on each annual vesting date to be entitled to the vested-portion of the award, otherwise the award is forfeited. In addition, for our Key Executives, if they are terminated without cause or they resign for “good reason” any unvested award would accelerate.</w:t>
      </w:r>
    </w:p>
    <w:p>
      <w:pPr>
        <w:spacing w:after="0" w:line="50" w:lineRule="exact"/>
        <w:rPr>
          <w:sz w:val="20"/>
          <w:szCs w:val="20"/>
          <w:color w:val="auto"/>
        </w:rPr>
      </w:pPr>
    </w:p>
    <w:p>
      <w:pPr>
        <w:ind w:left="346"/>
        <w:spacing w:after="0" w:line="289" w:lineRule="auto"/>
        <w:rPr>
          <w:sz w:val="20"/>
          <w:szCs w:val="20"/>
          <w:color w:val="auto"/>
        </w:rPr>
      </w:pPr>
      <w:r>
        <w:rPr>
          <w:rFonts w:ascii="Arial" w:cs="Arial" w:eastAsia="Arial" w:hAnsi="Arial"/>
          <w:sz w:val="16"/>
          <w:szCs w:val="16"/>
          <w:color w:val="auto"/>
        </w:rPr>
        <w:t>On April 9, 2010, the Compensation Committee approved the targets for fiscal 2010 which, similar to fiscal 2009, will be based on EBITDA and operating margin percent. If the targets are achieved, each award will vest, based on each executive’s election, in three separate tranches, with the first tranche vesting on the first anniversary of the date of grant. Assuming we achieve 100% for each target for fiscal 2010, we estimate that the total potential payout will be approximately $4.1 million, which will be expensed over the vesting period of approximately 47 months, once it is determined that the achievement of these targets is probable. However, we cannot predict if and when such targets will be met or what the allocation of this award will be between cash, stock options and/or restricted shares. Further, the fair market closing price of our common stock will not be known until the time of grant and, accordingly, the number of stock options and restricted shares ultimately issued, if elected by the participants, will also not be known until the time of grant.</w:t>
      </w:r>
    </w:p>
    <w:p>
      <w:pPr>
        <w:spacing w:after="0" w:line="10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6"/>
          </w:cols>
          <w:pgMar w:left="694" w:top="280" w:right="239" w:bottom="1440" w:gutter="0" w:footer="0" w:header="0"/>
        </w:sectPr>
      </w:pPr>
    </w:p>
    <w:bookmarkStart w:id="23" w:name="page24"/>
    <w:bookmarkEnd w:id="23"/>
    <w:p>
      <w:pPr>
        <w:ind w:left="34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Compensation Committee believes that there is an approximate 50% probability of meeting the EBITDA and operating margin percentages set for fiscal 2010. We believe that our performance targets are established at levels that are intended to be difficult but attainable. The target levels of the performance objectives are derived from our annual operating plan and budget for a fiscal year. The operating plan and budget set forth our internal goals and objectives for our growth and development and are expected to require substantial efforts by the entire Company to achieve. As a result, the likelihood of achieving the 2010 performance targets reflects the challenges inherent in achieving the goals and objectives in the operating plan and budget. The Compensation Committee considered the likelihood of achieving the target levels when approving the target amounts, including historical achievement by our executive officers. With the exception of fiscal 2009, our performance targets have not been reached by our executive officers on a historical basis.</w:t>
      </w:r>
    </w:p>
    <w:p>
      <w:pPr>
        <w:spacing w:after="0" w:line="24" w:lineRule="exact"/>
        <w:rPr>
          <w:sz w:val="20"/>
          <w:szCs w:val="20"/>
          <w:color w:val="auto"/>
        </w:rPr>
      </w:pPr>
    </w:p>
    <w:p>
      <w:pPr>
        <w:ind w:left="346" w:right="60"/>
        <w:spacing w:after="0" w:line="286" w:lineRule="auto"/>
        <w:rPr>
          <w:sz w:val="20"/>
          <w:szCs w:val="20"/>
          <w:color w:val="auto"/>
        </w:rPr>
      </w:pPr>
      <w:r>
        <w:rPr>
          <w:rFonts w:ascii="Arial" w:cs="Arial" w:eastAsia="Arial" w:hAnsi="Arial"/>
          <w:sz w:val="16"/>
          <w:szCs w:val="16"/>
          <w:color w:val="auto"/>
        </w:rPr>
        <w:t>In May 2010, the Compensation Committee amended and restated the 2008 Long-Term Incentive Plan (the “Amended and Restated Long-Term Incentive Plan”). Under the terms of the Amended and Restated Long-Term Incentive Plan, the Compensation Committee can establish targeted performance goals (as provided for under the shareholder-approved 2006 Incentive Compensation Plan (the “2006 Plan”)) for each participant and are no longer limited to establishing targets based on EBITDA and operating margin percentage. The threshold and maximum percentages of awards under the Amended and Restated Long-Term Incentive Plan remain 80% and 150%, respectively, for fiscal 2010 but the percentage achievement to be entitled to any payout is no longer fixed and the Compensation Committee has discretion to change those percentages annually. Each participant will be entitled to receive an award (depending on the target level achieved) of the participant’s Target Cash Value which is defined as the participant’s actual annual base salary in effect at the commencement of a fiscal year multiplied by the long-term incentive program percentage designated in such participant’s executed employment agreement or otherwise on file with the Company (which is 100% for the Key Executives and 70% for the Senior Executives). In addition, the Compensation Committee has the ability to require participants to elect some or all of the long-term incentive plan awards as some form of equity.</w:t>
      </w:r>
    </w:p>
    <w:p>
      <w:pPr>
        <w:spacing w:after="0" w:line="33" w:lineRule="exact"/>
        <w:rPr>
          <w:sz w:val="20"/>
          <w:szCs w:val="20"/>
          <w:color w:val="auto"/>
        </w:rPr>
      </w:pPr>
    </w:p>
    <w:p>
      <w:pPr>
        <w:ind w:left="346" w:right="80"/>
        <w:spacing w:after="0" w:line="294" w:lineRule="auto"/>
        <w:rPr>
          <w:sz w:val="20"/>
          <w:szCs w:val="20"/>
          <w:color w:val="auto"/>
        </w:rPr>
      </w:pPr>
      <w:r>
        <w:rPr>
          <w:rFonts w:ascii="Arial" w:cs="Arial" w:eastAsia="Arial" w:hAnsi="Arial"/>
          <w:sz w:val="16"/>
          <w:szCs w:val="16"/>
          <w:color w:val="auto"/>
        </w:rPr>
        <w:t>On June 15, 2010, the Compensation Committee further amended the Amended and Restated Long-Term Incentive Plan to permit the Compensation Committee, in its discretion, to require that all or any portion of a participant’s award be paid in shares of restricted stock and/or stock options, as opposed to cash. For fiscal 2010, the Compensation Committee will require that all participants, through their irrevocable elections, elect to receive at least 50% of any award in equity, through either shares of restricted stock and/or stock options. In addition, the Compensation Committee added nine additional participants to the Amended and Restated Long-Term Incentive Plan.</w:t>
      </w:r>
    </w:p>
    <w:p>
      <w:pPr>
        <w:spacing w:after="0" w:line="21" w:lineRule="exact"/>
        <w:rPr>
          <w:sz w:val="20"/>
          <w:szCs w:val="20"/>
          <w:color w:val="auto"/>
        </w:rPr>
      </w:pPr>
    </w:p>
    <w:p>
      <w:pPr>
        <w:ind w:left="326" w:hanging="326"/>
        <w:spacing w:after="0"/>
        <w:tabs>
          <w:tab w:leader="none" w:pos="326"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Long-term equity incentives</w:t>
      </w:r>
    </w:p>
    <w:p>
      <w:pPr>
        <w:spacing w:after="0" w:line="104" w:lineRule="exact"/>
        <w:rPr>
          <w:sz w:val="20"/>
          <w:szCs w:val="20"/>
          <w:color w:val="auto"/>
        </w:rPr>
      </w:pPr>
    </w:p>
    <w:p>
      <w:pPr>
        <w:ind w:left="346" w:right="40"/>
        <w:spacing w:after="0" w:line="254" w:lineRule="auto"/>
        <w:rPr>
          <w:sz w:val="20"/>
          <w:szCs w:val="20"/>
          <w:color w:val="auto"/>
        </w:rPr>
      </w:pPr>
      <w:r>
        <w:rPr>
          <w:rFonts w:ascii="Arial" w:cs="Arial" w:eastAsia="Arial" w:hAnsi="Arial"/>
          <w:sz w:val="18"/>
          <w:szCs w:val="18"/>
          <w:color w:val="auto"/>
        </w:rPr>
        <w:t>Through fiscal 2007, as part of our long-term compensation program, our Compensation Committee had traditionally granted stock options to our Key Executives in order to align our Key Executives’ interests more closely with the interests of our stockholders. The amount of such awards was determined usually once in each fiscal year by the Compensation Committee. The Compensation Committee determined the amount of the stock-based awards granted to the Key Executives usually based on the impact of our financial and operational performance on our stock price but could also take into account other factors in determining the size of stock-based awards, including, but not limited to, special accomplishments during the preceding year.</w:t>
      </w:r>
    </w:p>
    <w:p>
      <w:pPr>
        <w:spacing w:after="0" w:line="50" w:lineRule="exact"/>
        <w:rPr>
          <w:sz w:val="20"/>
          <w:szCs w:val="20"/>
          <w:color w:val="auto"/>
        </w:rPr>
      </w:pPr>
    </w:p>
    <w:p>
      <w:pPr>
        <w:ind w:left="346" w:right="260"/>
        <w:spacing w:after="0" w:line="306" w:lineRule="auto"/>
        <w:rPr>
          <w:sz w:val="20"/>
          <w:szCs w:val="20"/>
          <w:color w:val="auto"/>
        </w:rPr>
      </w:pPr>
      <w:r>
        <w:rPr>
          <w:rFonts w:ascii="Arial" w:cs="Arial" w:eastAsia="Arial" w:hAnsi="Arial"/>
          <w:sz w:val="16"/>
          <w:szCs w:val="16"/>
          <w:color w:val="auto"/>
        </w:rPr>
        <w:t>In May 2008, Messrs. Levin and Hernreich were granted options to purchase an aggregate of 500,000 and 400,000 shares of our common stock, respectively, with exercise prices ranging from $4.54-$4.55. Unlike previous stock option grants to our Key Executives, which were directly tied to our previous year’s annual stock price performance, these grants to Messrs. Levin and Hernreich represented retention awards.</w:t>
      </w:r>
    </w:p>
    <w:p>
      <w:pPr>
        <w:spacing w:after="0" w:line="12" w:lineRule="exact"/>
        <w:rPr>
          <w:sz w:val="20"/>
          <w:szCs w:val="20"/>
          <w:color w:val="auto"/>
        </w:rPr>
      </w:pPr>
    </w:p>
    <w:p>
      <w:pPr>
        <w:ind w:left="346" w:right="100"/>
        <w:spacing w:after="0" w:line="268" w:lineRule="auto"/>
        <w:rPr>
          <w:sz w:val="20"/>
          <w:szCs w:val="20"/>
          <w:color w:val="auto"/>
        </w:rPr>
      </w:pPr>
      <w:r>
        <w:rPr>
          <w:rFonts w:ascii="Arial" w:cs="Arial" w:eastAsia="Arial" w:hAnsi="Arial"/>
          <w:sz w:val="18"/>
          <w:szCs w:val="18"/>
          <w:color w:val="auto"/>
        </w:rPr>
        <w:t>As previously disclosed, in January 2009, with the majority of our outstanding stock options significantly underwater and with a minimum amount of remaining shares available for future grant</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6"/>
          </w:cols>
          <w:pgMar w:left="694" w:top="280" w:right="239" w:bottom="1440" w:gutter="0" w:footer="0" w:header="0"/>
        </w:sectPr>
      </w:pPr>
    </w:p>
    <w:bookmarkStart w:id="24" w:name="page25"/>
    <w:bookmarkEnd w:id="24"/>
    <w:p>
      <w:pPr>
        <w:jc w:val="both"/>
        <w:ind w:left="346"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our 2006 Plan, certain of our Directors and our Key Executives sold a portion of their outstanding underwater options back to the Company for fair value, as determined using Black-Scholes. In aggregate, the Company repurchased options for 2.2 million shares for an aggregate purchase price of $7,192. Mr. Levin’s options to purchase 500,000 shares were part of the aggregate 2.2 million shares repurchased by the Company.</w:t>
      </w:r>
    </w:p>
    <w:p>
      <w:pPr>
        <w:spacing w:after="0" w:line="12" w:lineRule="exact"/>
        <w:rPr>
          <w:sz w:val="20"/>
          <w:szCs w:val="20"/>
          <w:color w:val="auto"/>
        </w:rPr>
      </w:pPr>
    </w:p>
    <w:p>
      <w:pPr>
        <w:ind w:left="346"/>
        <w:spacing w:after="0"/>
        <w:rPr>
          <w:sz w:val="20"/>
          <w:szCs w:val="20"/>
          <w:color w:val="auto"/>
        </w:rPr>
      </w:pPr>
      <w:r>
        <w:rPr>
          <w:rFonts w:ascii="Arial" w:cs="Arial" w:eastAsia="Arial" w:hAnsi="Arial"/>
          <w:sz w:val="18"/>
          <w:szCs w:val="18"/>
          <w:color w:val="auto"/>
        </w:rPr>
        <w:t>No discretionary equity awards were granted to the Key Executives in fiscal 2009.</w:t>
      </w:r>
    </w:p>
    <w:p>
      <w:pPr>
        <w:spacing w:after="0" w:line="77" w:lineRule="exact"/>
        <w:rPr>
          <w:sz w:val="20"/>
          <w:szCs w:val="20"/>
          <w:color w:val="auto"/>
        </w:rPr>
      </w:pPr>
    </w:p>
    <w:p>
      <w:pPr>
        <w:ind w:left="346"/>
        <w:spacing w:after="0"/>
        <w:rPr>
          <w:sz w:val="20"/>
          <w:szCs w:val="20"/>
          <w:color w:val="auto"/>
        </w:rPr>
      </w:pPr>
      <w:r>
        <w:rPr>
          <w:rFonts w:ascii="Arial" w:cs="Arial" w:eastAsia="Arial" w:hAnsi="Arial"/>
          <w:sz w:val="15"/>
          <w:szCs w:val="15"/>
          <w:color w:val="auto"/>
        </w:rPr>
        <w:t>On March 31, 2010, the Board of Directors granted to Mr. Levin an option to purchase 347,566 shares of our common stock. The exercise price of this</w:t>
      </w:r>
    </w:p>
    <w:p>
      <w:pPr>
        <w:spacing w:after="0" w:line="50" w:lineRule="exact"/>
        <w:rPr>
          <w:sz w:val="20"/>
          <w:szCs w:val="20"/>
          <w:color w:val="auto"/>
        </w:rPr>
      </w:pPr>
    </w:p>
    <w:p>
      <w:pPr>
        <w:ind w:left="346"/>
        <w:spacing w:after="0"/>
        <w:rPr>
          <w:sz w:val="20"/>
          <w:szCs w:val="20"/>
          <w:color w:val="auto"/>
        </w:rPr>
      </w:pPr>
      <w:r>
        <w:rPr>
          <w:rFonts w:ascii="Arial" w:cs="Arial" w:eastAsia="Arial" w:hAnsi="Arial"/>
          <w:sz w:val="16"/>
          <w:szCs w:val="16"/>
          <w:color w:val="auto"/>
        </w:rPr>
        <w:t>option is $4.55 per share and the closing price of our stock on the date of grant was $3.86 per share. The grant date fair value of the award was</w:t>
      </w:r>
    </w:p>
    <w:p>
      <w:pPr>
        <w:spacing w:after="0" w:line="32" w:lineRule="exact"/>
        <w:rPr>
          <w:sz w:val="20"/>
          <w:szCs w:val="20"/>
          <w:color w:val="auto"/>
        </w:rPr>
      </w:pPr>
    </w:p>
    <w:p>
      <w:pPr>
        <w:ind w:left="346"/>
        <w:spacing w:after="0"/>
        <w:rPr>
          <w:sz w:val="20"/>
          <w:szCs w:val="20"/>
          <w:color w:val="auto"/>
        </w:rPr>
      </w:pPr>
      <w:r>
        <w:rPr>
          <w:rFonts w:ascii="Arial" w:cs="Arial" w:eastAsia="Arial" w:hAnsi="Arial"/>
          <w:sz w:val="16"/>
          <w:szCs w:val="16"/>
          <w:color w:val="auto"/>
        </w:rPr>
        <w:t>$361,469. The option will cliff vest on May 6, 2011 and will expire on May 6, 2012. This grant to Mr. Levin represented a retention award. The Board</w:t>
      </w:r>
    </w:p>
    <w:p>
      <w:pPr>
        <w:spacing w:after="0" w:line="32" w:lineRule="exact"/>
        <w:rPr>
          <w:sz w:val="20"/>
          <w:szCs w:val="20"/>
          <w:color w:val="auto"/>
        </w:rPr>
      </w:pPr>
    </w:p>
    <w:p>
      <w:pPr>
        <w:ind w:left="346"/>
        <w:spacing w:after="0"/>
        <w:rPr>
          <w:sz w:val="20"/>
          <w:szCs w:val="20"/>
          <w:color w:val="auto"/>
        </w:rPr>
      </w:pPr>
      <w:r>
        <w:rPr>
          <w:rFonts w:ascii="Arial" w:cs="Arial" w:eastAsia="Arial" w:hAnsi="Arial"/>
          <w:sz w:val="16"/>
          <w:szCs w:val="16"/>
          <w:color w:val="auto"/>
        </w:rPr>
        <w:t>of Directors believes that this award was appropriate given the equity holdings of CEOs in the peer companies and in order to ensure that Mr. Levin’s</w:t>
      </w:r>
    </w:p>
    <w:p>
      <w:pPr>
        <w:spacing w:after="0" w:line="32" w:lineRule="exact"/>
        <w:rPr>
          <w:sz w:val="20"/>
          <w:szCs w:val="20"/>
          <w:color w:val="auto"/>
        </w:rPr>
      </w:pPr>
    </w:p>
    <w:p>
      <w:pPr>
        <w:ind w:left="346"/>
        <w:spacing w:after="0"/>
        <w:rPr>
          <w:sz w:val="20"/>
          <w:szCs w:val="20"/>
          <w:color w:val="auto"/>
        </w:rPr>
      </w:pPr>
      <w:r>
        <w:rPr>
          <w:rFonts w:ascii="Arial" w:cs="Arial" w:eastAsia="Arial" w:hAnsi="Arial"/>
          <w:sz w:val="16"/>
          <w:szCs w:val="16"/>
          <w:color w:val="auto"/>
        </w:rPr>
        <w:t>compensation is closely aligned with the shareholder’s long-term interest. To avoid any appearance of impropriety, the Compensation Committee</w:t>
      </w:r>
    </w:p>
    <w:p>
      <w:pPr>
        <w:spacing w:after="0" w:line="32" w:lineRule="exact"/>
        <w:rPr>
          <w:sz w:val="20"/>
          <w:szCs w:val="20"/>
          <w:color w:val="auto"/>
        </w:rPr>
      </w:pPr>
    </w:p>
    <w:p>
      <w:pPr>
        <w:ind w:left="346"/>
        <w:spacing w:after="0"/>
        <w:rPr>
          <w:sz w:val="20"/>
          <w:szCs w:val="20"/>
          <w:color w:val="auto"/>
        </w:rPr>
      </w:pPr>
      <w:r>
        <w:rPr>
          <w:rFonts w:ascii="Arial" w:cs="Arial" w:eastAsia="Arial" w:hAnsi="Arial"/>
          <w:sz w:val="16"/>
          <w:szCs w:val="16"/>
          <w:color w:val="auto"/>
        </w:rPr>
        <w:t>determined that the vesting price and term of vesting should be identical to the terms which governed his previous option to purchase 500,000 shares</w:t>
      </w:r>
    </w:p>
    <w:p>
      <w:pPr>
        <w:spacing w:after="0" w:line="32" w:lineRule="exact"/>
        <w:rPr>
          <w:sz w:val="20"/>
          <w:szCs w:val="20"/>
          <w:color w:val="auto"/>
        </w:rPr>
      </w:pPr>
    </w:p>
    <w:p>
      <w:pPr>
        <w:ind w:left="346"/>
        <w:spacing w:after="0"/>
        <w:rPr>
          <w:sz w:val="20"/>
          <w:szCs w:val="20"/>
          <w:color w:val="auto"/>
        </w:rPr>
      </w:pPr>
      <w:r>
        <w:rPr>
          <w:rFonts w:ascii="Arial" w:cs="Arial" w:eastAsia="Arial" w:hAnsi="Arial"/>
          <w:sz w:val="18"/>
          <w:szCs w:val="18"/>
          <w:color w:val="auto"/>
        </w:rPr>
        <w:t>which Mr. Levin voluntarily sold to the Company in January 2009.</w:t>
      </w:r>
    </w:p>
    <w:p>
      <w:pPr>
        <w:spacing w:after="0" w:line="70" w:lineRule="exact"/>
        <w:rPr>
          <w:sz w:val="20"/>
          <w:szCs w:val="20"/>
          <w:color w:val="auto"/>
        </w:rPr>
      </w:pPr>
    </w:p>
    <w:p>
      <w:pPr>
        <w:ind w:left="326" w:hanging="326"/>
        <w:spacing w:after="0"/>
        <w:tabs>
          <w:tab w:leader="none" w:pos="326"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Discretionary Cash and Equity Awards</w:t>
      </w:r>
    </w:p>
    <w:p>
      <w:pPr>
        <w:spacing w:after="0" w:line="104" w:lineRule="exact"/>
        <w:rPr>
          <w:sz w:val="20"/>
          <w:szCs w:val="20"/>
          <w:color w:val="auto"/>
        </w:rPr>
      </w:pPr>
    </w:p>
    <w:p>
      <w:pPr>
        <w:ind w:left="346" w:right="160"/>
        <w:spacing w:after="0" w:line="291" w:lineRule="auto"/>
        <w:rPr>
          <w:sz w:val="20"/>
          <w:szCs w:val="20"/>
          <w:color w:val="auto"/>
        </w:rPr>
      </w:pPr>
      <w:r>
        <w:rPr>
          <w:rFonts w:ascii="Arial" w:cs="Arial" w:eastAsia="Arial" w:hAnsi="Arial"/>
          <w:sz w:val="16"/>
          <w:szCs w:val="16"/>
          <w:color w:val="auto"/>
        </w:rPr>
        <w:t>In May 2009, the Compensation Committee agreed that our management team, including our Senior Executives, had little long-term equity in the Company. On May 13, 2009, the Compensation Committee, with the approval of the Board of Directors, granted to each Senior Executive 20,000 shares of restricted stock pursuant to the 2006 Plan as a retention tool given the state of the economy during fiscal 2008 and the first quarter of fiscal 2009. The restricted stock vests ratably over three years, with the first one-third vesting on the first anniversary of the date of grant. Although these awards were granted based on the performance of the Company in fiscal 2008, the grants are considered compensation to our Senior Executives in fiscal 2009 because of the discretionary nature of the awards.</w:t>
      </w:r>
    </w:p>
    <w:p>
      <w:pPr>
        <w:spacing w:after="0" w:line="26" w:lineRule="exact"/>
        <w:rPr>
          <w:sz w:val="20"/>
          <w:szCs w:val="20"/>
          <w:color w:val="auto"/>
        </w:rPr>
      </w:pPr>
    </w:p>
    <w:p>
      <w:pPr>
        <w:ind w:left="326" w:hanging="326"/>
        <w:spacing w:after="0"/>
        <w:tabs>
          <w:tab w:leader="none" w:pos="326"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Non-Qualified Deferred Compensation Plan</w:t>
      </w:r>
    </w:p>
    <w:p>
      <w:pPr>
        <w:spacing w:after="0" w:line="104" w:lineRule="exact"/>
        <w:rPr>
          <w:sz w:val="20"/>
          <w:szCs w:val="20"/>
          <w:color w:val="auto"/>
        </w:rPr>
      </w:pPr>
    </w:p>
    <w:p>
      <w:pPr>
        <w:ind w:left="346" w:right="60"/>
        <w:spacing w:after="0" w:line="306" w:lineRule="auto"/>
        <w:rPr>
          <w:sz w:val="20"/>
          <w:szCs w:val="20"/>
          <w:color w:val="auto"/>
        </w:rPr>
      </w:pPr>
      <w:r>
        <w:rPr>
          <w:rFonts w:ascii="Arial" w:cs="Arial" w:eastAsia="Arial" w:hAnsi="Arial"/>
          <w:sz w:val="16"/>
          <w:szCs w:val="16"/>
          <w:color w:val="auto"/>
        </w:rPr>
        <w:t>Through the end of fiscal 2008, we had a Non-Qualified Deferred Compensation Plan which was started in fiscal 2006 for the primary purpose of providing deferred compensation for a select group of management or highly compensated employees of the Company. Effective December 31, 2008, the plan was amended to freeze future contributions to the plan and balances were distributed to participants in fiscal 2009.</w:t>
      </w:r>
    </w:p>
    <w:p>
      <w:pPr>
        <w:spacing w:after="0" w:line="12" w:lineRule="exact"/>
        <w:rPr>
          <w:sz w:val="20"/>
          <w:szCs w:val="20"/>
          <w:color w:val="auto"/>
        </w:rPr>
      </w:pPr>
    </w:p>
    <w:p>
      <w:pPr>
        <w:ind w:left="346" w:right="60"/>
        <w:spacing w:after="0" w:line="256" w:lineRule="auto"/>
        <w:rPr>
          <w:sz w:val="20"/>
          <w:szCs w:val="20"/>
          <w:color w:val="auto"/>
        </w:rPr>
      </w:pPr>
      <w:r>
        <w:rPr>
          <w:rFonts w:ascii="Arial" w:cs="Arial" w:eastAsia="Arial" w:hAnsi="Arial"/>
          <w:sz w:val="18"/>
          <w:szCs w:val="18"/>
          <w:color w:val="auto"/>
        </w:rPr>
        <w:t>In May 2009, in connection with our cost reduction initiatives, the Company ceased any further employer contributions to the 401(k) Plans, effective May 31, 2009. As a result of that action, we are no longer within the safe harbor provisions under the Pension Protection Act of 2006; accordingly, should highly-compensated individuals elect to defer the maximum amount allowable under the 401(k) Plans they will be subject to a return of excess deferred compensation upon completion of year-end discrimination testing.</w:t>
      </w:r>
    </w:p>
    <w:p>
      <w:pPr>
        <w:spacing w:after="0" w:line="49" w:lineRule="exact"/>
        <w:rPr>
          <w:sz w:val="20"/>
          <w:szCs w:val="20"/>
          <w:color w:val="auto"/>
        </w:rPr>
      </w:pPr>
    </w:p>
    <w:p>
      <w:pPr>
        <w:ind w:left="326" w:hanging="326"/>
        <w:spacing w:after="0"/>
        <w:tabs>
          <w:tab w:leader="none" w:pos="326"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Other Compensation</w:t>
      </w:r>
    </w:p>
    <w:p>
      <w:pPr>
        <w:spacing w:after="0" w:line="104" w:lineRule="exact"/>
        <w:rPr>
          <w:sz w:val="20"/>
          <w:szCs w:val="20"/>
          <w:color w:val="auto"/>
        </w:rPr>
      </w:pPr>
    </w:p>
    <w:p>
      <w:pPr>
        <w:ind w:left="346" w:right="200"/>
        <w:spacing w:after="0" w:line="259" w:lineRule="auto"/>
        <w:rPr>
          <w:sz w:val="20"/>
          <w:szCs w:val="20"/>
          <w:color w:val="auto"/>
        </w:rPr>
      </w:pPr>
      <w:r>
        <w:rPr>
          <w:rFonts w:ascii="Arial" w:cs="Arial" w:eastAsia="Arial" w:hAnsi="Arial"/>
          <w:sz w:val="18"/>
          <w:szCs w:val="18"/>
          <w:color w:val="auto"/>
        </w:rPr>
        <w:t>In addition to our life insurance programs available to all of our employees, we also pay the insurance premiums for an additional $2.0 million life insurance policy for each Key Executive to the benefit of their designated beneficiary(ies). We also offer our Key Executives and Senior Executives supplemental Disability Insurance which is not offered to our other employees.</w:t>
      </w:r>
    </w:p>
    <w:p>
      <w:pPr>
        <w:spacing w:after="0" w:line="46" w:lineRule="exact"/>
        <w:rPr>
          <w:sz w:val="20"/>
          <w:szCs w:val="20"/>
          <w:color w:val="auto"/>
        </w:rPr>
      </w:pPr>
    </w:p>
    <w:p>
      <w:pPr>
        <w:ind w:left="346" w:right="40"/>
        <w:spacing w:after="0" w:line="256" w:lineRule="auto"/>
        <w:rPr>
          <w:sz w:val="20"/>
          <w:szCs w:val="20"/>
          <w:color w:val="auto"/>
        </w:rPr>
      </w:pPr>
      <w:r>
        <w:rPr>
          <w:rFonts w:ascii="Arial" w:cs="Arial" w:eastAsia="Arial" w:hAnsi="Arial"/>
          <w:sz w:val="18"/>
          <w:szCs w:val="18"/>
          <w:color w:val="auto"/>
        </w:rPr>
        <w:t>In addition to the foregoing, our executive officers receive benefits under certain group health, long-term disability and life insurance plans, which are generally available to all of our eligible employees. After six months of service with us, executive officers are eligible to participate in the 401(k) Salaried Plan. Benefits under these plans are not tied to corporate performance. In particular circumstances, we also utilize cash signing bonuses and stock option grants when certain employees join the Company.</w:t>
      </w:r>
    </w:p>
    <w:p>
      <w:pPr>
        <w:spacing w:after="0" w:line="130"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6"/>
          </w:cols>
          <w:pgMar w:left="694" w:top="280" w:right="259" w:bottom="1440" w:gutter="0" w:footer="0" w:header="0"/>
        </w:sectPr>
      </w:pPr>
    </w:p>
    <w:bookmarkStart w:id="25" w:name="page26"/>
    <w:bookmarkEnd w:id="25"/>
    <w:p>
      <w:pPr>
        <w:ind w:left="780" w:hanging="326"/>
        <w:spacing w:after="0"/>
        <w:tabs>
          <w:tab w:leader="none" w:pos="78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Based Compensation</w:t>
      </w:r>
    </w:p>
    <w:p>
      <w:pPr>
        <w:spacing w:after="0" w:line="104" w:lineRule="exact"/>
        <w:rPr>
          <w:sz w:val="20"/>
          <w:szCs w:val="20"/>
          <w:color w:val="auto"/>
        </w:rPr>
      </w:pPr>
    </w:p>
    <w:p>
      <w:pPr>
        <w:jc w:val="both"/>
        <w:ind w:left="800" w:right="80"/>
        <w:spacing w:after="0" w:line="306" w:lineRule="auto"/>
        <w:rPr>
          <w:sz w:val="20"/>
          <w:szCs w:val="20"/>
          <w:color w:val="auto"/>
        </w:rPr>
      </w:pPr>
      <w:r>
        <w:rPr>
          <w:rFonts w:ascii="Arial" w:cs="Arial" w:eastAsia="Arial" w:hAnsi="Arial"/>
          <w:sz w:val="16"/>
          <w:szCs w:val="16"/>
          <w:color w:val="auto"/>
        </w:rPr>
        <w:t>We have employment agreements with all of our Key Executives and Senior Executives. Upon termination of employment, all of our Key Executives and Senior Executives are entitled to receive severance payments under their employment agreements in the event of terminations without justifiable cause. These employment agreements are discussed in detail below following the “Summary Compensation Table.”</w:t>
      </w:r>
    </w:p>
    <w:p>
      <w:pPr>
        <w:spacing w:after="0" w:line="12"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Tax Implications</w:t>
      </w:r>
    </w:p>
    <w:p>
      <w:pPr>
        <w:spacing w:after="0" w:line="104" w:lineRule="exact"/>
        <w:rPr>
          <w:sz w:val="20"/>
          <w:szCs w:val="20"/>
          <w:color w:val="auto"/>
        </w:rPr>
      </w:pPr>
    </w:p>
    <w:p>
      <w:pPr>
        <w:ind w:left="800" w:right="40"/>
        <w:spacing w:after="0" w:line="294" w:lineRule="auto"/>
        <w:rPr>
          <w:sz w:val="20"/>
          <w:szCs w:val="20"/>
          <w:color w:val="auto"/>
        </w:rPr>
      </w:pPr>
      <w:r>
        <w:rPr>
          <w:rFonts w:ascii="Arial" w:cs="Arial" w:eastAsia="Arial" w:hAnsi="Arial"/>
          <w:sz w:val="16"/>
          <w:szCs w:val="16"/>
          <w:color w:val="auto"/>
        </w:rPr>
        <w:t>Under Section 162(m) of the Internal Revenue Code, certain executive compensation in excess of $1 million paid to a principal executive officer and the three most highly compensated executive officers (other than the principal executive officer) at the end of any fiscal year is limited and is not deductible for federal income tax purposes unless the compensation qualifies as “performance-based compensation.” The Compensation Committee’s policy with respect to Section 162(m) is to make every reasonable effort to cause compensation to be deductible by us while simultaneously providing our executive officers with appropriate rewards for their performance.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Proxy Statement.</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Compensation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George T. Porter, Jr.,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Jesse Choper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Ward K. Mooney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6" w:name="page27"/>
    <w:bookmarkEnd w:id="26"/>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r>
        <w:rPr>
          <w:rFonts w:ascii="Arial" w:cs="Arial" w:eastAsia="Arial" w:hAnsi="Arial"/>
          <w:sz w:val="18"/>
          <w:szCs w:val="18"/>
          <w:color w:val="auto"/>
        </w:rPr>
        <w:t>. The following Summary Compensation Table sets forth certain information regarding compensation paid or accrued by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President and Chief Executive Officer, the Chief Financial Officer/Chief Operating Officer, the former Senior Vice President of Store Sales and Operations, the Senior Vice President, General Merchandise Manager, Direct Businesses and the Senior Vice President and General Counsel (collectively, the “Named Executive Officers”), for fiscal 2009.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Pension</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2"/>
                <w:szCs w:val="12"/>
                <w:color w:val="auto"/>
              </w:rPr>
            </w:pPr>
          </w:p>
        </w:tc>
        <w:tc>
          <w:tcPr>
            <w:tcW w:w="6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Non-Equity</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2"/>
                <w:szCs w:val="12"/>
                <w:color w:val="auto"/>
              </w:rPr>
            </w:pPr>
          </w:p>
        </w:tc>
        <w:tc>
          <w:tcPr>
            <w:tcW w:w="6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9"/>
              </w:rPr>
              <w:t>Incentive Plan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80" w:type="dxa"/>
            <w:vAlign w:val="bottom"/>
          </w:tcPr>
          <w:p>
            <w:pPr>
              <w:spacing w:after="0"/>
              <w:rPr>
                <w:sz w:val="12"/>
                <w:szCs w:val="12"/>
                <w:color w:val="auto"/>
              </w:rPr>
            </w:pP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Bonus</w:t>
            </w: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($)(1)(2)</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18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Compensation</w:t>
            </w:r>
          </w:p>
        </w:tc>
        <w:tc>
          <w:tcPr>
            <w:tcW w:w="16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85"/>
              </w:rPr>
              <w:t>Year</w:t>
            </w:r>
          </w:p>
        </w:tc>
        <w:tc>
          <w:tcPr>
            <w:tcW w:w="70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6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112"/>
              <w:spacing w:after="0"/>
              <w:rPr>
                <w:sz w:val="20"/>
                <w:szCs w:val="20"/>
                <w:color w:val="auto"/>
              </w:rPr>
            </w:pPr>
            <w:r>
              <w:rPr>
                <w:rFonts w:ascii="Arial" w:cs="Arial" w:eastAsia="Arial" w:hAnsi="Arial"/>
                <w:sz w:val="14"/>
                <w:szCs w:val="14"/>
                <w:b w:val="1"/>
                <w:bCs w:val="1"/>
                <w:color w:val="auto"/>
              </w:rPr>
              <w:t>(3)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12"/>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92"/>
              <w:spacing w:after="0"/>
              <w:rPr>
                <w:sz w:val="20"/>
                <w:szCs w:val="20"/>
                <w:color w:val="auto"/>
              </w:rPr>
            </w:pPr>
            <w:r>
              <w:rPr>
                <w:rFonts w:ascii="Arial" w:cs="Arial" w:eastAsia="Arial" w:hAnsi="Arial"/>
                <w:sz w:val="14"/>
                <w:szCs w:val="14"/>
                <w:b w:val="1"/>
                <w:bCs w:val="1"/>
                <w:color w:val="auto"/>
                <w:w w:val="82"/>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6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David A. Levin</w:t>
            </w:r>
          </w:p>
        </w:tc>
        <w:tc>
          <w:tcPr>
            <w:tcW w:w="2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3"/>
              </w:rPr>
              <w:t>2009</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$782,340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$487,789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9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1,661,299</w:t>
            </w:r>
          </w:p>
        </w:tc>
        <w:tc>
          <w:tcPr>
            <w:tcW w:w="840" w:type="dxa"/>
            <w:vAlign w:val="bottom"/>
            <w:shd w:val="clear" w:color="auto" w:fill="CCEEFF"/>
          </w:tcPr>
          <w:p>
            <w:pPr>
              <w:ind w:left="640"/>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28,113</w:t>
            </w:r>
          </w:p>
        </w:tc>
        <w:tc>
          <w:tcPr>
            <w:tcW w:w="16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2,959,541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 Executive Officer</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2008</w:t>
            </w:r>
          </w:p>
        </w:tc>
        <w:tc>
          <w:tcPr>
            <w:tcW w:w="78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8"/>
              </w:rPr>
              <w:t>$803,400</w:t>
            </w: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$300,000(6)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$825,000</w:t>
            </w:r>
          </w:p>
        </w:tc>
        <w:tc>
          <w:tcPr>
            <w:tcW w:w="16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20,220</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1,948,620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2007</w:t>
            </w:r>
          </w:p>
        </w:tc>
        <w:tc>
          <w:tcPr>
            <w:tcW w:w="78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8"/>
              </w:rPr>
              <w:t>$772,385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$678,721</w:t>
            </w:r>
          </w:p>
        </w:tc>
        <w:tc>
          <w:tcPr>
            <w:tcW w:w="16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18,920</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1,470,026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080" w:type="dxa"/>
            <w:vAlign w:val="bottom"/>
            <w:gridSpan w:val="3"/>
          </w:tcPr>
          <w:p>
            <w:pPr>
              <w:spacing w:after="0"/>
              <w:rPr>
                <w:sz w:val="20"/>
                <w:szCs w:val="20"/>
                <w:color w:val="auto"/>
              </w:rPr>
            </w:pPr>
            <w:r>
              <w:rPr>
                <w:rFonts w:ascii="Arial" w:cs="Arial" w:eastAsia="Arial" w:hAnsi="Arial"/>
                <w:sz w:val="14"/>
                <w:szCs w:val="14"/>
                <w:color w:val="auto"/>
              </w:rPr>
              <w:t>Dennis R. Hernreich</w:t>
            </w:r>
          </w:p>
        </w:tc>
        <w:tc>
          <w:tcPr>
            <w:tcW w:w="460" w:type="dxa"/>
            <w:vAlign w:val="bottom"/>
            <w:gridSpan w:val="2"/>
          </w:tcPr>
          <w:p>
            <w:pPr>
              <w:ind w:left="180"/>
              <w:spacing w:after="0"/>
              <w:rPr>
                <w:sz w:val="20"/>
                <w:szCs w:val="20"/>
                <w:color w:val="auto"/>
              </w:rPr>
            </w:pPr>
            <w:r>
              <w:rPr>
                <w:rFonts w:ascii="Arial" w:cs="Arial" w:eastAsia="Arial" w:hAnsi="Arial"/>
                <w:sz w:val="14"/>
                <w:szCs w:val="14"/>
                <w:color w:val="auto"/>
                <w:w w:val="83"/>
              </w:rPr>
              <w:t>2009</w:t>
            </w:r>
          </w:p>
        </w:tc>
        <w:tc>
          <w:tcPr>
            <w:tcW w:w="780" w:type="dxa"/>
            <w:vAlign w:val="bottom"/>
            <w:gridSpan w:val="3"/>
          </w:tcPr>
          <w:p>
            <w:pPr>
              <w:jc w:val="center"/>
              <w:ind w:left="32"/>
              <w:spacing w:after="0"/>
              <w:rPr>
                <w:sz w:val="20"/>
                <w:szCs w:val="20"/>
                <w:color w:val="auto"/>
              </w:rPr>
            </w:pPr>
            <w:r>
              <w:rPr>
                <w:rFonts w:ascii="Arial" w:cs="Arial" w:eastAsia="Arial" w:hAnsi="Arial"/>
                <w:sz w:val="14"/>
                <w:szCs w:val="14"/>
                <w:color w:val="auto"/>
                <w:w w:val="88"/>
              </w:rPr>
              <w:t>$599,794</w:t>
            </w:r>
          </w:p>
        </w:tc>
        <w:tc>
          <w:tcPr>
            <w:tcW w:w="100" w:type="dxa"/>
            <w:vAlign w:val="bottom"/>
          </w:tcPr>
          <w:p>
            <w:pPr>
              <w:spacing w:after="0"/>
              <w:rPr>
                <w:sz w:val="21"/>
                <w:szCs w:val="21"/>
                <w:color w:val="auto"/>
              </w:rPr>
            </w:pPr>
          </w:p>
        </w:tc>
        <w:tc>
          <w:tcPr>
            <w:tcW w:w="8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$373,972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1,273,663</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28,264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83"/>
              </w:rPr>
              <w:t>2,275,693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4"/>
              </w:rPr>
              <w:t>Executive Vice President, Chief Financial Officer, Chief Operating</w:t>
            </w:r>
          </w:p>
        </w:tc>
        <w:tc>
          <w:tcPr>
            <w:tcW w:w="4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83"/>
              </w:rPr>
              <w:t>2008</w:t>
            </w:r>
          </w:p>
        </w:tc>
        <w:tc>
          <w:tcPr>
            <w:tcW w:w="780" w:type="dxa"/>
            <w:vAlign w:val="bottom"/>
            <w:gridSpan w:val="3"/>
          </w:tcPr>
          <w:p>
            <w:pPr>
              <w:jc w:val="center"/>
              <w:ind w:left="32"/>
              <w:spacing w:after="0" w:line="149" w:lineRule="exact"/>
              <w:rPr>
                <w:sz w:val="20"/>
                <w:szCs w:val="20"/>
                <w:color w:val="auto"/>
              </w:rPr>
            </w:pPr>
            <w:r>
              <w:rPr>
                <w:rFonts w:ascii="Arial" w:cs="Arial" w:eastAsia="Arial" w:hAnsi="Arial"/>
                <w:sz w:val="14"/>
                <w:szCs w:val="14"/>
                <w:color w:val="auto"/>
                <w:w w:val="88"/>
              </w:rPr>
              <w:t>$615,940</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$240,000(6)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$660,000</w:t>
            </w:r>
          </w:p>
        </w:tc>
        <w:tc>
          <w:tcPr>
            <w:tcW w:w="16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25,323</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3"/>
              </w:rPr>
              <w:t>1,541,263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gridSpan w:val="2"/>
          </w:tcPr>
          <w:p>
            <w:pPr>
              <w:ind w:left="200"/>
              <w:spacing w:after="0"/>
              <w:rPr>
                <w:sz w:val="20"/>
                <w:szCs w:val="20"/>
                <w:color w:val="auto"/>
              </w:rPr>
            </w:pPr>
            <w:r>
              <w:rPr>
                <w:rFonts w:ascii="Arial" w:cs="Arial" w:eastAsia="Arial" w:hAnsi="Arial"/>
                <w:sz w:val="14"/>
                <w:szCs w:val="14"/>
                <w:color w:val="auto"/>
              </w:rPr>
              <w:t>Officer, Treasurer and Secretary</w:t>
            </w:r>
          </w:p>
        </w:tc>
        <w:tc>
          <w:tcPr>
            <w:tcW w:w="460" w:type="dxa"/>
            <w:vAlign w:val="bottom"/>
            <w:gridSpan w:val="2"/>
          </w:tcPr>
          <w:p>
            <w:pPr>
              <w:ind w:left="180"/>
              <w:spacing w:after="0"/>
              <w:rPr>
                <w:sz w:val="20"/>
                <w:szCs w:val="20"/>
                <w:color w:val="auto"/>
              </w:rPr>
            </w:pPr>
            <w:r>
              <w:rPr>
                <w:rFonts w:ascii="Arial" w:cs="Arial" w:eastAsia="Arial" w:hAnsi="Arial"/>
                <w:sz w:val="14"/>
                <w:szCs w:val="14"/>
                <w:color w:val="auto"/>
                <w:w w:val="83"/>
              </w:rPr>
              <w:t>2007</w:t>
            </w:r>
          </w:p>
        </w:tc>
        <w:tc>
          <w:tcPr>
            <w:tcW w:w="780" w:type="dxa"/>
            <w:vAlign w:val="bottom"/>
            <w:gridSpan w:val="3"/>
          </w:tcPr>
          <w:p>
            <w:pPr>
              <w:jc w:val="center"/>
              <w:ind w:left="32"/>
              <w:spacing w:after="0"/>
              <w:rPr>
                <w:sz w:val="20"/>
                <w:szCs w:val="20"/>
                <w:color w:val="auto"/>
              </w:rPr>
            </w:pPr>
            <w:r>
              <w:rPr>
                <w:rFonts w:ascii="Arial" w:cs="Arial" w:eastAsia="Arial" w:hAnsi="Arial"/>
                <w:sz w:val="14"/>
                <w:szCs w:val="14"/>
                <w:color w:val="auto"/>
                <w:w w:val="88"/>
              </w:rPr>
              <w:t>$592,162</w:t>
            </w:r>
          </w:p>
        </w:tc>
        <w:tc>
          <w:tcPr>
            <w:tcW w:w="100" w:type="dxa"/>
            <w:vAlign w:val="bottom"/>
          </w:tcPr>
          <w:p>
            <w:pPr>
              <w:spacing w:after="0"/>
              <w:rPr>
                <w:sz w:val="14"/>
                <w:szCs w:val="14"/>
                <w:color w:val="auto"/>
              </w:rPr>
            </w:pPr>
          </w:p>
        </w:tc>
        <w:tc>
          <w:tcPr>
            <w:tcW w:w="8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4"/>
          </w:tcPr>
          <w:p>
            <w:pPr>
              <w:jc w:val="right"/>
              <w:ind w:right="100"/>
              <w:spacing w:after="0"/>
              <w:rPr>
                <w:sz w:val="20"/>
                <w:szCs w:val="20"/>
                <w:color w:val="auto"/>
              </w:rPr>
            </w:pPr>
            <w:r>
              <w:rPr>
                <w:rFonts w:ascii="Arial" w:cs="Arial" w:eastAsia="Arial" w:hAnsi="Arial"/>
                <w:sz w:val="14"/>
                <w:szCs w:val="14"/>
                <w:color w:val="auto"/>
              </w:rPr>
              <w:t>$699,639</w:t>
            </w:r>
          </w:p>
        </w:tc>
        <w:tc>
          <w:tcPr>
            <w:tcW w:w="160" w:type="dxa"/>
            <w:vAlign w:val="bottom"/>
          </w:tcPr>
          <w:p>
            <w:pPr>
              <w:spacing w:after="0"/>
              <w:rPr>
                <w:sz w:val="14"/>
                <w:szCs w:val="14"/>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23,700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83"/>
              </w:rPr>
              <w:t>1,315,501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Mark E. Bean(7)</w:t>
            </w:r>
          </w:p>
        </w:tc>
        <w:tc>
          <w:tcPr>
            <w:tcW w:w="4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83"/>
              </w:rPr>
              <w:t>2009</w:t>
            </w:r>
          </w:p>
        </w:tc>
        <w:tc>
          <w:tcPr>
            <w:tcW w:w="78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8"/>
              </w:rPr>
              <w:t>$270,521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24,800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378,161</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6,117</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679,599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Former Senior Vice President of Store Sales and Operations</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2008</w:t>
            </w:r>
          </w:p>
        </w:tc>
        <w:tc>
          <w:tcPr>
            <w:tcW w:w="78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8"/>
              </w:rPr>
              <w:t>$279,125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8,050</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287,175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2007</w:t>
            </w:r>
          </w:p>
        </w:tc>
        <w:tc>
          <w:tcPr>
            <w:tcW w:w="78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8"/>
              </w:rPr>
              <w:t>$260,192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$ 29,400</w:t>
            </w:r>
          </w:p>
        </w:tc>
        <w:tc>
          <w:tcPr>
            <w:tcW w:w="16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6,750</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296,342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080" w:type="dxa"/>
            <w:vAlign w:val="bottom"/>
            <w:gridSpan w:val="3"/>
          </w:tcPr>
          <w:p>
            <w:pPr>
              <w:spacing w:after="0"/>
              <w:rPr>
                <w:sz w:val="20"/>
                <w:szCs w:val="20"/>
                <w:color w:val="auto"/>
              </w:rPr>
            </w:pPr>
            <w:r>
              <w:rPr>
                <w:rFonts w:ascii="Arial" w:cs="Arial" w:eastAsia="Arial" w:hAnsi="Arial"/>
                <w:sz w:val="14"/>
                <w:szCs w:val="14"/>
                <w:color w:val="auto"/>
              </w:rPr>
              <w:t>Henry J. Metscher</w:t>
            </w:r>
          </w:p>
        </w:tc>
        <w:tc>
          <w:tcPr>
            <w:tcW w:w="460" w:type="dxa"/>
            <w:vAlign w:val="bottom"/>
            <w:gridSpan w:val="2"/>
          </w:tcPr>
          <w:p>
            <w:pPr>
              <w:ind w:left="180"/>
              <w:spacing w:after="0"/>
              <w:rPr>
                <w:sz w:val="20"/>
                <w:szCs w:val="20"/>
                <w:color w:val="auto"/>
              </w:rPr>
            </w:pPr>
            <w:r>
              <w:rPr>
                <w:rFonts w:ascii="Arial" w:cs="Arial" w:eastAsia="Arial" w:hAnsi="Arial"/>
                <w:sz w:val="14"/>
                <w:szCs w:val="14"/>
                <w:color w:val="auto"/>
                <w:w w:val="83"/>
              </w:rPr>
              <w:t>2009</w:t>
            </w:r>
          </w:p>
        </w:tc>
        <w:tc>
          <w:tcPr>
            <w:tcW w:w="780" w:type="dxa"/>
            <w:vAlign w:val="bottom"/>
            <w:gridSpan w:val="3"/>
          </w:tcPr>
          <w:p>
            <w:pPr>
              <w:jc w:val="center"/>
              <w:ind w:left="32"/>
              <w:spacing w:after="0"/>
              <w:rPr>
                <w:sz w:val="20"/>
                <w:szCs w:val="20"/>
                <w:color w:val="auto"/>
              </w:rPr>
            </w:pPr>
            <w:r>
              <w:rPr>
                <w:rFonts w:ascii="Arial" w:cs="Arial" w:eastAsia="Arial" w:hAnsi="Arial"/>
                <w:sz w:val="14"/>
                <w:szCs w:val="14"/>
                <w:color w:val="auto"/>
                <w:w w:val="88"/>
              </w:rPr>
              <w:t>$289,327</w:t>
            </w:r>
          </w:p>
        </w:tc>
        <w:tc>
          <w:tcPr>
            <w:tcW w:w="100" w:type="dxa"/>
            <w:vAlign w:val="bottom"/>
          </w:tcPr>
          <w:p>
            <w:pPr>
              <w:spacing w:after="0"/>
              <w:rPr>
                <w:sz w:val="21"/>
                <w:szCs w:val="21"/>
                <w:color w:val="auto"/>
              </w:rPr>
            </w:pPr>
          </w:p>
        </w:tc>
        <w:tc>
          <w:tcPr>
            <w:tcW w:w="8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24,800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404,450</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8,400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726,977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Senior Vice President, General</w:t>
            </w:r>
          </w:p>
        </w:tc>
        <w:tc>
          <w:tcPr>
            <w:tcW w:w="4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83"/>
              </w:rPr>
              <w:t>2008</w:t>
            </w:r>
          </w:p>
        </w:tc>
        <w:tc>
          <w:tcPr>
            <w:tcW w:w="780" w:type="dxa"/>
            <w:vAlign w:val="bottom"/>
            <w:gridSpan w:val="3"/>
          </w:tcPr>
          <w:p>
            <w:pPr>
              <w:jc w:val="center"/>
              <w:ind w:left="32"/>
              <w:spacing w:after="0" w:line="149" w:lineRule="exact"/>
              <w:rPr>
                <w:sz w:val="20"/>
                <w:szCs w:val="20"/>
                <w:color w:val="auto"/>
              </w:rPr>
            </w:pPr>
            <w:r>
              <w:rPr>
                <w:rFonts w:ascii="Arial" w:cs="Arial" w:eastAsia="Arial" w:hAnsi="Arial"/>
                <w:sz w:val="14"/>
                <w:szCs w:val="14"/>
                <w:color w:val="auto"/>
                <w:w w:val="88"/>
              </w:rPr>
              <w:t>$293,750</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$ 10,746(6)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8,100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312,596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gridSpan w:val="2"/>
          </w:tcPr>
          <w:p>
            <w:pPr>
              <w:ind w:left="200"/>
              <w:spacing w:after="0"/>
              <w:rPr>
                <w:sz w:val="20"/>
                <w:szCs w:val="20"/>
                <w:color w:val="auto"/>
              </w:rPr>
            </w:pPr>
            <w:r>
              <w:rPr>
                <w:rFonts w:ascii="Arial" w:cs="Arial" w:eastAsia="Arial" w:hAnsi="Arial"/>
                <w:sz w:val="14"/>
                <w:szCs w:val="14"/>
                <w:color w:val="auto"/>
              </w:rPr>
              <w:t>Merchandise Manager, Direct Businesses</w:t>
            </w:r>
          </w:p>
        </w:tc>
        <w:tc>
          <w:tcPr>
            <w:tcW w:w="460" w:type="dxa"/>
            <w:vAlign w:val="bottom"/>
            <w:gridSpan w:val="2"/>
          </w:tcPr>
          <w:p>
            <w:pPr>
              <w:ind w:left="180"/>
              <w:spacing w:after="0"/>
              <w:rPr>
                <w:sz w:val="20"/>
                <w:szCs w:val="20"/>
                <w:color w:val="auto"/>
              </w:rPr>
            </w:pPr>
            <w:r>
              <w:rPr>
                <w:rFonts w:ascii="Arial" w:cs="Arial" w:eastAsia="Arial" w:hAnsi="Arial"/>
                <w:sz w:val="14"/>
                <w:szCs w:val="14"/>
                <w:color w:val="auto"/>
                <w:w w:val="83"/>
              </w:rPr>
              <w:t>2007</w:t>
            </w:r>
          </w:p>
        </w:tc>
        <w:tc>
          <w:tcPr>
            <w:tcW w:w="780" w:type="dxa"/>
            <w:vAlign w:val="bottom"/>
            <w:gridSpan w:val="3"/>
          </w:tcPr>
          <w:p>
            <w:pPr>
              <w:jc w:val="center"/>
              <w:ind w:left="32"/>
              <w:spacing w:after="0"/>
              <w:rPr>
                <w:sz w:val="20"/>
                <w:szCs w:val="20"/>
                <w:color w:val="auto"/>
              </w:rPr>
            </w:pPr>
            <w:r>
              <w:rPr>
                <w:rFonts w:ascii="Arial" w:cs="Arial" w:eastAsia="Arial" w:hAnsi="Arial"/>
                <w:sz w:val="14"/>
                <w:szCs w:val="14"/>
                <w:color w:val="auto"/>
                <w:w w:val="88"/>
              </w:rPr>
              <w:t>$263,173</w:t>
            </w:r>
          </w:p>
        </w:tc>
        <w:tc>
          <w:tcPr>
            <w:tcW w:w="100" w:type="dxa"/>
            <w:vAlign w:val="bottom"/>
          </w:tcPr>
          <w:p>
            <w:pPr>
              <w:spacing w:after="0"/>
              <w:rPr>
                <w:sz w:val="14"/>
                <w:szCs w:val="14"/>
                <w:color w:val="auto"/>
              </w:rPr>
            </w:pPr>
          </w:p>
        </w:tc>
        <w:tc>
          <w:tcPr>
            <w:tcW w:w="8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w w:val="88"/>
              </w:rPr>
              <w:t>29,400</w:t>
            </w:r>
          </w:p>
        </w:tc>
        <w:tc>
          <w:tcPr>
            <w:tcW w:w="160" w:type="dxa"/>
            <w:vAlign w:val="bottom"/>
          </w:tcPr>
          <w:p>
            <w:pPr>
              <w:spacing w:after="0"/>
              <w:rPr>
                <w:sz w:val="14"/>
                <w:szCs w:val="14"/>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8,400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300,973</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4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83"/>
              </w:rPr>
              <w:t>2009</w:t>
            </w:r>
          </w:p>
        </w:tc>
        <w:tc>
          <w:tcPr>
            <w:tcW w:w="78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8"/>
              </w:rPr>
              <w:t>$313,438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70,400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8"/>
              </w:rPr>
              <w:t>22,800</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369,755</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14,729</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791,122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Senior Vice President and General Counsel</w:t>
            </w:r>
          </w:p>
        </w:tc>
        <w:tc>
          <w:tcPr>
            <w:tcW w:w="4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83"/>
              </w:rPr>
              <w:t>2008</w:t>
            </w:r>
          </w:p>
        </w:tc>
        <w:tc>
          <w:tcPr>
            <w:tcW w:w="78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8"/>
              </w:rPr>
              <w:t>$321,875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8"/>
              </w:rPr>
              <w:t>16,600</w:t>
            </w:r>
          </w:p>
        </w:tc>
        <w:tc>
          <w:tcPr>
            <w:tcW w:w="16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10,631</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line="225"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amounts shown in the Stock Awards and Option Awards columns represent the aggregate grant date fair value of awards computed in accordance with Financial Accounting Standards Board (“FASB”) Accounting Standards Codification (“ASC”) Topic 718, not the actual amounts paid to or realized by the Named Executive Officers during the applicable fiscal year. The FASB ASC Topic 718 fair value amount as of the grant date for stock awards and stock options generally is spread over the number of months of service required for the grant to vest. An explanation of the vesting of restricted stock awards and option awards, as well as the methodology for performance share payouts, is discussed in the footnotes to the Grants of Plan Based Awards for 2009 and Outstanding Equity Awards at 2009 Fiscal Year End tables below.</w:t>
      </w:r>
    </w:p>
    <w:p>
      <w:pPr>
        <w:ind w:left="340" w:right="200"/>
        <w:spacing w:after="0" w:line="258" w:lineRule="auto"/>
        <w:rPr>
          <w:rFonts w:ascii="Arial" w:cs="Arial" w:eastAsia="Arial" w:hAnsi="Arial"/>
          <w:sz w:val="14"/>
          <w:szCs w:val="14"/>
          <w:color w:val="auto"/>
        </w:rPr>
      </w:pPr>
      <w:r>
        <w:rPr>
          <w:rFonts w:ascii="Arial" w:cs="Arial" w:eastAsia="Arial" w:hAnsi="Arial"/>
          <w:sz w:val="12"/>
          <w:szCs w:val="12"/>
          <w:color w:val="auto"/>
        </w:rPr>
        <w:t>Consistent with rules adopted by the SEC on December 16, 2009, the reported amounts for 2008 and 2007 have been recomputed from the amounts reported in the Summary Compensation Table in last year’s proxy statement. As discussed above, the reported amounts for 2009, 2008 and 2007 in this proxy statement represent the aggregate fair value of stock and option awards computed in accordance with FASB ASC Topic 718 on the applicable grant date or, if earlier, the service inception date. In contrast, the reported amounts for 2008 and 2007 in last year’s proxy statement represented the compensation expense recognized in the applicable year for financial statement reporting purposes for stock and option awards.</w:t>
      </w:r>
    </w:p>
    <w:p>
      <w:pPr>
        <w:ind w:left="34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table below, “Discretionary and Incentive-Based Awards” provides a detailed breakdown with respect to awards earned.</w:t>
      </w:r>
    </w:p>
    <w:p>
      <w:pPr>
        <w:ind w:left="340" w:right="60"/>
        <w:spacing w:after="0" w:line="258" w:lineRule="auto"/>
        <w:rPr>
          <w:rFonts w:ascii="Arial" w:cs="Arial" w:eastAsia="Arial" w:hAnsi="Arial"/>
          <w:sz w:val="14"/>
          <w:szCs w:val="14"/>
          <w:color w:val="auto"/>
        </w:rPr>
      </w:pPr>
      <w:r>
        <w:rPr>
          <w:rFonts w:ascii="Arial" w:cs="Arial" w:eastAsia="Arial" w:hAnsi="Arial"/>
          <w:sz w:val="12"/>
          <w:szCs w:val="12"/>
          <w:color w:val="auto"/>
        </w:rPr>
        <w:t>In addition to salary, we also compensate our executives through a combination of discretionary and incentive-based awards. Since 2008, we have had two incentive-based programs, the Annual Incentive Plan and the Long-Term Incentive Plan. The Annual Incentive Plan is a cash-based program which awards certain members of management, which include our Named Executive Officers, if certain financial targets are achieved for the applicable fiscal year. The Long-Term Incentive Plan is a dollar-denominated program for our Key Executives and Senior Executives, which permits each executive to choose, through an irrevocable election, to receive awards in cash, stock, and/or options or a combination thereof. Although the financial targets of the Long-Term Incentive Plan are annual, all awards earned pursuant to the Long-Term Incentive Plan are subject to a three-year vesting.</w:t>
      </w:r>
    </w:p>
    <w:p>
      <w:pPr>
        <w:spacing w:after="0" w:line="1" w:lineRule="exact"/>
        <w:rPr>
          <w:rFonts w:ascii="Arial" w:cs="Arial" w:eastAsia="Arial" w:hAnsi="Arial"/>
          <w:sz w:val="14"/>
          <w:szCs w:val="14"/>
          <w:color w:val="auto"/>
        </w:rPr>
      </w:pPr>
    </w:p>
    <w:p>
      <w:pPr>
        <w:ind w:left="340" w:right="100" w:hanging="332"/>
        <w:spacing w:after="0" w:line="297" w:lineRule="auto"/>
        <w:tabs>
          <w:tab w:leader="none" w:pos="3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Reflects the fair value as of grant date of both performance and non-performance awards computed in accordance with FASB ASC Topic 718. Included in the above table is the actual grant date fair value of performance shares issued on March 19, 2010 pursuant to the Company’s Long-Term Incentive Plan (“LTIP”) for fiscal 2009 performance for Messrs. Levin, Hernreich and Molloy of $487,789,</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7" w:name="page28"/>
    <w:bookmarkEnd w:id="27"/>
    <w:p>
      <w:pPr>
        <w:jc w:val="both"/>
        <w:ind w:left="340" w:right="100"/>
        <w:spacing w:after="0" w:line="22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$373,972 and $45,600, respectively. The Compensation Committee approved the targets of the LTIP on April 29, 2009 (the service inception date), at which point the fair value of the performance shares, based upon the probable outcome of the performance condition on that date, approximated $312,936, $239,918 and $29,839 for Messrs. Levin, Hernreich and Molloy, respectively, excluding the effect of estimated forfeitures. If the highest level of performance were to be assumed the fair value of the performance shares on April 29, 2009 would be $586,755, $449,846 and $55,948, respectively, excluding the effect of estimated forfeitures.</w:t>
      </w:r>
    </w:p>
    <w:p>
      <w:pPr>
        <w:spacing w:after="0" w:line="3" w:lineRule="exact"/>
        <w:rPr>
          <w:sz w:val="20"/>
          <w:szCs w:val="20"/>
          <w:color w:val="auto"/>
        </w:rPr>
      </w:pPr>
    </w:p>
    <w:p>
      <w:pPr>
        <w:ind w:left="340" w:right="80"/>
        <w:spacing w:after="0" w:line="258" w:lineRule="auto"/>
        <w:rPr>
          <w:sz w:val="20"/>
          <w:szCs w:val="20"/>
          <w:color w:val="auto"/>
        </w:rPr>
      </w:pPr>
      <w:r>
        <w:rPr>
          <w:rFonts w:ascii="Arial" w:cs="Arial" w:eastAsia="Arial" w:hAnsi="Arial"/>
          <w:sz w:val="12"/>
          <w:szCs w:val="12"/>
          <w:color w:val="auto"/>
        </w:rPr>
        <w:t>For fiscal 2008, there were no performance awards granted because the performance goal was not met. However, Mr. Bean had irrevocably elected to receive approximately 8% of any award granted pursuant to the LTIP for 2008 in equity. The grant date fair value of those performance shares, based on the probable outcome of the performance condition as of the service inception date (May 1, 2008), was $11,454, excluding the effect of estimated forfeitures. If the highest level of performance were to be assumed the grant date fair value of the performance shares on the service inception date would be $23,562, excluding the effect of estimated forfeitures. This award for fiscal 2008 was fully forfeited because the performance goal was not met.</w:t>
      </w:r>
    </w:p>
    <w:p>
      <w:pPr>
        <w:spacing w:after="0" w:line="1" w:lineRule="exact"/>
        <w:rPr>
          <w:sz w:val="20"/>
          <w:szCs w:val="20"/>
          <w:color w:val="auto"/>
        </w:rPr>
      </w:pPr>
    </w:p>
    <w:p>
      <w:pPr>
        <w:ind w:left="340" w:right="140"/>
        <w:spacing w:after="0" w:line="221" w:lineRule="auto"/>
        <w:rPr>
          <w:sz w:val="20"/>
          <w:szCs w:val="20"/>
          <w:color w:val="auto"/>
        </w:rPr>
      </w:pPr>
      <w:r>
        <w:rPr>
          <w:rFonts w:ascii="Arial" w:cs="Arial" w:eastAsia="Arial" w:hAnsi="Arial"/>
          <w:sz w:val="14"/>
          <w:szCs w:val="14"/>
          <w:color w:val="auto"/>
        </w:rPr>
        <w:t>On May 13, 2009, Messrs. Bean, Metscher and Molloy each received 20,000 shares of restricted stock, with a fair value of $24,800, which vest ratably over three years, with the first one-third vesting on May 13, 2010. Due to Mr. Bean’s termination of employment on May 17, 2010, the remaining two-thirds of the restricted stock grant were forfeited.</w:t>
      </w:r>
    </w:p>
    <w:p>
      <w:pPr>
        <w:spacing w:after="0" w:line="1" w:lineRule="exact"/>
        <w:rPr>
          <w:sz w:val="20"/>
          <w:szCs w:val="20"/>
          <w:color w:val="auto"/>
        </w:rPr>
      </w:pPr>
    </w:p>
    <w:p>
      <w:pPr>
        <w:ind w:left="340" w:right="60" w:hanging="332"/>
        <w:spacing w:after="0" w:line="258"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fair value of each stock option award is estimated as of the date of grant using a Black-Scholes valuation model. Additional information regarding the assumptions used to estimate the fair value of all stock option awards is included in Note A to Consolidated Financial Statements contained in our Annual Report on Form 10-K for the fiscal year ended January 30, 2010.</w:t>
      </w:r>
    </w:p>
    <w:p>
      <w:pPr>
        <w:jc w:val="both"/>
        <w:ind w:left="340" w:right="100"/>
        <w:spacing w:after="0" w:line="221" w:lineRule="auto"/>
        <w:rPr>
          <w:rFonts w:ascii="Arial" w:cs="Arial" w:eastAsia="Arial" w:hAnsi="Arial"/>
          <w:sz w:val="12"/>
          <w:szCs w:val="12"/>
          <w:color w:val="auto"/>
        </w:rPr>
      </w:pPr>
      <w:r>
        <w:rPr>
          <w:rFonts w:ascii="Arial" w:cs="Arial" w:eastAsia="Arial" w:hAnsi="Arial"/>
          <w:sz w:val="14"/>
          <w:szCs w:val="14"/>
          <w:color w:val="auto"/>
        </w:rPr>
        <w:t>The $22,800 for Mr. Molloy represents the actual grant date fair value of performance shares issued on March 19, 2010 pursuant to the LTIP. Mr. Molloy had irrevocably elected to receive approximately 8% of any award granted pursuant to the LTIP in stock options. The grant date fair value of the options, based on the probable outcome of the performance condition as of the service inception date (April 29, 2009), was $14,042, excluding the effect of estimated forfeitures. If the highest level of performance were to be assumed the grant date fair value of the options on the service inception date would be $26,329, excluding the effect of estimated forfeitures.</w:t>
      </w:r>
    </w:p>
    <w:p>
      <w:pPr>
        <w:spacing w:after="0" w:line="1"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See table “All Other Compensation” below for a breakdown.</w:t>
      </w:r>
    </w:p>
    <w:p>
      <w:pPr>
        <w:ind w:left="340" w:hanging="332"/>
        <w:spacing w:after="0"/>
        <w:tabs>
          <w:tab w:leader="none" w:pos="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 May 2009, Messrs. Levin and Hernreich received discretionary bonuses of $300,000 and $240,000, respectively, for fiscal 2008. Mr. Metscher received a discretionary bonus $10,746 in fiscal 2008.</w:t>
      </w:r>
    </w:p>
    <w:p>
      <w:pPr>
        <w:spacing w:after="0" w:line="10" w:lineRule="exact"/>
        <w:rPr>
          <w:rFonts w:ascii="Arial" w:cs="Arial" w:eastAsia="Arial" w:hAnsi="Arial"/>
          <w:sz w:val="12"/>
          <w:szCs w:val="12"/>
          <w:color w:val="auto"/>
        </w:rPr>
      </w:pPr>
    </w:p>
    <w:p>
      <w:pPr>
        <w:ind w:left="340" w:hanging="332"/>
        <w:spacing w:after="0"/>
        <w:tabs>
          <w:tab w:leader="none" w:pos="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On May 17, 2010, Mr. Bean’s employment was terminated. Because Mr. Bean’s employment terminated before the vesting of his LTIP award, the full value of the LITP award ($236,138) was forfeited.</w:t>
      </w:r>
    </w:p>
    <w:p>
      <w:pPr>
        <w:spacing w:after="0" w:line="15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table set forth below is a supplement to the Summary Compensation Table and provides a breakdown of discretionary and incentive-based awards earned by each Named Executive Officer.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Discretionary and Incentive-Based Awards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8"/>
          </w:tcPr>
          <w:p>
            <w:pPr>
              <w:ind w:left="100"/>
              <w:spacing w:after="0"/>
              <w:rPr>
                <w:sz w:val="20"/>
                <w:szCs w:val="20"/>
                <w:color w:val="auto"/>
              </w:rPr>
            </w:pPr>
            <w:r>
              <w:rPr>
                <w:rFonts w:ascii="Arial" w:cs="Arial" w:eastAsia="Arial" w:hAnsi="Arial"/>
                <w:sz w:val="14"/>
                <w:szCs w:val="14"/>
                <w:b w:val="1"/>
                <w:bCs w:val="1"/>
                <w:color w:val="auto"/>
              </w:rPr>
              <w:t>Long-Term Incentive Plan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2"/>
              <w:spacing w:after="0"/>
              <w:rPr>
                <w:sz w:val="20"/>
                <w:szCs w:val="20"/>
                <w:color w:val="auto"/>
              </w:rPr>
            </w:pPr>
            <w:r>
              <w:rPr>
                <w:rFonts w:ascii="Arial" w:cs="Arial" w:eastAsia="Arial" w:hAnsi="Arial"/>
                <w:sz w:val="14"/>
                <w:szCs w:val="14"/>
                <w:b w:val="1"/>
                <w:bCs w:val="1"/>
                <w:color w:val="auto"/>
                <w:w w:val="92"/>
              </w:rPr>
              <w:t>Annual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8"/>
          </w:tcPr>
          <w:p>
            <w:pPr>
              <w:ind w:left="40"/>
              <w:spacing w:after="0" w:line="149" w:lineRule="exact"/>
              <w:rPr>
                <w:sz w:val="20"/>
                <w:szCs w:val="20"/>
                <w:color w:val="auto"/>
              </w:rPr>
            </w:pPr>
            <w:r>
              <w:rPr>
                <w:rFonts w:ascii="Arial" w:cs="Arial" w:eastAsia="Arial" w:hAnsi="Arial"/>
                <w:sz w:val="14"/>
                <w:szCs w:val="14"/>
                <w:b w:val="1"/>
                <w:bCs w:val="1"/>
                <w:color w:val="auto"/>
                <w:w w:val="96"/>
              </w:rPr>
              <w:t>All Awards Subject to Three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Incentive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87"/>
              </w:rPr>
              <w:t>Discretionary Awards</w:t>
            </w:r>
          </w:p>
        </w:tc>
        <w:tc>
          <w:tcPr>
            <w:tcW w:w="100" w:type="dxa"/>
            <w:vAlign w:val="bottom"/>
          </w:tcPr>
          <w:p>
            <w:pPr>
              <w:spacing w:after="0"/>
              <w:rPr>
                <w:sz w:val="14"/>
                <w:szCs w:val="14"/>
                <w:color w:val="auto"/>
              </w:rPr>
            </w:pPr>
          </w:p>
        </w:tc>
        <w:tc>
          <w:tcPr>
            <w:tcW w:w="1320" w:type="dxa"/>
            <w:vAlign w:val="bottom"/>
            <w:gridSpan w:val="5"/>
          </w:tcPr>
          <w:p>
            <w:pPr>
              <w:ind w:left="420"/>
              <w:spacing w:after="0"/>
              <w:rPr>
                <w:sz w:val="20"/>
                <w:szCs w:val="20"/>
                <w:color w:val="auto"/>
              </w:rPr>
            </w:pPr>
            <w:r>
              <w:rPr>
                <w:rFonts w:ascii="Arial" w:cs="Arial" w:eastAsia="Arial" w:hAnsi="Arial"/>
                <w:sz w:val="14"/>
                <w:szCs w:val="14"/>
                <w:b w:val="1"/>
                <w:bCs w:val="1"/>
                <w:color w:val="auto"/>
                <w:w w:val="86"/>
              </w:rPr>
              <w:t>Year Vesting(1)</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32"/>
              <w:spacing w:after="0"/>
              <w:rPr>
                <w:sz w:val="20"/>
                <w:szCs w:val="20"/>
                <w:color w:val="auto"/>
              </w:rPr>
            </w:pPr>
            <w:r>
              <w:rPr>
                <w:rFonts w:ascii="Arial" w:cs="Arial" w:eastAsia="Arial" w:hAnsi="Arial"/>
                <w:sz w:val="14"/>
                <w:szCs w:val="14"/>
                <w:b w:val="1"/>
                <w:bCs w:val="1"/>
                <w:color w:val="auto"/>
                <w:w w:val="87"/>
              </w:rPr>
              <w:t>Plan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12"/>
          </w:tcPr>
          <w:p>
            <w:pPr>
              <w:ind w:left="140"/>
              <w:spacing w:after="0"/>
              <w:rPr>
                <w:sz w:val="20"/>
                <w:szCs w:val="20"/>
                <w:color w:val="auto"/>
              </w:rPr>
            </w:pPr>
            <w:r>
              <w:rPr>
                <w:rFonts w:ascii="Arial" w:cs="Arial" w:eastAsia="Arial" w:hAnsi="Arial"/>
                <w:sz w:val="14"/>
                <w:szCs w:val="14"/>
                <w:b w:val="1"/>
                <w:bCs w:val="1"/>
                <w:color w:val="auto"/>
                <w:w w:val="94"/>
              </w:rPr>
              <w:t>Totals per Summary Compensation Table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12"/>
              <w:spacing w:after="0" w:line="129" w:lineRule="exact"/>
              <w:rPr>
                <w:sz w:val="20"/>
                <w:szCs w:val="20"/>
                <w:color w:val="auto"/>
              </w:rPr>
            </w:pPr>
            <w:r>
              <w:rPr>
                <w:rFonts w:ascii="Arial" w:cs="Arial" w:eastAsia="Arial" w:hAnsi="Arial"/>
                <w:sz w:val="14"/>
                <w:szCs w:val="14"/>
                <w:b w:val="1"/>
                <w:bCs w:val="1"/>
                <w:color w:val="auto"/>
                <w:w w:val="88"/>
              </w:rPr>
              <w:t>Non-Equity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Bonus-</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9"/>
              </w:rPr>
              <w:t>Stock</w:t>
            </w:r>
          </w:p>
        </w:tc>
        <w:tc>
          <w:tcPr>
            <w:tcW w:w="60" w:type="dxa"/>
            <w:vAlign w:val="bottom"/>
          </w:tcPr>
          <w:p>
            <w:pPr>
              <w:spacing w:after="0"/>
              <w:rPr>
                <w:sz w:val="12"/>
                <w:szCs w:val="12"/>
                <w:color w:val="auto"/>
              </w:rPr>
            </w:pP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Option</w:t>
            </w:r>
          </w:p>
        </w:tc>
        <w:tc>
          <w:tcPr>
            <w:tcW w:w="1960" w:type="dxa"/>
            <w:vAlign w:val="bottom"/>
            <w:gridSpan w:val="9"/>
          </w:tcPr>
          <w:p>
            <w:pPr>
              <w:ind w:left="20"/>
              <w:spacing w:after="0" w:line="149" w:lineRule="exact"/>
              <w:rPr>
                <w:sz w:val="20"/>
                <w:szCs w:val="20"/>
                <w:color w:val="auto"/>
              </w:rPr>
            </w:pPr>
            <w:r>
              <w:rPr>
                <w:rFonts w:ascii="Arial" w:cs="Arial" w:eastAsia="Arial" w:hAnsi="Arial"/>
                <w:sz w:val="14"/>
                <w:szCs w:val="14"/>
                <w:b w:val="1"/>
                <w:bCs w:val="1"/>
                <w:color w:val="auto"/>
              </w:rPr>
              <w:t>Non-Equity   Stock   Option</w:t>
            </w:r>
          </w:p>
        </w:tc>
        <w:tc>
          <w:tcPr>
            <w:tcW w:w="6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Non-Equity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Option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61"/>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8"/>
              </w:rPr>
              <w:t>Year</w:t>
            </w:r>
          </w:p>
        </w:tc>
        <w:tc>
          <w:tcPr>
            <w:tcW w:w="18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w:t>
            </w:r>
          </w:p>
        </w:tc>
        <w:tc>
          <w:tcPr>
            <w:tcW w:w="5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Awards</w:t>
            </w:r>
          </w:p>
        </w:tc>
        <w:tc>
          <w:tcPr>
            <w:tcW w:w="60" w:type="dxa"/>
            <w:vAlign w:val="bottom"/>
          </w:tcPr>
          <w:p>
            <w:pPr>
              <w:spacing w:after="0"/>
              <w:rPr>
                <w:sz w:val="14"/>
                <w:szCs w:val="14"/>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4"/>
                <w:szCs w:val="14"/>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Awards</w:t>
            </w:r>
          </w:p>
        </w:tc>
        <w:tc>
          <w:tcPr>
            <w:tcW w:w="4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4"/>
              </w:rPr>
              <w:t>Awards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32"/>
              <w:spacing w:after="0"/>
              <w:rPr>
                <w:sz w:val="20"/>
                <w:szCs w:val="20"/>
                <w:color w:val="auto"/>
              </w:rPr>
            </w:pPr>
            <w:r>
              <w:rPr>
                <w:rFonts w:ascii="Arial" w:cs="Arial" w:eastAsia="Arial" w:hAnsi="Arial"/>
                <w:sz w:val="14"/>
                <w:szCs w:val="14"/>
                <w:b w:val="1"/>
                <w:bCs w:val="1"/>
                <w:color w:val="auto"/>
                <w:w w:val="87"/>
              </w:rPr>
              <w:t>(Cash)</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Bonus</w:t>
            </w:r>
          </w:p>
        </w:tc>
        <w:tc>
          <w:tcPr>
            <w:tcW w:w="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4"/>
                <w:szCs w:val="14"/>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4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David A. Levin</w:t>
            </w:r>
          </w:p>
        </w:tc>
        <w:tc>
          <w:tcPr>
            <w:tcW w:w="3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2009</w:t>
            </w: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line="142"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w w:val="82"/>
              </w:rPr>
              <w:t>487,789</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82"/>
              </w:rPr>
              <w:t>487,789</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1,173,510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487,789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1,661,299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2008</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6"/>
              </w:rPr>
              <w:t>300,000</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825,000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300,000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825,000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2007</w:t>
            </w: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678,721</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678,721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tcPr>
          <w:p>
            <w:pPr>
              <w:spacing w:after="0" w:line="138" w:lineRule="exact"/>
              <w:rPr>
                <w:sz w:val="20"/>
                <w:szCs w:val="20"/>
                <w:color w:val="auto"/>
              </w:rPr>
            </w:pPr>
            <w:r>
              <w:rPr>
                <w:rFonts w:ascii="Arial" w:cs="Arial" w:eastAsia="Arial" w:hAnsi="Arial"/>
                <w:sz w:val="14"/>
                <w:szCs w:val="14"/>
                <w:color w:val="auto"/>
              </w:rPr>
              <w:t>Dennis R. Hernreich</w:t>
            </w:r>
          </w:p>
        </w:tc>
        <w:tc>
          <w:tcPr>
            <w:tcW w:w="120" w:type="dxa"/>
            <w:vAlign w:val="bottom"/>
          </w:tcPr>
          <w:p>
            <w:pPr>
              <w:spacing w:after="0"/>
              <w:rPr>
                <w:sz w:val="11"/>
                <w:szCs w:val="11"/>
                <w:color w:val="auto"/>
              </w:rPr>
            </w:pPr>
          </w:p>
        </w:tc>
        <w:tc>
          <w:tcPr>
            <w:tcW w:w="260" w:type="dxa"/>
            <w:vAlign w:val="bottom"/>
          </w:tcPr>
          <w:p>
            <w:pPr>
              <w:jc w:val="right"/>
              <w:spacing w:after="0" w:line="138" w:lineRule="exact"/>
              <w:rPr>
                <w:sz w:val="20"/>
                <w:szCs w:val="20"/>
                <w:color w:val="auto"/>
              </w:rPr>
            </w:pPr>
            <w:r>
              <w:rPr>
                <w:rFonts w:ascii="Arial" w:cs="Arial" w:eastAsia="Arial" w:hAnsi="Arial"/>
                <w:sz w:val="14"/>
                <w:szCs w:val="14"/>
                <w:color w:val="auto"/>
                <w:w w:val="76"/>
              </w:rPr>
              <w:t>2009</w:t>
            </w:r>
          </w:p>
        </w:tc>
        <w:tc>
          <w:tcPr>
            <w:tcW w:w="180" w:type="dxa"/>
            <w:vAlign w:val="bottom"/>
          </w:tcPr>
          <w:p>
            <w:pPr>
              <w:spacing w:after="0"/>
              <w:rPr>
                <w:sz w:val="11"/>
                <w:szCs w:val="11"/>
                <w:color w:val="auto"/>
              </w:rPr>
            </w:pPr>
          </w:p>
        </w:tc>
        <w:tc>
          <w:tcPr>
            <w:tcW w:w="560" w:type="dxa"/>
            <w:vAlign w:val="bottom"/>
            <w:gridSpan w:val="2"/>
          </w:tcPr>
          <w:p>
            <w:pPr>
              <w:ind w:left="260"/>
              <w:spacing w:after="0" w:line="138"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38" w:lineRule="exact"/>
              <w:rPr>
                <w:sz w:val="20"/>
                <w:szCs w:val="20"/>
                <w:color w:val="auto"/>
              </w:rPr>
            </w:pPr>
            <w:r>
              <w:rPr>
                <w:rFonts w:ascii="Arial" w:cs="Arial" w:eastAsia="Arial" w:hAnsi="Arial"/>
                <w:sz w:val="14"/>
                <w:szCs w:val="14"/>
                <w:color w:val="auto"/>
              </w:rPr>
              <w:t>$</w:t>
            </w:r>
          </w:p>
        </w:tc>
        <w:tc>
          <w:tcPr>
            <w:tcW w:w="620" w:type="dxa"/>
            <w:vAlign w:val="bottom"/>
          </w:tcPr>
          <w:p>
            <w:pPr>
              <w:ind w:left="180"/>
              <w:spacing w:after="0" w:line="138" w:lineRule="exact"/>
              <w:rPr>
                <w:sz w:val="20"/>
                <w:szCs w:val="20"/>
                <w:color w:val="auto"/>
              </w:rPr>
            </w:pPr>
            <w:r>
              <w:rPr>
                <w:rFonts w:ascii="Arial" w:cs="Arial" w:eastAsia="Arial" w:hAnsi="Arial"/>
                <w:sz w:val="14"/>
                <w:szCs w:val="14"/>
                <w:color w:val="auto"/>
                <w:w w:val="82"/>
              </w:rPr>
              <w:t>373,972</w:t>
            </w:r>
          </w:p>
        </w:tc>
        <w:tc>
          <w:tcPr>
            <w:tcW w:w="1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w w:val="82"/>
              </w:rPr>
              <w:t>373,972</w:t>
            </w:r>
          </w:p>
        </w:tc>
        <w:tc>
          <w:tcPr>
            <w:tcW w:w="40" w:type="dxa"/>
            <w:vAlign w:val="bottom"/>
          </w:tcPr>
          <w:p>
            <w:pPr>
              <w:spacing w:after="0"/>
              <w:rPr>
                <w:sz w:val="11"/>
                <w:szCs w:val="11"/>
                <w:color w:val="auto"/>
              </w:rPr>
            </w:pPr>
          </w:p>
        </w:tc>
        <w:tc>
          <w:tcPr>
            <w:tcW w:w="50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w:t>
            </w:r>
          </w:p>
        </w:tc>
        <w:tc>
          <w:tcPr>
            <w:tcW w:w="140" w:type="dxa"/>
            <w:vAlign w:val="bottom"/>
            <w:gridSpan w:val="2"/>
          </w:tcPr>
          <w:p>
            <w:pPr>
              <w:ind w:left="60"/>
              <w:spacing w:after="0" w:line="138"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899,691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38" w:lineRule="exact"/>
              <w:rPr>
                <w:sz w:val="20"/>
                <w:szCs w:val="20"/>
                <w:color w:val="auto"/>
              </w:rPr>
            </w:pPr>
            <w:r>
              <w:rPr>
                <w:rFonts w:ascii="Arial" w:cs="Arial" w:eastAsia="Arial" w:hAnsi="Arial"/>
                <w:sz w:val="14"/>
                <w:szCs w:val="14"/>
                <w:color w:val="auto"/>
                <w:w w:val="86"/>
              </w:rPr>
              <w:t>373,972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38" w:lineRule="exact"/>
              <w:rPr>
                <w:sz w:val="20"/>
                <w:szCs w:val="20"/>
                <w:color w:val="auto"/>
              </w:rPr>
            </w:pPr>
            <w:r>
              <w:rPr>
                <w:rFonts w:ascii="Arial" w:cs="Arial" w:eastAsia="Arial" w:hAnsi="Arial"/>
                <w:sz w:val="14"/>
                <w:szCs w:val="14"/>
                <w:color w:val="auto"/>
              </w:rPr>
              <w:t>1,273,663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2008</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6"/>
              </w:rPr>
              <w:t>240,000</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2"/>
              </w:rPr>
              <w:t>660,000</w:t>
            </w:r>
          </w:p>
        </w:tc>
        <w:tc>
          <w:tcPr>
            <w:tcW w:w="100" w:type="dxa"/>
            <w:vAlign w:val="bottom"/>
          </w:tcPr>
          <w:p>
            <w:pPr>
              <w:spacing w:after="0"/>
              <w:rPr>
                <w:sz w:val="12"/>
                <w:szCs w:val="12"/>
                <w:color w:val="auto"/>
              </w:rPr>
            </w:pP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6"/>
              </w:rPr>
              <w:t>240,000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660,000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2007</w:t>
            </w:r>
          </w:p>
        </w:tc>
        <w:tc>
          <w:tcPr>
            <w:tcW w:w="180" w:type="dxa"/>
            <w:vAlign w:val="bottom"/>
          </w:tcPr>
          <w:p>
            <w:pPr>
              <w:spacing w:after="0"/>
              <w:rPr>
                <w:sz w:val="13"/>
                <w:szCs w:val="13"/>
                <w:color w:val="auto"/>
              </w:rPr>
            </w:pPr>
          </w:p>
        </w:tc>
        <w:tc>
          <w:tcPr>
            <w:tcW w:w="5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82"/>
              </w:rPr>
              <w:t>699,639</w:t>
            </w:r>
          </w:p>
        </w:tc>
        <w:tc>
          <w:tcPr>
            <w:tcW w:w="100" w:type="dxa"/>
            <w:vAlign w:val="bottom"/>
          </w:tcPr>
          <w:p>
            <w:pPr>
              <w:spacing w:after="0"/>
              <w:rPr>
                <w:sz w:val="13"/>
                <w:szCs w:val="13"/>
                <w:color w:val="auto"/>
              </w:rPr>
            </w:pPr>
          </w:p>
        </w:tc>
        <w:tc>
          <w:tcPr>
            <w:tcW w:w="620" w:type="dxa"/>
            <w:vAlign w:val="bottom"/>
          </w:tcPr>
          <w:p>
            <w:pPr>
              <w:ind w:left="4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w w:val="86"/>
              </w:rPr>
              <w:t>699,639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Mark E. Bean</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4"/>
              </w:rPr>
              <w:t>$ 24,800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82"/>
              </w:rPr>
              <w:t>236,138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142,023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378,161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2008</w:t>
            </w: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2007</w:t>
            </w: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29,400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tcPr>
          <w:p>
            <w:pPr>
              <w:spacing w:after="0" w:line="138" w:lineRule="exact"/>
              <w:rPr>
                <w:sz w:val="20"/>
                <w:szCs w:val="20"/>
                <w:color w:val="auto"/>
              </w:rPr>
            </w:pPr>
            <w:r>
              <w:rPr>
                <w:rFonts w:ascii="Arial" w:cs="Arial" w:eastAsia="Arial" w:hAnsi="Arial"/>
                <w:sz w:val="14"/>
                <w:szCs w:val="14"/>
                <w:color w:val="auto"/>
              </w:rPr>
              <w:t>Henry J. Metscher</w:t>
            </w:r>
          </w:p>
        </w:tc>
        <w:tc>
          <w:tcPr>
            <w:tcW w:w="120" w:type="dxa"/>
            <w:vAlign w:val="bottom"/>
          </w:tcPr>
          <w:p>
            <w:pPr>
              <w:spacing w:after="0"/>
              <w:rPr>
                <w:sz w:val="11"/>
                <w:szCs w:val="11"/>
                <w:color w:val="auto"/>
              </w:rPr>
            </w:pPr>
          </w:p>
        </w:tc>
        <w:tc>
          <w:tcPr>
            <w:tcW w:w="260" w:type="dxa"/>
            <w:vAlign w:val="bottom"/>
          </w:tcPr>
          <w:p>
            <w:pPr>
              <w:jc w:val="right"/>
              <w:spacing w:after="0" w:line="138" w:lineRule="exact"/>
              <w:rPr>
                <w:sz w:val="20"/>
                <w:szCs w:val="20"/>
                <w:color w:val="auto"/>
              </w:rPr>
            </w:pPr>
            <w:r>
              <w:rPr>
                <w:rFonts w:ascii="Arial" w:cs="Arial" w:eastAsia="Arial" w:hAnsi="Arial"/>
                <w:sz w:val="14"/>
                <w:szCs w:val="14"/>
                <w:color w:val="auto"/>
                <w:w w:val="76"/>
              </w:rPr>
              <w:t>2009</w:t>
            </w:r>
          </w:p>
        </w:tc>
        <w:tc>
          <w:tcPr>
            <w:tcW w:w="180" w:type="dxa"/>
            <w:vAlign w:val="bottom"/>
          </w:tcPr>
          <w:p>
            <w:pPr>
              <w:spacing w:after="0"/>
              <w:rPr>
                <w:sz w:val="11"/>
                <w:szCs w:val="11"/>
                <w:color w:val="auto"/>
              </w:rPr>
            </w:pPr>
          </w:p>
        </w:tc>
        <w:tc>
          <w:tcPr>
            <w:tcW w:w="560" w:type="dxa"/>
            <w:vAlign w:val="bottom"/>
            <w:gridSpan w:val="2"/>
          </w:tcPr>
          <w:p>
            <w:pPr>
              <w:ind w:left="260"/>
              <w:spacing w:after="0" w:line="138"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center"/>
              <w:ind w:right="60"/>
              <w:spacing w:after="0" w:line="138" w:lineRule="exact"/>
              <w:rPr>
                <w:sz w:val="20"/>
                <w:szCs w:val="20"/>
                <w:color w:val="auto"/>
              </w:rPr>
            </w:pPr>
            <w:r>
              <w:rPr>
                <w:rFonts w:ascii="Arial" w:cs="Arial" w:eastAsia="Arial" w:hAnsi="Arial"/>
                <w:sz w:val="14"/>
                <w:szCs w:val="14"/>
                <w:color w:val="auto"/>
                <w:w w:val="84"/>
              </w:rPr>
              <w:t>$ 24,800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38" w:lineRule="exact"/>
              <w:rPr>
                <w:sz w:val="20"/>
                <w:szCs w:val="20"/>
                <w:color w:val="auto"/>
              </w:rPr>
            </w:pPr>
            <w:r>
              <w:rPr>
                <w:rFonts w:ascii="Arial" w:cs="Arial" w:eastAsia="Arial" w:hAnsi="Arial"/>
                <w:sz w:val="14"/>
                <w:szCs w:val="14"/>
                <w:color w:val="auto"/>
              </w:rPr>
              <w:t>$</w:t>
            </w:r>
          </w:p>
        </w:tc>
        <w:tc>
          <w:tcPr>
            <w:tcW w:w="620" w:type="dxa"/>
            <w:vAlign w:val="bottom"/>
          </w:tcPr>
          <w:p>
            <w:pPr>
              <w:ind w:left="180"/>
              <w:spacing w:after="0" w:line="138" w:lineRule="exact"/>
              <w:rPr>
                <w:sz w:val="20"/>
                <w:szCs w:val="20"/>
                <w:color w:val="auto"/>
              </w:rPr>
            </w:pPr>
            <w:r>
              <w:rPr>
                <w:rFonts w:ascii="Arial" w:cs="Arial" w:eastAsia="Arial" w:hAnsi="Arial"/>
                <w:sz w:val="14"/>
                <w:szCs w:val="14"/>
                <w:color w:val="auto"/>
                <w:w w:val="82"/>
              </w:rPr>
              <w:t>252,553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2"/>
          </w:tcPr>
          <w:p>
            <w:pPr>
              <w:ind w:left="60"/>
              <w:spacing w:after="0" w:line="138"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151,897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38" w:lineRule="exact"/>
              <w:rPr>
                <w:sz w:val="20"/>
                <w:szCs w:val="20"/>
                <w:color w:val="auto"/>
              </w:rPr>
            </w:pPr>
            <w:r>
              <w:rPr>
                <w:rFonts w:ascii="Arial" w:cs="Arial" w:eastAsia="Arial" w:hAnsi="Arial"/>
                <w:sz w:val="14"/>
                <w:szCs w:val="14"/>
                <w:color w:val="auto"/>
              </w:rPr>
              <w:t>24,800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38" w:lineRule="exact"/>
              <w:rPr>
                <w:sz w:val="20"/>
                <w:szCs w:val="20"/>
                <w:color w:val="auto"/>
              </w:rPr>
            </w:pPr>
            <w:r>
              <w:rPr>
                <w:rFonts w:ascii="Arial" w:cs="Arial" w:eastAsia="Arial" w:hAnsi="Arial"/>
                <w:sz w:val="14"/>
                <w:szCs w:val="14"/>
                <w:color w:val="auto"/>
              </w:rPr>
              <w:t>404,450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2008</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10,746</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10,746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2007</w:t>
            </w:r>
          </w:p>
        </w:tc>
        <w:tc>
          <w:tcPr>
            <w:tcW w:w="180" w:type="dxa"/>
            <w:vAlign w:val="bottom"/>
          </w:tcPr>
          <w:p>
            <w:pPr>
              <w:spacing w:after="0"/>
              <w:rPr>
                <w:sz w:val="13"/>
                <w:szCs w:val="13"/>
                <w:color w:val="auto"/>
              </w:rPr>
            </w:pPr>
          </w:p>
        </w:tc>
        <w:tc>
          <w:tcPr>
            <w:tcW w:w="5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7"/>
              </w:rPr>
              <w:t>29,400</w:t>
            </w:r>
          </w:p>
        </w:tc>
        <w:tc>
          <w:tcPr>
            <w:tcW w:w="100" w:type="dxa"/>
            <w:vAlign w:val="bottom"/>
          </w:tcPr>
          <w:p>
            <w:pPr>
              <w:spacing w:after="0"/>
              <w:rPr>
                <w:sz w:val="13"/>
                <w:szCs w:val="13"/>
                <w:color w:val="auto"/>
              </w:rPr>
            </w:pPr>
          </w:p>
        </w:tc>
        <w:tc>
          <w:tcPr>
            <w:tcW w:w="620" w:type="dxa"/>
            <w:vAlign w:val="bottom"/>
          </w:tcPr>
          <w:p>
            <w:pPr>
              <w:ind w:left="4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29,400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4"/>
              </w:rPr>
              <w:t>$ 24,800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82"/>
              </w:rPr>
              <w:t>205,200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45,600</w:t>
            </w:r>
          </w:p>
        </w:tc>
        <w:tc>
          <w:tcPr>
            <w:tcW w:w="5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w w:val="88"/>
              </w:rPr>
              <w:t>$ 22,800</w:t>
            </w:r>
          </w:p>
        </w:tc>
        <w:tc>
          <w:tcPr>
            <w:tcW w:w="1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164,555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22,800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369,755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16,600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80" w:hanging="332"/>
        <w:spacing w:after="0" w:line="268" w:lineRule="auto"/>
        <w:tabs>
          <w:tab w:leader="none" w:pos="3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Company’s LTIP provides for dollar-based awards which, at the irrevocable election of the participant, can be awarded in cash, restricted stock, options or any combination thereof. Messrs. Levin and Hernreich irrevocably elected to receive 50% of any award in shares of restricted stock with the remaining 50% in cash. Messrs. Bean and Metscher elected to receive 100% of any award in cash.</w:t>
      </w:r>
    </w:p>
    <w:p>
      <w:pPr>
        <w:jc w:val="both"/>
        <w:ind w:left="340" w:right="20"/>
        <w:spacing w:after="0" w:line="258" w:lineRule="auto"/>
        <w:rPr>
          <w:rFonts w:ascii="Arial" w:cs="Arial" w:eastAsia="Arial" w:hAnsi="Arial"/>
          <w:sz w:val="12"/>
          <w:szCs w:val="12"/>
          <w:color w:val="auto"/>
        </w:rPr>
      </w:pPr>
      <w:r>
        <w:rPr>
          <w:rFonts w:ascii="Arial" w:cs="Arial" w:eastAsia="Arial" w:hAnsi="Arial"/>
          <w:sz w:val="12"/>
          <w:szCs w:val="12"/>
          <w:color w:val="auto"/>
        </w:rPr>
        <w:t>Mr. Molloy elected to receive 75% of any award in cash, 17% in shares of restricted stock and 8% in stock options. Although the service inception date for these awards occurred in fiscal 2009, no payouts occurred until fiscal 2010, when it was determined that the performance targets were achieved. All awards vest, based on the executive’s election, in three separate tranches, with the first tranche vesting on March 19, 2011. Because Mr. Bean’s employment with the Company terminated prior to any vesting of the LTIP award for 2009, his cash award of $236,138 was forfeited.</w:t>
      </w:r>
    </w:p>
    <w:p>
      <w:pPr>
        <w:ind w:left="340"/>
        <w:spacing w:after="0"/>
        <w:rPr>
          <w:rFonts w:ascii="Arial" w:cs="Arial" w:eastAsia="Arial" w:hAnsi="Arial"/>
          <w:sz w:val="12"/>
          <w:szCs w:val="12"/>
          <w:color w:val="auto"/>
        </w:rPr>
      </w:pPr>
      <w:r>
        <w:rPr>
          <w:rFonts w:ascii="Arial" w:cs="Arial" w:eastAsia="Arial" w:hAnsi="Arial"/>
          <w:sz w:val="14"/>
          <w:szCs w:val="14"/>
          <w:color w:val="auto"/>
        </w:rPr>
        <w:t>No payments were made to our Named Executive Officers pursuant to our LTIP or Annual Incentive Plan for fiscal 2008 or fiscal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sets forth the components of All Other Compensation listed above in the Summary Compensation Table.</w:t>
      </w:r>
    </w:p>
    <w:p>
      <w:pPr>
        <w:spacing w:after="0" w:line="15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All Other Compensation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401(k)/</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Deferred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Life</w:t>
            </w:r>
          </w:p>
        </w:tc>
        <w:tc>
          <w:tcPr>
            <w:tcW w:w="44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Supplemental</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4"/>
              <w:spacing w:after="0" w:line="149" w:lineRule="exact"/>
              <w:rPr>
                <w:sz w:val="20"/>
                <w:szCs w:val="20"/>
                <w:color w:val="auto"/>
              </w:rPr>
            </w:pPr>
            <w:r>
              <w:rPr>
                <w:rFonts w:ascii="Arial" w:cs="Arial" w:eastAsia="Arial" w:hAnsi="Arial"/>
                <w:sz w:val="14"/>
                <w:szCs w:val="14"/>
                <w:b w:val="1"/>
                <w:bCs w:val="1"/>
                <w:color w:val="auto"/>
                <w:w w:val="93"/>
              </w:rPr>
              <w:t>Auto</w:t>
            </w:r>
          </w:p>
        </w:tc>
        <w:tc>
          <w:tcPr>
            <w:tcW w:w="44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42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Insurance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w w:val="86"/>
              </w:rPr>
              <w:t>Disability</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61"/>
        </w:trPr>
        <w:tc>
          <w:tcPr>
            <w:tcW w:w="48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4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3"/>
              </w:rPr>
              <w:t>Allowance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6"/>
              <w:spacing w:after="0"/>
              <w:rPr>
                <w:sz w:val="20"/>
                <w:szCs w:val="20"/>
                <w:color w:val="auto"/>
              </w:rPr>
            </w:pPr>
            <w:r>
              <w:rPr>
                <w:rFonts w:ascii="Arial" w:cs="Arial" w:eastAsia="Arial" w:hAnsi="Arial"/>
                <w:sz w:val="14"/>
                <w:szCs w:val="14"/>
                <w:b w:val="1"/>
                <w:bCs w:val="1"/>
                <w:color w:val="auto"/>
                <w:w w:val="87"/>
              </w:rPr>
              <w:t>Plan</w:t>
            </w:r>
          </w:p>
        </w:tc>
        <w:tc>
          <w:tcPr>
            <w:tcW w:w="4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5"/>
              </w:rPr>
              <w:t>Premiums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5"/>
              <w:spacing w:after="0"/>
              <w:rPr>
                <w:sz w:val="20"/>
                <w:szCs w:val="20"/>
                <w:color w:val="auto"/>
              </w:rPr>
            </w:pPr>
            <w:r>
              <w:rPr>
                <w:rFonts w:ascii="Arial" w:cs="Arial" w:eastAsia="Arial" w:hAnsi="Arial"/>
                <w:sz w:val="14"/>
                <w:szCs w:val="14"/>
                <w:b w:val="1"/>
                <w:bCs w:val="1"/>
                <w:color w:val="auto"/>
                <w:w w:val="84"/>
              </w:rPr>
              <w:t>Insurance</w:t>
            </w:r>
          </w:p>
        </w:tc>
        <w:tc>
          <w:tcPr>
            <w:tcW w:w="4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78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4"/>
              </w:rPr>
              <w:t>2009</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1,915</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10,377</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2008</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2,570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2,570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4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2009</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8,782</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6,009</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5,984</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7,489</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780" w:type="dxa"/>
            <w:vAlign w:val="bottom"/>
            <w:gridSpan w:val="2"/>
          </w:tcPr>
          <w:p>
            <w:pPr>
              <w:jc w:val="center"/>
              <w:ind w:left="352"/>
              <w:spacing w:after="0"/>
              <w:rPr>
                <w:sz w:val="20"/>
                <w:szCs w:val="20"/>
                <w:color w:val="auto"/>
              </w:rPr>
            </w:pPr>
            <w:r>
              <w:rPr>
                <w:rFonts w:ascii="Arial" w:cs="Arial" w:eastAsia="Arial" w:hAnsi="Arial"/>
                <w:sz w:val="18"/>
                <w:szCs w:val="18"/>
                <w:color w:val="auto"/>
                <w:w w:val="84"/>
              </w:rPr>
              <w:t>2008</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8,723</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8,050</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8,550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25,323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780" w:type="dxa"/>
            <w:vAlign w:val="bottom"/>
            <w:gridSpan w:val="2"/>
          </w:tcPr>
          <w:p>
            <w:pPr>
              <w:jc w:val="center"/>
              <w:ind w:left="352"/>
              <w:spacing w:after="0"/>
              <w:rPr>
                <w:sz w:val="20"/>
                <w:szCs w:val="20"/>
                <w:color w:val="auto"/>
              </w:rPr>
            </w:pPr>
            <w:r>
              <w:rPr>
                <w:rFonts w:ascii="Arial" w:cs="Arial" w:eastAsia="Arial" w:hAnsi="Arial"/>
                <w:sz w:val="18"/>
                <w:szCs w:val="18"/>
                <w:color w:val="auto"/>
                <w:w w:val="84"/>
              </w:rPr>
              <w:t>2007</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8,400</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6,750</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8,550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23,700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E. Bean</w:t>
            </w:r>
          </w:p>
        </w:tc>
        <w:tc>
          <w:tcPr>
            <w:tcW w:w="78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4"/>
              </w:rPr>
              <w:t>2009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Henry J. Metscher</w:t>
            </w:r>
          </w:p>
        </w:tc>
        <w:tc>
          <w:tcPr>
            <w:tcW w:w="4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2009</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8,400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780" w:type="dxa"/>
            <w:vAlign w:val="bottom"/>
            <w:gridSpan w:val="2"/>
          </w:tcPr>
          <w:p>
            <w:pPr>
              <w:jc w:val="center"/>
              <w:ind w:left="352"/>
              <w:spacing w:after="0"/>
              <w:rPr>
                <w:sz w:val="20"/>
                <w:szCs w:val="20"/>
                <w:color w:val="auto"/>
              </w:rPr>
            </w:pPr>
            <w:r>
              <w:rPr>
                <w:rFonts w:ascii="Arial" w:cs="Arial" w:eastAsia="Arial" w:hAnsi="Arial"/>
                <w:sz w:val="18"/>
                <w:szCs w:val="18"/>
                <w:color w:val="auto"/>
                <w:w w:val="84"/>
              </w:rPr>
              <w:t>2008</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8,100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780" w:type="dxa"/>
            <w:vAlign w:val="bottom"/>
            <w:gridSpan w:val="2"/>
          </w:tcPr>
          <w:p>
            <w:pPr>
              <w:jc w:val="center"/>
              <w:ind w:left="352"/>
              <w:spacing w:after="0"/>
              <w:rPr>
                <w:sz w:val="20"/>
                <w:szCs w:val="20"/>
                <w:color w:val="auto"/>
              </w:rPr>
            </w:pPr>
            <w:r>
              <w:rPr>
                <w:rFonts w:ascii="Arial" w:cs="Arial" w:eastAsia="Arial" w:hAnsi="Arial"/>
                <w:sz w:val="18"/>
                <w:szCs w:val="18"/>
                <w:color w:val="auto"/>
                <w:w w:val="84"/>
              </w:rPr>
              <w:t>2007</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8,400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78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4"/>
              </w:rPr>
              <w:t>2009</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4"/>
              </w:rPr>
              <w:t>2008</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Executives</w:t>
      </w:r>
    </w:p>
    <w:p>
      <w:pPr>
        <w:spacing w:after="0" w:line="7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employment agreements, which were revised and restated as of November 5, 2009 (collectively, the “Employment Agreements”), with Mr. Levin and Mr. Hernreich. The initial three-year term of the Employment Agreements is January 1, 2009 through December 31, 2011. On January 1, 2011 and thereafter on each anniversary of the Employment Agreements’ commencement date, the term will be extended for a one-year period, which makes the Employment Agreements a rolling two-year agreement after the initial three-year term.</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These Employment Agreements require each executive officer to devote substantially all of the executive officer’s time and attention to our business as necessary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to fulfill his respective duties. The Employment Agreements provide that Messrs. Levin and Hernreich would be paid base salaries at annual rates of $811,200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$621,921, respectively, with an annual automobile allowance of $10,000. In May 2009, the Compensation Committee approved a 5.0% decrease for Messrs.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Levin and Hernreich, effective May 17, 2009. Accordingly, the effective base salaries for Messrs. Levin and Hernreich as of May 17, 2009 were $770,640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$590,824, respectively, until February 5, 2010 at which time the Compensation Committee reinstated the salaries of Messrs. Levin and Hernreich to $811,200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$621,921, respectively.</w:t>
      </w:r>
    </w:p>
    <w:p>
      <w:pPr>
        <w:spacing w:after="0" w:line="15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Messrs. Levin and Hernreich are eligible to participate in our Annual Incentive Plan at a target rate of 100% of each executive’s actual annual base salary, as defined in that plan, and in our Long-Term Incentive Plan (“LTIP”) at a target incentive rate of 100% of each executive’s combined actual annual base earnings for the incentive period. The Employment Agreements also provide for the payment of discretionary bonuses in such amounts as may be determined by the Compensation Committee or Board of Directors.</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Employment Agreements provide that in the event the executive officer’s employment is terminated by the Company at any time for any reason other than “justifiable cause” (as defined in the Employment Agreements), disability or death, or in the event the executive officer resigns with “good reason” (as defined in the Employment Agreement), we are required to pay the executive the following:</w:t>
      </w:r>
    </w:p>
    <w:p>
      <w:pPr>
        <w:spacing w:after="0" w:line="46" w:lineRule="exact"/>
        <w:rPr>
          <w:sz w:val="20"/>
          <w:szCs w:val="20"/>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pro rata bonus under the Annual Incentive Plan and the LTIP;</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accelerated vesting of LTIP awards;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9" w:name="page30"/>
    <w:bookmarkEnd w:id="29"/>
    <w:p>
      <w:pPr>
        <w:ind w:left="780" w:hanging="326"/>
        <w:spacing w:after="0" w:line="298"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severance comprised as the sum of (1) the executive’s monthly base salary then in effect plus (2) a monthly amount calculated by dividing by twelve the average of the sum of (i) the annual incentive bonuses earned and (ii) the cash amounts paid to the executive pursuant to the LTIP or the cash value of the options or stock issued to the executive, during each of the two most recent fiscal years, with the monthly sum of (1) plus (2) payable for 24 consecutive months. This severance benefit is conditioned upon the executive officer’s execution of a general release.</w:t>
      </w:r>
    </w:p>
    <w:p>
      <w:pPr>
        <w:spacing w:after="0" w:line="9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above-listed payments are not made if the executive officer is terminated with “justifiable cause,” the executive officer resigns and such resignation is not for “good reason”, or the executive officer dies or becomes disabled; provided, however, that if the executive officer’s employment terminates by reason of death, disability or retirement on or after age 65, the executives officer shall be entitled to a pro-rata bonus under the Annual Incentive Plan.</w:t>
      </w:r>
    </w:p>
    <w:p>
      <w:pPr>
        <w:spacing w:after="0" w:line="9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the event the executive officer’s employment is terminated at any time within one (1) year following a Change of Control (as defined in the Employment Agreement) other than for “justifiable cause,” or if the executive resigns for “good reason”, the executive is entitled to receive a lump sum payment equal to the sum of two times the executive’s base salary, and two times the executive’s target annual incentive bonus for the fiscal year in which the Change of Control occurs. Payments made under this provision are to be reduced if and to the extent necessary to avoid any payments or benefits to executive being treated as “excess parachute payments” within the meaning of Internal Revenue Code Section 280G(b)(i). This payment also is conditioned upon the executive officer’s execution of a general release.</w:t>
      </w:r>
    </w:p>
    <w:p>
      <w:pPr>
        <w:spacing w:after="0" w:line="13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Employment Agreements contain confidentiality provisions pursuant to which each executive officer agrees not to disclose confidential information regarding our Company. The Employment Agreements also contain covenants pursuant to which each executive officer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 The Employment Agreements also contain a “clawback” provision which provides for remedies in the event we learn after the executive officer’s termination by us other than for “justifiable cause” that the executive officer could have been terminated for “justifiable cause”.</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Employment Agreements also provide that we will, during the term of employment, pay the insurance premiums under one or more life insurance policies on the executive officer’s life pursuant to an arrangement under which $2,000,000 of the death benefit under the policy or policies would be payable to the executive officer’s named beneficiary (with the executive officer making the election of the designated beneficiary) upon the executive officer’s death.</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Executives</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also have employment agreements with each of our Senior Executives (the “Sr. Exec. Employment Agreements”). The term of each employment agreement begins on the respective effective date and continues until terminated by either party. Pursuant to their respective employment agreements, our Senior Executives are eligible to participate in our Annual Incentive Plan at 35% of their respective average base salaries, as defined in the plan, depending on our performance (based on achieving annual EBITDA targets). Each Senior Executive is also eligible to participate in our LTIP at 70% of their respective average base salaries, as defined in the plan, depending on our performance (based on annual performance goals). Each executive is entitled to vacation and to participate in and receive any other benefits customarily provided by us to our senior executives.</w:t>
      </w:r>
    </w:p>
    <w:p>
      <w:pPr>
        <w:spacing w:after="0" w:line="10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Sr. Exec. Employment Agreements provide that in the event the executive officer’s employment is terminated by us at any time for any reason other than “justifiable cause” (as defined in the Employment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30" w:name="page31"/>
    <w:bookmarkEnd w:id="30"/>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Agreements), disability or death, we are required to pay the executive his then current base salary for five months after the effectiveness of such termination. This severance benefit is conditioned upon the executive officer’s execution of a general release.</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above-listed payments are not made if the executive officer is terminated with “justifiable cause,” the executive officer resigns, or the executive officer dies or becomes disabled.</w:t>
      </w:r>
    </w:p>
    <w:p>
      <w:pPr>
        <w:spacing w:after="0" w:line="11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the event the executive officer’s employment is terminated at any time within one (1) year following a Change of Control (as defined in the Sr. Exec. Employment Agreement) other than for “justifiable cause,” or if the executive resigns for “good reason,” we shall pay the executive an amount equal to twelve months of executive’s highest base salary in effect at any time during the six (6) month period ending on the date of the Change of Control. This payment also is conditioned upon the executive officer’s execution of a general release. Payments made under this provision are to be reduced if and to the extent necessary to avoid any payments or benefits to executive being treated as “excess parachute payments” within the meaning of Internal Revenue Code Section 280G(b)(i).</w:t>
      </w:r>
    </w:p>
    <w:p>
      <w:pPr>
        <w:spacing w:after="0" w:line="1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Sr. Exec. Employment Agreements contain confidentiality provisions pursuant to which each executive officer agrees not to disclose confidential information regarding our Company. The Sr. Exec. Employment Agreements also contain covenants pursuant to which each executive officer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 The Sr. Exec. Employment Agreements also contain a “clawback” provision which provides for remedies in the event we learn after the executive officer’s termination by us other than for “justifiable cause” that the executive officer could have been terminated for “justifiable cause”.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31" w:name="page32"/>
    <w:bookmarkEnd w:id="31"/>
    <w:p>
      <w:pPr>
        <w:ind w:right="18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Grants of Plan-Based Awards</w:t>
      </w:r>
      <w:r>
        <w:rPr>
          <w:rFonts w:ascii="Arial" w:cs="Arial" w:eastAsia="Arial" w:hAnsi="Arial"/>
          <w:sz w:val="18"/>
          <w:szCs w:val="18"/>
          <w:color w:val="auto"/>
        </w:rPr>
        <w:t>. The following table sets forth certain information with respect to plan-based awards granted to the Named Executive Officers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2009.</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GRANTS OF PLAN-BASED AWARDS</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Estimated Possible Payouts</w:t>
            </w:r>
          </w:p>
        </w:tc>
        <w:tc>
          <w:tcPr>
            <w:tcW w:w="80" w:type="dxa"/>
            <w:vAlign w:val="bottom"/>
          </w:tcPr>
          <w:p>
            <w:pPr>
              <w:spacing w:after="0"/>
              <w:rPr>
                <w:sz w:val="14"/>
                <w:szCs w:val="14"/>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Estimated Possible Payouts</w:t>
            </w:r>
          </w:p>
        </w:tc>
      </w:tr>
      <w:tr>
        <w:trPr>
          <w:trHeight w:val="175"/>
        </w:trPr>
        <w:tc>
          <w:tcPr>
            <w:tcW w:w="2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Approval</w:t>
            </w: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Under Non-Equity</w:t>
            </w:r>
          </w:p>
        </w:tc>
        <w:tc>
          <w:tcPr>
            <w:tcW w:w="80" w:type="dxa"/>
            <w:vAlign w:val="bottom"/>
          </w:tcPr>
          <w:p>
            <w:pPr>
              <w:spacing w:after="0"/>
              <w:rPr>
                <w:sz w:val="15"/>
                <w:szCs w:val="15"/>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Under Equity</w:t>
            </w:r>
          </w:p>
        </w:tc>
      </w:tr>
      <w:tr>
        <w:trPr>
          <w:trHeight w:val="135"/>
        </w:trPr>
        <w:tc>
          <w:tcPr>
            <w:tcW w:w="20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1920" w:type="dxa"/>
            <w:vAlign w:val="bottom"/>
            <w:tcBorders>
              <w:bottom w:val="single" w:sz="8" w:color="auto"/>
            </w:tcBorders>
            <w:gridSpan w:val="3"/>
          </w:tcPr>
          <w:p>
            <w:pPr>
              <w:jc w:val="center"/>
              <w:spacing w:after="0" w:line="115" w:lineRule="exact"/>
              <w:rPr>
                <w:sz w:val="20"/>
                <w:szCs w:val="20"/>
                <w:color w:val="auto"/>
              </w:rPr>
            </w:pPr>
            <w:r>
              <w:rPr>
                <w:rFonts w:ascii="Arial" w:cs="Arial" w:eastAsia="Arial" w:hAnsi="Arial"/>
                <w:sz w:val="12"/>
                <w:szCs w:val="12"/>
                <w:b w:val="1"/>
                <w:bCs w:val="1"/>
                <w:color w:val="auto"/>
              </w:rPr>
              <w:t>Incentive Plan Awards</w:t>
            </w:r>
          </w:p>
        </w:tc>
        <w:tc>
          <w:tcPr>
            <w:tcW w:w="80" w:type="dxa"/>
            <w:vAlign w:val="bottom"/>
          </w:tcPr>
          <w:p>
            <w:pPr>
              <w:spacing w:after="0"/>
              <w:rPr>
                <w:sz w:val="11"/>
                <w:szCs w:val="11"/>
                <w:color w:val="auto"/>
              </w:rPr>
            </w:pPr>
          </w:p>
        </w:tc>
        <w:tc>
          <w:tcPr>
            <w:tcW w:w="1920" w:type="dxa"/>
            <w:vAlign w:val="bottom"/>
            <w:tcBorders>
              <w:bottom w:val="single" w:sz="8" w:color="auto"/>
            </w:tcBorders>
            <w:gridSpan w:val="3"/>
          </w:tcPr>
          <w:p>
            <w:pPr>
              <w:jc w:val="center"/>
              <w:spacing w:after="0" w:line="115" w:lineRule="exact"/>
              <w:rPr>
                <w:sz w:val="20"/>
                <w:szCs w:val="20"/>
                <w:color w:val="auto"/>
              </w:rPr>
            </w:pPr>
            <w:r>
              <w:rPr>
                <w:rFonts w:ascii="Arial" w:cs="Arial" w:eastAsia="Arial" w:hAnsi="Arial"/>
                <w:sz w:val="12"/>
                <w:szCs w:val="12"/>
                <w:b w:val="1"/>
                <w:bCs w:val="1"/>
                <w:color w:val="auto"/>
              </w:rPr>
              <w:t>Incentive Plan Awards</w:t>
            </w:r>
          </w:p>
        </w:tc>
      </w:tr>
      <w:tr>
        <w:trPr>
          <w:trHeight w:val="156"/>
        </w:trPr>
        <w:tc>
          <w:tcPr>
            <w:tcW w:w="20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7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8"/>
              </w:rPr>
              <w:t>(Service</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49"/>
        </w:trPr>
        <w:tc>
          <w:tcPr>
            <w:tcW w:w="2020" w:type="dxa"/>
            <w:vAlign w:val="bottom"/>
          </w:tcPr>
          <w:p>
            <w:pPr>
              <w:spacing w:after="0"/>
              <w:rPr>
                <w:sz w:val="12"/>
                <w:szCs w:val="12"/>
                <w:color w:val="auto"/>
              </w:rPr>
            </w:pPr>
          </w:p>
        </w:tc>
        <w:tc>
          <w:tcPr>
            <w:tcW w:w="2100" w:type="dxa"/>
            <w:vAlign w:val="bottom"/>
          </w:tcPr>
          <w:p>
            <w:pPr>
              <w:jc w:val="center"/>
              <w:ind w:left="1552"/>
              <w:spacing w:after="0" w:line="149" w:lineRule="exact"/>
              <w:rPr>
                <w:sz w:val="20"/>
                <w:szCs w:val="20"/>
                <w:color w:val="auto"/>
              </w:rPr>
            </w:pPr>
            <w:r>
              <w:rPr>
                <w:rFonts w:ascii="Arial" w:cs="Arial" w:eastAsia="Arial" w:hAnsi="Arial"/>
                <w:sz w:val="14"/>
                <w:szCs w:val="14"/>
                <w:b w:val="1"/>
                <w:bCs w:val="1"/>
                <w:color w:val="auto"/>
                <w:w w:val="96"/>
              </w:rPr>
              <w:t>Grant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Inception</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Threshold</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Threshold</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r>
      <w:tr>
        <w:trPr>
          <w:trHeight w:val="161"/>
        </w:trPr>
        <w:tc>
          <w:tcPr>
            <w:tcW w:w="20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100" w:type="dxa"/>
            <w:vAlign w:val="bottom"/>
          </w:tcPr>
          <w:p>
            <w:pPr>
              <w:jc w:val="center"/>
              <w:ind w:left="1552"/>
              <w:spacing w:after="0"/>
              <w:rPr>
                <w:sz w:val="20"/>
                <w:szCs w:val="20"/>
                <w:color w:val="auto"/>
              </w:rPr>
            </w:pPr>
            <w:r>
              <w:rPr>
                <w:rFonts w:ascii="Arial" w:cs="Arial" w:eastAsia="Arial" w:hAnsi="Arial"/>
                <w:sz w:val="14"/>
                <w:szCs w:val="14"/>
                <w:b w:val="1"/>
                <w:bCs w:val="1"/>
                <w:color w:val="auto"/>
                <w:w w:val="92"/>
              </w:rPr>
              <w:t>Date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Date)</w:t>
            </w:r>
          </w:p>
        </w:tc>
        <w:tc>
          <w:tcPr>
            <w:tcW w:w="680" w:type="dxa"/>
            <w:vAlign w:val="bottom"/>
          </w:tcPr>
          <w:p>
            <w:pPr>
              <w:jc w:val="right"/>
              <w:ind w:right="234"/>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0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54"/>
              <w:spacing w:after="0"/>
              <w:rPr>
                <w:sz w:val="20"/>
                <w:szCs w:val="20"/>
                <w:color w:val="auto"/>
              </w:rPr>
            </w:pPr>
            <w:r>
              <w:rPr>
                <w:rFonts w:ascii="Arial" w:cs="Arial" w:eastAsia="Arial" w:hAnsi="Arial"/>
                <w:sz w:val="14"/>
                <w:szCs w:val="14"/>
                <w:b w:val="1"/>
                <w:bCs w:val="1"/>
                <w:color w:val="auto"/>
              </w:rPr>
              <w:t>($)(1)</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rPr>
              <w:t>($)(1)</w:t>
            </w:r>
          </w:p>
        </w:tc>
      </w:tr>
    </w:tbl>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Grant</w:t>
            </w: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or Base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Fair</w:t>
            </w: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Stock</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Units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r>
      <w:tr>
        <w:trPr>
          <w:trHeight w:val="161"/>
        </w:trPr>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Options (#)</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 / Sh)</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Awards(2)</w:t>
            </w:r>
          </w:p>
        </w:tc>
      </w:tr>
    </w:tbl>
    <w:p>
      <w:pPr>
        <w:spacing w:after="0" w:line="20" w:lineRule="exact"/>
        <w:rPr>
          <w:sz w:val="20"/>
          <w:szCs w:val="20"/>
          <w:color w:val="auto"/>
        </w:rPr>
      </w:pPr>
    </w:p>
    <w:p>
      <w:pPr>
        <w:sectPr>
          <w:pgSz w:w="11900" w:h="16838" w:orient="portrait"/>
          <w:cols w:equalWidth="0" w:num="2">
            <w:col w:w="8740" w:space="80"/>
            <w:col w:w="2600"/>
          </w:cols>
          <w:pgMar w:left="240" w:top="280"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8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122"/>
        </w:trPr>
        <w:tc>
          <w:tcPr>
            <w:tcW w:w="35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David A. Levin</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r>
      <w:tr>
        <w:trPr>
          <w:trHeight w:val="149"/>
        </w:trPr>
        <w:tc>
          <w:tcPr>
            <w:tcW w:w="3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-Annual Incentive Plan(3)</w:t>
            </w:r>
          </w:p>
        </w:tc>
        <w:tc>
          <w:tcPr>
            <w:tcW w:w="80" w:type="dxa"/>
            <w:vAlign w:val="bottom"/>
            <w:shd w:val="clear" w:color="auto" w:fill="CCEEFF"/>
          </w:tcPr>
          <w:p>
            <w:pPr>
              <w:spacing w:after="0"/>
              <w:rPr>
                <w:sz w:val="12"/>
                <w:szCs w:val="12"/>
                <w:color w:val="auto"/>
              </w:rPr>
            </w:pPr>
          </w:p>
        </w:tc>
        <w:tc>
          <w:tcPr>
            <w:tcW w:w="11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4/29/09</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625,872</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782,340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1,173,510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r>
      <w:tr>
        <w:trPr>
          <w:trHeight w:val="149"/>
        </w:trPr>
        <w:tc>
          <w:tcPr>
            <w:tcW w:w="3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-LTIP(4)</w:t>
            </w:r>
          </w:p>
        </w:tc>
        <w:tc>
          <w:tcPr>
            <w:tcW w:w="80" w:type="dxa"/>
            <w:vAlign w:val="bottom"/>
            <w:shd w:val="clear" w:color="auto" w:fill="CCEEFF"/>
          </w:tcPr>
          <w:p>
            <w:pPr>
              <w:spacing w:after="0"/>
              <w:rPr>
                <w:sz w:val="12"/>
                <w:szCs w:val="12"/>
                <w:color w:val="auto"/>
              </w:rPr>
            </w:pPr>
          </w:p>
        </w:tc>
        <w:tc>
          <w:tcPr>
            <w:tcW w:w="11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4/29/09</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312,936</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391,170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586,755</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312,936</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391,170</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586,755</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r>
      <w:tr>
        <w:trPr>
          <w:trHeight w:val="138"/>
        </w:trPr>
        <w:tc>
          <w:tcPr>
            <w:tcW w:w="3580" w:type="dxa"/>
            <w:vAlign w:val="bottom"/>
            <w:gridSpan w:val="2"/>
          </w:tcPr>
          <w:p>
            <w:pPr>
              <w:spacing w:after="0" w:line="138" w:lineRule="exact"/>
              <w:rPr>
                <w:sz w:val="20"/>
                <w:szCs w:val="20"/>
                <w:color w:val="auto"/>
              </w:rPr>
            </w:pPr>
            <w:r>
              <w:rPr>
                <w:rFonts w:ascii="Arial" w:cs="Arial" w:eastAsia="Arial" w:hAnsi="Arial"/>
                <w:sz w:val="14"/>
                <w:szCs w:val="14"/>
                <w:color w:val="auto"/>
              </w:rPr>
              <w:t>Dennis R. Hernreich</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3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-Annual Incentive Plan(3)</w:t>
            </w:r>
          </w:p>
        </w:tc>
        <w:tc>
          <w:tcPr>
            <w:tcW w:w="120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4/29/09</w:t>
            </w: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479,835</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6"/>
              </w:rPr>
              <w:t>599,794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899,691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r>
      <w:tr>
        <w:trPr>
          <w:trHeight w:val="159"/>
        </w:trPr>
        <w:tc>
          <w:tcPr>
            <w:tcW w:w="35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-LTIP(4)</w:t>
            </w:r>
          </w:p>
        </w:tc>
        <w:tc>
          <w:tcPr>
            <w:tcW w:w="1200" w:type="dxa"/>
            <w:vAlign w:val="bottom"/>
            <w:gridSpan w:val="5"/>
          </w:tcPr>
          <w:p>
            <w:pPr>
              <w:jc w:val="right"/>
              <w:ind w:right="40"/>
              <w:spacing w:after="0" w:line="159" w:lineRule="exact"/>
              <w:rPr>
                <w:sz w:val="20"/>
                <w:szCs w:val="20"/>
                <w:color w:val="auto"/>
              </w:rPr>
            </w:pPr>
            <w:r>
              <w:rPr>
                <w:rFonts w:ascii="Arial" w:cs="Arial" w:eastAsia="Arial" w:hAnsi="Arial"/>
                <w:sz w:val="14"/>
                <w:szCs w:val="14"/>
                <w:color w:val="auto"/>
              </w:rPr>
              <w:t>4/29/09</w:t>
            </w:r>
          </w:p>
        </w:tc>
        <w:tc>
          <w:tcPr>
            <w:tcW w:w="1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90"/>
              </w:rPr>
              <w:t>239,918</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86"/>
              </w:rPr>
              <w:t>299,897</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449,846</w:t>
            </w:r>
          </w:p>
        </w:tc>
        <w:tc>
          <w:tcPr>
            <w:tcW w:w="2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90"/>
              </w:rPr>
              <w:t>239,918</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86"/>
              </w:rPr>
              <w:t>299,897</w:t>
            </w:r>
          </w:p>
        </w:tc>
        <w:tc>
          <w:tcPr>
            <w:tcW w:w="1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4"/>
              </w:rPr>
              <w:t>449,846</w:t>
            </w:r>
          </w:p>
        </w:tc>
        <w:tc>
          <w:tcPr>
            <w:tcW w:w="80" w:type="dxa"/>
            <w:vAlign w:val="bottom"/>
          </w:tcPr>
          <w:p>
            <w:pPr>
              <w:spacing w:after="0"/>
              <w:rPr>
                <w:sz w:val="13"/>
                <w:szCs w:val="13"/>
                <w:color w:val="auto"/>
              </w:rPr>
            </w:pPr>
          </w:p>
        </w:tc>
        <w:tc>
          <w:tcPr>
            <w:tcW w:w="56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tcPr>
          <w:p>
            <w:pPr>
              <w:ind w:left="4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r>
      <w:tr>
        <w:trPr>
          <w:trHeight w:val="149"/>
        </w:trPr>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Mark E. Bean</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149"/>
        </w:trPr>
        <w:tc>
          <w:tcPr>
            <w:tcW w:w="3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-Annual Incentive Plan(3)</w:t>
            </w:r>
          </w:p>
        </w:tc>
        <w:tc>
          <w:tcPr>
            <w:tcW w:w="80" w:type="dxa"/>
            <w:vAlign w:val="bottom"/>
            <w:shd w:val="clear" w:color="auto" w:fill="CCEEFF"/>
          </w:tcPr>
          <w:p>
            <w:pPr>
              <w:spacing w:after="0"/>
              <w:rPr>
                <w:sz w:val="12"/>
                <w:szCs w:val="12"/>
                <w:color w:val="auto"/>
              </w:rPr>
            </w:pPr>
          </w:p>
        </w:tc>
        <w:tc>
          <w:tcPr>
            <w:tcW w:w="11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4/29/09</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75,746</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94,682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142,023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r>
      <w:tr>
        <w:trPr>
          <w:trHeight w:val="149"/>
        </w:trPr>
        <w:tc>
          <w:tcPr>
            <w:tcW w:w="3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-LTIP(4)(5)</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4/29/09</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151,492</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189,364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284,047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r>
      <w:tr>
        <w:trPr>
          <w:trHeight w:val="149"/>
        </w:trPr>
        <w:tc>
          <w:tcPr>
            <w:tcW w:w="3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-Discretionary Stock Award</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5/13/09</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83"/>
              </w:rPr>
              <w:t>20,000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3"/>
              </w:rPr>
              <w:t>24,800</w:t>
            </w:r>
          </w:p>
        </w:tc>
      </w:tr>
      <w:tr>
        <w:trPr>
          <w:trHeight w:val="138"/>
        </w:trPr>
        <w:tc>
          <w:tcPr>
            <w:tcW w:w="3580" w:type="dxa"/>
            <w:vAlign w:val="bottom"/>
            <w:gridSpan w:val="2"/>
          </w:tcPr>
          <w:p>
            <w:pPr>
              <w:spacing w:after="0" w:line="138" w:lineRule="exact"/>
              <w:rPr>
                <w:sz w:val="20"/>
                <w:szCs w:val="20"/>
                <w:color w:val="auto"/>
              </w:rPr>
            </w:pPr>
            <w:r>
              <w:rPr>
                <w:rFonts w:ascii="Arial" w:cs="Arial" w:eastAsia="Arial" w:hAnsi="Arial"/>
                <w:sz w:val="14"/>
                <w:szCs w:val="14"/>
                <w:color w:val="auto"/>
              </w:rPr>
              <w:t>Henry J. Metscher</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3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-Annual Incentive Plan(3)</w:t>
            </w:r>
          </w:p>
        </w:tc>
        <w:tc>
          <w:tcPr>
            <w:tcW w:w="120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4/29/09</w:t>
            </w: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81,012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6"/>
              </w:rPr>
              <w:t>101,264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151,897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3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-LTIP(4)</w:t>
            </w:r>
          </w:p>
        </w:tc>
        <w:tc>
          <w:tcPr>
            <w:tcW w:w="120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4/29/09</w:t>
            </w: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162,023</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6"/>
              </w:rPr>
              <w:t>202,529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303,793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r>
      <w:tr>
        <w:trPr>
          <w:trHeight w:val="159"/>
        </w:trPr>
        <w:tc>
          <w:tcPr>
            <w:tcW w:w="35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-Discretionary Stock Award</w:t>
            </w:r>
          </w:p>
        </w:tc>
        <w:tc>
          <w:tcPr>
            <w:tcW w:w="600" w:type="dxa"/>
            <w:vAlign w:val="bottom"/>
            <w:gridSpan w:val="3"/>
          </w:tcPr>
          <w:p>
            <w:pPr>
              <w:jc w:val="right"/>
              <w:ind w:right="32"/>
              <w:spacing w:after="0" w:line="159" w:lineRule="exact"/>
              <w:rPr>
                <w:sz w:val="20"/>
                <w:szCs w:val="20"/>
                <w:color w:val="auto"/>
              </w:rPr>
            </w:pPr>
            <w:r>
              <w:rPr>
                <w:rFonts w:ascii="Arial" w:cs="Arial" w:eastAsia="Arial" w:hAnsi="Arial"/>
                <w:sz w:val="14"/>
                <w:szCs w:val="14"/>
                <w:color w:val="auto"/>
              </w:rPr>
              <w:t>5/13/09</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54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5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560" w:type="dxa"/>
            <w:vAlign w:val="bottom"/>
          </w:tcPr>
          <w:p>
            <w:pPr>
              <w:ind w:left="180"/>
              <w:spacing w:after="0" w:line="159" w:lineRule="exact"/>
              <w:rPr>
                <w:sz w:val="20"/>
                <w:szCs w:val="20"/>
                <w:color w:val="auto"/>
              </w:rPr>
            </w:pPr>
            <w:r>
              <w:rPr>
                <w:rFonts w:ascii="Arial" w:cs="Arial" w:eastAsia="Arial" w:hAnsi="Arial"/>
                <w:sz w:val="14"/>
                <w:szCs w:val="14"/>
                <w:color w:val="auto"/>
                <w:w w:val="83"/>
              </w:rPr>
              <w:t>20,000</w:t>
            </w:r>
          </w:p>
        </w:tc>
        <w:tc>
          <w:tcPr>
            <w:tcW w:w="100" w:type="dxa"/>
            <w:vAlign w:val="bottom"/>
          </w:tcPr>
          <w:p>
            <w:pPr>
              <w:spacing w:after="0"/>
              <w:rPr>
                <w:sz w:val="13"/>
                <w:szCs w:val="13"/>
                <w:color w:val="auto"/>
              </w:rPr>
            </w:pPr>
          </w:p>
        </w:tc>
        <w:tc>
          <w:tcPr>
            <w:tcW w:w="660" w:type="dxa"/>
            <w:vAlign w:val="bottom"/>
          </w:tcPr>
          <w:p>
            <w:pPr>
              <w:ind w:left="4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ind w:left="80"/>
              <w:spacing w:after="0" w:line="159" w:lineRule="exact"/>
              <w:rPr>
                <w:sz w:val="20"/>
                <w:szCs w:val="20"/>
                <w:color w:val="auto"/>
              </w:rPr>
            </w:pPr>
            <w:r>
              <w:rPr>
                <w:rFonts w:ascii="Arial" w:cs="Arial" w:eastAsia="Arial" w:hAnsi="Arial"/>
                <w:sz w:val="14"/>
                <w:szCs w:val="14"/>
                <w:color w:val="auto"/>
                <w:w w:val="83"/>
              </w:rPr>
              <w:t>24,800</w:t>
            </w:r>
          </w:p>
        </w:tc>
      </w:tr>
      <w:tr>
        <w:trPr>
          <w:trHeight w:val="149"/>
        </w:trPr>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149"/>
        </w:trPr>
        <w:tc>
          <w:tcPr>
            <w:tcW w:w="3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-Annual Incentive Plan(3)</w:t>
            </w:r>
          </w:p>
        </w:tc>
        <w:tc>
          <w:tcPr>
            <w:tcW w:w="80" w:type="dxa"/>
            <w:vAlign w:val="bottom"/>
            <w:shd w:val="clear" w:color="auto" w:fill="CCEEFF"/>
          </w:tcPr>
          <w:p>
            <w:pPr>
              <w:spacing w:after="0"/>
              <w:rPr>
                <w:sz w:val="12"/>
                <w:szCs w:val="12"/>
                <w:color w:val="auto"/>
              </w:rPr>
            </w:pPr>
          </w:p>
        </w:tc>
        <w:tc>
          <w:tcPr>
            <w:tcW w:w="11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4/29/09</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87,763</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109,703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164,555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r>
      <w:tr>
        <w:trPr>
          <w:trHeight w:val="149"/>
        </w:trPr>
        <w:tc>
          <w:tcPr>
            <w:tcW w:w="3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-LTIP(4)</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4/29/09</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131,644</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164,555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246,832</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43,881</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54,852</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82,277</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r>
      <w:tr>
        <w:trPr>
          <w:trHeight w:val="149"/>
        </w:trPr>
        <w:tc>
          <w:tcPr>
            <w:tcW w:w="3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-Discretionary Stock Award</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5/13/10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83"/>
              </w:rPr>
              <w:t>20,000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3"/>
              </w:rPr>
              <w:t>24,800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20" w:hanging="332"/>
        <w:spacing w:after="0" w:line="265"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LTIP is denominated in dollars, but at the irrevocable election of each participant, the award may be granted in cash, restricted stock, options or any combination thereof. Accordingly, the estimated possible payout of equity awards under the LTIP is based on potential dollar value of the award pursuant to each Named Executive Officer’s irrevocable election. The actual number of shares is determined on the grant date of the award based on the closing price of our common stock on that date. See footnote 4 for additional discussion.</w:t>
      </w:r>
    </w:p>
    <w:p>
      <w:pPr>
        <w:ind w:left="340" w:right="120" w:hanging="332"/>
        <w:spacing w:after="0" w:line="258"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On May 13, 2009, Messrs. Bean, Metscher and Molloy each received 20,000 shares of restricted stock which will vest ratably over three years. Accordingly, the first one-third vested on May 13, 2010. In accordance with FASB ASC Topic 718, the grant date fair value of each award equaled the closing price of our common stock on the date of grant multiplied by the number of shares granted.</w:t>
      </w:r>
    </w:p>
    <w:p>
      <w:pPr>
        <w:ind w:left="340" w:hanging="332"/>
        <w:spacing w:after="0" w:line="22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On April 29, 2009, the Compensation Committee approved the annual targets pursuant to our Annual Incentive Plan for fiscal 2009. The threshold, target and maximum payouts for each executive was estimated based on achieving 80%, 100% and 150% of the targets set by the Compensation Committee. On March 19, 2010, the Compensation Committee determined that the performance targets for fiscal 2009 had been achieved at the maximum payout of 150%. The respective cash payment to each of the Named Executive Officers is included in the Summary Compensation Table (and the supplemental Discretionary and Incentive-Based Awards Table) for fiscal 2009.</w:t>
      </w:r>
    </w:p>
    <w:p>
      <w:pPr>
        <w:spacing w:after="0" w:line="1" w:lineRule="exact"/>
        <w:rPr>
          <w:rFonts w:ascii="Arial" w:cs="Arial" w:eastAsia="Arial" w:hAnsi="Arial"/>
          <w:sz w:val="14"/>
          <w:szCs w:val="14"/>
          <w:color w:val="auto"/>
        </w:rPr>
      </w:pPr>
    </w:p>
    <w:p>
      <w:pPr>
        <w:ind w:left="340" w:right="60" w:hanging="332"/>
        <w:spacing w:after="0" w:line="22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On April 29, 2009, the Compensation Committee approved the annual targets pursuant to our LTIP for fiscal 2009. Payments under the LTIP are based on each participant’s irrevocable election which permits their respective awards to be payable in cash, restricted stock, options or a combination thereof. Messrs. Levin and Hernreich elected to receive 50% of any award in shares of restricted stock with the remaining 50% in cash. Messrs. Bean and Metscher elected to receive 100% of any award in cash and Mr. Molloy elected to receive 17% of any award in shares of restricted stock, 8% in stock options and 75% in cash. The estimated threshold, target and maximum payouts for each Named Executive Officer above was estimated based on those elections and on achieving 80%, 100% and 150% of the targets set by the Compensation Committee. On March 19, 2010, the Compensation Committee determined that the performance targets for fiscal 2009 had been achieved at a rate of 124.7%. Accordingly, the actual cash and equity payments awarded pursuant to the LTIP are included in the Summary Compensation Table (and the supplemental Discretionary and Incentive-Based Awards Table) for fiscal 2009.</w:t>
      </w:r>
    </w:p>
    <w:p>
      <w:pPr>
        <w:spacing w:after="0" w:line="2"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Because Mr. Bean’s employment was terminated prior to any vesting of the award, the full award of $236,138 was forfeited.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type w:val="continuous"/>
        </w:sectPr>
      </w:pPr>
    </w:p>
    <w:bookmarkStart w:id="32" w:name="page33"/>
    <w:bookmarkEnd w:id="32"/>
    <w:p>
      <w:pPr>
        <w:ind w:right="54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Outstanding Equity Awards at Fiscal Year-End. </w:t>
      </w:r>
      <w:r>
        <w:rPr>
          <w:rFonts w:ascii="Arial" w:cs="Arial" w:eastAsia="Arial" w:hAnsi="Arial"/>
          <w:sz w:val="18"/>
          <w:szCs w:val="18"/>
          <w:color w:val="auto"/>
        </w:rPr>
        <w:t>The following table sets forth certain information with respect to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 end of fiscal 2009.</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OUTSTANDING EQUITY AWARDS AT FISCAL YEAR-END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Incentive</w:t>
            </w:r>
          </w:p>
        </w:tc>
        <w:tc>
          <w:tcPr>
            <w:tcW w:w="6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Plan</w:t>
            </w:r>
          </w:p>
        </w:tc>
        <w:tc>
          <w:tcPr>
            <w:tcW w:w="7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Incentive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6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Number of</w:t>
            </w:r>
          </w:p>
        </w:tc>
        <w:tc>
          <w:tcPr>
            <w:tcW w:w="1220" w:type="dxa"/>
            <w:vAlign w:val="bottom"/>
            <w:gridSpan w:val="2"/>
            <w:vMerge w:val="restart"/>
          </w:tcPr>
          <w:p>
            <w:pPr>
              <w:jc w:val="center"/>
              <w:ind w:right="372"/>
              <w:spacing w:after="0"/>
              <w:rPr>
                <w:sz w:val="20"/>
                <w:szCs w:val="20"/>
                <w:color w:val="auto"/>
              </w:rPr>
            </w:pPr>
            <w:r>
              <w:rPr>
                <w:rFonts w:ascii="Arial" w:cs="Arial" w:eastAsia="Arial" w:hAnsi="Arial"/>
                <w:sz w:val="14"/>
                <w:szCs w:val="14"/>
                <w:b w:val="1"/>
                <w:bCs w:val="1"/>
                <w:color w:val="auto"/>
                <w:w w:val="88"/>
              </w:rPr>
              <w:t>Number of</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2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6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8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8"/>
                <w:szCs w:val="8"/>
                <w:color w:val="auto"/>
              </w:rPr>
            </w:pPr>
          </w:p>
        </w:tc>
        <w:tc>
          <w:tcPr>
            <w:tcW w:w="5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200" w:type="dxa"/>
            <w:vAlign w:val="bottom"/>
          </w:tcPr>
          <w:p>
            <w:pPr>
              <w:spacing w:after="0"/>
              <w:rPr>
                <w:sz w:val="8"/>
                <w:szCs w:val="8"/>
                <w:color w:val="auto"/>
              </w:rPr>
            </w:pPr>
          </w:p>
        </w:tc>
        <w:tc>
          <w:tcPr>
            <w:tcW w:w="9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Unearned</w:t>
            </w:r>
          </w:p>
        </w:tc>
        <w:tc>
          <w:tcPr>
            <w:tcW w:w="700" w:type="dxa"/>
            <w:vAlign w:val="bottom"/>
            <w:gridSpan w:val="3"/>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20" w:type="dxa"/>
            <w:vAlign w:val="bottom"/>
            <w:gridSpan w:val="2"/>
            <w:vMerge w:val="restart"/>
          </w:tcPr>
          <w:p>
            <w:pPr>
              <w:jc w:val="center"/>
              <w:ind w:right="352"/>
              <w:spacing w:after="0" w:line="149" w:lineRule="exact"/>
              <w:rPr>
                <w:sz w:val="20"/>
                <w:szCs w:val="20"/>
                <w:color w:val="auto"/>
              </w:rPr>
            </w:pPr>
            <w:r>
              <w:rPr>
                <w:rFonts w:ascii="Arial" w:cs="Arial" w:eastAsia="Arial" w:hAnsi="Arial"/>
                <w:sz w:val="14"/>
                <w:szCs w:val="14"/>
                <w:b w:val="1"/>
                <w:bCs w:val="1"/>
                <w:color w:val="auto"/>
                <w:w w:val="83"/>
              </w:rPr>
              <w:t>Securities</w:t>
            </w: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8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220" w:type="dxa"/>
            <w:vAlign w:val="bottom"/>
          </w:tcPr>
          <w:p>
            <w:pPr>
              <w:spacing w:after="0"/>
              <w:rPr>
                <w:sz w:val="8"/>
                <w:szCs w:val="8"/>
                <w:color w:val="auto"/>
              </w:rPr>
            </w:pPr>
          </w:p>
        </w:tc>
        <w:tc>
          <w:tcPr>
            <w:tcW w:w="5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200" w:type="dxa"/>
            <w:vAlign w:val="bottom"/>
          </w:tcPr>
          <w:p>
            <w:pPr>
              <w:spacing w:after="0"/>
              <w:rPr>
                <w:sz w:val="8"/>
                <w:szCs w:val="8"/>
                <w:color w:val="auto"/>
              </w:rPr>
            </w:pPr>
          </w:p>
        </w:tc>
        <w:tc>
          <w:tcPr>
            <w:tcW w:w="9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Shares,</w:t>
            </w:r>
          </w:p>
        </w:tc>
        <w:tc>
          <w:tcPr>
            <w:tcW w:w="60" w:type="dxa"/>
            <w:vAlign w:val="bottom"/>
          </w:tcPr>
          <w:p>
            <w:pPr>
              <w:spacing w:after="0"/>
              <w:rPr>
                <w:sz w:val="8"/>
                <w:szCs w:val="8"/>
                <w:color w:val="auto"/>
              </w:rPr>
            </w:pPr>
          </w:p>
        </w:tc>
        <w:tc>
          <w:tcPr>
            <w:tcW w:w="6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220" w:type="dxa"/>
            <w:vAlign w:val="bottom"/>
            <w:gridSpan w:val="2"/>
            <w:vMerge w:val="restart"/>
          </w:tcPr>
          <w:p>
            <w:pPr>
              <w:jc w:val="center"/>
              <w:ind w:right="352"/>
              <w:spacing w:after="0" w:line="149" w:lineRule="exact"/>
              <w:rPr>
                <w:sz w:val="20"/>
                <w:szCs w:val="20"/>
                <w:color w:val="auto"/>
              </w:rPr>
            </w:pPr>
            <w:r>
              <w:rPr>
                <w:rFonts w:ascii="Arial" w:cs="Arial" w:eastAsia="Arial" w:hAnsi="Arial"/>
                <w:sz w:val="14"/>
                <w:szCs w:val="14"/>
                <w:b w:val="1"/>
                <w:bCs w:val="1"/>
                <w:color w:val="auto"/>
                <w:w w:val="87"/>
              </w:rPr>
              <w:t>Underlying</w:t>
            </w: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8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220" w:type="dxa"/>
            <w:vAlign w:val="bottom"/>
          </w:tcPr>
          <w:p>
            <w:pPr>
              <w:spacing w:after="0"/>
              <w:rPr>
                <w:sz w:val="8"/>
                <w:szCs w:val="8"/>
                <w:color w:val="auto"/>
              </w:rPr>
            </w:pPr>
          </w:p>
        </w:tc>
        <w:tc>
          <w:tcPr>
            <w:tcW w:w="5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200" w:type="dxa"/>
            <w:vAlign w:val="bottom"/>
          </w:tcPr>
          <w:p>
            <w:pPr>
              <w:spacing w:after="0"/>
              <w:rPr>
                <w:sz w:val="8"/>
                <w:szCs w:val="8"/>
                <w:color w:val="auto"/>
              </w:rPr>
            </w:pPr>
          </w:p>
        </w:tc>
        <w:tc>
          <w:tcPr>
            <w:tcW w:w="9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Units or</w:t>
            </w:r>
          </w:p>
        </w:tc>
        <w:tc>
          <w:tcPr>
            <w:tcW w:w="60" w:type="dxa"/>
            <w:vAlign w:val="bottom"/>
          </w:tcPr>
          <w:p>
            <w:pPr>
              <w:spacing w:after="0"/>
              <w:rPr>
                <w:sz w:val="8"/>
                <w:szCs w:val="8"/>
                <w:color w:val="auto"/>
              </w:rPr>
            </w:pPr>
          </w:p>
        </w:tc>
        <w:tc>
          <w:tcPr>
            <w:tcW w:w="6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20" w:type="dxa"/>
            <w:vAlign w:val="bottom"/>
            <w:gridSpan w:val="2"/>
            <w:vMerge w:val="restart"/>
          </w:tcPr>
          <w:p>
            <w:pPr>
              <w:jc w:val="center"/>
              <w:ind w:right="37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8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restart"/>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8"/>
                <w:szCs w:val="8"/>
                <w:color w:val="auto"/>
              </w:rPr>
            </w:pPr>
          </w:p>
        </w:tc>
        <w:tc>
          <w:tcPr>
            <w:tcW w:w="9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8"/>
                <w:szCs w:val="8"/>
                <w:color w:val="auto"/>
              </w:rPr>
            </w:pPr>
          </w:p>
        </w:tc>
        <w:tc>
          <w:tcPr>
            <w:tcW w:w="6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Options</w:t>
            </w:r>
          </w:p>
        </w:tc>
        <w:tc>
          <w:tcPr>
            <w:tcW w:w="1220" w:type="dxa"/>
            <w:vAlign w:val="bottom"/>
            <w:gridSpan w:val="2"/>
            <w:vMerge w:val="restart"/>
          </w:tcPr>
          <w:p>
            <w:pPr>
              <w:jc w:val="center"/>
              <w:ind w:right="372"/>
              <w:spacing w:after="0" w:line="149" w:lineRule="exact"/>
              <w:rPr>
                <w:sz w:val="20"/>
                <w:szCs w:val="20"/>
                <w:color w:val="auto"/>
              </w:rPr>
            </w:pPr>
            <w:r>
              <w:rPr>
                <w:rFonts w:ascii="Arial" w:cs="Arial" w:eastAsia="Arial" w:hAnsi="Arial"/>
                <w:sz w:val="14"/>
                <w:szCs w:val="14"/>
                <w:b w:val="1"/>
                <w:bCs w:val="1"/>
                <w:color w:val="auto"/>
                <w:w w:val="86"/>
              </w:rPr>
              <w:t>Options</w:t>
            </w: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8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20" w:type="dxa"/>
            <w:vAlign w:val="bottom"/>
          </w:tcPr>
          <w:p>
            <w:pPr>
              <w:spacing w:after="0"/>
              <w:rPr>
                <w:sz w:val="8"/>
                <w:szCs w:val="8"/>
                <w:color w:val="auto"/>
              </w:rPr>
            </w:pPr>
          </w:p>
        </w:tc>
        <w:tc>
          <w:tcPr>
            <w:tcW w:w="4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restart"/>
          </w:tcPr>
          <w:p>
            <w:pPr>
              <w:jc w:val="center"/>
              <w:ind w:right="12"/>
              <w:spacing w:after="0" w:line="149" w:lineRule="exact"/>
              <w:rPr>
                <w:sz w:val="20"/>
                <w:szCs w:val="20"/>
                <w:color w:val="auto"/>
              </w:rPr>
            </w:pPr>
            <w:r>
              <w:rPr>
                <w:rFonts w:ascii="Arial" w:cs="Arial" w:eastAsia="Arial" w:hAnsi="Arial"/>
                <w:sz w:val="14"/>
                <w:szCs w:val="14"/>
                <w:b w:val="1"/>
                <w:bCs w:val="1"/>
                <w:color w:val="auto"/>
                <w:w w:val="94"/>
              </w:rPr>
              <w:t>That</w:t>
            </w:r>
          </w:p>
        </w:tc>
        <w:tc>
          <w:tcPr>
            <w:tcW w:w="200" w:type="dxa"/>
            <w:vAlign w:val="bottom"/>
          </w:tcPr>
          <w:p>
            <w:pPr>
              <w:spacing w:after="0"/>
              <w:rPr>
                <w:sz w:val="8"/>
                <w:szCs w:val="8"/>
                <w:color w:val="auto"/>
              </w:rPr>
            </w:pPr>
          </w:p>
        </w:tc>
        <w:tc>
          <w:tcPr>
            <w:tcW w:w="9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Rights That</w:t>
            </w:r>
          </w:p>
        </w:tc>
        <w:tc>
          <w:tcPr>
            <w:tcW w:w="700" w:type="dxa"/>
            <w:vAlign w:val="bottom"/>
            <w:gridSpan w:val="3"/>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Rights That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960" w:type="dxa"/>
            <w:vAlign w:val="bottom"/>
          </w:tcPr>
          <w:p>
            <w:pPr>
              <w:spacing w:after="0"/>
              <w:rPr>
                <w:sz w:val="4"/>
                <w:szCs w:val="4"/>
                <w:color w:val="auto"/>
              </w:rPr>
            </w:pPr>
          </w:p>
        </w:tc>
        <w:tc>
          <w:tcPr>
            <w:tcW w:w="940" w:type="dxa"/>
            <w:vAlign w:val="bottom"/>
            <w:gridSpan w:val="2"/>
            <w:vMerge w:val="restart"/>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4"/>
                <w:szCs w:val="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9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Unearned</w:t>
            </w:r>
          </w:p>
        </w:tc>
        <w:tc>
          <w:tcPr>
            <w:tcW w:w="120" w:type="dxa"/>
            <w:vAlign w:val="bottom"/>
          </w:tcPr>
          <w:p>
            <w:pPr>
              <w:spacing w:after="0"/>
              <w:rPr>
                <w:sz w:val="9"/>
                <w:szCs w:val="9"/>
                <w:color w:val="auto"/>
              </w:rPr>
            </w:pPr>
          </w:p>
        </w:tc>
        <w:tc>
          <w:tcPr>
            <w:tcW w:w="4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79"/>
              </w:rPr>
              <w:t>Exercise</w:t>
            </w:r>
          </w:p>
        </w:tc>
        <w:tc>
          <w:tcPr>
            <w:tcW w:w="220" w:type="dxa"/>
            <w:vAlign w:val="bottom"/>
          </w:tcPr>
          <w:p>
            <w:pPr>
              <w:spacing w:after="0"/>
              <w:rPr>
                <w:sz w:val="9"/>
                <w:szCs w:val="9"/>
                <w:color w:val="auto"/>
              </w:rPr>
            </w:pPr>
          </w:p>
        </w:tc>
        <w:tc>
          <w:tcPr>
            <w:tcW w:w="8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20" w:type="dxa"/>
            <w:vAlign w:val="bottom"/>
          </w:tcPr>
          <w:p>
            <w:pPr>
              <w:spacing w:after="0"/>
              <w:rPr>
                <w:sz w:val="9"/>
                <w:szCs w:val="9"/>
                <w:color w:val="auto"/>
              </w:rPr>
            </w:pPr>
          </w:p>
        </w:tc>
        <w:tc>
          <w:tcPr>
            <w:tcW w:w="5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00" w:type="dxa"/>
            <w:vAlign w:val="bottom"/>
          </w:tcPr>
          <w:p>
            <w:pPr>
              <w:spacing w:after="0"/>
              <w:rPr>
                <w:sz w:val="9"/>
                <w:szCs w:val="9"/>
                <w:color w:val="auto"/>
              </w:rPr>
            </w:pPr>
          </w:p>
        </w:tc>
        <w:tc>
          <w:tcPr>
            <w:tcW w:w="9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Have Not</w:t>
            </w:r>
          </w:p>
        </w:tc>
        <w:tc>
          <w:tcPr>
            <w:tcW w:w="60" w:type="dxa"/>
            <w:vAlign w:val="bottom"/>
          </w:tcPr>
          <w:p>
            <w:pPr>
              <w:spacing w:after="0"/>
              <w:rPr>
                <w:sz w:val="9"/>
                <w:szCs w:val="9"/>
                <w:color w:val="auto"/>
              </w:rPr>
            </w:pPr>
          </w:p>
        </w:tc>
        <w:tc>
          <w:tcPr>
            <w:tcW w:w="6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Options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2"/>
              </w:rPr>
              <w:t>Vested</w:t>
            </w:r>
          </w:p>
        </w:tc>
        <w:tc>
          <w:tcPr>
            <w:tcW w:w="2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Vested</w:t>
            </w: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Exercisable</w:t>
            </w:r>
          </w:p>
        </w:tc>
        <w:tc>
          <w:tcPr>
            <w:tcW w:w="1220" w:type="dxa"/>
            <w:vAlign w:val="bottom"/>
            <w:gridSpan w:val="2"/>
          </w:tcPr>
          <w:p>
            <w:pPr>
              <w:jc w:val="center"/>
              <w:ind w:right="352"/>
              <w:spacing w:after="0"/>
              <w:rPr>
                <w:sz w:val="20"/>
                <w:szCs w:val="20"/>
                <w:color w:val="auto"/>
              </w:rPr>
            </w:pPr>
            <w:r>
              <w:rPr>
                <w:rFonts w:ascii="Arial" w:cs="Arial" w:eastAsia="Arial" w:hAnsi="Arial"/>
                <w:sz w:val="14"/>
                <w:szCs w:val="14"/>
                <w:b w:val="1"/>
                <w:bCs w:val="1"/>
                <w:color w:val="auto"/>
                <w:w w:val="84"/>
              </w:rPr>
              <w:t>Unexercisable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Date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($)(3)</w:t>
            </w:r>
          </w:p>
        </w:tc>
        <w:tc>
          <w:tcPr>
            <w:tcW w:w="90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87"/>
              </w:rPr>
              <w:t>(#)(1)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David A. Levin</w:t>
            </w:r>
          </w:p>
        </w:tc>
        <w:tc>
          <w:tcPr>
            <w:tcW w:w="9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300,000</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12"/>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1.19</w:t>
            </w:r>
          </w:p>
        </w:tc>
        <w:tc>
          <w:tcPr>
            <w:tcW w:w="1060" w:type="dxa"/>
            <w:vAlign w:val="bottom"/>
            <w:gridSpan w:val="3"/>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3/30/2010</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5/25/2011</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5/01/2012</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7/01/2013</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5/24/2014</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152,434</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426,815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gridSpan w:val="3"/>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20" w:type="dxa"/>
            <w:vAlign w:val="bottom"/>
            <w:gridSpan w:val="2"/>
          </w:tcPr>
          <w:p>
            <w:pPr>
              <w:spacing w:after="0" w:line="138" w:lineRule="exact"/>
              <w:rPr>
                <w:sz w:val="20"/>
                <w:szCs w:val="20"/>
                <w:color w:val="auto"/>
              </w:rPr>
            </w:pPr>
            <w:r>
              <w:rPr>
                <w:rFonts w:ascii="Arial" w:cs="Arial" w:eastAsia="Arial" w:hAnsi="Arial"/>
                <w:sz w:val="14"/>
                <w:szCs w:val="14"/>
                <w:color w:val="auto"/>
              </w:rPr>
              <w:t>Dennis R. Hernreich</w:t>
            </w:r>
          </w:p>
        </w:tc>
        <w:tc>
          <w:tcPr>
            <w:tcW w:w="2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10,000</w:t>
            </w:r>
          </w:p>
        </w:tc>
        <w:tc>
          <w:tcPr>
            <w:tcW w:w="22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gridSpan w:val="2"/>
          </w:tcPr>
          <w:p>
            <w:pPr>
              <w:ind w:left="120"/>
              <w:spacing w:after="0" w:line="138"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38" w:lineRule="exact"/>
              <w:rPr>
                <w:sz w:val="20"/>
                <w:szCs w:val="20"/>
                <w:color w:val="auto"/>
              </w:rPr>
            </w:pPr>
            <w:r>
              <w:rPr>
                <w:rFonts w:ascii="Arial" w:cs="Arial" w:eastAsia="Arial" w:hAnsi="Arial"/>
                <w:sz w:val="14"/>
                <w:szCs w:val="14"/>
                <w:color w:val="auto"/>
              </w:rPr>
              <w:t>2.38</w:t>
            </w:r>
          </w:p>
        </w:tc>
        <w:tc>
          <w:tcPr>
            <w:tcW w:w="106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11/27/2010</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1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2,511</w:t>
            </w:r>
          </w:p>
        </w:tc>
        <w:tc>
          <w:tcPr>
            <w:tcW w:w="122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4.58</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5/01/2012</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55,040</w:t>
            </w:r>
          </w:p>
        </w:tc>
        <w:tc>
          <w:tcPr>
            <w:tcW w:w="220" w:type="dxa"/>
            <w:vAlign w:val="bottom"/>
          </w:tcPr>
          <w:p>
            <w:pPr>
              <w:spacing w:after="0"/>
              <w:rPr>
                <w:sz w:val="12"/>
                <w:szCs w:val="12"/>
                <w:color w:val="auto"/>
              </w:rPr>
            </w:pPr>
          </w:p>
        </w:tc>
        <w:tc>
          <w:tcPr>
            <w:tcW w:w="122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5.01</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7/01/2013</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43,975</w:t>
            </w:r>
          </w:p>
        </w:tc>
        <w:tc>
          <w:tcPr>
            <w:tcW w:w="220" w:type="dxa"/>
            <w:vAlign w:val="bottom"/>
          </w:tcPr>
          <w:p>
            <w:pPr>
              <w:spacing w:after="0"/>
              <w:rPr>
                <w:sz w:val="12"/>
                <w:szCs w:val="12"/>
                <w:color w:val="auto"/>
              </w:rPr>
            </w:pPr>
          </w:p>
        </w:tc>
        <w:tc>
          <w:tcPr>
            <w:tcW w:w="122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5/24/2014</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240,000(4)</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4.54</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5/1/2012</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92"/>
              <w:spacing w:after="0"/>
              <w:rPr>
                <w:sz w:val="20"/>
                <w:szCs w:val="20"/>
                <w:color w:val="auto"/>
              </w:rPr>
            </w:pPr>
            <w:r>
              <w:rPr>
                <w:rFonts w:ascii="Arial" w:cs="Arial" w:eastAsia="Arial" w:hAnsi="Arial"/>
                <w:sz w:val="14"/>
                <w:szCs w:val="14"/>
                <w:color w:val="auto"/>
              </w:rPr>
              <w:t>160,000(4)</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4.55</w:t>
            </w:r>
          </w:p>
        </w:tc>
        <w:tc>
          <w:tcPr>
            <w:tcW w:w="1060" w:type="dxa"/>
            <w:vAlign w:val="bottom"/>
            <w:gridSpan w:val="3"/>
          </w:tcPr>
          <w:p>
            <w:pPr>
              <w:jc w:val="right"/>
              <w:ind w:right="220"/>
              <w:spacing w:after="0"/>
              <w:rPr>
                <w:sz w:val="20"/>
                <w:szCs w:val="20"/>
                <w:color w:val="auto"/>
              </w:rPr>
            </w:pPr>
            <w:r>
              <w:rPr>
                <w:rFonts w:ascii="Arial" w:cs="Arial" w:eastAsia="Arial" w:hAnsi="Arial"/>
                <w:sz w:val="14"/>
                <w:szCs w:val="14"/>
                <w:color w:val="auto"/>
              </w:rPr>
              <w:t>5/6/2012</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gridSpan w:val="3"/>
            <w:vMerge w:val="restart"/>
          </w:tcPr>
          <w:p>
            <w:pPr>
              <w:jc w:val="right"/>
              <w:ind w:right="220"/>
              <w:spacing w:after="0"/>
              <w:rPr>
                <w:sz w:val="20"/>
                <w:szCs w:val="20"/>
                <w:color w:val="auto"/>
              </w:rPr>
            </w:pPr>
            <w:r>
              <w:rPr>
                <w:rFonts w:ascii="Arial" w:cs="Arial" w:eastAsia="Arial" w:hAnsi="Arial"/>
                <w:sz w:val="14"/>
                <w:szCs w:val="14"/>
                <w:color w:val="auto"/>
              </w:rPr>
              <w:t>116,866</w:t>
            </w: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327,225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Mark E. Bean</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8/22/2012</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10.15</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3/29/2014</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6,667</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3,333(5)</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7.52</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10/22/2017</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56,000</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Henry J. Metscher</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6,667</w:t>
            </w:r>
          </w:p>
        </w:tc>
        <w:tc>
          <w:tcPr>
            <w:tcW w:w="220" w:type="dxa"/>
            <w:vAlign w:val="bottom"/>
          </w:tcPr>
          <w:p>
            <w:pPr>
              <w:spacing w:after="0"/>
              <w:rPr>
                <w:sz w:val="12"/>
                <w:szCs w:val="12"/>
                <w:color w:val="auto"/>
              </w:rPr>
            </w:pPr>
          </w:p>
        </w:tc>
        <w:tc>
          <w:tcPr>
            <w:tcW w:w="122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3,333(5)</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7.52</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10/22/2017</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56,000</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3,333</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6,667(6)</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2/8/2018</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56,000</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20,606</w:t>
            </w:r>
          </w:p>
        </w:tc>
        <w:tc>
          <w:tcPr>
            <w:tcW w:w="2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3/19/2020</w:t>
            </w:r>
          </w:p>
        </w:tc>
        <w:tc>
          <w:tcPr>
            <w:tcW w:w="640" w:type="dxa"/>
            <w:vAlign w:val="bottom"/>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1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14,250</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1060" w:type="dxa"/>
            <w:vAlign w:val="bottom"/>
            <w:gridSpan w:val="3"/>
            <w:vMerge w:val="continue"/>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gridSpan w:val="3"/>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20" w:hanging="332"/>
        <w:spacing w:after="0" w:line="261" w:lineRule="auto"/>
        <w:tabs>
          <w:tab w:leader="none" w:pos="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While these options and shares were not actually outstanding at the end of fiscal 2009, in connection with the payout under our LTIP for fiscal 2009, on March 19, 2010 Messrs. Levin, Hernreich and Molloy were each granted options and/or shares of restricted stock in accordance with their respective irrevocable elections. Each award vests in three tranches, based on the executive’s election, with the first tranche vesting on March 19, 2011. Accordingly, Mr. Levin elected to receive 50% of each tranche in shares of restricted stock; therefore, one-third of his award will vest each year with the first one-third vesting on March 19, 2011. Mr. Hernreich elected to receive 50% of his second tranche and 100% of his third tranche in shares of restricted stock; therefore, one-third of his award will vest on the second anniversary of the date of grant, March 19, 2012 and the remaining two-thirds will vest on the third anniversary of the date of grant, March 19, 2013. Mr. Molloy elected to receive 25% of the first tranche in stock options and 25% of the second and third tranches in shares of restricted stock; therefore, the 20,606 stock options will fully vest on the first anniversary of the date of grant, March 19, 2011 and 50% of the 14,250 shares of restricted stock will vest on March 19, 2012 with the remaining 50% vesting on March 19, 2013.</w:t>
      </w:r>
    </w:p>
    <w:p>
      <w:pPr>
        <w:spacing w:after="0" w:line="1" w:lineRule="exact"/>
        <w:rPr>
          <w:rFonts w:ascii="Arial" w:cs="Arial" w:eastAsia="Arial" w:hAnsi="Arial"/>
          <w:sz w:val="12"/>
          <w:szCs w:val="12"/>
          <w:color w:val="auto"/>
        </w:rPr>
      </w:pPr>
    </w:p>
    <w:p>
      <w:pPr>
        <w:ind w:left="340" w:right="220" w:hanging="332"/>
        <w:spacing w:after="0" w:line="22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These shares of restricted stock were granted on May 13, 2009 and vest ratably over three years with the first one-third vesting on May 13, 2010. Due to his employment termination, Mr. Bean forfeited 13,334 unvested shares.</w:t>
      </w:r>
    </w:p>
    <w:p>
      <w:pPr>
        <w:ind w:left="340" w:hanging="332"/>
        <w:spacing w:after="0" w:line="22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value of shares was calculated using the closing price of our common stock of $2.80 on January 29, 2010.</w:t>
      </w:r>
    </w:p>
    <w:p>
      <w:pPr>
        <w:ind w:left="340" w:hanging="332"/>
        <w:spacing w:after="0" w:line="22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These options fully vest on May 1, 2011 and May 6, 2011, respectively.</w:t>
      </w:r>
    </w:p>
    <w:p>
      <w:pPr>
        <w:ind w:left="340" w:right="140" w:hanging="332"/>
        <w:spacing w:after="0" w:line="22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These options vest ratably over three years, commencing on October 22, 2008, the one-year anniversary from the date of grant. Due to his employment termination, Mr. Bean forfeited the 3,333 unvested shares.</w:t>
      </w: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These options vest ratably over three years, commencing on February 8, 2009, the one-year anniversary from the date of grant.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3" w:name="page34"/>
    <w:bookmarkEnd w:id="33"/>
    <w:p>
      <w:pPr>
        <w:ind w:right="340"/>
        <w:spacing w:after="0" w:line="27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Exercises and Stock Vested Table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information for the Named Executive Officers with respect to the exercise of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during fiscal 2009.</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OPTION EXERCISES AND STOCK VESTED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98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w w:val="98"/>
              </w:rPr>
              <w:t>Option Awards</w:t>
            </w:r>
          </w:p>
        </w:tc>
        <w:tc>
          <w:tcPr>
            <w:tcW w:w="860" w:type="dxa"/>
            <w:vAlign w:val="bottom"/>
            <w:tcBorders>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rPr>
              <w:t>Stock Awards</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980" w:type="dxa"/>
            <w:vAlign w:val="bottom"/>
            <w:gridSpan w:val="2"/>
          </w:tcPr>
          <w:p>
            <w:pPr>
              <w:jc w:val="center"/>
              <w:ind w:right="90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80" w:type="dxa"/>
            <w:vAlign w:val="bottom"/>
            <w:gridSpan w:val="2"/>
          </w:tcPr>
          <w:p>
            <w:pPr>
              <w:jc w:val="center"/>
              <w:ind w:right="920"/>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9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Value Realized</w:t>
            </w:r>
          </w:p>
        </w:tc>
        <w:tc>
          <w:tcPr>
            <w:tcW w:w="19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49"/>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9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3"/>
              </w:rPr>
              <w:t>Exercise</w:t>
            </w:r>
          </w:p>
        </w:tc>
        <w:tc>
          <w:tcPr>
            <w:tcW w:w="17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on Exercise</w:t>
            </w:r>
          </w:p>
        </w:tc>
        <w:tc>
          <w:tcPr>
            <w:tcW w:w="19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2"/>
              </w:rPr>
              <w:t>Vesting</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48"/>
        </w:trPr>
        <w:tc>
          <w:tcPr>
            <w:tcW w:w="4820" w:type="dxa"/>
            <w:vAlign w:val="bottom"/>
            <w:gridSpan w:val="3"/>
            <w:vMerge w:val="continue"/>
          </w:tcPr>
          <w:p>
            <w:pPr>
              <w:spacing w:after="0"/>
              <w:rPr>
                <w:sz w:val="12"/>
                <w:szCs w:val="12"/>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920" w:type="dxa"/>
            <w:vAlign w:val="bottom"/>
          </w:tcPr>
          <w:p>
            <w:pPr>
              <w:spacing w:after="0"/>
              <w:rPr>
                <w:sz w:val="12"/>
                <w:szCs w:val="12"/>
                <w:color w:val="auto"/>
              </w:rPr>
            </w:pPr>
          </w:p>
        </w:tc>
        <w:tc>
          <w:tcPr>
            <w:tcW w:w="860" w:type="dxa"/>
            <w:vAlign w:val="bottom"/>
          </w:tcPr>
          <w:p>
            <w:pPr>
              <w:jc w:val="right"/>
              <w:ind w:right="260"/>
              <w:spacing w:after="0" w:line="148" w:lineRule="exact"/>
              <w:rPr>
                <w:sz w:val="20"/>
                <w:szCs w:val="20"/>
                <w:color w:val="auto"/>
              </w:rPr>
            </w:pPr>
            <w:r>
              <w:rPr>
                <w:rFonts w:ascii="Arial" w:cs="Arial" w:eastAsia="Arial" w:hAnsi="Arial"/>
                <w:sz w:val="14"/>
                <w:szCs w:val="14"/>
                <w:b w:val="1"/>
                <w:bCs w:val="1"/>
                <w:color w:val="auto"/>
              </w:rPr>
              <w:t>($)</w:t>
            </w:r>
          </w:p>
        </w:tc>
        <w:tc>
          <w:tcPr>
            <w:tcW w:w="920" w:type="dxa"/>
            <w:vAlign w:val="bottom"/>
          </w:tcPr>
          <w:p>
            <w:pPr>
              <w:spacing w:after="0"/>
              <w:rPr>
                <w:sz w:val="12"/>
                <w:szCs w:val="12"/>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92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10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3"/>
              </w:rPr>
              <w:t>75,000</w:t>
            </w:r>
          </w:p>
        </w:tc>
        <w:tc>
          <w:tcPr>
            <w:tcW w:w="9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w w:val="93"/>
              </w:rPr>
              <w:t>$   183,188</w:t>
            </w:r>
          </w:p>
        </w:tc>
        <w:tc>
          <w:tcPr>
            <w:tcW w:w="1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1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E. Bean</w:t>
            </w:r>
          </w:p>
        </w:tc>
        <w:tc>
          <w:tcPr>
            <w:tcW w:w="1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Henry J. Metscher</w:t>
            </w:r>
          </w:p>
        </w:tc>
        <w:tc>
          <w:tcPr>
            <w:tcW w:w="1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1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fair market value of the common stock on the date of exercise.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part of the Casual Male acquisition, we assumed Casual Male Corp.’s obligations under its Pension Plan and its Supplemental Plan. The following table shows the aggregate annual benefits payable under both the Pension Plan and Supplemental Plan to persons in specified compensation and years of service classifications, based on a straight line annuity form of retirement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Average of Highest Five Years of Compensation</w:t>
            </w:r>
          </w:p>
        </w:tc>
        <w:tc>
          <w:tcPr>
            <w:tcW w:w="50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0"/>
              </w:rPr>
              <w:t>Representative Years of Service</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40" w:type="dxa"/>
            <w:vAlign w:val="bottom"/>
            <w:gridSpan w:val="3"/>
            <w:vMerge w:val="continue"/>
          </w:tcPr>
          <w:p>
            <w:pPr>
              <w:spacing w:after="0"/>
              <w:rPr>
                <w:sz w:val="12"/>
                <w:szCs w:val="12"/>
                <w:color w:val="auto"/>
              </w:rPr>
            </w:pPr>
          </w:p>
        </w:tc>
        <w:tc>
          <w:tcPr>
            <w:tcW w:w="5040" w:type="dxa"/>
            <w:vAlign w:val="bottom"/>
          </w:tcPr>
          <w:p>
            <w:pPr>
              <w:spacing w:after="0"/>
              <w:rPr>
                <w:sz w:val="12"/>
                <w:szCs w:val="12"/>
                <w:color w:val="auto"/>
              </w:rPr>
            </w:pPr>
          </w:p>
        </w:tc>
        <w:tc>
          <w:tcPr>
            <w:tcW w:w="7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10yrs</w:t>
            </w:r>
          </w:p>
        </w:tc>
        <w:tc>
          <w:tcPr>
            <w:tcW w:w="520" w:type="dxa"/>
            <w:vAlign w:val="bottom"/>
          </w:tcPr>
          <w:p>
            <w:pPr>
              <w:spacing w:after="0"/>
              <w:rPr>
                <w:sz w:val="12"/>
                <w:szCs w:val="12"/>
                <w:color w:val="auto"/>
              </w:rPr>
            </w:pPr>
          </w:p>
        </w:tc>
        <w:tc>
          <w:tcPr>
            <w:tcW w:w="12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20yrs</w:t>
            </w:r>
          </w:p>
        </w:tc>
        <w:tc>
          <w:tcPr>
            <w:tcW w:w="10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30yrs (maximum)</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88"/>
              </w:rPr>
              <w:t>$ 50,000</w:t>
            </w:r>
          </w:p>
        </w:tc>
        <w:tc>
          <w:tcPr>
            <w:tcW w:w="178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$ 4,977</w:t>
            </w:r>
          </w:p>
        </w:tc>
        <w:tc>
          <w:tcPr>
            <w:tcW w:w="1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$ 9,953</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w w:val="95"/>
              </w:rPr>
              <w:t>100,000</w:t>
            </w:r>
          </w:p>
        </w:tc>
        <w:tc>
          <w:tcPr>
            <w:tcW w:w="1780" w:type="dxa"/>
            <w:vAlign w:val="bottom"/>
          </w:tcPr>
          <w:p>
            <w:pPr>
              <w:spacing w:after="0"/>
              <w:rPr>
                <w:sz w:val="18"/>
                <w:szCs w:val="18"/>
                <w:color w:val="auto"/>
              </w:rPr>
            </w:pPr>
          </w:p>
        </w:tc>
        <w:tc>
          <w:tcPr>
            <w:tcW w:w="5740" w:type="dxa"/>
            <w:vAlign w:val="bottom"/>
            <w:gridSpan w:val="3"/>
          </w:tcPr>
          <w:p>
            <w:pPr>
              <w:jc w:val="right"/>
              <w:ind w:right="100"/>
              <w:spacing w:after="0"/>
              <w:rPr>
                <w:sz w:val="20"/>
                <w:szCs w:val="20"/>
                <w:color w:val="auto"/>
              </w:rPr>
            </w:pPr>
            <w:r>
              <w:rPr>
                <w:rFonts w:ascii="Arial" w:cs="Arial" w:eastAsia="Arial" w:hAnsi="Arial"/>
                <w:sz w:val="18"/>
                <w:szCs w:val="18"/>
                <w:color w:val="auto"/>
              </w:rPr>
              <w:t>11,977</w:t>
            </w:r>
          </w:p>
        </w:tc>
        <w:tc>
          <w:tcPr>
            <w:tcW w:w="1720" w:type="dxa"/>
            <w:vAlign w:val="bottom"/>
            <w:gridSpan w:val="3"/>
          </w:tcPr>
          <w:p>
            <w:pPr>
              <w:jc w:val="right"/>
              <w:ind w:right="620"/>
              <w:spacing w:after="0"/>
              <w:rPr>
                <w:sz w:val="20"/>
                <w:szCs w:val="20"/>
                <w:color w:val="auto"/>
              </w:rPr>
            </w:pPr>
            <w:r>
              <w:rPr>
                <w:rFonts w:ascii="Arial" w:cs="Arial" w:eastAsia="Arial" w:hAnsi="Arial"/>
                <w:sz w:val="18"/>
                <w:szCs w:val="18"/>
                <w:color w:val="auto"/>
              </w:rPr>
              <w:t>23,953</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5"/>
              </w:rPr>
              <w:t>150,000</w:t>
            </w:r>
          </w:p>
        </w:tc>
        <w:tc>
          <w:tcPr>
            <w:tcW w:w="1780" w:type="dxa"/>
            <w:vAlign w:val="bottom"/>
            <w:shd w:val="clear" w:color="auto" w:fill="CCEEFF"/>
          </w:tcPr>
          <w:p>
            <w:pPr>
              <w:spacing w:after="0"/>
              <w:rPr>
                <w:sz w:val="18"/>
                <w:szCs w:val="18"/>
                <w:color w:val="auto"/>
              </w:rPr>
            </w:pPr>
          </w:p>
        </w:tc>
        <w:tc>
          <w:tcPr>
            <w:tcW w:w="5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18,977</w:t>
            </w: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37,953</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w w:val="95"/>
              </w:rPr>
              <w:t>200,000</w:t>
            </w:r>
          </w:p>
        </w:tc>
        <w:tc>
          <w:tcPr>
            <w:tcW w:w="1780" w:type="dxa"/>
            <w:vAlign w:val="bottom"/>
          </w:tcPr>
          <w:p>
            <w:pPr>
              <w:spacing w:after="0"/>
              <w:rPr>
                <w:sz w:val="18"/>
                <w:szCs w:val="18"/>
                <w:color w:val="auto"/>
              </w:rPr>
            </w:pPr>
          </w:p>
        </w:tc>
        <w:tc>
          <w:tcPr>
            <w:tcW w:w="5740" w:type="dxa"/>
            <w:vAlign w:val="bottom"/>
            <w:gridSpan w:val="3"/>
          </w:tcPr>
          <w:p>
            <w:pPr>
              <w:jc w:val="right"/>
              <w:ind w:right="100"/>
              <w:spacing w:after="0"/>
              <w:rPr>
                <w:sz w:val="20"/>
                <w:szCs w:val="20"/>
                <w:color w:val="auto"/>
              </w:rPr>
            </w:pPr>
            <w:r>
              <w:rPr>
                <w:rFonts w:ascii="Arial" w:cs="Arial" w:eastAsia="Arial" w:hAnsi="Arial"/>
                <w:sz w:val="18"/>
                <w:szCs w:val="18"/>
                <w:color w:val="auto"/>
              </w:rPr>
              <w:t>25,977</w:t>
            </w:r>
          </w:p>
        </w:tc>
        <w:tc>
          <w:tcPr>
            <w:tcW w:w="1720" w:type="dxa"/>
            <w:vAlign w:val="bottom"/>
            <w:gridSpan w:val="3"/>
          </w:tcPr>
          <w:p>
            <w:pPr>
              <w:jc w:val="right"/>
              <w:ind w:right="620"/>
              <w:spacing w:after="0"/>
              <w:rPr>
                <w:sz w:val="20"/>
                <w:szCs w:val="20"/>
                <w:color w:val="auto"/>
              </w:rPr>
            </w:pPr>
            <w:r>
              <w:rPr>
                <w:rFonts w:ascii="Arial" w:cs="Arial" w:eastAsia="Arial" w:hAnsi="Arial"/>
                <w:sz w:val="18"/>
                <w:szCs w:val="18"/>
                <w:color w:val="auto"/>
              </w:rPr>
              <w:t>51,953</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250,000*</w:t>
            </w:r>
          </w:p>
        </w:tc>
        <w:tc>
          <w:tcPr>
            <w:tcW w:w="1780" w:type="dxa"/>
            <w:vAlign w:val="bottom"/>
            <w:shd w:val="clear" w:color="auto" w:fill="CCEEFF"/>
          </w:tcPr>
          <w:p>
            <w:pPr>
              <w:spacing w:after="0"/>
              <w:rPr>
                <w:sz w:val="18"/>
                <w:szCs w:val="18"/>
                <w:color w:val="auto"/>
              </w:rPr>
            </w:pPr>
          </w:p>
        </w:tc>
        <w:tc>
          <w:tcPr>
            <w:tcW w:w="5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32,977</w:t>
            </w: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65,953</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Arial" w:cs="Arial" w:eastAsia="Arial" w:hAnsi="Arial"/>
                <w:sz w:val="18"/>
                <w:szCs w:val="18"/>
                <w:color w:val="auto"/>
                <w:w w:val="99"/>
              </w:rPr>
              <w:t>267,326*</w:t>
            </w:r>
          </w:p>
        </w:tc>
        <w:tc>
          <w:tcPr>
            <w:tcW w:w="1780" w:type="dxa"/>
            <w:vAlign w:val="bottom"/>
          </w:tcPr>
          <w:p>
            <w:pPr>
              <w:spacing w:after="0"/>
              <w:rPr>
                <w:sz w:val="18"/>
                <w:szCs w:val="18"/>
                <w:color w:val="auto"/>
              </w:rPr>
            </w:pPr>
          </w:p>
        </w:tc>
        <w:tc>
          <w:tcPr>
            <w:tcW w:w="5740" w:type="dxa"/>
            <w:vAlign w:val="bottom"/>
            <w:gridSpan w:val="3"/>
          </w:tcPr>
          <w:p>
            <w:pPr>
              <w:jc w:val="right"/>
              <w:ind w:right="100"/>
              <w:spacing w:after="0"/>
              <w:rPr>
                <w:sz w:val="20"/>
                <w:szCs w:val="20"/>
                <w:color w:val="auto"/>
              </w:rPr>
            </w:pPr>
            <w:r>
              <w:rPr>
                <w:rFonts w:ascii="Arial" w:cs="Arial" w:eastAsia="Arial" w:hAnsi="Arial"/>
                <w:sz w:val="18"/>
                <w:szCs w:val="18"/>
                <w:color w:val="auto"/>
              </w:rPr>
              <w:t>35,402</w:t>
            </w:r>
          </w:p>
        </w:tc>
        <w:tc>
          <w:tcPr>
            <w:tcW w:w="1720" w:type="dxa"/>
            <w:vAlign w:val="bottom"/>
            <w:gridSpan w:val="3"/>
          </w:tcPr>
          <w:p>
            <w:pPr>
              <w:jc w:val="right"/>
              <w:ind w:right="620"/>
              <w:spacing w:after="0"/>
              <w:rPr>
                <w:sz w:val="20"/>
                <w:szCs w:val="20"/>
                <w:color w:val="auto"/>
              </w:rPr>
            </w:pPr>
            <w:r>
              <w:rPr>
                <w:rFonts w:ascii="Arial" w:cs="Arial" w:eastAsia="Arial" w:hAnsi="Arial"/>
                <w:sz w:val="18"/>
                <w:szCs w:val="18"/>
                <w:color w:val="auto"/>
              </w:rPr>
              <w:t>70,805</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300,000*</w:t>
            </w:r>
          </w:p>
        </w:tc>
        <w:tc>
          <w:tcPr>
            <w:tcW w:w="1780" w:type="dxa"/>
            <w:vAlign w:val="bottom"/>
            <w:shd w:val="clear" w:color="auto" w:fill="CCEEFF"/>
          </w:tcPr>
          <w:p>
            <w:pPr>
              <w:spacing w:after="0"/>
              <w:rPr>
                <w:sz w:val="18"/>
                <w:szCs w:val="18"/>
                <w:color w:val="auto"/>
              </w:rPr>
            </w:pPr>
          </w:p>
        </w:tc>
        <w:tc>
          <w:tcPr>
            <w:tcW w:w="5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39,977</w:t>
            </w: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79,953</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50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maximum compensation that may be used as of December 31, 1998 to calculate benefits under the Pension and Supplemental Plans is $267,326.</w:t>
      </w:r>
    </w:p>
    <w:p>
      <w:pPr>
        <w:spacing w:after="0" w:line="18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December 1993, Casual Male Corp. established the Supplemental Plan to provide benefits attributable to compensation in excess of the qualified plan limit, which was $160,000 but less than $267,326. The benefits provided by the Pension Plan and the Supplemental Plan are equal to (i) the sum of 0.75% of the executive’s highest consecutive five year average annual compensation plus 0.65% of the excess of the executive’s highest consecutive five year average annual compensation over the average of the Social Security taxable wage bases, multiplied by (ii) the executive’s years of “benefit service” with Casual Male Corp. (not to exceed 30 years). Effective February 1, 1995, compensation for such purposes was defined as all compensation reported on Form W-2 (excluding such items as bonus and stock options) up to a maximum of $267,326 for the calendar year ended December 31, 1998. Annual benefits are payable under the Pension Plan and Supplemental Plan for retirees at age 65, prior to the offset, if any, for benefits accrued under the retirement plan of Casual Male Corp. and for Social Security benefits.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On May 3, 1997, Casual Male Corp.’s board of directors voted to amend the Pension Plan to cease all benefits accruals under the Pension Plan as of that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Effective December 31, 1998, the Casual Male Corp.’s board of directors voted to cease all benefit accruals under its Supplemental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PENSION BENEFITS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Pension Plan was acquired by us as part of the acquisition of Casual Male Corp., at which time the plan had previously been frozen (see description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were participants in the plan and, therefore, have no accumulated benefits.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NON-QUALIFIED DEFERRED COMPENSATION TABLE</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sets forth summary information with respect to each of the Named Executive Officers regarding contributions to our Non-Qualified Deferred Compensation Plan in fiscal 2009. The plan was amended on December31, 2008 to freeze future contributions to the plan. The plan was terminated and funds were distributed to each of the participants in fiscal 2009.</w:t>
      </w:r>
    </w:p>
    <w:p>
      <w:pPr>
        <w:spacing w:after="0" w:line="12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a description of the Non-Qualified Deferred Compensation Plan, see “</w:t>
      </w:r>
      <w:r>
        <w:rPr>
          <w:rFonts w:ascii="Arial" w:cs="Arial" w:eastAsia="Arial" w:hAnsi="Arial"/>
          <w:sz w:val="18"/>
          <w:szCs w:val="18"/>
          <w:i w:val="1"/>
          <w:iCs w:val="1"/>
          <w:color w:val="auto"/>
        </w:rPr>
        <w:t>Compensation Discussion and Analysis—Components of Executive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Non-Qualified Deferred Compensation Plan</w:t>
      </w:r>
      <w:r>
        <w:rPr>
          <w:rFonts w:ascii="Arial" w:cs="Arial" w:eastAsia="Arial" w:hAnsi="Arial"/>
          <w:sz w:val="18"/>
          <w:szCs w:val="18"/>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Executive</w:t>
            </w:r>
          </w:p>
        </w:tc>
        <w:tc>
          <w:tcPr>
            <w:tcW w:w="7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Registrant</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Aggregate</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1"/>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7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Earnings</w:t>
            </w:r>
          </w:p>
        </w:tc>
        <w:tc>
          <w:tcPr>
            <w:tcW w:w="36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Aggregate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 Last Fiscal</w:t>
            </w:r>
          </w:p>
        </w:tc>
        <w:tc>
          <w:tcPr>
            <w:tcW w:w="7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Last Fiscal</w:t>
            </w:r>
          </w:p>
        </w:tc>
        <w:tc>
          <w:tcPr>
            <w:tcW w:w="680" w:type="dxa"/>
            <w:vAlign w:val="bottom"/>
          </w:tcPr>
          <w:p>
            <w:pPr>
              <w:spacing w:after="0"/>
              <w:rPr>
                <w:sz w:val="12"/>
                <w:szCs w:val="12"/>
                <w:color w:val="auto"/>
              </w:rPr>
            </w:pPr>
          </w:p>
        </w:tc>
        <w:tc>
          <w:tcPr>
            <w:tcW w:w="12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in Last Fiscal</w:t>
            </w:r>
          </w:p>
        </w:tc>
        <w:tc>
          <w:tcPr>
            <w:tcW w:w="36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Withdrawals</w:t>
            </w:r>
          </w:p>
        </w:tc>
        <w:tc>
          <w:tcPr>
            <w:tcW w:w="3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At Last 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7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Year</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Year</w:t>
            </w:r>
          </w:p>
        </w:tc>
        <w:tc>
          <w:tcPr>
            <w:tcW w:w="3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/Distributions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7"/>
              </w:rPr>
              <w:t>Year-End</w:t>
            </w:r>
          </w:p>
        </w:tc>
        <w:tc>
          <w:tcPr>
            <w:tcW w:w="0" w:type="dxa"/>
            <w:vAlign w:val="bottom"/>
          </w:tcPr>
          <w:p>
            <w:pPr>
              <w:spacing w:after="0"/>
              <w:rPr>
                <w:sz w:val="1"/>
                <w:szCs w:val="1"/>
                <w:color w:val="auto"/>
              </w:rPr>
            </w:pPr>
          </w:p>
        </w:tc>
      </w:tr>
      <w:tr>
        <w:trPr>
          <w:trHeight w:val="161"/>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520" w:type="dxa"/>
            <w:vAlign w:val="bottom"/>
            <w:gridSpan w:val="2"/>
          </w:tcPr>
          <w:p>
            <w:pPr>
              <w:jc w:val="center"/>
              <w:ind w:left="632"/>
              <w:spacing w:after="0"/>
              <w:rPr>
                <w:sz w:val="20"/>
                <w:szCs w:val="20"/>
                <w:color w:val="auto"/>
              </w:rPr>
            </w:pPr>
            <w:r>
              <w:rPr>
                <w:rFonts w:ascii="Arial" w:cs="Arial" w:eastAsia="Arial" w:hAnsi="Arial"/>
                <w:sz w:val="14"/>
                <w:szCs w:val="14"/>
                <w:b w:val="1"/>
                <w:bCs w:val="1"/>
                <w:color w:val="auto"/>
                <w:w w:val="81"/>
              </w:rPr>
              <w:t>($)</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1160" w:type="dxa"/>
            <w:vAlign w:val="bottom"/>
            <w:gridSpan w:val="2"/>
          </w:tcPr>
          <w:p>
            <w:pPr>
              <w:jc w:val="center"/>
              <w:ind w:left="282"/>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(742)</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(11,551)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E. Bean</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Henry J. Metscher</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COMPENSATION PLAN INFORMATION</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summary of information with respect to our equity compensation plans as of January 30, 2010: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040" w:type="dxa"/>
            <w:vAlign w:val="bottom"/>
          </w:tcPr>
          <w:p>
            <w:pPr>
              <w:spacing w:after="0"/>
              <w:rPr>
                <w:sz w:val="12"/>
                <w:szCs w:val="12"/>
                <w:color w:val="auto"/>
              </w:rPr>
            </w:pPr>
          </w:p>
        </w:tc>
        <w:tc>
          <w:tcPr>
            <w:tcW w:w="23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5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040" w:type="dxa"/>
            <w:vAlign w:val="bottom"/>
          </w:tcPr>
          <w:p>
            <w:pPr>
              <w:spacing w:after="0"/>
              <w:rPr>
                <w:sz w:val="12"/>
                <w:szCs w:val="12"/>
                <w:color w:val="auto"/>
              </w:rPr>
            </w:pPr>
          </w:p>
        </w:tc>
        <w:tc>
          <w:tcPr>
            <w:tcW w:w="23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040" w:type="dxa"/>
            <w:vAlign w:val="bottom"/>
          </w:tcPr>
          <w:p>
            <w:pPr>
              <w:spacing w:after="0"/>
              <w:rPr>
                <w:sz w:val="12"/>
                <w:szCs w:val="12"/>
                <w:color w:val="auto"/>
              </w:rPr>
            </w:pPr>
          </w:p>
        </w:tc>
        <w:tc>
          <w:tcPr>
            <w:tcW w:w="23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52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1040" w:type="dxa"/>
            <w:vAlign w:val="bottom"/>
          </w:tcPr>
          <w:p>
            <w:pPr>
              <w:spacing w:after="0"/>
              <w:rPr>
                <w:sz w:val="12"/>
                <w:szCs w:val="12"/>
                <w:color w:val="auto"/>
              </w:rPr>
            </w:pPr>
          </w:p>
        </w:tc>
        <w:tc>
          <w:tcPr>
            <w:tcW w:w="23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8"/>
              </w:rPr>
              <w:t>and rights</w:t>
            </w:r>
          </w:p>
        </w:tc>
        <w:tc>
          <w:tcPr>
            <w:tcW w:w="1040" w:type="dxa"/>
            <w:vAlign w:val="bottom"/>
          </w:tcPr>
          <w:p>
            <w:pPr>
              <w:spacing w:after="0"/>
              <w:rPr>
                <w:sz w:val="12"/>
                <w:szCs w:val="12"/>
                <w:color w:val="auto"/>
              </w:rPr>
            </w:pPr>
          </w:p>
        </w:tc>
        <w:tc>
          <w:tcPr>
            <w:tcW w:w="23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reflected in column (a))(2)</w:t>
            </w:r>
          </w:p>
        </w:tc>
        <w:tc>
          <w:tcPr>
            <w:tcW w:w="0" w:type="dxa"/>
            <w:vAlign w:val="bottom"/>
          </w:tcPr>
          <w:p>
            <w:pPr>
              <w:spacing w:after="0"/>
              <w:rPr>
                <w:sz w:val="1"/>
                <w:szCs w:val="1"/>
                <w:color w:val="auto"/>
              </w:rPr>
            </w:pPr>
          </w:p>
        </w:tc>
      </w:tr>
      <w:tr>
        <w:trPr>
          <w:trHeight w:val="161"/>
        </w:trPr>
        <w:tc>
          <w:tcPr>
            <w:tcW w:w="446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0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(a)</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(b)</w:t>
            </w:r>
          </w:p>
        </w:tc>
        <w:tc>
          <w:tcPr>
            <w:tcW w:w="1040" w:type="dxa"/>
            <w:vAlign w:val="bottom"/>
          </w:tcPr>
          <w:p>
            <w:pPr>
              <w:spacing w:after="0"/>
              <w:rPr>
                <w:sz w:val="14"/>
                <w:szCs w:val="14"/>
                <w:color w:val="auto"/>
              </w:rPr>
            </w:pPr>
          </w:p>
        </w:tc>
        <w:tc>
          <w:tcPr>
            <w:tcW w:w="23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w:t>
            </w:r>
          </w:p>
        </w:tc>
        <w:tc>
          <w:tcPr>
            <w:tcW w:w="1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security holders(1)</w:t>
            </w:r>
          </w:p>
        </w:tc>
        <w:tc>
          <w:tcPr>
            <w:tcW w:w="2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2,669,425</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3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1,881,387(3),(4),(5)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w:t>
            </w:r>
          </w:p>
        </w:tc>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3"/>
          </w:tcPr>
          <w:p>
            <w:pPr>
              <w:ind w:left="200"/>
              <w:spacing w:after="0"/>
              <w:rPr>
                <w:sz w:val="20"/>
                <w:szCs w:val="20"/>
                <w:color w:val="auto"/>
              </w:rPr>
            </w:pPr>
            <w:r>
              <w:rPr>
                <w:rFonts w:ascii="Arial" w:cs="Arial" w:eastAsia="Arial" w:hAnsi="Arial"/>
                <w:sz w:val="18"/>
                <w:szCs w:val="18"/>
                <w:color w:val="auto"/>
              </w:rPr>
              <w:t>security holders(2)</w:t>
            </w:r>
          </w:p>
        </w:tc>
        <w:tc>
          <w:tcPr>
            <w:tcW w:w="1520" w:type="dxa"/>
            <w:vAlign w:val="bottom"/>
          </w:tcPr>
          <w:p>
            <w:pPr>
              <w:jc w:val="right"/>
              <w:spacing w:after="0"/>
              <w:rPr>
                <w:sz w:val="20"/>
                <w:szCs w:val="20"/>
                <w:color w:val="auto"/>
              </w:rPr>
            </w:pPr>
            <w:r>
              <w:rPr>
                <w:rFonts w:ascii="Arial" w:cs="Arial" w:eastAsia="Arial" w:hAnsi="Arial"/>
                <w:sz w:val="18"/>
                <w:szCs w:val="18"/>
                <w:color w:val="auto"/>
              </w:rPr>
              <w:t>985,000</w:t>
            </w:r>
          </w:p>
        </w:tc>
        <w:tc>
          <w:tcPr>
            <w:tcW w:w="520" w:type="dxa"/>
            <w:vAlign w:val="bottom"/>
          </w:tcPr>
          <w:p>
            <w:pPr>
              <w:spacing w:after="0"/>
              <w:rPr>
                <w:sz w:val="19"/>
                <w:szCs w:val="19"/>
                <w:color w:val="auto"/>
              </w:rPr>
            </w:pP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3.03</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3,654,425</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3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2,131,387(3),(4),(5)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2"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fiscal 2009, we had one stockholder-approved equity compensation plan, our 2006 Plan. Pursuant to the 2006 Plan, at January 30, 2010, we had a total of 3.3 million shares authorized for issuance of which 1.9 million shares remained available for future issuances. At January 30, 2010, we had 670,000 options outstanding. We also had 1,999,425 options still outstanding as part of our 1992 Stock Incentive Plan (the “1992 Plan”). No further grants can be made under the 1992 Plan.</w:t>
      </w:r>
    </w:p>
    <w:p>
      <w:pPr>
        <w:spacing w:after="0" w:line="1" w:lineRule="exact"/>
        <w:rPr>
          <w:rFonts w:ascii="Arial" w:cs="Arial" w:eastAsia="Arial" w:hAnsi="Arial"/>
          <w:sz w:val="18"/>
          <w:szCs w:val="18"/>
          <w:color w:val="auto"/>
        </w:rPr>
      </w:pPr>
    </w:p>
    <w:p>
      <w:pPr>
        <w:ind w:left="460" w:hanging="452"/>
        <w:spacing w:after="0" w:line="25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Prior to 2006, our Board of Directors and the Compensation Committee had the reasonable discretion to issue shares outside of the 1992 Plan, subject to the rules of Nasdaq. These outstanding options to purchase up to 985,000 shares of our common stock, with exercise prices ranging from $1.19 to $5.01 per share, were granted between fiscal 1999 and fiscal 2003. These options represent grants to consultants and also options granted to our executives that were in excess of our plans’ annual maximums during those fiscal years. At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5" w:name="page36"/>
    <w:bookmarkEnd w:id="35"/>
    <w:p>
      <w:pPr>
        <w:ind w:left="460" w:right="5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January 30, 2010, all of these options were exercisable. In addition, pursuant to our Fiscal 2010 Non-Employee Director Stock Plan, we have a total 250,000 shares available for stock issuances in lieu of cash director fees, of which all remained available at January 30, 2010.</w:t>
      </w:r>
    </w:p>
    <w:p>
      <w:pPr>
        <w:ind w:left="460" w:right="380" w:hanging="452"/>
        <w:spacing w:after="0" w:line="300" w:lineRule="auto"/>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Our 2006 Plan includes a limitation of 1,250,000 shares that may be issued in the form of restricted stock, deferred stock, performance awards or other stock-based awards. At January 30, 2010, 551,387 shares remained subject to this limitation. Subsequent to January 30, 2010, on March 19, 2010, we granted a total of 283,550 shares of unvested restricted stock to certain members of our executive group in connection with achieving targets under our LTIP for fiscal 2009. On June 15, 2010, we granted a total of 25,000 shares of unvested restricted stock to two new members of the management team.</w:t>
      </w:r>
    </w:p>
    <w:p>
      <w:pPr>
        <w:spacing w:after="0" w:line="1" w:lineRule="exact"/>
        <w:rPr>
          <w:rFonts w:ascii="Arial" w:cs="Arial" w:eastAsia="Arial" w:hAnsi="Arial"/>
          <w:sz w:val="15"/>
          <w:szCs w:val="15"/>
          <w:color w:val="auto"/>
        </w:rPr>
      </w:pPr>
    </w:p>
    <w:p>
      <w:pPr>
        <w:ind w:left="460" w:right="30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Subsequent to January 30, 2010, on March 31, 2010, the Compensation Committee granted an option to purchase 347,556 shares of common stock to Mr. Levin. On May 3, 2010, in connection with Mr. Kyees initial appointment to the Board, we granted an option to purchase 15,000 shares of common stock to Mr. Kyees.</w:t>
      </w:r>
    </w:p>
    <w:p>
      <w:pPr>
        <w:spacing w:after="0" w:line="1"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table excludes the additional 2,500,000 shares that would be available for issuance under the 2006 Plan if Proposal 2 is approved by stockholders at the Annual Meeting.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Plans</w:t>
      </w:r>
    </w:p>
    <w:p>
      <w:pPr>
        <w:spacing w:after="0" w:line="8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two defined contribution plans, the Casual Male Retail Group, Inc. 401(k) Salaried Savings Plan and the Casual Male Retail Group, Inc. 401(k) Hourly Savings Plan (the “401(k) Plans”). The 401(k) Plans cover all eligible employees who are at least 21 years of age and have completed the required months of service, which is six months for the 401(k) Salaried Savings Plan or 1000 hours or twelve months for the 401(k) Hourly Savings Plan. Effective January 1, 2008, we adopted the safe harbor matching and vesting provisions permitted under the Pension Protection Act of 2006 for its 401(k) Plans. Accordingly, beginning in fiscal 2008, we matched 100% of the first 1% of deferred compensation and 50% of the next 5% (with a maximum contribution of 3.5% of eligible compensation).</w:t>
      </w:r>
    </w:p>
    <w:p>
      <w:pPr>
        <w:spacing w:after="0" w:line="13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May 2009, in connection with our cost reduction initiatives, we ceased any further employer contributions to the 401(k) Plans, effective May 31, 2009. As a result of that action, we are no longer within the safe harbor provisions under the Pension Protection Act of 2006); accordingly, should highly-compensated individuals elect to defer the maximum amount allowable under the 401(k) Plans, they will be subject to a return of the excess deferred compensation upon completion of year-end discrimination testing.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have key man life insurance policies on the lives of Messrs. Levin and Hernreich, each in the amount of $2,000,000.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Seymour Holtzman/Jewelcor Management, Inc.</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During fiscal 2009, Seymour Holtzman, our Chairman of the Board of Directors, was compensated by us both directly (as an employee of our Company) and indirectly (as the president and chief executive officer and, together with his wife, indirectly, the majority shareholder of JMI). A complete summary of all compensation and consulting fees paid to Mr. Holtzman is described above under </w:t>
      </w:r>
      <w:r>
        <w:rPr>
          <w:rFonts w:ascii="Arial" w:cs="Arial" w:eastAsia="Arial" w:hAnsi="Arial"/>
          <w:sz w:val="18"/>
          <w:szCs w:val="18"/>
          <w:i w:val="1"/>
          <w:iCs w:val="1"/>
          <w:color w:val="auto"/>
        </w:rPr>
        <w:t>“Corporate Governance—2009 Director Compensation Table”</w:t>
      </w:r>
      <w:r>
        <w:rPr>
          <w:rFonts w:ascii="Arial" w:cs="Arial" w:eastAsia="Arial" w:hAnsi="Arial"/>
          <w:sz w:val="18"/>
          <w:szCs w:val="18"/>
          <w:color w:val="auto"/>
        </w:rPr>
        <w:t xml:space="preserve"> and </w:t>
      </w:r>
      <w:r>
        <w:rPr>
          <w:rFonts w:ascii="Arial" w:cs="Arial" w:eastAsia="Arial" w:hAnsi="Arial"/>
          <w:sz w:val="18"/>
          <w:szCs w:val="18"/>
          <w:i w:val="1"/>
          <w:iCs w:val="1"/>
          <w:color w:val="auto"/>
        </w:rPr>
        <w:t>“Chairman</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 The Reporting Persons are required to furnish us with copies of all Section 16(a) reports they file. Based solely upon a review of Forms 3, 4 and 5 and amendments thereto furnished to us during fiscal 2009, we believe that the current Reporting Persons complied with all applicable Section 16(a) reporting requirements and that all required reports were filed in a timely manner.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6" w:name="page37"/>
    <w:bookmarkEnd w:id="36"/>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an amendment to our 2006 Incentive Compensation Plan to:</w:t>
      </w:r>
    </w:p>
    <w:p>
      <w:pPr>
        <w:spacing w:after="0" w:line="77" w:lineRule="exact"/>
        <w:rPr>
          <w:sz w:val="20"/>
          <w:szCs w:val="20"/>
          <w:color w:val="auto"/>
        </w:rPr>
      </w:pPr>
    </w:p>
    <w:p>
      <w:pPr>
        <w:ind w:left="780" w:right="180" w:hanging="326"/>
        <w:spacing w:after="0" w:line="275" w:lineRule="auto"/>
        <w:tabs>
          <w:tab w:leader="none" w:pos="7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increase the number of shares of common stock authorized for issuance under the plan by 2,500,000 (currently only 1,209,664 shares remain available);</w:t>
      </w:r>
    </w:p>
    <w:p>
      <w:pPr>
        <w:spacing w:after="0" w:line="25" w:lineRule="exact"/>
        <w:rPr>
          <w:rFonts w:ascii="Arial" w:cs="Arial" w:eastAsia="Arial" w:hAnsi="Arial"/>
          <w:sz w:val="18"/>
          <w:szCs w:val="18"/>
          <w:b w:val="1"/>
          <w:bCs w:val="1"/>
          <w:color w:val="auto"/>
        </w:rPr>
      </w:pPr>
    </w:p>
    <w:p>
      <w:pPr>
        <w:ind w:left="780" w:right="220" w:hanging="326"/>
        <w:spacing w:after="0" w:line="325" w:lineRule="auto"/>
        <w:tabs>
          <w:tab w:leader="none" w:pos="78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as a sub-limit under the plan, increase the maximum number of those shares that may be subject to the granting of awards other than stock options and stock appreciation rights by 2,500,000 (currently only 259,503 shares remain available);</w:t>
      </w:r>
    </w:p>
    <w:p>
      <w:pPr>
        <w:spacing w:after="0" w:line="1" w:lineRule="exact"/>
        <w:rPr>
          <w:rFonts w:ascii="Arial" w:cs="Arial" w:eastAsia="Arial" w:hAnsi="Arial"/>
          <w:sz w:val="16"/>
          <w:szCs w:val="16"/>
          <w:b w:val="1"/>
          <w:bCs w:val="1"/>
          <w:color w:val="auto"/>
        </w:rPr>
      </w:pPr>
    </w:p>
    <w:p>
      <w:pPr>
        <w:ind w:left="780" w:hanging="326"/>
        <w:spacing w:after="0"/>
        <w:tabs>
          <w:tab w:leader="none" w:pos="7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clarify and revise certain other provisions as described herein.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8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At the recommendation of our Compensation Committee, we are seeking stockholder approval of an amendment to our 2006 Incentive Compensation Plan (the “2006 Plan”) to (i) increase the number of shares of common stock authorized for issuance by 2,500,000 from 3,250,000 to 5,750,000 shares (currently only 1,209,664 shares remain available), (ii) as a sub-limit under the plan, increase the maximum number of those shares that may be subject to the granting of awards other than stock options and stock appreciation rights by 2,500,000 from 1,250,000 to 3,750,000 (currently only 259,503 shares remain available) and (iii) clarify and revise certain other provisions as described herein.</w:t>
      </w:r>
    </w:p>
    <w:p>
      <w:pPr>
        <w:spacing w:after="0" w:line="10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Increase in number of shares authorized for issuance under the 2006 Plan and increase in maximum number of shares that may be subject to the granting of awards other than stock options and stock appreciation rights</w:t>
      </w:r>
    </w:p>
    <w:p>
      <w:pPr>
        <w:spacing w:after="0" w:line="3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Of the 3,250,000 shares of common stock currently authorized for issuance in connection with grants made under the plan, only 1,209,664 shares remain available for future grants or awards as of June 15, 2010. Furthermore, of the 3,250,000 shares of common stock currently authorized, there is a limit of 1,250,000 shares that are available for awards other than stock options and stock appreciation rights, or SARs. As of June 15, 2010, only 259,503 shares remain available for awards other than stock options and stock appreciation rights, such as restricted stock. While some additional shares may become available under the plan through employee terminations, the number is not expected to be substantial. Currently, management is hindered from receiving stock options or restricted stock due to the lack of available shares under the 2006 Plan. Even though the amount of stock options and restricted stock is not sufficient, on June 15, 2010, the Compensation Committee will require that all participants in our Long-Term Incentive Plan, or LTIP, through their irrevocable elections, elect to receive at least 50% of any LTIP award in equity, through either shares of restricted stock and/or stock options. The Committee adopted this amendment to ensure that the senior management of our Company is more closely aligned with our stockholders.</w:t>
      </w:r>
    </w:p>
    <w:p>
      <w:pPr>
        <w:spacing w:after="0" w:line="10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recommend approval of this amendment in order for us to continue to provide a source of equity to attract, motivate, retain and reward high-quality executives and other key employees, officers, directors and consultants. Our 2006 Plan is our only shareholder-approved plan and therefore it is important that we are able to maintain a sufficient number of shares under this plan to meet our long-term incentive goals for our management team. We do not believe that there will be enough shares currently available under the 2006 Plan to satisfy our equity compensation needs beyond fiscal 2010. Furthermore, we may not have sufficient shares to satisfy the equity component of potential payouts under our LTIP for fiscal 2010. See “Executive Compensation—Compensation Discussion and Analysis—Components of Executive Compensation—Long-term performance based plans” for a description of the LTIP. We believe that in order to ensure that our LTIP is able to provide a strong equity component to our management team’s overall total compensation packages, we need additional shares available under the 2006 Plan.</w:t>
      </w:r>
    </w:p>
    <w:p>
      <w:pPr>
        <w:spacing w:after="0" w:line="10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noted above, as of June 15, 2010, only 259,503 shares remain available for awards other than stock options and SARs, such as restricted stock awards. As a result, we have only a very limited number of shares of restricted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7" w:name="page38"/>
    <w:bookmarkEnd w:id="37"/>
    <w:p>
      <w:pPr>
        <w:ind w:right="28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with which to fulfill elections made by our participants pursuant to the LTIP. Furthermore, as discussed above, for fiscal 2010, the Compensation Committee will require that 50% of a participant’s award, if earned under the LTIP, be paid in restricted stock and/or options. As with the proposed increase in overall shares available under the 2006 Plan, we believe that in order to ensure that our LTIP is able to provide a strong equity component to our management team’s overall total compensation packages, we need additional shares available for awards other than stock options and SARs, such as restricted stock.</w:t>
      </w:r>
    </w:p>
    <w:p>
      <w:pPr>
        <w:spacing w:after="0" w:line="8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If the amendment is not approved by our stockholders, we may experience a shortfall of shares available for issuance under our LTIP that could adversely affect our ability to attract, motivate, retain or reward our management team who contribute to our long term success.</w:t>
      </w:r>
    </w:p>
    <w:p>
      <w:pPr>
        <w:spacing w:after="0" w:line="11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increase of 2,500,000 shares of our common stock available for grant under the 2006 Plan will result in additional potential dilution of our outstanding stock. Based solely on the closing price of our common stock as reported on Nasdaq on June 1, 2010 of $3.51 per share, the maximum aggregate market value of the additional 2,500,000 shares of our common stock to be reserved for issuance under the plan would be approximately $8.8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Clarifications and certain other revisions</w:t>
      </w:r>
    </w:p>
    <w:p>
      <w:pPr>
        <w:spacing w:after="0" w:line="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Based on informal discussions with a leading proxy advisory firm, we also propose to make the following clarifications and revisions in connection with this amendment:</w:t>
      </w:r>
    </w:p>
    <w:p>
      <w:pPr>
        <w:spacing w:after="0" w:line="37"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strengthening the language that prohibits repricings and certain exchanges of options and SARs (see Section 6(b)(i) and Section 6(c)(i));</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clarifying that options and SARs can never exceed the maximum 10-year term (see Section 6(b)(ii) and Section 6(c)(ii));</w:t>
      </w:r>
    </w:p>
    <w:p>
      <w:pPr>
        <w:spacing w:after="0" w:line="103" w:lineRule="exact"/>
        <w:rPr>
          <w:rFonts w:ascii="Arial" w:cs="Arial" w:eastAsia="Arial" w:hAnsi="Arial"/>
          <w:sz w:val="18"/>
          <w:szCs w:val="18"/>
          <w:color w:val="auto"/>
        </w:rPr>
      </w:pPr>
    </w:p>
    <w:p>
      <w:pPr>
        <w:ind w:left="780" w:hanging="326"/>
        <w:spacing w:after="0" w:line="325" w:lineRule="auto"/>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definitively stating that dividend equivalents will not be paid in connection with the grant of a performance award until such time as the Committee has certified that the performance goals with respect to such performance award have been achieved (see Section 6(g)); and</w:t>
      </w:r>
    </w:p>
    <w:p>
      <w:pPr>
        <w:spacing w:after="0" w:line="1" w:lineRule="exact"/>
        <w:rPr>
          <w:rFonts w:ascii="Arial" w:cs="Arial" w:eastAsia="Arial" w:hAnsi="Arial"/>
          <w:sz w:val="16"/>
          <w:szCs w:val="16"/>
          <w:color w:val="auto"/>
        </w:rPr>
      </w:pPr>
    </w:p>
    <w:p>
      <w:pPr>
        <w:ind w:left="780" w:right="10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clarifying that, to the extent shares are withheld to satisfy a participant’s tax obligations, the cash payment made to satisfy such obligations shall equal the value of the shares withheld from the participant (see Section 10(d)).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We also propose to make the following additional clarifications and revisions:</w:t>
      </w:r>
    </w:p>
    <w:p>
      <w:pPr>
        <w:spacing w:after="0" w:line="77" w:lineRule="exact"/>
        <w:rPr>
          <w:sz w:val="20"/>
          <w:szCs w:val="20"/>
          <w:color w:val="auto"/>
        </w:rPr>
      </w:pPr>
    </w:p>
    <w:p>
      <w:pPr>
        <w:ind w:left="780" w:right="960" w:hanging="326"/>
        <w:spacing w:after="0" w:line="268"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updating the provision relating to Section 409A of the Code to ensure that awards that may be treated as deferred compensation subject to Section 409A comply with the requirements of Section 409A (see Section 7(e));</w:t>
      </w:r>
    </w:p>
    <w:p>
      <w:pPr>
        <w:spacing w:after="0" w:line="37"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order to avoid unintentional financial accounting expenses, clarifying the adjustments that must occur in the event of an “equity restructuring” (see Section 10(c)(i));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clarifying what it means for an award to be considered “assumed or substituted for” in the event of a “change in control” (see Section 10(c)(ii)(B)).</w:t>
      </w:r>
    </w:p>
    <w:p>
      <w:pPr>
        <w:spacing w:after="0" w:line="208"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As the changes set forth in the bullet points above do not require stockholder approval, the Board reserves the right to make any such changes even if this proposal is not approved by the stockholders.</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Following Proposal 3 below, which also relates to the 2006 Plan, is a summary of certain principal features of the 2006 Plan, reflecting the proposed amendments described in Proposal 2 and Proposal 3. This summary is qualified in its entirety by reference to the complete text of the 2006 Plan. Stockholders are urged to read the actual text of the 2006 Plan in its entirety which is set forth as </w:t>
      </w:r>
      <w:r>
        <w:rPr>
          <w:rFonts w:ascii="Arial" w:cs="Arial" w:eastAsia="Arial" w:hAnsi="Arial"/>
          <w:sz w:val="18"/>
          <w:szCs w:val="18"/>
          <w:i w:val="1"/>
          <w:iCs w:val="1"/>
          <w:color w:val="auto"/>
        </w:rPr>
        <w:t>Appendix A</w:t>
      </w:r>
      <w:r>
        <w:rPr>
          <w:rFonts w:ascii="Arial" w:cs="Arial" w:eastAsia="Arial" w:hAnsi="Arial"/>
          <w:sz w:val="18"/>
          <w:szCs w:val="18"/>
          <w:color w:val="auto"/>
        </w:rPr>
        <w:t xml:space="preserve"> to this Proxy Statement (proposed additions are shown as bold and double-underlined text and proposed deletions are shown as strike-throughs).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 Plan Benefits</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 grants have been made with respect to additional shares of common stock to be reserved for issuance under the 2006 Plan. In addition, the number of shares of common stock that may be granted to executive officers, directors and all employees including non-executive officers is indeterminable at this time, as such grants generally are subject to the discretion of the Committee. However, as described above, in connection with our Fiscal 2010 LTIP, if we achieve certain EBITDA and operating margin percent targets, and the participants elect to receive their awards under the plan in stock options or shares of restricted stock, we may be required to issue such equity awards under the 2006 Plan. Because we cannot predict if and when such targets will be achieved or what the allocation of the awards will be between cash, stock options and/or restricted shares, and because the number of stock options and restricted shares ultimately issued will depend on the fair market value of our common stock at the time of grant, we cannot predict the actual number of shares, if any, that may be issued under the LTIP.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affirmative vote of a majority of the votes properly cast is required for approval and adoption of this proposed amendment to the 2006 Plan. Any abstentions and broker non-votes will not be counted as votes cast on this proposal and, accordingly, will have no effect.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83" w:lineRule="exact"/>
        <w:rPr>
          <w:sz w:val="20"/>
          <w:szCs w:val="20"/>
          <w:color w:val="auto"/>
        </w:rPr>
      </w:pPr>
    </w:p>
    <w:p>
      <w:pPr>
        <w:jc w:val="both"/>
        <w:ind w:right="680"/>
        <w:spacing w:after="0" w:line="259" w:lineRule="auto"/>
        <w:rPr>
          <w:sz w:val="20"/>
          <w:szCs w:val="20"/>
          <w:color w:val="auto"/>
        </w:rPr>
      </w:pPr>
      <w:r>
        <w:rPr>
          <w:rFonts w:ascii="Arial" w:cs="Arial" w:eastAsia="Arial" w:hAnsi="Arial"/>
          <w:sz w:val="18"/>
          <w:szCs w:val="18"/>
          <w:color w:val="auto"/>
        </w:rPr>
        <w:t xml:space="preserve">We believe that the future success of our Company depends, in large part, upon our ability to maintain a competitive position in attracting, retaining and motivating key personnel. </w:t>
      </w:r>
      <w:r>
        <w:rPr>
          <w:rFonts w:ascii="Arial" w:cs="Arial" w:eastAsia="Arial" w:hAnsi="Arial"/>
          <w:sz w:val="18"/>
          <w:szCs w:val="18"/>
          <w:b w:val="1"/>
          <w:bCs w:val="1"/>
          <w:color w:val="auto"/>
        </w:rPr>
        <w:t>Accordingly, the Board of Directors believes adoption of this amendment to the 2006 Plan is in the best interests of our</w:t>
      </w:r>
      <w:r>
        <w:rPr>
          <w:rFonts w:ascii="Arial" w:cs="Arial" w:eastAsia="Arial" w:hAnsi="Arial"/>
          <w:sz w:val="18"/>
          <w:szCs w:val="18"/>
          <w:color w:val="auto"/>
        </w:rPr>
        <w:t xml:space="preserve"> </w:t>
      </w:r>
      <w:r>
        <w:rPr>
          <w:rFonts w:ascii="Arial" w:cs="Arial" w:eastAsia="Arial" w:hAnsi="Arial"/>
          <w:sz w:val="18"/>
          <w:szCs w:val="18"/>
          <w:b w:val="1"/>
          <w:bCs w:val="1"/>
          <w:color w:val="auto"/>
        </w:rPr>
        <w:t>Company and its stockholders and recommends a vote “FOR” Proposal 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39" w:name="page40"/>
    <w:bookmarkEnd w:id="39"/>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order to preserve tax deductibility under Section 162(m) of the Internal Revenue Code:</w:t>
      </w:r>
    </w:p>
    <w:p>
      <w:pPr>
        <w:spacing w:after="0" w:line="77" w:lineRule="exact"/>
        <w:rPr>
          <w:sz w:val="20"/>
          <w:szCs w:val="20"/>
          <w:color w:val="auto"/>
        </w:rPr>
      </w:pPr>
    </w:p>
    <w:p>
      <w:pPr>
        <w:ind w:left="780" w:right="20" w:hanging="326"/>
        <w:spacing w:after="0" w:line="262" w:lineRule="auto"/>
        <w:tabs>
          <w:tab w:leader="none" w:pos="7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to reapprove the material terms of the 2006 Incentive Compensation Plan, which include the employees eligible to receive compensation under the plan, and the business criteria on which performance goals for compensation intended to be exempt from the Section 162(m) deduction limitations may be based; and</w:t>
      </w:r>
    </w:p>
    <w:p>
      <w:pPr>
        <w:spacing w:after="0" w:line="37" w:lineRule="exact"/>
        <w:rPr>
          <w:rFonts w:ascii="Arial" w:cs="Arial" w:eastAsia="Arial" w:hAnsi="Arial"/>
          <w:sz w:val="18"/>
          <w:szCs w:val="18"/>
          <w:b w:val="1"/>
          <w:bCs w:val="1"/>
          <w:color w:val="auto"/>
        </w:rPr>
      </w:pPr>
    </w:p>
    <w:p>
      <w:pPr>
        <w:ind w:left="780" w:hanging="326"/>
        <w:spacing w:after="0"/>
        <w:tabs>
          <w:tab w:leader="none" w:pos="780"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to amend the 2006 Incentive Compensation Plan to increase the Section 162(m)-based individual limitations on the amount of certain awards.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seeking stockholder approval of Proposal 3 for the reasons described below. This proposal will be voted on separately from Proposal 2. Neither proposal is dependent on the approval of the other.</w:t>
      </w:r>
    </w:p>
    <w:p>
      <w:pPr>
        <w:spacing w:after="0" w:line="118"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i w:val="1"/>
          <w:iCs w:val="1"/>
          <w:u w:val="single" w:color="auto"/>
          <w:color w:val="auto"/>
        </w:rPr>
        <w:t>Reapproval of the material terms of the 2006 Plan, which include eligible employees and the business criteria used to establish performance goals for performance-based awards</w:t>
      </w:r>
    </w:p>
    <w:p>
      <w:pPr>
        <w:spacing w:after="0" w:line="3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2006 Incentive Compensation Plan (the “2006 Plan”) was originally approved by our stockholders on July 31, 2006, and was subsequently amended on August 27, 2009. The purpose of the 2006 Plan is to provide a means for us to provide a source of equity to attract, motivate, retain and reward high-quality executives and other key employees, officers, directors and consultants. A further purpose of the 2006 Plan is to provide participants with additional incentive and reward opportunities designed to enhance our profitable growth, and provide participants with annual and long-term performance incentives to expend their maximum efforts in the creation of stockholder value. The terms of the 2006 Plan provide for grants of stock options, SARs, restricted stock, deferred stock, other stock-related awards and performance awards that may be settled in cash, stock or other property.</w:t>
      </w:r>
    </w:p>
    <w:p>
      <w:pPr>
        <w:spacing w:after="0" w:line="10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The 2006 Plan is designed to preserve our ability to deduct in full for federal income tax purposes the compensation recognized by certain employees in connection with certain awards granted under the 2006 Plan. Section 162(m) of the Internal Revenue Code, as amended, or the Code, generally denies a corporate tax deduction for annual compensation exceeding $1 million paid to a “covered employee” of a publicly held company. Generally, covered employees are the chief executive officer and the three highest compensated officers other than the chief executive and chief financial officers. However, certain types of compensation, including performance-based compensation, are generally excluded from this limitation on deductibility. To enable compensation in connection with stock options, SARs, certain restricted stock, deferred stock and other stock-related awards, and performance awards granted under the 2006 Plan to qualify as “performance-based” within the meaning of Section 162(m), the stockholders must approve the material terms of the performance goals that may be established in conjunction with performance-based compensation awarded under the 2006 Plan. In addition, regulations issued under Section 162(m) generally require reapproval by the stockholders every five years of the material terms of these performance goals if the plan permits the compensation committee of the Board of Directors to select the specific target levels of performance to be achieved under these awards. Because the 2006 Plan authorizes the Compensation Committee to select the appropriate target levels of performance to be achieved, stockholder reapproval of the material terms of the performance goals is required no later than next year’s annual meeting if we are to continue to be able to deduct certain compensation under the 2006 Plan beyond fiscal 2010. Accordingly, by approving this proposal, the stockholders will, among other things, be reapproving the material terms of the 2006 Plan, which include the employees eligible to receive compensation under the plan, and the business criteria upon which the granting and/or vesting of performance awards and certain awards of restricted stock, deferred stock and other stock-related awards that are intended to be exempt from the Section 162(m) deduction limitations may be based, as described in the </w:t>
      </w:r>
      <w:r>
        <w:rPr>
          <w:rFonts w:ascii="Arial" w:cs="Arial" w:eastAsia="Arial" w:hAnsi="Arial"/>
          <w:sz w:val="16"/>
          <w:szCs w:val="16"/>
          <w:i w:val="1"/>
          <w:iCs w:val="1"/>
          <w:color w:val="auto"/>
        </w:rPr>
        <w:t>Summary of the 2006 Incentive Compensation Plan</w:t>
      </w:r>
      <w:r>
        <w:rPr>
          <w:rFonts w:ascii="Arial" w:cs="Arial" w:eastAsia="Arial" w:hAnsi="Arial"/>
          <w:sz w:val="16"/>
          <w:szCs w:val="16"/>
          <w:color w:val="auto"/>
        </w:rPr>
        <w:t xml:space="preserve"> below.</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Increasing the Section 162(m)-based individual limitations on the amount of certain awards</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2006 Plan imposes individual limitations on the amount of certain awards in part to comply with Section 162(m) of the Code. Under these limitations, during any fiscal year the number of shares underlying awards granted to any one participant currently may not exceed 500,000 shares in the aggregate. In addition, under the current 2006 Plan, the maximum dollar value that may be earned by any one participant as a performance unit (as defined in the summary below) in respect of a performance period of one year is $1,000,000, and the maximum dollar value that may be earned by one participant as a performance unit in respect of a performance period greater than one year is $2,000,000.</w:t>
      </w:r>
    </w:p>
    <w:p>
      <w:pPr>
        <w:spacing w:after="0" w:line="1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At the recommendation of our Compensation Committee, we are asking stockholders to approve (i) an increase in the maximum number of shares underlying awards that are not performance units that may be granted to any one participant during any fiscal year to 1,000,000 shares in the aggregate (performance units will not be subject to this cap, but will be subject to the dollar value cap described in clause (ii)) and (ii) an increase in the maximum dollar value that may be earned by any one participant as a performance unit in respect of a performance period of one year to $3,000,000, and the maximum dollar value that may be earned by one participant as a performance unit in respect of a performance period greater than one year to $3,000,000 multiplied by the number of full 12-month periods that are in the performance period.</w:t>
      </w:r>
    </w:p>
    <w:p>
      <w:pPr>
        <w:spacing w:after="0" w:line="13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reasons we are seeking approval of these increases to the Section 162(m)-based limitations is primarily to ensure that all performance-based compensation, whether cash or equity-based, earned by the covered executives under their employment agreements, the LTIP and/or the Annual Incentive Plan, or AIP, may be deductible for federal income tax purposes (subject to the understanding that these increases may not be applicable for awards under the fiscal 2010 LTIP). While the AIP is not currently subject to the 2006 Plan due to these limitations, if these limitations are increased, we would revise the AIP to make it subject to the 2006 Plan and, accordingly, preserve the deductibility of compensation earned under the AIP. In addition, increasing these limitations would provide us with the flexibility to achieve an optimal equity-to-cash balance when crafting performance based awards under the 2006 Plan, recognizing the importance of taking into account variables that can change from year to year, such as volatility in the market and peer-group performance based award practice.</w:t>
      </w:r>
    </w:p>
    <w:p>
      <w:pPr>
        <w:spacing w:after="0" w:line="9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 xml:space="preserve">The following is a summary of certain principal features of the 2006 Plan, reflecting the proposed amendments described in Proposal 2 and Proposal 3. This summary is qualified in its entirety by reference to the complete text of the 2006 Plan. Stockholders are urged to read the actual text of the 2006 Plan in its entirety which is set forth as </w:t>
      </w:r>
      <w:r>
        <w:rPr>
          <w:rFonts w:ascii="Arial" w:cs="Arial" w:eastAsia="Arial" w:hAnsi="Arial"/>
          <w:sz w:val="18"/>
          <w:szCs w:val="18"/>
          <w:i w:val="1"/>
          <w:iCs w:val="1"/>
          <w:color w:val="auto"/>
        </w:rPr>
        <w:t>Appendix A</w:t>
      </w:r>
      <w:r>
        <w:rPr>
          <w:rFonts w:ascii="Arial" w:cs="Arial" w:eastAsia="Arial" w:hAnsi="Arial"/>
          <w:sz w:val="18"/>
          <w:szCs w:val="18"/>
          <w:color w:val="auto"/>
        </w:rPr>
        <w:t xml:space="preserve"> to this Proxy Statement.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2006 Incentive Compensation Plan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Shares Available for Awards; Annual Per-Person Limitations</w:t>
      </w:r>
    </w:p>
    <w:p>
      <w:pPr>
        <w:spacing w:after="0" w:line="77"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Under the 2006 Plan, as proposed to be amended pursuant to Proposal 2 and Proposal 3, the total number of shares of common stock that may be subject to the granting of awards under the 2006 Plan shall be equal to 5,750,000 shares (or 3,250,000 shares if Proposal 2 is not approved), plus the number of shares with respect to which awards previously granted thereunder that terminate without being exercised; provided, however, that the maximum number of shares that may be subject to the granting of awards other than stock options and SARs shall not exceed 3,750,000 (or 1,250,000 shares if Proposal 2 is not approved).</w:t>
      </w:r>
    </w:p>
    <w:p>
      <w:pPr>
        <w:spacing w:after="0" w:line="8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Awards that are settled or exercised through the payment of shares are counted in full against the number of shares available for award under the 2006 Plan, regardless of the number of shares actually issued upon settlement or exercise of any such award.</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Awards with respect to shares that are granted to replace outstanding awards or other similar rights that are assumed or replaced by awards under the 2006 Plan pursuant to the acquisition of a business are not subject to, and do not count against, the foregoing limit.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80" w:right="279" w:bottom="1440" w:gutter="0" w:footer="0" w:header="0"/>
        </w:sectPr>
      </w:pPr>
    </w:p>
    <w:bookmarkStart w:id="41" w:name="page42"/>
    <w:bookmarkEnd w:id="4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the 2006 Plan imposes individual limitations on the amount of certain awards in part to comply with Code Section 162(m). Under these limitations, during any fiscal year the number of options, SARs, restricted shares of common stock, deferred shares of common stock, shares as a bonus or in lieu of other Company obligations, and other stock-based awards, other than performance units, granted to any one participant may not exceed 1,000,000 for each type of such award, subject to adjustment in certain circumstances. Furthermore, the maximum dollar value that may be earned by any one participant as a performance unit in respect of a performance period of one year is $3,000,000, and the maximum dollar value that may be earned by one participant as a performance unit in respect of a performance period greater than one year is $3,000,000 multiplied by the number of full 12-month periods that are in the performance period. The term “performance unit” is defined in the 2006 Plan to mean any grant of a unit valued by reference to a designated amount of property (including cash) other than shares of common stock, which value may be paid in cash, shares of common stock, other property, or any combination thereof, upon the achievement of performance goals set by the Compensation Committee.</w:t>
      </w:r>
    </w:p>
    <w:p>
      <w:pPr>
        <w:spacing w:after="0" w:line="10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Our Board of Directors selected the Compensation Committee to administer the 2006 Plan. See “Administration.” The Committee is authorized to adjust the limitations described in the two preceding paragraphs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or other similar corporate transaction or event affects the common stock so that an adjustment is appropriate in order to prevent dilution or enlargement of the rights of participants. The Committee is also authorized to adjust performance conditions and other terms of awards in response to these kinds of events or in response to changes in applicable laws, regulations or accounting principles.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Eligibility</w:t>
      </w:r>
    </w:p>
    <w:p>
      <w:pPr>
        <w:spacing w:after="0" w:line="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persons eligible to receive awards under the 2006 Plan are our officers, directors, employees and independent contractors. An employee on leave of absence may be considered as still in our employ for purposes of eligibility for participation in the 2006 Plan.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Administration</w:t>
      </w:r>
    </w:p>
    <w:p>
      <w:pPr>
        <w:spacing w:after="0" w:line="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All Committee members must be “non-employee directors” as defined by Rule 16b-3 of the Exchange Act, “outside directors” for purposes of Section 162(m) of the Code, and independent as defined by Nasdaq or any other national securities exchange on which any securities of the Company may be listed for trading in the future. However, except as otherwise required to comply with Rule 16b-3 of the Exchange Act or Section 162(m) of the Code, the Board of Directors may exercise any power or authority granted to the Committee. Subject to the terms of the 2006 Plan, the Committee is authorized to select eligible persons to receive awards, determine the type and number of awards to be granted and the number of shares of common stock to which awards will relate, specify times at which awards will be exercisable or settled (including performance conditions that may be required as a condition thereof), set other terms and conditions of awards, prescribe forms of award agreements, interpret and specify rules and regulations relating to the 2006 Plan and make all other determinations that may be necessary or advisable for the administration of the 2006 Plan.</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Stock Options and SARs</w:t>
      </w:r>
    </w:p>
    <w:p>
      <w:pPr>
        <w:spacing w:after="0" w:line="77"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The Committee is authorized to grant stock options, including both incentive stock options, or ISOs, which can result in potentially favorable tax treatment to the participant, and non-qualified stock options and SARs, entitling the participant to receive the amount by which the fair market value of a share of common stock on the date of exercise exceeds the grant price of the SAR. The exercise price per share subject to an option and the grant price of an SAR are determined by the Committee, but must not be less than the fair market value of a share of common stock on the date of grant. For purposes of the 2006 Plan, the term “fair market value” means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80" w:right="279" w:bottom="1440" w:gutter="0" w:footer="0" w:header="0"/>
        </w:sectPr>
      </w:pPr>
    </w:p>
    <w:bookmarkStart w:id="42" w:name="page43"/>
    <w:bookmarkEnd w:id="42"/>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fair market value of the common stock, awards or other property as determined by the Committee or under procedures established by the Committee. Unless otherwise determined by the Committee or our Board of Directors, the fair market value of the common stock as of any given date shall be the closing sales price per share of common stock as reported on the principal stock exchange or market on which the common stock is traded on the date immediately preceding the date as of which such value is being determined or, if there is no sale on that date, the last previous day on which a sale was reported. The maximum term of each option or SAR, the times at which each option or SAR will be exercisable, and provisions requiring forfeiture of unexercised options or SARs at or following termination of employment or service generally are fixed by the Committee except that no option or SAR may have a term exceeding 10 years. Options may be exercised by payment of the exercise price in cash, shares, outstanding awards or other property (including notes or other contractual obligations of participants to make deferred payments, so long as such notes or other contractual obligations are not in violation of applicable law), as the Committee may determine from time to time. Methods of exercise and settlement and other terms of the SARs are determined by the Committee.</w:t>
      </w:r>
    </w:p>
    <w:p>
      <w:pPr>
        <w:spacing w:after="0" w:line="10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Other than in connection with standard adjustments (as set forth in Section 10(c) of the 2006 Plan), (i) the terms of outstanding options or SARs may not be amended to reduce the exercise price per share of such options or SARs, (ii) an outstanding option or SAR may not be cancelled, exchanged, substituted, bought out or surrendered in exchange for (i) cash or other awards, in each case, having a fair market value in excess of the amount by which the fair market value of the shares underlying such option or SAR exceeds the aggregate exercise price of such option or SAR or (ii) options or SARs with an exercise price per share that is less than the exercise price per share of the original option or SAR and (C) the Committee shall not be permitted to take any other action with respect to an option or SAR that may be treated as a repricing, in each case, without approval of our stockholders.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Restricted and Deferred Stock</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Committee is authorized to grant restricted stock and deferred stock. Restricted stock is a grant of shares of common stock which may not be sold or disposed of, and which may be forfeited in the event of certain terminations of employment or service, prior to the end of a restricted period specified by the Committee. A participant granted restricted stock generally has all of the rights of our stockholders, unless otherwise determined by the Committee. An award of deferred stock confers upon a participant the right to receive shares of common stock at the end of a specified deferral period, and may be subject to possible forfeiture of the award in the event of certain terminations of employment prior to the end of a specified restricted period. Prior to settlement, an award of deferred stock carries no voting or dividend rights or other rights associated with share ownership, although dividend equivalents may be granted, as discussed below.</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Dividend Equivalents</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Committee. Notwithstanding the foregoing, in no event shall dividend equivalents be paid in connection with the grant of a performance award until such time as the Committee has certified that the performance goals with respect to such performance award have been achieved for the relevant performance period.</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Bonus Stock and Awards in Lieu of Cash Obligations</w:t>
      </w:r>
    </w:p>
    <w:p>
      <w:pPr>
        <w:spacing w:after="0" w:line="7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Committee is authorized to grant shares of common stock as a bonus free of restrictions, or to grant shares of common stock or other awards in lieu of our obligations to pay cash under the 2006 Plan or other plans or compensatory arrangements, subject to such terms as the Committee may specify.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3" w:name="page44"/>
    <w:bookmarkEnd w:id="43"/>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Stock-Based Awards</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Committee is authorized to grant awards under the 2006 Plan that are denominated or payable in, valued by reference to, or otherwise based on or related to shares of common stock. Such awards might include convertible or exchangeable debt securities, other rights convertible or exchangeable into shares of common stock, purchase rights for shares of common stock, awards with value and payment contingent upon our performance or any other factors designated by the Committee, and awards valued by reference to the book value of shares of common stock or the value of securities of or the performance of specified subsidiaries or business units. The Committee determines the terms and conditions of such awards.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Performance Awards</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right of a participant to exercise or receive a grant or settlement of an award, and the timing thereof, may be subject to such performance conditions (including subjective individual goals) as may be specified by the Committee. In addition, the 2006 Plan authorizes specific performance awards, which represent a conditional right to receive cash, shares of common stock or other awards upon achievement of certain pre-established performance goals and subjective individual goals during a specified fiscal year. Performance awards granted to persons whom the Committee expects will, for the year in which a deduction arises, be “covered employees” (as defined below) will, if and to the extent intended by the Committee, be subject to provisions that should qualify such awards as “performance-based compensation” not subject to the limitation on tax deductibility by us under Code Section 162(m). For purposes of Section 162(m), the term “covered employee” means our chief executive officer and the three highest compensated officers other than the chief executive and chief financial officers. If and to the extent required under Section 162(m) of the Code, any power or authority relating to a performance award intended to qualify under Section 162(m) of the Code is to be exercised by the Committee, not our Board of Directors.</w:t>
      </w:r>
    </w:p>
    <w:p>
      <w:pPr>
        <w:spacing w:after="0" w:line="106" w:lineRule="exact"/>
        <w:rPr>
          <w:sz w:val="20"/>
          <w:szCs w:val="20"/>
          <w:color w:val="auto"/>
        </w:rPr>
      </w:pPr>
    </w:p>
    <w:p>
      <w:pPr>
        <w:ind w:right="120"/>
        <w:spacing w:after="0" w:line="302" w:lineRule="auto"/>
        <w:rPr>
          <w:sz w:val="20"/>
          <w:szCs w:val="20"/>
          <w:color w:val="auto"/>
        </w:rPr>
      </w:pPr>
      <w:r>
        <w:rPr>
          <w:rFonts w:ascii="Arial" w:cs="Arial" w:eastAsia="Arial" w:hAnsi="Arial"/>
          <w:sz w:val="15"/>
          <w:szCs w:val="15"/>
          <w:color w:val="auto"/>
        </w:rPr>
        <w:t>Subject to the requirements of the 2006 Plan, the Committee will determine performance award terms, including the required levels of performance with respect to specified business criteria, the corresponding amounts payable upon achievement of such levels of performance, termination and forfeiture provisions and the form of settlement. One or more of the following business criteria for us, on a consolidated basis, or for one of our business or geographical units (except with respect to the total stockholder return and earnings per share criteria), shall be used by the Committee in establishing performance goals for performance awards to “covered employees” that are intended to qualify under Section 162(m): (1) earnings per share; (2) revenues or margin; (3) cash flow; (4) operating margin;</w:t>
      </w:r>
    </w:p>
    <w:p>
      <w:pPr>
        <w:spacing w:after="0" w:line="2" w:lineRule="exact"/>
        <w:rPr>
          <w:sz w:val="20"/>
          <w:szCs w:val="20"/>
          <w:color w:val="auto"/>
        </w:rPr>
      </w:pPr>
    </w:p>
    <w:p>
      <w:pPr>
        <w:ind w:left="260" w:hanging="252"/>
        <w:spacing w:after="0"/>
        <w:tabs>
          <w:tab w:leader="none" w:pos="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return on net assets; (6) return on investment; (7) return on capital; (8) return on equity; (9) economic value added; (10) direct contribution; (11) net income;</w:t>
      </w:r>
    </w:p>
    <w:p>
      <w:pPr>
        <w:spacing w:after="0" w:line="32" w:lineRule="exact"/>
        <w:rPr>
          <w:rFonts w:ascii="Arial" w:cs="Arial" w:eastAsia="Arial" w:hAnsi="Arial"/>
          <w:sz w:val="16"/>
          <w:szCs w:val="16"/>
          <w:color w:val="auto"/>
        </w:rPr>
      </w:pPr>
    </w:p>
    <w:p>
      <w:pPr>
        <w:ind w:right="40" w:firstLine="8"/>
        <w:spacing w:after="0" w:line="307" w:lineRule="auto"/>
        <w:tabs>
          <w:tab w:leader="none" w:pos="336" w:val="left"/>
        </w:tabs>
        <w:numPr>
          <w:ilvl w:val="0"/>
          <w:numId w:val="49"/>
        </w:numPr>
        <w:rPr>
          <w:rFonts w:ascii="Arial" w:cs="Arial" w:eastAsia="Arial" w:hAnsi="Arial"/>
          <w:sz w:val="15"/>
          <w:szCs w:val="15"/>
          <w:color w:val="auto"/>
        </w:rPr>
      </w:pPr>
      <w:r>
        <w:rPr>
          <w:rFonts w:ascii="Arial" w:cs="Arial" w:eastAsia="Arial" w:hAnsi="Arial"/>
          <w:sz w:val="15"/>
          <w:szCs w:val="15"/>
          <w:color w:val="auto"/>
        </w:rPr>
        <w:t>pretax earnings; (13) earnings before interest and taxes; (14) earnings before interest, taxes, depreciation and amortization; (15) earnings after interest expense and before extraordinary or special items; (16) operating income; (17) income before interest income or expense, unusual items and income taxes, local, state or federal and excluding budgeted and actual bonuses which might be paid under any ongoing bonus plans of ours; (18) working capital; (19) management of fixed costs or variable costs; (20) identification or consummation of investment opportunities or completion of specified projects in accordance with corporate business plans, including strategic mergers, acquisitions or divestitures; (21) total stockholder return; (22) debt reduction; and (23) any of the above goals determined on an absolute or relative basis or as compared to the performance of a published or special index deemed applicable by the Committee including, but not limited to, the Standard &amp; Poor’s 500 Stock Index or a group of comparable companies. Except as otherwise specified by the Committee at the time the goals are set, the Committee shall exclude the impact of (i) restructurings, discontinued operations, extraordinary items, and other unusual or non-recurring charges, (ii) an event either not directly related to our operations or not within our reasonable control of management, (iii) a change in accounting standards required by generally accepted accounting principles, or (iv) any other item or event specified by the Committee at the time the goals are set.</w:t>
      </w:r>
    </w:p>
    <w:p>
      <w:pPr>
        <w:spacing w:after="0" w:line="97"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In granting performance awards, the Committee may establish unfunded award “pools,” the amounts of which will be based upon the achievement of a performance goal or goals based on one or more of certain business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44" w:name="page45"/>
    <w:bookmarkEnd w:id="44"/>
    <w:p>
      <w:pPr>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criteria described in the 2006 Plan (including, for example, total stockholder return, net income, pretax earnings, EBITDA, earnings per share, and return on investment). During the first 90 days of a performance period, the Committee will determine who will potentially receive performance awards for that performance period, either out of the pool or otherwise.</w:t>
      </w:r>
    </w:p>
    <w:p>
      <w:pPr>
        <w:spacing w:after="0" w:line="127"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After the end of each performance period, the Committee will determine (i) the amount of any pools and the maximum amount of potential performance awards payable to each participant in the pools and (ii) the amount of any other potential performance awards payable to participants in the 2006 Plan. The Committee may, in its discretion, determine that the amount payable as a performance award will be reduced from the amount of any potential award.</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Terms of Awards</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Awards may be settled in the form of cash, shares of common stock, other awards or other property, in the discretion of the Committee. The Committee may require or permit participants to defer the settlement of all or part of an award in accordance with such terms and conditions as the Committee may establish, including payment or crediting of interest or dividend equivalents on deferred amounts, and the crediting of earnings, gains and losses based on deemed investment of deferred amounts in specified investment vehicles. The Committee is authorized to place cash, shares of common stock or other property in trusts or make other arrangements to provide for payment of our obligations under the 2006 Plan. The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 Awards granted under the 2006 Plan generally may not be pledged or otherwise encumbered and are not transferable except by will or by the laws of descent and distribution, or to a designated beneficiary upon the participant’s death, except that the Committee may, in its discretion, permit transfers for estate planning or other purposes subject to any applicable restrictions under Rule 16b-3 of the Exchange Act.</w:t>
      </w:r>
    </w:p>
    <w:p>
      <w:pPr>
        <w:spacing w:after="0" w:line="10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Awards under the 2006 Plan are generally granted without a requirement that the participant pay consideration in the form of cash or property for the grant (as distinguished from the exercise), except to the extent required by law. Subject to the prohibition on repricings and certain exchanges with respect to options and SARs, as described above under “Stock Options and SARs,” the Committee may, however, grant awards in exchange for other awards under the 2006 Plan awards or under other Company plans, or other rights to payment from us, and may grant awards in addition to and in tandem with such other awards, rights or other awards.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Acceleration of Vesting; Change in Control</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Committee may, in its discretion, accelerate the exercisability, the lapsing of restrictions or the expiration of deferral or vesting periods of any award, and, if so provided in the award agreement, such accelerated exercisability, lapse, expiration and vesting shall occur automatically in the case of a “change in control” of our Company, as defined in the 2006 Plan (including the cash settlement of SARs and “limited SARs” which may be exercisable in the event of a change in control). In addition, the Committee may provide in an award agreement that the performance goals relating to any performance based award will be deemed to have been met upon the occurrence of any “change in control.”</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Amendment and Termination</w:t>
      </w:r>
    </w:p>
    <w:p>
      <w:pPr>
        <w:spacing w:after="0" w:line="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Our Board of Directors may amend, alter, suspend, discontinue or terminate the 2006 Plan or the Committee’s authority to grant awards without further stockholder approval, except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2006 Plan which might increase the cost of</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80" w:right="279" w:bottom="1440" w:gutter="0" w:footer="0" w:header="0"/>
        </w:sectPr>
      </w:pPr>
    </w:p>
    <w:bookmarkStart w:id="45" w:name="page46"/>
    <w:bookmarkEnd w:id="4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2006 Plan or alter the eligibility of persons to receive awards. Stockholder approval will not be deemed to be required under laws or regulations, such as those relating to ISOs, that condition favorable treatment of participants on such approval, although our Board of Directors may, in its discretion, seek stockholder approval in any circumstance in which it deems such approval advisable. Unless earlier terminated by our Board of Directors, the 2006 Plan will terminate at such time as no shares of common stock remain available for issuance under the 2006 Plan and there are no further rights or obligations with respect to outstanding awards under the 2006 Plan.</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Federal Income Tax Consequences of Awards</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2006 Plan is not qualified under the provisions of section 401(a) of the Code and is not subject to any of the provisions of the Employee Retirement Income Security Act of 1974.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Stock Options</w:t>
      </w:r>
    </w:p>
    <w:p>
      <w:pPr>
        <w:spacing w:after="0" w:line="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exercise of a nonqualified stock option granted under the 2006 Plan an optionee will recognize ordinary income equal to the excess, if any, of the fair market value on the date of exercise of the shares of stock acquired on exercise of the option over the exercise price. If the optionee is our employee, that income will be subject to the withholding of Federal income tax. The optionee’s tax basis in those shares will be equal to their fair market value on the date of exercise of the option, and his holding period for those shares will begin on that date.</w:t>
      </w:r>
    </w:p>
    <w:p>
      <w:pPr>
        <w:spacing w:after="0" w:line="13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If an optionee pays for shares of stock on exercise of an option by delivering shares of our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If a separate identifiable stock certificate is issued for that number of shares equal to the number of shares delivered on exercise of the option, the optionee’s tax basis in the shares represented by that certificate will be equal to his tax basis in the shares delivered, and his holding period for those shares will include his holding period for the shares delivered. The optionee’s tax basis and holding period for the additional shares received on exercise of the option will be the same as if the optionee had exercised the option solely in exchange for cash.</w:t>
      </w:r>
    </w:p>
    <w:p>
      <w:pPr>
        <w:spacing w:after="0" w:line="1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will be entitled to a deduction for Federal income tax purposes equal to the amount of ordinary income taxable to the optionee, provided that amount constitutes an ordinary and necessary business expense for us and is reasonable in amount, and either the employee includes that amount in income or we timely satisfy our reporting requirements with respect to that amount.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Options</w:t>
      </w:r>
    </w:p>
    <w:p>
      <w:pPr>
        <w:spacing w:after="0" w:line="7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The 2006 Plan provides for the grant of stock options that qualify as “incentive stock options” as defined in section 422 of the Code, 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we refer to as the Required Holding Period, the difference, if any, between the amount realized on a sale or other taxable disposition of that share and the holder’s tax basis in that share will be long-term capital gain or loss.</w:t>
      </w:r>
    </w:p>
    <w:p>
      <w:pPr>
        <w:spacing w:after="0" w:line="1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however, an optionee disposes of a share acquired on exercise of an ISO before the end of the Required Holding Period, which we refer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46" w:name="page47"/>
    <w:bookmarkEnd w:id="46"/>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12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spacing w:after="0" w:line="9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07"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We are not allowed an income tax deduction with respect to the grant or exercise of an incentive stock option or the disposition of a share acquired on exercise of an incentive stock option after the Required Holding Period. However, if there is a Disqualifying Disposition of a share, we are allowed a deduction in an amount equal to the ordinary income includible in income by the optionee, provided that amount constitutes an ordinary and necessary business expense for us and is reasonable in amount, and either the employee includes that amount in income or we timely satisfy our reporting requirements with respect to that amount.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77"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Generally, the recipient of a stock award will recognize ordinary compensation income at the time the stock is awarded equal to the excess, if any, of the fair market value of the stock received over any amount paid by the recipient in exchange for the stock. If, however, the stock is non-vested when it is received under the 2006 Plan (for example, if the employee is required to work for a period of time in order to have the right to sell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within 30 days of the stock award, to recognize ordinary compensation income, as of the date the award is granted, equal to the excess, if any, of the fair market value of the stock on the date the award is granted over any amount paid by the recipient in exchange for the stock.</w:t>
      </w:r>
    </w:p>
    <w:p>
      <w:pPr>
        <w:spacing w:after="0" w:line="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2006 Plan, the difference between the sale price and the recipient’s basis in the shares will be treated as a capital gain or loss and generally will be characterized as long-term capital gain or loss if the shares have been held for more the one year from the date as of which he or she would be required to recognize any compensation income.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280" w:right="29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Appreciation Rights</w:t>
      </w:r>
    </w:p>
    <w:p>
      <w:pPr>
        <w:spacing w:after="0" w:line="77"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We may grant SARs separate from any other award, which we refer to as Stand-Alone SARs, or in tandem with options, which we refer to as Tandem SARs, under the 2006 Plan. Generally, the recipient of a Stand-Alone SAR will not recognize any taxable income at the time the Stand-Alone SAR is granted.</w:t>
      </w:r>
    </w:p>
    <w:p>
      <w:pPr>
        <w:spacing w:after="0" w:line="4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With respect to Stand-Alone SARs,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With respect to Tandem SARs, if the recipient elects to surrender the underlying option in exchange for cash or shares of stock equal to the appreciation inherent in the underlying option, the tax consequences to the recipient will be the same as discussed above relating to the Stand-Alone SARs. If the recipient elects to exercise the underlying option, the holder will be taxed at the time of exercise as if he or she had exercised a nonqualified stock option (discussed above), i.e., the recipient will recognize ordinary income for federal tax purposes measured by the excess of the then fair market value of the shares of stock over the exercise price.</w:t>
      </w:r>
    </w:p>
    <w:p>
      <w:pPr>
        <w:spacing w:after="0" w:line="129"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general, there will be no federal income tax deduction allowed to us upon the grant or termination of Stand-Alone SARs or Tandem SARs. Upon the exercise of either a Stand-Alone SAR or a Tandem SAR, however, we will be entitled to a deduction for federal income tax purposes equal to the amount of ordinary income that the employee is required to recognize as a result of the exercise, provided that the deduction is not otherwise disallowed under the Code.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Equivalents</w:t>
      </w:r>
    </w:p>
    <w:p>
      <w:pPr>
        <w:spacing w:after="0" w:line="7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Generally, the recipient of a dividend equivalent award will recognize ordinary compensation income at the time the dividend equivalent award is received equal to the fair market value dividend equivalent award received. We generally will be entitled to a deduction for federal income tax purposes equal to the amount of ordinary income that the employee is required to recognize as a result of the dividend equivalent award, provided that the deduction is not otherwise disallowed under the Code.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162 Limitations</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Section 162(m) of the Code generally disallows a public company’s tax deduction for compensation to covered employees in excess of $1 million in any tax year. Compensation that qualifies as “performance-based compensation” is excluded from the $1 million deductibility cap, and therefore remains fully deductible by the company that pays it. We intend that options granted to employees whom the Committee expects to be covered employees at the time a deduction arises in connection with such options, will qualify as such “performance-based compensation,” so that such options will not be subject to the Section 162(m) deductibility cap of $1 million. Future changes in Section 162(m) or the regulations thereunder may adversely affect our ability to ensure that options under the 2006 Plan will qualify as “performance-based compensation” that is fully deductible by us under Section 162(m).</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Importance of Consulting Tax Adviser</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information set forth above is a summary only and does not purport to be complete. In addition, the 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80"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Vote Needed for Approval</w:t>
      </w:r>
    </w:p>
    <w:p>
      <w:pPr>
        <w:spacing w:after="0" w:line="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affirmative vote of a majority of the votes properly cast is required for approval of Proposal 3. Any abstentions and broker non-votes will not be counted as votes cast on this proposal and, accordingly, will have no effect.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We believe that the future success of our Company depends, in large part, upon our ability to maintain a competitive position in attracting, retaining and motivating key personnel. In addition, we believe that preserving the tax deductibility of performance-based compensation is an important financial necessity for our Company. </w:t>
      </w:r>
      <w:r>
        <w:rPr>
          <w:rFonts w:ascii="Arial" w:cs="Arial" w:eastAsia="Arial" w:hAnsi="Arial"/>
          <w:sz w:val="18"/>
          <w:szCs w:val="18"/>
          <w:b w:val="1"/>
          <w:bCs w:val="1"/>
          <w:color w:val="auto"/>
        </w:rPr>
        <w:t>Accordingly, the Board of Directors believes adoption of Proposal 3 is in the best interests of our Company and its stockholders and</w:t>
      </w:r>
      <w:r>
        <w:rPr>
          <w:rFonts w:ascii="Arial" w:cs="Arial" w:eastAsia="Arial" w:hAnsi="Arial"/>
          <w:sz w:val="18"/>
          <w:szCs w:val="18"/>
          <w:color w:val="auto"/>
        </w:rPr>
        <w:t xml:space="preserve"> </w:t>
      </w:r>
      <w:r>
        <w:rPr>
          <w:rFonts w:ascii="Arial" w:cs="Arial" w:eastAsia="Arial" w:hAnsi="Arial"/>
          <w:sz w:val="18"/>
          <w:szCs w:val="18"/>
          <w:b w:val="1"/>
          <w:bCs w:val="1"/>
          <w:color w:val="auto"/>
        </w:rPr>
        <w:t>recommends a vote “FOR” Proposal 3.</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20"/>
          </w:cols>
          <w:pgMar w:left="240" w:top="274" w:right="339" w:bottom="1440" w:gutter="0" w:footer="0" w:header="0"/>
        </w:sectPr>
      </w:pPr>
    </w:p>
    <w:bookmarkStart w:id="49" w:name="page50"/>
    <w:bookmarkEnd w:id="49"/>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4</w:t>
      </w:r>
    </w:p>
    <w:p>
      <w:pPr>
        <w:spacing w:after="0" w:line="7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RATIFICATION OF APPOINTMENT OF</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Subject to ratification by our stockholders, the Audit Committee has appointed Ernst &amp; Young LLP as our independent registered public accounting firm for the fiscal year ending January 29, 2011. Ernst &amp; Young LLP has served as our auditors since October 2000. Stockholder ratification of our independent registered public accounting firm is not required by our bylaws or otherwise. However, we are submitting the selection of Ernst &amp; Young LLP to our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our best interest.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Ernst &amp; Young LLP billed us an aggregate of $425,700 and $539,547 in fees for fiscal years 2009 and 2008, respectively, for professional services rendered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audits of our financial statements for the fiscal years ended January 30, 2010 and January 31, 2009 included in our Annual Reports on 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10-K and the reviews of the financial statements included in each of our Quarterly Reports on Form 10-Q. In addition, we were also billed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$205,000 and $270,000 in fees in fiscal years 2009 and 2008, respectively, for services performed related to compliance with Section 404 of the Sarbanes-Oxley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fiscal 2009, Ernst &amp; Young LLP billed $40,000 in fees related to risk management and $10,000 in fees related to registration statements. No such fees were billed by Ernst &amp; Young LLP for fiscal 2008.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 fees were billed by Ernst &amp; Young LLP for fiscal 2009 and fiscal 2008 for tax services.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 did not bill us in fiscal 2009 or fiscal 2008 for services other than those described above.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our independent registered public accounting firm. Pursuant to this policy, the Audit Committee will consider annually and, if appropriate, approve the provision of audit services (including audit review and attest services) by its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under Audit Fees, Audit-Related Fees, Tax Fees and All Other Fees are approved by the Audit Committee.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274" w:right="319" w:bottom="1440" w:gutter="0" w:footer="0" w:header="0"/>
        </w:sectPr>
      </w:pPr>
    </w:p>
    <w:bookmarkStart w:id="50" w:name="page51"/>
    <w:bookmarkEnd w:id="5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Representatives of Ernst &amp; Young LLP are expected to be available by telephone at the Annual Meeting and will have the opportunity to make a statement if they desire to do so and to respond to appropriate questions.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83"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The affirmative vote of a majority of the votes properly cast is required for the ratification of the appointment of Ernst &amp; Young LLP as our independent registered public accounting firm. Any abstentions and broker non-votes will not be counted as votes cast on this proposal and, accordingly, will have no effect.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7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The Audit Committee and the Board of Directors unanimously recommend that you vote FOR the ratification of the appointment of Ernst &amp; Young LLP as our independent registered public accounting firm.</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80" w:right="27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THE AUDIT COMMITTEE</w:t>
      </w:r>
    </w:p>
    <w:p>
      <w:pPr>
        <w:spacing w:after="0" w:line="8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Audit Committee oversees our financial reporting process on behalf of the Board of Directors.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and related schedule in the Annual Report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spacing w:after="0" w:line="2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Audit Committee reviewed and discussed with Ernst &amp; Young LLP, our independent registered public accounting firm, which is responsible for expressing an opinion on the conformity of our audited consolidated financial statements for the fiscal year ended January 30, 2010 with U.S. generally accepted accounting principles, their judgments as to the quality, not just the acceptability, of our accounting principles and such other matters as are required to be discussed with the Audit Committee by Statement on Auditing Standards No. 61, as amended by Statement on Auditing Standards No. 90 (Communication with Audit Committees), as adopted by the Public Company Accounting Oversight Board. In addition, the Committee has discussed with Ernst &amp; Young LLP the firm’s independence from our management and our Company, including the matters in the letter from Ernst &amp; Young LLP required by applicable requirements of the Public Company Accounting Oversight Board regarding Ernst &amp; Young LLP’s communications with the Audit Committee concerning independence. The Audit Committee also considered the compatibility of non-audit services with Ernst &amp; Young LLP’s independence.</w:t>
      </w:r>
    </w:p>
    <w:p>
      <w:pPr>
        <w:spacing w:after="0" w:line="2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Audit Committee discussed with Ernst &amp; Young LLP the overall scope and plans for their audit. The Audit Committee meets with the independent registered public accounting firm, with and without management present, to discuss the results of their examinations, their evaluations of our internal controls (including internal control over financial reporting) and the overall quality of our financial reporting. The Audit Committee held 9 meetings during the fiscal year ended January 30, 2010.</w:t>
      </w:r>
    </w:p>
    <w:p>
      <w:pPr>
        <w:spacing w:after="0" w:line="49" w:lineRule="exact"/>
        <w:rPr>
          <w:sz w:val="20"/>
          <w:szCs w:val="20"/>
          <w:color w:val="auto"/>
        </w:rPr>
      </w:pPr>
    </w:p>
    <w:p>
      <w:pPr>
        <w:ind w:right="120"/>
        <w:spacing w:after="0" w:line="325" w:lineRule="auto"/>
        <w:rPr>
          <w:sz w:val="20"/>
          <w:szCs w:val="20"/>
          <w:color w:val="auto"/>
        </w:rPr>
      </w:pPr>
      <w:r>
        <w:rPr>
          <w:rFonts w:ascii="Arial" w:cs="Arial" w:eastAsia="Arial" w:hAnsi="Arial"/>
          <w:sz w:val="16"/>
          <w:szCs w:val="16"/>
          <w:color w:val="auto"/>
        </w:rPr>
        <w:t>In reliance on the reviews and discussions referred to above, the Audit Committee recommended to the Board of Directors (and the Board has approved) that the audited consolidated financial statements be included in the Annual Report on Form 10-K for the fiscal year ended January 30, 2010 for filing with the SEC.</w:t>
      </w:r>
    </w:p>
    <w:p>
      <w:pPr>
        <w:spacing w:after="0" w:line="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Pursuant to Section 404 of the Sarbanes-Oxley Act, management was required to prepare as part of our Annual Report on Form 10-K for the year ended January 30, 2010 a report by management on our assessment of our internal control over financial reporting, including management’s assessment of the effectiveness of such internal control. Ernst &amp; Young LLP has issued an audit report relative to our internal control over financial reporting at January 30, 2010. During the course of fiscal 2009,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The Audit Committee also discussed this process with Ernst &amp; Young LLP. Management’s assessment report and Ernst &amp; Young LLP’s audit report on our internal control over financial reporting are included as part of our Annual Report on Form 10-K for the year ended January 30, 2010.</w:t>
      </w:r>
    </w:p>
    <w:p>
      <w:pPr>
        <w:spacing w:after="0" w:line="24"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 xml:space="preserve">The Audit Committee is governed by a written charter, which can be found under “Corporate Governance” of the Investor Relations page of our website at </w:t>
      </w:r>
      <w:r>
        <w:rPr>
          <w:rFonts w:ascii="Arial" w:cs="Arial" w:eastAsia="Arial" w:hAnsi="Arial"/>
          <w:sz w:val="18"/>
          <w:szCs w:val="18"/>
          <w:i w:val="1"/>
          <w:iCs w:val="1"/>
          <w:color w:val="auto"/>
        </w:rPr>
        <w:t>www.casualmaleXL.com</w:t>
      </w:r>
      <w:r>
        <w:rPr>
          <w:rFonts w:ascii="Arial" w:cs="Arial" w:eastAsia="Arial" w:hAnsi="Arial"/>
          <w:sz w:val="18"/>
          <w:szCs w:val="18"/>
          <w:color w:val="auto"/>
        </w:rPr>
        <w:t>. The members of the Audit Committee are considered independent because they satisfy the independence requirements for Board</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prescribed by the Nasdaq listing standards and Rule 10A-3 of the Exchange Act.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Jesse Choper, Chairman of the Audit Committee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Alan S. Bernikow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George T. Porter,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220" w:right="120" w:hanging="212"/>
        <w:spacing w:after="0" w:line="259" w:lineRule="auto"/>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John Kyees was appointed to the Audit Committee on May 3, 2010. He did not participate in the review and discussions referred to in the Report of the Audit Committee above. Mr. Porter was a member of the Audit Committee until May 3, 2010 and did participate in such review and discussions. Accordingly, Mr. Porter is named under this report even though he no longer serves on the Audit Committee.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2" w:name="page53"/>
    <w:bookmarkEnd w:id="5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YOU CAN FIND MORE INFORMATION</w:t>
      </w:r>
    </w:p>
    <w:p>
      <w:pPr>
        <w:spacing w:after="0" w:line="16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file annual, quarterly and special reports, proxy statements and other information with the SEC under the Exchange Act. You may read and copy these reports and other information filed by us at the Public Reference Section of the SEC, 100 F Street, N.E., Room 1580, Washington, D.C. 20549, at prescribed rates. You may obtain information on the operation of the Public Reference Room by calling the SEC at 1-800-SEC-0330.</w:t>
      </w:r>
    </w:p>
    <w:p>
      <w:pPr>
        <w:spacing w:after="0" w:line="93"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SEC also maintains a website that contains reports, proxy statements and other information about issuers, like us, who file electronically with the SEC through the Electronic Data Gathering, Analysis and Retrieval (EDGAR) system. The address of this website is http://www.sec.gov.</w:t>
      </w:r>
    </w:p>
    <w:p>
      <w:pPr>
        <w:spacing w:after="0" w:line="7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 xml:space="preserve">Access to this information as well as other information on our Company is also available on our website at </w:t>
      </w:r>
      <w:r>
        <w:rPr>
          <w:rFonts w:ascii="Arial" w:cs="Arial" w:eastAsia="Arial" w:hAnsi="Arial"/>
          <w:sz w:val="18"/>
          <w:szCs w:val="18"/>
          <w:i w:val="1"/>
          <w:iCs w:val="1"/>
          <w:color w:val="auto"/>
        </w:rPr>
        <w:t>http://www.casualmaleXL.com</w:t>
      </w:r>
      <w:r>
        <w:rPr>
          <w:rFonts w:ascii="Arial" w:cs="Arial" w:eastAsia="Arial" w:hAnsi="Arial"/>
          <w:sz w:val="18"/>
          <w:szCs w:val="18"/>
          <w:color w:val="auto"/>
        </w:rPr>
        <w:t xml:space="preserve"> and clicking on “Investor Relations.”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SOLICITATION</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will bear the cost of solicitation of proxies. In addition to the use of the mails, proxies may be solicited by certain of our officers, directors and employees without extra compensation, by telephone, facsimile or personal interview. We have retained D.F. King &amp; Company, Inc. for a fee not to exceed $6,000 to aid in solicitation of proxies.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164" w:lineRule="exact"/>
        <w:rPr>
          <w:sz w:val="20"/>
          <w:szCs w:val="20"/>
          <w:color w:val="auto"/>
        </w:rPr>
      </w:pPr>
    </w:p>
    <w:p>
      <w:pPr>
        <w:jc w:val="both"/>
        <w:ind w:right="80"/>
        <w:spacing w:after="0" w:line="323" w:lineRule="auto"/>
        <w:rPr>
          <w:sz w:val="20"/>
          <w:szCs w:val="20"/>
          <w:color w:val="auto"/>
        </w:rPr>
      </w:pPr>
      <w:r>
        <w:rPr>
          <w:rFonts w:ascii="Arial" w:cs="Arial" w:eastAsia="Arial" w:hAnsi="Arial"/>
          <w:sz w:val="15"/>
          <w:szCs w:val="15"/>
          <w:color w:val="auto"/>
        </w:rPr>
        <w:t>Only one copy of the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the Proxy Statement or if you would like to request that we send you a separate copy of annual reports or proxy statements, as applicable, in the future, please contact us at 555 Turnpike Street, Canton Massachusetts 02021. We will send you a copy of the Proxy Statement promptly after we receive your written or oral request.</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PROPOSALS</w:t>
      </w:r>
    </w:p>
    <w:p>
      <w:pPr>
        <w:spacing w:after="0" w:line="164"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Under the rules of the SEC, in order for any stockholder proposal to be included in our proxy statement and proxy card for presentation at the 2010 Annual Meeting of Stockholders, the proposal must be received by the Secretary of our Company at our principal executive offices by February 25, 2011 (120 days before the anniversary of the date this Proxy Statement is being mailed to our stockholders).</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By-Laws provide that for business to be properly brought before an Annual Meeting of Stockholders (or any Special Meeting in lieu of Annual Meeting of Stockholders), a stockholder must: (i) give timely written notice to the Secretary of our Company describing any proposal to be brought before such meeting; and</w:t>
      </w:r>
    </w:p>
    <w:p>
      <w:pPr>
        <w:ind w:firstLine="8"/>
        <w:spacing w:after="0" w:line="288" w:lineRule="auto"/>
        <w:tabs>
          <w:tab w:leader="none" w:pos="258" w:val="left"/>
        </w:tabs>
        <w:numPr>
          <w:ilvl w:val="0"/>
          <w:numId w:val="51"/>
        </w:numPr>
        <w:rPr>
          <w:rFonts w:ascii="Arial" w:cs="Arial" w:eastAsia="Arial" w:hAnsi="Arial"/>
          <w:sz w:val="16"/>
          <w:szCs w:val="16"/>
          <w:color w:val="auto"/>
        </w:rPr>
      </w:pPr>
      <w:r>
        <w:rPr>
          <w:rFonts w:ascii="Arial" w:cs="Arial" w:eastAsia="Arial" w:hAnsi="Arial"/>
          <w:sz w:val="16"/>
          <w:szCs w:val="16"/>
          <w:color w:val="auto"/>
        </w:rPr>
        <w:t>be present at such Annual Meeting, either in person or by a representative. Such procedural requirements are fully set forth in Section 3.14 of our By-Laws. A stockholder’s notice will be timely if delivered to, or mailed to and received by, us not less than 75 days nor more than 120 days prior to the anniversary date of the immediately preceding Annual Meeting (the “Anniversary Date”). To bring an item of business before the 2011 Annual Meeting, a stockholder must deliver the requisite notice of such item to the Secretary of our Company not before April 7, 2011 or after May 22, 2011. In the event the Annual Meeting is scheduled to be held on a date more than 30 days before the Anniversary Date or more than 60 days after the Anniversary Date, however, a stockholder’s notice will be timely delivered to, or mailed to, and received by, us not later than the close of business on the later of (a) the 75th day prior to the scheduled date of such Annual Meeting or (b) the 15th day following the day on which public announcement of the date of such Annual Meeting is first made by us.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74" w:right="279" w:bottom="1440" w:gutter="0" w:footer="0" w:header="0"/>
        </w:sectPr>
      </w:pPr>
    </w:p>
    <w:bookmarkStart w:id="53" w:name="page54"/>
    <w:bookmarkEnd w:id="5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 COMMUNICATIONS WITH THE BOARD OF DIRECTORS</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Board of Directors maintains a process for stockholders to communicate with them. Stockholders wishing to communicate with our Board should direct their communications to: Secretary of the Company, Casual Male Retail Group, Inc., 555 Turnpike Street, Canton, Massachusetts 02021. Any such communication must state the number of shares beneficially owned by the stockholder sending the communication. The Secretary will forward such communication to all of the members of the Board of Directors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274" w:right="299" w:bottom="1440" w:gutter="0" w:footer="0" w:header="0"/>
        </w:sectPr>
      </w:pPr>
    </w:p>
    <w:bookmarkStart w:id="54" w:name="page55"/>
    <w:bookmarkEnd w:id="54"/>
    <w:p>
      <w:pPr>
        <w:ind w:left="103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Explanatory Note</w:t>
      </w:r>
      <w:r>
        <w:rPr>
          <w:rFonts w:ascii="Arial" w:cs="Arial" w:eastAsia="Arial" w:hAnsi="Arial"/>
          <w:sz w:val="18"/>
          <w:szCs w:val="18"/>
          <w:color w:val="auto"/>
        </w:rPr>
        <w:t>: This Appendix A contains a copy of the Casual Male Retail Group, Inc. 2006 Incentive Compensation Plan as proposed to be amended by</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2 and Proposal 3 included in the Proxy Statement to which this Appendix A is attached (proposed additions are shown as bold and double-underlined text and proposed deletions are shown as strike-throughs).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CASUAL MALE RETAIL GROUP, INC.</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2006 INCENTIVE COMPENSATION PLAN</w:t>
      </w:r>
    </w:p>
    <w:p>
      <w:pPr>
        <w:spacing w:after="0" w:line="53" w:lineRule="exact"/>
        <w:rPr>
          <w:sz w:val="20"/>
          <w:szCs w:val="20"/>
          <w:color w:val="auto"/>
        </w:rPr>
      </w:pPr>
    </w:p>
    <w:tbl>
      <w:tblPr>
        <w:tblLayout w:type="fixed"/>
        <w:tblInd w:w="300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8"/>
              </w:rPr>
              <w:t>(as amended and restated effective as of</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 2010)</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24"/>
          <w:szCs w:val="24"/>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CASUAL MALE RETAIL GROUP, INC.</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2006 INCENTIVE COMPENSATION PLAN</w:t>
            </w:r>
          </w:p>
        </w:tc>
        <w:tc>
          <w:tcPr>
            <w:tcW w:w="6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91"/>
        </w:trPr>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tcBorders>
              <w:bottom w:val="single" w:sz="8" w:color="auto"/>
            </w:tcBorders>
            <w:gridSpan w:val="4"/>
          </w:tcPr>
          <w:p>
            <w:pPr>
              <w:spacing w:after="0"/>
              <w:rPr>
                <w:sz w:val="20"/>
                <w:szCs w:val="20"/>
                <w:color w:val="auto"/>
              </w:rPr>
            </w:pPr>
            <w:r>
              <w:rPr>
                <w:rFonts w:ascii="Arial" w:cs="Arial" w:eastAsia="Arial" w:hAnsi="Arial"/>
                <w:sz w:val="22"/>
                <w:szCs w:val="22"/>
                <w:b w:val="1"/>
                <w:bCs w:val="1"/>
                <w:color w:val="auto"/>
              </w:rPr>
              <w:t>(as amended and restated effective as of</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87"/>
              </w:rPr>
              <w:t>, 2010)</w:t>
            </w: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45"/>
        </w:trPr>
        <w:tc>
          <w:tcPr>
            <w:tcW w:w="50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1.</w:t>
            </w:r>
          </w:p>
        </w:tc>
        <w:tc>
          <w:tcPr>
            <w:tcW w:w="7300" w:type="dxa"/>
            <w:vAlign w:val="bottom"/>
            <w:gridSpan w:val="13"/>
          </w:tcPr>
          <w:p>
            <w:pPr>
              <w:spacing w:after="0"/>
              <w:rPr>
                <w:rFonts w:ascii="Arial" w:cs="Arial" w:eastAsia="Arial" w:hAnsi="Arial"/>
                <w:sz w:val="18"/>
                <w:szCs w:val="18"/>
                <w:b w:val="1"/>
                <w:bCs w:val="1"/>
                <w:i w:val="1"/>
                <w:iCs w:val="1"/>
                <w:color w:val="0000EE"/>
              </w:rPr>
            </w:pPr>
            <w:hyperlink w:anchor="page57">
              <w:r>
                <w:rPr>
                  <w:rFonts w:ascii="Arial" w:cs="Arial" w:eastAsia="Arial" w:hAnsi="Arial"/>
                  <w:sz w:val="18"/>
                  <w:szCs w:val="18"/>
                  <w:b w:val="1"/>
                  <w:bCs w:val="1"/>
                  <w:i w:val="1"/>
                  <w:iCs w:val="1"/>
                  <w:color w:val="0000EE"/>
                </w:rPr>
                <w:t>Purpose</w:t>
              </w:r>
            </w:hyperlink>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A-3</w:t>
            </w:r>
          </w:p>
        </w:tc>
      </w:tr>
      <w:tr>
        <w:trPr>
          <w:trHeight w:val="20"/>
        </w:trPr>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2.</w:t>
            </w:r>
          </w:p>
        </w:tc>
        <w:tc>
          <w:tcPr>
            <w:tcW w:w="820" w:type="dxa"/>
            <w:vAlign w:val="bottom"/>
            <w:tcBorders>
              <w:bottom w:val="single" w:sz="8" w:color="0000EE"/>
            </w:tcBorders>
            <w:gridSpan w:val="2"/>
          </w:tcPr>
          <w:p>
            <w:pPr>
              <w:spacing w:after="0"/>
              <w:rPr>
                <w:rFonts w:ascii="Arial" w:cs="Arial" w:eastAsia="Arial" w:hAnsi="Arial"/>
                <w:sz w:val="18"/>
                <w:szCs w:val="18"/>
                <w:b w:val="1"/>
                <w:bCs w:val="1"/>
                <w:i w:val="1"/>
                <w:iCs w:val="1"/>
                <w:color w:val="0000EE"/>
                <w:w w:val="85"/>
              </w:rPr>
            </w:pPr>
            <w:hyperlink w:anchor="page57">
              <w:r>
                <w:rPr>
                  <w:rFonts w:ascii="Arial" w:cs="Arial" w:eastAsia="Arial" w:hAnsi="Arial"/>
                  <w:sz w:val="18"/>
                  <w:szCs w:val="18"/>
                  <w:b w:val="1"/>
                  <w:bCs w:val="1"/>
                  <w:i w:val="1"/>
                  <w:iCs w:val="1"/>
                  <w:color w:val="0000EE"/>
                  <w:w w:val="85"/>
                </w:rPr>
                <w:t>Definitions</w:t>
              </w:r>
            </w:hyperlink>
          </w:p>
        </w:tc>
        <w:tc>
          <w:tcPr>
            <w:tcW w:w="6480" w:type="dxa"/>
            <w:vAlign w:val="bottom"/>
            <w:gridSpan w:val="11"/>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A-3</w:t>
            </w: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3.</w:t>
            </w:r>
          </w:p>
        </w:tc>
        <w:tc>
          <w:tcPr>
            <w:tcW w:w="7300" w:type="dxa"/>
            <w:vAlign w:val="bottom"/>
            <w:gridSpan w:val="13"/>
          </w:tcPr>
          <w:p>
            <w:pPr>
              <w:spacing w:after="0"/>
              <w:rPr>
                <w:rFonts w:ascii="Arial" w:cs="Arial" w:eastAsia="Arial" w:hAnsi="Arial"/>
                <w:sz w:val="18"/>
                <w:szCs w:val="18"/>
                <w:b w:val="1"/>
                <w:bCs w:val="1"/>
                <w:i w:val="1"/>
                <w:iCs w:val="1"/>
                <w:color w:val="0000EE"/>
              </w:rPr>
            </w:pPr>
            <w:hyperlink w:anchor="page61">
              <w:r>
                <w:rPr>
                  <w:rFonts w:ascii="Arial" w:cs="Arial" w:eastAsia="Arial" w:hAnsi="Arial"/>
                  <w:sz w:val="18"/>
                  <w:szCs w:val="18"/>
                  <w:b w:val="1"/>
                  <w:bCs w:val="1"/>
                  <w:i w:val="1"/>
                  <w:iCs w:val="1"/>
                  <w:color w:val="0000EE"/>
                </w:rPr>
                <w:t>Administration.</w:t>
              </w:r>
            </w:hyperlink>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A-7</w:t>
            </w:r>
          </w:p>
        </w:tc>
      </w:tr>
      <w:tr>
        <w:trPr>
          <w:trHeight w:val="20"/>
        </w:trPr>
        <w:tc>
          <w:tcPr>
            <w:tcW w:w="50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4.</w:t>
            </w:r>
          </w:p>
        </w:tc>
        <w:tc>
          <w:tcPr>
            <w:tcW w:w="1700" w:type="dxa"/>
            <w:vAlign w:val="bottom"/>
            <w:tcBorders>
              <w:bottom w:val="single" w:sz="8" w:color="0000EE"/>
            </w:tcBorders>
            <w:gridSpan w:val="6"/>
          </w:tcPr>
          <w:p>
            <w:pPr>
              <w:spacing w:after="0"/>
              <w:rPr>
                <w:rFonts w:ascii="Arial" w:cs="Arial" w:eastAsia="Arial" w:hAnsi="Arial"/>
                <w:sz w:val="18"/>
                <w:szCs w:val="18"/>
                <w:b w:val="1"/>
                <w:bCs w:val="1"/>
                <w:i w:val="1"/>
                <w:iCs w:val="1"/>
                <w:color w:val="0000EE"/>
                <w:w w:val="83"/>
              </w:rPr>
            </w:pPr>
            <w:hyperlink w:anchor="page62">
              <w:r>
                <w:rPr>
                  <w:rFonts w:ascii="Arial" w:cs="Arial" w:eastAsia="Arial" w:hAnsi="Arial"/>
                  <w:sz w:val="18"/>
                  <w:szCs w:val="18"/>
                  <w:b w:val="1"/>
                  <w:bCs w:val="1"/>
                  <w:i w:val="1"/>
                  <w:iCs w:val="1"/>
                  <w:color w:val="0000EE"/>
                  <w:w w:val="83"/>
                </w:rPr>
                <w:t>Shares Subject to Plan.</w:t>
              </w:r>
            </w:hyperlink>
          </w:p>
        </w:tc>
        <w:tc>
          <w:tcPr>
            <w:tcW w:w="5600" w:type="dxa"/>
            <w:vAlign w:val="bottom"/>
            <w:gridSpan w:val="7"/>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A-8</w:t>
            </w: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5.</w:t>
            </w:r>
          </w:p>
        </w:tc>
        <w:tc>
          <w:tcPr>
            <w:tcW w:w="7300" w:type="dxa"/>
            <w:vAlign w:val="bottom"/>
            <w:gridSpan w:val="13"/>
          </w:tcPr>
          <w:p>
            <w:pPr>
              <w:spacing w:after="0"/>
              <w:rPr>
                <w:rFonts w:ascii="Arial" w:cs="Arial" w:eastAsia="Arial" w:hAnsi="Arial"/>
                <w:sz w:val="18"/>
                <w:szCs w:val="18"/>
                <w:b w:val="1"/>
                <w:bCs w:val="1"/>
                <w:i w:val="1"/>
                <w:iCs w:val="1"/>
                <w:color w:val="0000EE"/>
              </w:rPr>
            </w:pPr>
            <w:hyperlink w:anchor="page63">
              <w:r>
                <w:rPr>
                  <w:rFonts w:ascii="Arial" w:cs="Arial" w:eastAsia="Arial" w:hAnsi="Arial"/>
                  <w:sz w:val="18"/>
                  <w:szCs w:val="18"/>
                  <w:b w:val="1"/>
                  <w:bCs w:val="1"/>
                  <w:i w:val="1"/>
                  <w:iCs w:val="1"/>
                  <w:color w:val="0000EE"/>
                </w:rPr>
                <w:t>Eligibility; Per-Person Award Limitations</w:t>
              </w:r>
            </w:hyperlink>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A-9</w:t>
            </w: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6.</w:t>
            </w:r>
          </w:p>
        </w:tc>
        <w:tc>
          <w:tcPr>
            <w:tcW w:w="3020" w:type="dxa"/>
            <w:vAlign w:val="bottom"/>
            <w:tcBorders>
              <w:top w:val="single" w:sz="8" w:color="0000EE"/>
            </w:tcBorders>
            <w:gridSpan w:val="11"/>
          </w:tcPr>
          <w:p>
            <w:pPr>
              <w:spacing w:after="0"/>
              <w:rPr>
                <w:rFonts w:ascii="Arial" w:cs="Arial" w:eastAsia="Arial" w:hAnsi="Arial"/>
                <w:sz w:val="18"/>
                <w:szCs w:val="18"/>
                <w:b w:val="1"/>
                <w:bCs w:val="1"/>
                <w:i w:val="1"/>
                <w:iCs w:val="1"/>
                <w:color w:val="0000EE"/>
              </w:rPr>
            </w:pPr>
            <w:hyperlink w:anchor="page63">
              <w:r>
                <w:rPr>
                  <w:rFonts w:ascii="Arial" w:cs="Arial" w:eastAsia="Arial" w:hAnsi="Arial"/>
                  <w:sz w:val="18"/>
                  <w:szCs w:val="18"/>
                  <w:b w:val="1"/>
                  <w:bCs w:val="1"/>
                  <w:i w:val="1"/>
                  <w:iCs w:val="1"/>
                  <w:color w:val="0000EE"/>
                </w:rPr>
                <w:t>Specific Terms of Awards.</w:t>
              </w:r>
            </w:hyperlink>
          </w:p>
        </w:tc>
        <w:tc>
          <w:tcPr>
            <w:tcW w:w="428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A-9</w:t>
            </w:r>
          </w:p>
        </w:tc>
      </w:tr>
      <w:tr>
        <w:trPr>
          <w:trHeight w:val="20"/>
        </w:trPr>
        <w:tc>
          <w:tcPr>
            <w:tcW w:w="50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7.</w:t>
            </w:r>
          </w:p>
        </w:tc>
        <w:tc>
          <w:tcPr>
            <w:tcW w:w="2980" w:type="dxa"/>
            <w:vAlign w:val="bottom"/>
            <w:tcBorders>
              <w:bottom w:val="single" w:sz="8" w:color="0000EE"/>
            </w:tcBorders>
            <w:gridSpan w:val="10"/>
          </w:tcPr>
          <w:p>
            <w:pPr>
              <w:spacing w:after="0"/>
              <w:rPr>
                <w:rFonts w:ascii="Arial" w:cs="Arial" w:eastAsia="Arial" w:hAnsi="Arial"/>
                <w:sz w:val="18"/>
                <w:szCs w:val="18"/>
                <w:b w:val="1"/>
                <w:bCs w:val="1"/>
                <w:i w:val="1"/>
                <w:iCs w:val="1"/>
                <w:color w:val="0000EE"/>
                <w:w w:val="84"/>
              </w:rPr>
            </w:pPr>
            <w:hyperlink w:anchor="page68">
              <w:r>
                <w:rPr>
                  <w:rFonts w:ascii="Arial" w:cs="Arial" w:eastAsia="Arial" w:hAnsi="Arial"/>
                  <w:sz w:val="18"/>
                  <w:szCs w:val="18"/>
                  <w:b w:val="1"/>
                  <w:bCs w:val="1"/>
                  <w:i w:val="1"/>
                  <w:iCs w:val="1"/>
                  <w:color w:val="0000EE"/>
                  <w:w w:val="84"/>
                </w:rPr>
                <w:t>Certain Provisions Applicable to Awards.</w:t>
              </w:r>
            </w:hyperlink>
          </w:p>
        </w:tc>
        <w:tc>
          <w:tcPr>
            <w:tcW w:w="432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rPr>
              <w:t>A-14</w:t>
            </w: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8.</w:t>
            </w:r>
          </w:p>
        </w:tc>
        <w:tc>
          <w:tcPr>
            <w:tcW w:w="7300" w:type="dxa"/>
            <w:vAlign w:val="bottom"/>
            <w:gridSpan w:val="13"/>
          </w:tcPr>
          <w:p>
            <w:pPr>
              <w:spacing w:after="0"/>
              <w:rPr>
                <w:rFonts w:ascii="Arial" w:cs="Arial" w:eastAsia="Arial" w:hAnsi="Arial"/>
                <w:sz w:val="18"/>
                <w:szCs w:val="18"/>
                <w:b w:val="1"/>
                <w:bCs w:val="1"/>
                <w:i w:val="1"/>
                <w:iCs w:val="1"/>
                <w:color w:val="0000EE"/>
              </w:rPr>
            </w:pPr>
            <w:hyperlink w:anchor="page70">
              <w:r>
                <w:rPr>
                  <w:rFonts w:ascii="Arial" w:cs="Arial" w:eastAsia="Arial" w:hAnsi="Arial"/>
                  <w:sz w:val="18"/>
                  <w:szCs w:val="18"/>
                  <w:b w:val="1"/>
                  <w:bCs w:val="1"/>
                  <w:i w:val="1"/>
                  <w:iCs w:val="1"/>
                  <w:color w:val="0000EE"/>
                </w:rPr>
                <w:t>Code Section 162(m) Provisions.</w:t>
              </w:r>
            </w:hyperlink>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i w:val="1"/>
                <w:iCs w:val="1"/>
                <w:color w:val="auto"/>
                <w:strike w:val="1"/>
                <w:w w:val="78"/>
              </w:rPr>
              <w:t>15</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w w:val="87"/>
              </w:rPr>
              <w:t>A-16</w:t>
            </w:r>
          </w:p>
        </w:tc>
      </w:tr>
      <w:tr>
        <w:trPr>
          <w:trHeight w:val="20"/>
        </w:trPr>
        <w:tc>
          <w:tcPr>
            <w:tcW w:w="50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9.</w:t>
            </w:r>
          </w:p>
        </w:tc>
        <w:tc>
          <w:tcPr>
            <w:tcW w:w="2360" w:type="dxa"/>
            <w:vAlign w:val="bottom"/>
            <w:gridSpan w:val="8"/>
          </w:tcPr>
          <w:p>
            <w:pPr>
              <w:spacing w:after="0"/>
              <w:rPr>
                <w:rFonts w:ascii="Arial" w:cs="Arial" w:eastAsia="Arial" w:hAnsi="Arial"/>
                <w:sz w:val="18"/>
                <w:szCs w:val="18"/>
                <w:b w:val="1"/>
                <w:bCs w:val="1"/>
                <w:i w:val="1"/>
                <w:iCs w:val="1"/>
                <w:color w:val="0000EE"/>
              </w:rPr>
            </w:pPr>
            <w:hyperlink w:anchor="page71">
              <w:r>
                <w:rPr>
                  <w:rFonts w:ascii="Arial" w:cs="Arial" w:eastAsia="Arial" w:hAnsi="Arial"/>
                  <w:sz w:val="18"/>
                  <w:szCs w:val="18"/>
                  <w:b w:val="1"/>
                  <w:bCs w:val="1"/>
                  <w:i w:val="1"/>
                  <w:iCs w:val="1"/>
                  <w:color w:val="0000EE"/>
                </w:rPr>
                <w:t>Change in Control.</w:t>
              </w:r>
            </w:hyperlink>
          </w:p>
        </w:tc>
        <w:tc>
          <w:tcPr>
            <w:tcW w:w="4940" w:type="dxa"/>
            <w:vAlign w:val="bottom"/>
            <w:gridSpan w:val="5"/>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i w:val="1"/>
                <w:iCs w:val="1"/>
                <w:color w:val="auto"/>
                <w:strike w:val="1"/>
                <w:w w:val="78"/>
              </w:rPr>
              <w:t>16</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w w:val="87"/>
              </w:rPr>
              <w:t>A-17</w:t>
            </w:r>
          </w:p>
        </w:tc>
      </w:tr>
      <w:tr>
        <w:trPr>
          <w:trHeight w:val="20"/>
        </w:trPr>
        <w:tc>
          <w:tcPr>
            <w:tcW w:w="50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10.</w:t>
            </w:r>
          </w:p>
        </w:tc>
        <w:tc>
          <w:tcPr>
            <w:tcW w:w="7300" w:type="dxa"/>
            <w:vAlign w:val="bottom"/>
            <w:gridSpan w:val="13"/>
          </w:tcPr>
          <w:p>
            <w:pPr>
              <w:spacing w:after="0"/>
              <w:rPr>
                <w:rFonts w:ascii="Arial" w:cs="Arial" w:eastAsia="Arial" w:hAnsi="Arial"/>
                <w:sz w:val="18"/>
                <w:szCs w:val="18"/>
                <w:b w:val="1"/>
                <w:bCs w:val="1"/>
                <w:i w:val="1"/>
                <w:iCs w:val="1"/>
                <w:color w:val="0000EE"/>
              </w:rPr>
            </w:pPr>
            <w:hyperlink w:anchor="page72">
              <w:r>
                <w:rPr>
                  <w:rFonts w:ascii="Arial" w:cs="Arial" w:eastAsia="Arial" w:hAnsi="Arial"/>
                  <w:sz w:val="18"/>
                  <w:szCs w:val="18"/>
                  <w:b w:val="1"/>
                  <w:bCs w:val="1"/>
                  <w:i w:val="1"/>
                  <w:iCs w:val="1"/>
                  <w:color w:val="0000EE"/>
                </w:rPr>
                <w:t>General Provisions.</w:t>
              </w:r>
            </w:hyperlink>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i w:val="1"/>
                <w:iCs w:val="1"/>
                <w:color w:val="auto"/>
                <w:strike w:val="1"/>
                <w:w w:val="78"/>
              </w:rPr>
              <w:t>18</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w w:val="87"/>
              </w:rPr>
              <w:t>A-18</w:t>
            </w:r>
          </w:p>
        </w:tc>
      </w:tr>
      <w:tr>
        <w:trPr>
          <w:trHeight w:val="383"/>
        </w:trPr>
        <w:tc>
          <w:tcPr>
            <w:tcW w:w="5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260" w:right="239" w:bottom="1440" w:gutter="0" w:footer="0" w:header="0"/>
        </w:sectPr>
      </w:pPr>
    </w:p>
    <w:bookmarkStart w:id="56" w:name="page57"/>
    <w:bookmarkEnd w:id="56"/>
    <w:p>
      <w:pPr>
        <w:jc w:val="center"/>
        <w:ind w:right="-11"/>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76"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2006 INCENTIVE COMPENSATION PLAN</w:t>
      </w:r>
    </w:p>
    <w:p>
      <w:pPr>
        <w:spacing w:after="0" w:line="158" w:lineRule="exact"/>
        <w:rPr>
          <w:sz w:val="20"/>
          <w:szCs w:val="20"/>
          <w:color w:val="auto"/>
        </w:rPr>
      </w:pPr>
    </w:p>
    <w:p>
      <w:pPr>
        <w:ind w:left="-8" w:right="40" w:firstLine="464"/>
        <w:spacing w:after="0" w:line="302" w:lineRule="auto"/>
        <w:tabs>
          <w:tab w:leader="none" w:pos="624" w:val="left"/>
        </w:tabs>
        <w:numPr>
          <w:ilvl w:val="0"/>
          <w:numId w:val="52"/>
        </w:numPr>
        <w:rPr>
          <w:rFonts w:ascii="Arial" w:cs="Arial" w:eastAsia="Arial" w:hAnsi="Arial"/>
          <w:sz w:val="15"/>
          <w:szCs w:val="15"/>
          <w:color w:val="auto"/>
        </w:rPr>
      </w:pPr>
      <w:r>
        <w:rPr>
          <w:rFonts w:ascii="Arial" w:cs="Arial" w:eastAsia="Arial" w:hAnsi="Arial"/>
          <w:sz w:val="15"/>
          <w:szCs w:val="15"/>
          <w:b w:val="1"/>
          <w:bCs w:val="1"/>
          <w:i w:val="1"/>
          <w:iCs w:val="1"/>
          <w:color w:val="auto"/>
        </w:rPr>
        <w:t>Purpose</w:t>
      </w:r>
      <w:r>
        <w:rPr>
          <w:rFonts w:ascii="Arial" w:cs="Arial" w:eastAsia="Arial" w:hAnsi="Arial"/>
          <w:sz w:val="15"/>
          <w:szCs w:val="15"/>
          <w:color w:val="auto"/>
        </w:rPr>
        <w:t>. The purpose of this CASUAL MALE RETAIL GROUP, INC. 2006 INCENTIVE COMPENSATION PLAN (the “Plan”) is to assist CASUAL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MALE RETAIL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 The Plan was originally adopted effective as of July 31, 2006, was amended effective as of August 27, 2009, and was further amended effective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-23495</wp:posOffset>
            </wp:positionV>
            <wp:extent cx="6680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80835" cy="8890"/>
                    </a:xfrm>
                    <a:prstGeom prst="rect">
                      <a:avLst/>
                    </a:prstGeom>
                    <a:noFill/>
                  </pic:spPr>
                </pic:pic>
              </a:graphicData>
            </a:graphic>
          </wp:anchor>
        </w:drawing>
      </w:r>
    </w:p>
    <w:p>
      <w:pPr>
        <w:ind w:left="932" w:hanging="932"/>
        <w:spacing w:after="0"/>
        <w:tabs>
          <w:tab w:leader="none" w:pos="932" w:val="left"/>
        </w:tabs>
        <w:numPr>
          <w:ilvl w:val="0"/>
          <w:numId w:val="53"/>
        </w:numPr>
        <w:rPr>
          <w:rFonts w:ascii="Arial" w:cs="Arial" w:eastAsia="Arial" w:hAnsi="Arial"/>
          <w:sz w:val="18"/>
          <w:szCs w:val="18"/>
          <w:color w:val="auto"/>
        </w:rPr>
      </w:pPr>
      <w:r>
        <w:rPr>
          <w:rFonts w:ascii="Arial" w:cs="Arial" w:eastAsia="Arial" w:hAnsi="Arial"/>
          <w:sz w:val="18"/>
          <w:szCs w:val="18"/>
          <w:color w:val="auto"/>
        </w:rPr>
        <w:t>], 2010.</w:t>
      </w:r>
    </w:p>
    <w:p>
      <w:pPr>
        <w:spacing w:after="0" w:line="151" w:lineRule="exact"/>
        <w:rPr>
          <w:rFonts w:ascii="Arial" w:cs="Arial" w:eastAsia="Arial" w:hAnsi="Arial"/>
          <w:sz w:val="18"/>
          <w:szCs w:val="18"/>
          <w:color w:val="auto"/>
        </w:rPr>
      </w:pPr>
    </w:p>
    <w:p>
      <w:pPr>
        <w:ind w:left="632" w:hanging="176"/>
        <w:spacing w:after="0"/>
        <w:tabs>
          <w:tab w:leader="none" w:pos="632" w:val="left"/>
        </w:tabs>
        <w:numPr>
          <w:ilvl w:val="1"/>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Definitions</w:t>
      </w:r>
      <w:r>
        <w:rPr>
          <w:rFonts w:ascii="Arial" w:cs="Arial" w:eastAsia="Arial" w:hAnsi="Arial"/>
          <w:sz w:val="16"/>
          <w:szCs w:val="16"/>
          <w:color w:val="auto"/>
        </w:rPr>
        <w:t>. For purposes of the Plan, the following terms shall be defined as set forth below, in addition to such terms defined in Section 1 hereof.</w:t>
      </w:r>
    </w:p>
    <w:p>
      <w:pPr>
        <w:spacing w:after="0" w:line="180" w:lineRule="exact"/>
        <w:rPr>
          <w:rFonts w:ascii="Arial" w:cs="Arial" w:eastAsia="Arial" w:hAnsi="Arial"/>
          <w:sz w:val="16"/>
          <w:szCs w:val="16"/>
          <w:color w:val="auto"/>
        </w:rPr>
      </w:pPr>
    </w:p>
    <w:p>
      <w:pPr>
        <w:ind w:left="452" w:right="240" w:firstLine="443"/>
        <w:spacing w:after="0" w:line="259" w:lineRule="auto"/>
        <w:tabs>
          <w:tab w:leader="none" w:pos="1129" w:val="left"/>
        </w:tabs>
        <w:numPr>
          <w:ilvl w:val="2"/>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Stock Award, Share granted as a bonus or in lieu of another Award, Dividend Equivalent, Other Stock-Based Award or Performance Award, together with any other right or interest, granted to a Participant under the Plan.</w:t>
      </w:r>
    </w:p>
    <w:p>
      <w:pPr>
        <w:spacing w:after="0" w:line="126" w:lineRule="exact"/>
        <w:rPr>
          <w:rFonts w:ascii="Arial" w:cs="Arial" w:eastAsia="Arial" w:hAnsi="Arial"/>
          <w:sz w:val="18"/>
          <w:szCs w:val="18"/>
          <w:color w:val="auto"/>
        </w:rPr>
      </w:pPr>
    </w:p>
    <w:p>
      <w:pPr>
        <w:ind w:left="452" w:right="240" w:firstLine="443"/>
        <w:spacing w:after="0" w:line="268" w:lineRule="auto"/>
        <w:tabs>
          <w:tab w:leader="none" w:pos="1139" w:val="left"/>
        </w:tabs>
        <w:numPr>
          <w:ilvl w:val="2"/>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any written agreement, contract or other instrument or document evidencing any Award granted by the Committee hereunder.</w:t>
      </w:r>
    </w:p>
    <w:p>
      <w:pPr>
        <w:spacing w:after="0" w:line="118" w:lineRule="exact"/>
        <w:rPr>
          <w:rFonts w:ascii="Arial" w:cs="Arial" w:eastAsia="Arial" w:hAnsi="Arial"/>
          <w:sz w:val="18"/>
          <w:szCs w:val="18"/>
          <w:color w:val="auto"/>
        </w:rPr>
      </w:pPr>
    </w:p>
    <w:p>
      <w:pPr>
        <w:ind w:left="452" w:right="20" w:firstLine="443"/>
        <w:spacing w:after="0" w:line="255" w:lineRule="auto"/>
        <w:tabs>
          <w:tab w:leader="none" w:pos="1129" w:val="left"/>
        </w:tabs>
        <w:numPr>
          <w:ilvl w:val="2"/>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Beneficiary</w:t>
      </w:r>
      <w:r>
        <w:rPr>
          <w:rFonts w:ascii="Arial" w:cs="Arial" w:eastAsia="Arial" w:hAnsi="Arial"/>
          <w:sz w:val="18"/>
          <w:szCs w:val="18"/>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person, persons, trust or trusts entitled by will or the laws of descent and distribution to receive such benefits.</w:t>
      </w:r>
    </w:p>
    <w:p>
      <w:pPr>
        <w:spacing w:after="0" w:line="129" w:lineRule="exact"/>
        <w:rPr>
          <w:rFonts w:ascii="Arial" w:cs="Arial" w:eastAsia="Arial" w:hAnsi="Arial"/>
          <w:sz w:val="18"/>
          <w:szCs w:val="18"/>
          <w:color w:val="auto"/>
        </w:rPr>
      </w:pPr>
    </w:p>
    <w:p>
      <w:pPr>
        <w:ind w:left="1152" w:hanging="257"/>
        <w:spacing w:after="0"/>
        <w:tabs>
          <w:tab w:leader="none" w:pos="1152" w:val="left"/>
        </w:tabs>
        <w:numPr>
          <w:ilvl w:val="2"/>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shall have the meaning ascribed to such term in Rule 13d-3 under the Exchange Act and any successor to such Rule.</w:t>
      </w:r>
    </w:p>
    <w:p>
      <w:pPr>
        <w:spacing w:after="0" w:line="180" w:lineRule="exact"/>
        <w:rPr>
          <w:rFonts w:ascii="Arial" w:cs="Arial" w:eastAsia="Arial" w:hAnsi="Arial"/>
          <w:sz w:val="16"/>
          <w:szCs w:val="16"/>
          <w:color w:val="auto"/>
        </w:rPr>
      </w:pPr>
    </w:p>
    <w:p>
      <w:pPr>
        <w:ind w:left="1132" w:hanging="237"/>
        <w:spacing w:after="0"/>
        <w:tabs>
          <w:tab w:leader="none" w:pos="1132" w:val="left"/>
        </w:tabs>
        <w:numPr>
          <w:ilvl w:val="2"/>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157" w:lineRule="exact"/>
        <w:rPr>
          <w:rFonts w:ascii="Arial" w:cs="Arial" w:eastAsia="Arial" w:hAnsi="Arial"/>
          <w:sz w:val="18"/>
          <w:szCs w:val="18"/>
          <w:color w:val="auto"/>
        </w:rPr>
      </w:pPr>
    </w:p>
    <w:p>
      <w:pPr>
        <w:ind w:left="452" w:firstLine="443"/>
        <w:spacing w:after="0" w:line="286" w:lineRule="auto"/>
        <w:tabs>
          <w:tab w:leader="none" w:pos="1109" w:val="left"/>
        </w:tabs>
        <w:numPr>
          <w:ilvl w:val="2"/>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with respect to any Participant, have the meaning specified in the Award Agreement. In the absence of any definition in the Award Agreement, “Cause” shall have the equivalent meaning or the same meaning as “cause” or “for cause” set forth in any employment, consulting, or other agreement for the performance of services between the Participant and the Company or a Related Entity or, in the absence of any such agreement or any such definition in such agreement, such term shall mean (i) the failure by the Participant to perform, in a reasonable manner, his or her duties as assigned by the Company or a Related Entity, (ii) any violation or breach by the Participant of his or her employment, consulting or other similar agreement with the Company or a Related Entity, if any, (iii) any violation or breach by the Participant of any non-competition, non-solicitation, non-disclosure and/or other similar agreement with the Company or a Related Entity, (iv) any act by the Participant of dishonesty or bad faith with respect to the Company or a Related Entity, (v) use of alcohol, drugs or other similar substances in a manner that adversely affects the Participant’s work performance, or (vi) the commission by the Participant of any act, misdemeanor, or crime reflecting unfavorably upon the Participant or the Company or any Related Entity. The good faith determination by the Committee of whether the Participant’s Continuous Service was terminated by the Company for “Cause” shall be final and binding for all purposes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-3995420</wp:posOffset>
            </wp:positionV>
            <wp:extent cx="9385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spacing w:after="0" w:line="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12"/>
          </w:cols>
          <w:pgMar w:left="248" w:top="260" w:right="239" w:bottom="1440" w:gutter="0" w:footer="0" w:header="0"/>
        </w:sectPr>
      </w:pPr>
    </w:p>
    <w:bookmarkStart w:id="57" w:name="page58"/>
    <w:bookmarkEnd w:id="57"/>
    <w:p>
      <w:pPr>
        <w:ind w:left="700" w:hanging="257"/>
        <w:spacing w:after="0"/>
        <w:tabs>
          <w:tab w:leader="none" w:pos="700" w:val="left"/>
        </w:tabs>
        <w:numPr>
          <w:ilvl w:val="1"/>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9(b) of the Plan.</w:t>
      </w:r>
    </w:p>
    <w:p>
      <w:pPr>
        <w:spacing w:after="0" w:line="157" w:lineRule="exact"/>
        <w:rPr>
          <w:rFonts w:ascii="Arial" w:cs="Arial" w:eastAsia="Arial" w:hAnsi="Arial"/>
          <w:sz w:val="18"/>
          <w:szCs w:val="18"/>
          <w:color w:val="auto"/>
        </w:rPr>
      </w:pPr>
    </w:p>
    <w:p>
      <w:pPr>
        <w:ind w:right="100" w:firstLine="443"/>
        <w:spacing w:after="0" w:line="268" w:lineRule="auto"/>
        <w:tabs>
          <w:tab w:leader="none" w:pos="687"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18" w:lineRule="exact"/>
        <w:rPr>
          <w:rFonts w:ascii="Arial" w:cs="Arial" w:eastAsia="Arial" w:hAnsi="Arial"/>
          <w:sz w:val="18"/>
          <w:szCs w:val="18"/>
          <w:color w:val="auto"/>
        </w:rPr>
      </w:pPr>
    </w:p>
    <w:p>
      <w:pPr>
        <w:ind w:right="300" w:firstLine="443"/>
        <w:spacing w:after="0" w:line="283" w:lineRule="auto"/>
        <w:tabs>
          <w:tab w:leader="none" w:pos="648" w:val="left"/>
        </w:tabs>
        <w:numPr>
          <w:ilvl w:val="1"/>
          <w:numId w:val="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designated by the Board to administer the Plan; provided, however, that if the Board fails to designate a committee or if there are no longer any members on the committee so designated by the Board, then the Board shall serve as the Committee. The Committee shall consist of at least two directors, and each member of the Committee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w:t>
      </w:r>
    </w:p>
    <w:p>
      <w:pPr>
        <w:spacing w:after="0" w:line="2" w:lineRule="exact"/>
        <w:rPr>
          <w:rFonts w:ascii="Arial" w:cs="Arial" w:eastAsia="Arial" w:hAnsi="Arial"/>
          <w:sz w:val="16"/>
          <w:szCs w:val="16"/>
          <w:color w:val="auto"/>
        </w:rPr>
      </w:pPr>
    </w:p>
    <w:p>
      <w:pPr>
        <w:ind w:left="320" w:hanging="316"/>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“Independent”.</w:t>
      </w:r>
    </w:p>
    <w:p>
      <w:pPr>
        <w:spacing w:after="0" w:line="151" w:lineRule="exact"/>
        <w:rPr>
          <w:rFonts w:ascii="Arial" w:cs="Arial" w:eastAsia="Arial" w:hAnsi="Arial"/>
          <w:sz w:val="18"/>
          <w:szCs w:val="18"/>
          <w:color w:val="auto"/>
        </w:rPr>
      </w:pPr>
    </w:p>
    <w:p>
      <w:pPr>
        <w:ind w:right="320" w:firstLine="443"/>
        <w:spacing w:after="0" w:line="332" w:lineRule="auto"/>
        <w:tabs>
          <w:tab w:leader="none" w:pos="648" w:val="left"/>
        </w:tabs>
        <w:numPr>
          <w:ilvl w:val="1"/>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71" w:lineRule="exact"/>
        <w:rPr>
          <w:rFonts w:ascii="Arial" w:cs="Arial" w:eastAsia="Arial" w:hAnsi="Arial"/>
          <w:sz w:val="16"/>
          <w:szCs w:val="16"/>
          <w:color w:val="auto"/>
        </w:rPr>
      </w:pPr>
    </w:p>
    <w:p>
      <w:pPr>
        <w:jc w:val="center"/>
        <w:ind w:firstLine="443"/>
        <w:spacing w:after="0" w:line="305" w:lineRule="auto"/>
        <w:tabs>
          <w:tab w:leader="none" w:pos="687" w:val="left"/>
        </w:tabs>
        <w:numPr>
          <w:ilvl w:val="1"/>
          <w:numId w:val="5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Continuous Service</w:t>
      </w:r>
      <w:r>
        <w:rPr>
          <w:rFonts w:ascii="Arial" w:cs="Arial" w:eastAsia="Arial" w:hAnsi="Arial"/>
          <w:sz w:val="15"/>
          <w:szCs w:val="15"/>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w:t>
      </w:r>
    </w:p>
    <w:p>
      <w:pPr>
        <w:ind w:right="320" w:firstLine="4"/>
        <w:spacing w:after="0" w:line="254" w:lineRule="auto"/>
        <w:tabs>
          <w:tab w:leader="none" w:pos="2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130" w:lineRule="exact"/>
        <w:rPr>
          <w:rFonts w:ascii="Arial" w:cs="Arial" w:eastAsia="Arial" w:hAnsi="Arial"/>
          <w:sz w:val="18"/>
          <w:szCs w:val="18"/>
          <w:color w:val="auto"/>
        </w:rPr>
      </w:pPr>
    </w:p>
    <w:p>
      <w:pPr>
        <w:ind w:right="540" w:firstLine="443"/>
        <w:spacing w:after="0" w:line="268" w:lineRule="auto"/>
        <w:tabs>
          <w:tab w:leader="none" w:pos="648"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 means an Eligible Person who is a “covered employee” within the meaning of Section 162(m)(3) of the Code, or any successor provision thereto.</w:t>
      </w:r>
    </w:p>
    <w:p>
      <w:pPr>
        <w:spacing w:after="0" w:line="118" w:lineRule="exact"/>
        <w:rPr>
          <w:rFonts w:ascii="Arial" w:cs="Arial" w:eastAsia="Arial" w:hAnsi="Arial"/>
          <w:sz w:val="18"/>
          <w:szCs w:val="18"/>
          <w:color w:val="auto"/>
        </w:rPr>
      </w:pPr>
    </w:p>
    <w:p>
      <w:pPr>
        <w:ind w:right="220" w:firstLine="443"/>
        <w:spacing w:after="0" w:line="268" w:lineRule="auto"/>
        <w:tabs>
          <w:tab w:leader="none" w:pos="736"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w:t>
      </w:r>
    </w:p>
    <w:p>
      <w:pPr>
        <w:spacing w:after="0" w:line="118" w:lineRule="exact"/>
        <w:rPr>
          <w:rFonts w:ascii="Arial" w:cs="Arial" w:eastAsia="Arial" w:hAnsi="Arial"/>
          <w:sz w:val="18"/>
          <w:szCs w:val="18"/>
          <w:color w:val="auto"/>
        </w:rPr>
      </w:pPr>
    </w:p>
    <w:p>
      <w:pPr>
        <w:ind w:left="700" w:hanging="257"/>
        <w:spacing w:after="0"/>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 Award</w:t>
      </w:r>
      <w:r>
        <w:rPr>
          <w:rFonts w:ascii="Arial" w:cs="Arial" w:eastAsia="Arial" w:hAnsi="Arial"/>
          <w:sz w:val="18"/>
          <w:szCs w:val="18"/>
          <w:color w:val="auto"/>
        </w:rPr>
        <w:t>” means an Award of Deferred Stock granted to a Participant under Section 6(e) hereof.</w:t>
      </w:r>
    </w:p>
    <w:p>
      <w:pPr>
        <w:spacing w:after="0" w:line="157" w:lineRule="exact"/>
        <w:rPr>
          <w:rFonts w:ascii="Arial" w:cs="Arial" w:eastAsia="Arial" w:hAnsi="Arial"/>
          <w:sz w:val="18"/>
          <w:szCs w:val="18"/>
          <w:color w:val="auto"/>
        </w:rPr>
      </w:pPr>
    </w:p>
    <w:p>
      <w:pPr>
        <w:ind w:left="700" w:hanging="257"/>
        <w:spacing w:after="0"/>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157" w:lineRule="exact"/>
        <w:rPr>
          <w:rFonts w:ascii="Arial" w:cs="Arial" w:eastAsia="Arial" w:hAnsi="Arial"/>
          <w:sz w:val="18"/>
          <w:szCs w:val="18"/>
          <w:color w:val="auto"/>
        </w:rPr>
      </w:pPr>
    </w:p>
    <w:p>
      <w:pPr>
        <w:ind w:right="620" w:firstLine="443"/>
        <w:spacing w:after="0" w:line="268" w:lineRule="auto"/>
        <w:tabs>
          <w:tab w:leader="none" w:pos="687"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18" w:lineRule="exact"/>
        <w:rPr>
          <w:rFonts w:ascii="Arial" w:cs="Arial" w:eastAsia="Arial" w:hAnsi="Arial"/>
          <w:sz w:val="18"/>
          <w:szCs w:val="18"/>
          <w:color w:val="auto"/>
        </w:rPr>
      </w:pPr>
    </w:p>
    <w:p>
      <w:pPr>
        <w:ind w:right="120" w:firstLine="443"/>
        <w:spacing w:after="0" w:line="268" w:lineRule="auto"/>
        <w:tabs>
          <w:tab w:leader="none" w:pos="687"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w:t>
      </w:r>
      <w:r>
        <w:rPr>
          <w:rFonts w:ascii="Arial" w:cs="Arial" w:eastAsia="Arial" w:hAnsi="Arial"/>
          <w:sz w:val="18"/>
          <w:szCs w:val="18"/>
          <w:color w:val="auto"/>
        </w:rPr>
        <w:t>” means a right, granted to a Participant under Section 6(g) hereof, to receive cash, Shares, other Awards or other property equal in value to dividends paid with respect to a specified number of Shares, or other periodic payments.</w:t>
      </w:r>
    </w:p>
    <w:p>
      <w:pPr>
        <w:spacing w:after="0" w:line="118" w:lineRule="exact"/>
        <w:rPr>
          <w:rFonts w:ascii="Arial" w:cs="Arial" w:eastAsia="Arial" w:hAnsi="Arial"/>
          <w:sz w:val="18"/>
          <w:szCs w:val="18"/>
          <w:color w:val="auto"/>
        </w:rPr>
      </w:pPr>
    </w:p>
    <w:p>
      <w:pPr>
        <w:ind w:left="660" w:hanging="217"/>
        <w:spacing w:after="0"/>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the Shareholder Approval Date.</w:t>
      </w:r>
    </w:p>
    <w:p>
      <w:pPr>
        <w:spacing w:after="0" w:line="157" w:lineRule="exact"/>
        <w:rPr>
          <w:rFonts w:ascii="Arial" w:cs="Arial" w:eastAsia="Arial" w:hAnsi="Arial"/>
          <w:sz w:val="18"/>
          <w:szCs w:val="18"/>
          <w:color w:val="auto"/>
        </w:rPr>
      </w:pPr>
    </w:p>
    <w:p>
      <w:pPr>
        <w:ind w:right="80" w:firstLine="443"/>
        <w:spacing w:after="0" w:line="255" w:lineRule="auto"/>
        <w:tabs>
          <w:tab w:leader="none" w:pos="667"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Person</w:t>
      </w:r>
      <w:r>
        <w:rPr>
          <w:rFonts w:ascii="Arial" w:cs="Arial" w:eastAsia="Arial" w:hAnsi="Arial"/>
          <w:sz w:val="18"/>
          <w:szCs w:val="18"/>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be considered as still in the employ of the Company or a Related Entity for purposes of eligibility for participation in the Plan.</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960"/>
          </w:cols>
          <w:pgMar w:left="700" w:top="280" w:right="239" w:bottom="1440" w:gutter="0" w:footer="0" w:header="0"/>
        </w:sectPr>
      </w:pPr>
    </w:p>
    <w:bookmarkStart w:id="58" w:name="page59"/>
    <w:bookmarkEnd w:id="58"/>
    <w:p>
      <w:pPr>
        <w:ind w:right="300" w:firstLine="443"/>
        <w:spacing w:after="0" w:line="332" w:lineRule="auto"/>
        <w:tabs>
          <w:tab w:leader="none" w:pos="648" w:val="left"/>
        </w:tabs>
        <w:numPr>
          <w:ilvl w:val="1"/>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any person, including an officer or Director, who is an employee of the Company or any Related Entity. The payment of a director’s fee by the Company or a Related Entity shall not be sufficient to constitute “employment” by the Company.</w:t>
      </w:r>
    </w:p>
    <w:p>
      <w:pPr>
        <w:spacing w:after="0" w:line="71" w:lineRule="exact"/>
        <w:rPr>
          <w:rFonts w:ascii="Arial" w:cs="Arial" w:eastAsia="Arial" w:hAnsi="Arial"/>
          <w:sz w:val="16"/>
          <w:szCs w:val="16"/>
          <w:color w:val="auto"/>
        </w:rPr>
      </w:pPr>
    </w:p>
    <w:p>
      <w:pPr>
        <w:ind w:right="40" w:firstLine="443"/>
        <w:spacing w:after="0" w:line="268" w:lineRule="auto"/>
        <w:tabs>
          <w:tab w:leader="none" w:pos="687"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18" w:lineRule="exact"/>
        <w:rPr>
          <w:rFonts w:ascii="Arial" w:cs="Arial" w:eastAsia="Arial" w:hAnsi="Arial"/>
          <w:sz w:val="18"/>
          <w:szCs w:val="18"/>
          <w:color w:val="auto"/>
        </w:rPr>
      </w:pPr>
    </w:p>
    <w:p>
      <w:pPr>
        <w:ind w:right="60" w:firstLine="443"/>
        <w:spacing w:after="0" w:line="255" w:lineRule="auto"/>
        <w:tabs>
          <w:tab w:leader="none" w:pos="687"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the fair market value of Shares, Awards or other property as determined by the Committee, or under procedures established by the Committee. Unless otherwise determined by the Committee, the Fair Market Value of a Share as of any given date shall be the closing sale price per Share reported on a consolidated basis for stock listed on the principal stock exchange or market on which Shares are traded on the date immediately preceding the date as of which such value is being determined or, if there is no sale on that date, then on the last previous day on which a sale was reported.</w:t>
      </w:r>
    </w:p>
    <w:p>
      <w:pPr>
        <w:spacing w:after="0" w:line="129" w:lineRule="exact"/>
        <w:rPr>
          <w:rFonts w:ascii="Arial" w:cs="Arial" w:eastAsia="Arial" w:hAnsi="Arial"/>
          <w:sz w:val="18"/>
          <w:szCs w:val="18"/>
          <w:color w:val="auto"/>
        </w:rPr>
      </w:pPr>
    </w:p>
    <w:p>
      <w:pPr>
        <w:ind w:firstLine="443"/>
        <w:spacing w:after="0" w:line="301" w:lineRule="auto"/>
        <w:tabs>
          <w:tab w:leader="none" w:pos="726" w:val="left"/>
        </w:tabs>
        <w:numPr>
          <w:ilvl w:val="1"/>
          <w:numId w:val="5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Good Reason</w:t>
      </w:r>
      <w:r>
        <w:rPr>
          <w:rFonts w:ascii="Arial" w:cs="Arial" w:eastAsia="Arial" w:hAnsi="Arial"/>
          <w:sz w:val="15"/>
          <w:szCs w:val="15"/>
          <w:color w:val="auto"/>
        </w:rPr>
        <w:t>” shall, with respect to any Participant, have the meaning specified in the Award Agreement. In the absence of any definition in the Award Agreement, “Good Reason” shall have the equivalent meaning or the same meaning as “good reason” or “for good reason” set forth in any employment, consulting or other agreement for the performance of services between the Participant and the Company or a Related Entity or, in the absence of any such agreement or any such definition in such agreement, such term shall mean (i) the assignment to the Participant of any duties inconsistent in any material respect with the Participant’s duties or responsibilities as assigned by the Company or a Related Entity, or any other action by the Company or a Related Entity which results in a material diminution in such duties or responsibilities, excluding for this purpose an isolated, insubstantial and inadvertent action not taken in bad faith and which is remedied by the Company or a Related Entity promptly after receipt of notice thereof given by the Participant;</w:t>
      </w:r>
    </w:p>
    <w:p>
      <w:pPr>
        <w:spacing w:after="0" w:line="4" w:lineRule="exact"/>
        <w:rPr>
          <w:rFonts w:ascii="Arial" w:cs="Arial" w:eastAsia="Arial" w:hAnsi="Arial"/>
          <w:sz w:val="15"/>
          <w:szCs w:val="15"/>
          <w:color w:val="auto"/>
        </w:rPr>
      </w:pPr>
    </w:p>
    <w:p>
      <w:pPr>
        <w:ind w:right="120" w:firstLine="4"/>
        <w:spacing w:after="0" w:line="253" w:lineRule="auto"/>
        <w:tabs>
          <w:tab w:leader="none" w:pos="259"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material failure by the Company or a Related Entity to comply with its obligations to the Participant as agreed upon, other than an isolated, insubstantial and inadvertent failure not occurring in bad faith and which is remedied by the Company or a Related Entity promptly after receipt of notice thereof given by the Participant; or (iii) the Company’s or Related Entity’s requiring the Participant to be based at any office or location outside of fifty miles from the location of employment or service as of the date of Award, except for travel reasonably required in the performance of the Participant’s responsibilities.</w:t>
      </w:r>
    </w:p>
    <w:p>
      <w:pPr>
        <w:spacing w:after="0" w:line="131" w:lineRule="exact"/>
        <w:rPr>
          <w:rFonts w:ascii="Arial" w:cs="Arial" w:eastAsia="Arial" w:hAnsi="Arial"/>
          <w:sz w:val="18"/>
          <w:szCs w:val="18"/>
          <w:color w:val="auto"/>
        </w:rPr>
      </w:pPr>
    </w:p>
    <w:p>
      <w:pPr>
        <w:ind w:right="340" w:firstLine="443"/>
        <w:spacing w:after="0" w:line="268" w:lineRule="auto"/>
        <w:tabs>
          <w:tab w:leader="none" w:pos="687"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18" w:lineRule="exact"/>
        <w:rPr>
          <w:rFonts w:ascii="Arial" w:cs="Arial" w:eastAsia="Arial" w:hAnsi="Arial"/>
          <w:sz w:val="18"/>
          <w:szCs w:val="18"/>
          <w:color w:val="auto"/>
        </w:rPr>
      </w:pPr>
    </w:p>
    <w:p>
      <w:pPr>
        <w:jc w:val="both"/>
        <w:ind w:right="20" w:firstLine="443"/>
        <w:spacing w:after="0" w:line="259" w:lineRule="auto"/>
        <w:tabs>
          <w:tab w:leader="none" w:pos="687"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w:t>
      </w:r>
      <w:r>
        <w:rPr>
          <w:rFonts w:ascii="Arial" w:cs="Arial" w:eastAsia="Arial" w:hAnsi="Arial"/>
          <w:sz w:val="18"/>
          <w:szCs w:val="18"/>
          <w:color w:val="auto"/>
        </w:rPr>
        <w:t>”,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w:t>
      </w:r>
    </w:p>
    <w:p>
      <w:pPr>
        <w:spacing w:after="0" w:line="126" w:lineRule="exact"/>
        <w:rPr>
          <w:rFonts w:ascii="Arial" w:cs="Arial" w:eastAsia="Arial" w:hAnsi="Arial"/>
          <w:sz w:val="18"/>
          <w:szCs w:val="18"/>
          <w:color w:val="auto"/>
        </w:rPr>
      </w:pPr>
    </w:p>
    <w:p>
      <w:pPr>
        <w:ind w:left="680" w:hanging="237"/>
        <w:spacing w:after="0"/>
        <w:tabs>
          <w:tab w:leader="none" w:pos="6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9(b)(ii) of the Plan.</w:t>
      </w:r>
    </w:p>
    <w:p>
      <w:pPr>
        <w:spacing w:after="0" w:line="158" w:lineRule="exact"/>
        <w:rPr>
          <w:sz w:val="20"/>
          <w:szCs w:val="20"/>
          <w:color w:val="auto"/>
        </w:rPr>
      </w:pPr>
    </w:p>
    <w:p>
      <w:pPr>
        <w:ind w:right="560" w:firstLine="443"/>
        <w:spacing w:after="0" w:line="332" w:lineRule="auto"/>
        <w:tabs>
          <w:tab w:leader="none" w:pos="755" w:val="left"/>
        </w:tabs>
        <w:numPr>
          <w:ilvl w:val="0"/>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 right granted to a Participant under Section 6(b) hereof, to purchase Shares or other Awards at a specified price during specified time periods.</w:t>
      </w:r>
    </w:p>
    <w:p>
      <w:pPr>
        <w:spacing w:after="0" w:line="71" w:lineRule="exact"/>
        <w:rPr>
          <w:rFonts w:ascii="Arial" w:cs="Arial" w:eastAsia="Arial" w:hAnsi="Arial"/>
          <w:sz w:val="16"/>
          <w:szCs w:val="16"/>
          <w:color w:val="auto"/>
        </w:rPr>
      </w:pPr>
    </w:p>
    <w:p>
      <w:pPr>
        <w:ind w:left="780" w:hanging="337"/>
        <w:spacing w:after="0"/>
        <w:tabs>
          <w:tab w:leader="none" w:pos="7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 such person under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51" w:lineRule="exact"/>
        <w:rPr>
          <w:rFonts w:ascii="Arial" w:cs="Arial" w:eastAsia="Arial" w:hAnsi="Arial"/>
          <w:sz w:val="16"/>
          <w:szCs w:val="16"/>
          <w:color w:val="auto"/>
        </w:rPr>
      </w:pPr>
    </w:p>
    <w:p>
      <w:pPr>
        <w:ind w:left="760" w:hanging="317"/>
        <w:spacing w:after="0"/>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6(i) hereof.</w:t>
      </w:r>
    </w:p>
    <w:p>
      <w:pPr>
        <w:spacing w:after="0" w:line="157" w:lineRule="exact"/>
        <w:rPr>
          <w:rFonts w:ascii="Arial" w:cs="Arial" w:eastAsia="Arial" w:hAnsi="Arial"/>
          <w:sz w:val="18"/>
          <w:szCs w:val="18"/>
          <w:color w:val="auto"/>
        </w:rPr>
      </w:pPr>
    </w:p>
    <w:p>
      <w:pPr>
        <w:ind w:right="160" w:firstLine="443"/>
        <w:spacing w:after="0" w:line="268" w:lineRule="auto"/>
        <w:tabs>
          <w:tab w:leader="none" w:pos="7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has been granted an Award under the Plan which remains outstanding, including a person who is no longer an Eligible Person.</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20"/>
          </w:cols>
          <w:pgMar w:left="700" w:top="280" w:right="279" w:bottom="1440" w:gutter="0" w:footer="0" w:header="0"/>
        </w:sectPr>
      </w:pPr>
    </w:p>
    <w:bookmarkStart w:id="59" w:name="page60"/>
    <w:bookmarkEnd w:id="59"/>
    <w:p>
      <w:pPr>
        <w:ind w:left="760" w:hanging="317"/>
        <w:spacing w:after="0"/>
        <w:tabs>
          <w:tab w:leader="none" w:pos="760" w:val="left"/>
        </w:tabs>
        <w:numPr>
          <w:ilvl w:val="0"/>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shall mean any Award of Performance Shares or Performance Units granted pursuant to Section 6(h).</w:t>
      </w:r>
    </w:p>
    <w:p>
      <w:pPr>
        <w:spacing w:after="0" w:line="180" w:lineRule="exact"/>
        <w:rPr>
          <w:rFonts w:ascii="Arial" w:cs="Arial" w:eastAsia="Arial" w:hAnsi="Arial"/>
          <w:sz w:val="16"/>
          <w:szCs w:val="16"/>
          <w:color w:val="auto"/>
        </w:rPr>
      </w:pPr>
    </w:p>
    <w:p>
      <w:pPr>
        <w:ind w:right="180" w:firstLine="443"/>
        <w:spacing w:after="0" w:line="268" w:lineRule="auto"/>
        <w:tabs>
          <w:tab w:leader="none" w:pos="713"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18" w:lineRule="exact"/>
        <w:rPr>
          <w:rFonts w:ascii="Arial" w:cs="Arial" w:eastAsia="Arial" w:hAnsi="Arial"/>
          <w:sz w:val="18"/>
          <w:szCs w:val="18"/>
          <w:color w:val="auto"/>
        </w:rPr>
      </w:pPr>
    </w:p>
    <w:p>
      <w:pPr>
        <w:ind w:right="200" w:firstLine="443"/>
        <w:spacing w:after="0" w:line="256" w:lineRule="auto"/>
        <w:tabs>
          <w:tab w:leader="none" w:pos="7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any grant pursuant to Section 6(h)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29" w:lineRule="exact"/>
        <w:rPr>
          <w:rFonts w:ascii="Arial" w:cs="Arial" w:eastAsia="Arial" w:hAnsi="Arial"/>
          <w:sz w:val="18"/>
          <w:szCs w:val="18"/>
          <w:color w:val="auto"/>
        </w:rPr>
      </w:pPr>
    </w:p>
    <w:p>
      <w:pPr>
        <w:ind w:firstLine="443"/>
        <w:spacing w:after="0" w:line="256" w:lineRule="auto"/>
        <w:tabs>
          <w:tab w:leader="none" w:pos="7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6(h)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29" w:lineRule="exact"/>
        <w:rPr>
          <w:rFonts w:ascii="Arial" w:cs="Arial" w:eastAsia="Arial" w:hAnsi="Arial"/>
          <w:sz w:val="18"/>
          <w:szCs w:val="18"/>
          <w:color w:val="auto"/>
        </w:rPr>
      </w:pPr>
    </w:p>
    <w:p>
      <w:pPr>
        <w:ind w:right="80" w:firstLine="443"/>
        <w:spacing w:after="0" w:line="268" w:lineRule="auto"/>
        <w:tabs>
          <w:tab w:leader="none" w:pos="697"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18" w:lineRule="exact"/>
        <w:rPr>
          <w:rFonts w:ascii="Arial" w:cs="Arial" w:eastAsia="Arial" w:hAnsi="Arial"/>
          <w:sz w:val="18"/>
          <w:szCs w:val="18"/>
          <w:color w:val="auto"/>
        </w:rPr>
      </w:pPr>
    </w:p>
    <w:p>
      <w:pPr>
        <w:ind w:left="700" w:hanging="257"/>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Company’s 1992 Stock Incentive Plan, as amended.</w:t>
      </w:r>
    </w:p>
    <w:p>
      <w:pPr>
        <w:spacing w:after="0" w:line="157" w:lineRule="exact"/>
        <w:rPr>
          <w:rFonts w:ascii="Arial" w:cs="Arial" w:eastAsia="Arial" w:hAnsi="Arial"/>
          <w:sz w:val="18"/>
          <w:szCs w:val="18"/>
          <w:color w:val="auto"/>
        </w:rPr>
      </w:pPr>
    </w:p>
    <w:p>
      <w:pPr>
        <w:ind w:right="420" w:firstLine="443"/>
        <w:spacing w:after="0" w:line="268" w:lineRule="auto"/>
        <w:tabs>
          <w:tab w:leader="none" w:pos="7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Board in which the Company or a Subsidiary holds a substantial ownership interest, directly or indirectly.</w:t>
      </w:r>
    </w:p>
    <w:p>
      <w:pPr>
        <w:spacing w:after="0" w:line="118" w:lineRule="exact"/>
        <w:rPr>
          <w:rFonts w:ascii="Arial" w:cs="Arial" w:eastAsia="Arial" w:hAnsi="Arial"/>
          <w:sz w:val="18"/>
          <w:szCs w:val="18"/>
          <w:color w:val="auto"/>
        </w:rPr>
      </w:pPr>
    </w:p>
    <w:p>
      <w:pPr>
        <w:jc w:val="both"/>
        <w:ind w:right="140" w:firstLine="443"/>
        <w:spacing w:after="0" w:line="256" w:lineRule="auto"/>
        <w:tabs>
          <w:tab w:leader="none" w:pos="697"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any Share issued with the restriction that the holder may not sell, transfer, pledge or assign such Share and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29" w:lineRule="exact"/>
        <w:rPr>
          <w:rFonts w:ascii="Arial" w:cs="Arial" w:eastAsia="Arial" w:hAnsi="Arial"/>
          <w:sz w:val="18"/>
          <w:szCs w:val="18"/>
          <w:color w:val="auto"/>
        </w:rPr>
      </w:pPr>
    </w:p>
    <w:p>
      <w:pPr>
        <w:ind w:left="880" w:hanging="437"/>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granted to a Participant under Section 6(d) hereof.</w:t>
      </w:r>
    </w:p>
    <w:p>
      <w:pPr>
        <w:spacing w:after="0" w:line="157" w:lineRule="exact"/>
        <w:rPr>
          <w:rFonts w:ascii="Arial" w:cs="Arial" w:eastAsia="Arial" w:hAnsi="Arial"/>
          <w:sz w:val="18"/>
          <w:szCs w:val="18"/>
          <w:color w:val="auto"/>
        </w:rPr>
      </w:pPr>
    </w:p>
    <w:p>
      <w:pPr>
        <w:ind w:right="220" w:firstLine="443"/>
        <w:spacing w:after="0" w:line="268" w:lineRule="auto"/>
        <w:tabs>
          <w:tab w:leader="none" w:pos="7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18" w:lineRule="exact"/>
        <w:rPr>
          <w:rFonts w:ascii="Arial" w:cs="Arial" w:eastAsia="Arial" w:hAnsi="Arial"/>
          <w:sz w:val="18"/>
          <w:szCs w:val="18"/>
          <w:color w:val="auto"/>
        </w:rPr>
      </w:pPr>
    </w:p>
    <w:p>
      <w:pPr>
        <w:ind w:right="240" w:firstLine="443"/>
        <w:spacing w:after="0" w:line="256" w:lineRule="auto"/>
        <w:tabs>
          <w:tab w:leader="none" w:pos="7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Approval Date</w:t>
      </w:r>
      <w:r>
        <w:rPr>
          <w:rFonts w:ascii="Arial" w:cs="Arial" w:eastAsia="Arial" w:hAnsi="Arial"/>
          <w:sz w:val="18"/>
          <w:szCs w:val="18"/>
          <w:color w:val="auto"/>
        </w:rPr>
        <w:t>” means the date on which this Plan is approved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on quoted, and other laws, regulations and obligations of the Company applicable to the Plan.</w:t>
      </w:r>
    </w:p>
    <w:p>
      <w:pPr>
        <w:spacing w:after="0" w:line="129" w:lineRule="exact"/>
        <w:rPr>
          <w:rFonts w:ascii="Arial" w:cs="Arial" w:eastAsia="Arial" w:hAnsi="Arial"/>
          <w:sz w:val="18"/>
          <w:szCs w:val="18"/>
          <w:color w:val="auto"/>
        </w:rPr>
      </w:pPr>
    </w:p>
    <w:p>
      <w:pPr>
        <w:ind w:right="440" w:firstLine="443"/>
        <w:spacing w:after="0" w:line="268" w:lineRule="auto"/>
        <w:tabs>
          <w:tab w:leader="none" w:pos="7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$.01 per share, and such other securities as may be substituted (or resubstituted) for Shares pursuant to Section 10(c) hereof.</w:t>
      </w:r>
    </w:p>
    <w:p>
      <w:pPr>
        <w:spacing w:after="0" w:line="118" w:lineRule="exact"/>
        <w:rPr>
          <w:rFonts w:ascii="Arial" w:cs="Arial" w:eastAsia="Arial" w:hAnsi="Arial"/>
          <w:sz w:val="18"/>
          <w:szCs w:val="18"/>
          <w:color w:val="auto"/>
        </w:rPr>
      </w:pPr>
    </w:p>
    <w:p>
      <w:pPr>
        <w:ind w:left="780" w:hanging="337"/>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6(c) hereof.</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20"/>
          </w:cols>
          <w:pgMar w:left="700" w:top="280" w:right="279" w:bottom="1440" w:gutter="0" w:footer="0" w:header="0"/>
        </w:sectPr>
      </w:pPr>
    </w:p>
    <w:bookmarkStart w:id="60" w:name="page61"/>
    <w:bookmarkEnd w:id="60"/>
    <w:p>
      <w:pPr>
        <w:ind w:right="60" w:firstLine="443"/>
        <w:spacing w:after="0" w:line="256" w:lineRule="auto"/>
        <w:tabs>
          <w:tab w:leader="none" w:pos="716" w:val="left"/>
        </w:tabs>
        <w:numPr>
          <w:ilvl w:val="1"/>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29" w:lineRule="exact"/>
        <w:rPr>
          <w:rFonts w:ascii="Arial" w:cs="Arial" w:eastAsia="Arial" w:hAnsi="Arial"/>
          <w:sz w:val="18"/>
          <w:szCs w:val="18"/>
          <w:color w:val="auto"/>
        </w:rPr>
      </w:pPr>
    </w:p>
    <w:p>
      <w:pPr>
        <w:ind w:right="180" w:firstLine="443"/>
        <w:spacing w:after="0" w:line="306" w:lineRule="auto"/>
        <w:tabs>
          <w:tab w:leader="none" w:pos="736"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Substitute Awards</w:t>
      </w:r>
      <w:r>
        <w:rPr>
          <w:rFonts w:ascii="Arial" w:cs="Arial" w:eastAsia="Arial" w:hAnsi="Arial"/>
          <w:sz w:val="16"/>
          <w:szCs w:val="16"/>
          <w:color w:val="auto"/>
        </w:rPr>
        <w:t>”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w:t>
      </w:r>
    </w:p>
    <w:p>
      <w:pPr>
        <w:spacing w:after="0" w:line="93" w:lineRule="exact"/>
        <w:rPr>
          <w:rFonts w:ascii="Arial" w:cs="Arial" w:eastAsia="Arial" w:hAnsi="Arial"/>
          <w:sz w:val="16"/>
          <w:szCs w:val="16"/>
          <w:color w:val="auto"/>
        </w:rPr>
      </w:pPr>
    </w:p>
    <w:p>
      <w:pPr>
        <w:ind w:left="180" w:hanging="176"/>
        <w:spacing w:after="0"/>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firstLine="443"/>
        <w:spacing w:after="0" w:line="287" w:lineRule="auto"/>
        <w:tabs>
          <w:tab w:leader="none" w:pos="677" w:val="left"/>
        </w:tabs>
        <w:numPr>
          <w:ilvl w:val="1"/>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Authority of the Committee</w:t>
      </w:r>
      <w:r>
        <w:rPr>
          <w:rFonts w:ascii="Arial" w:cs="Arial" w:eastAsia="Arial" w:hAnsi="Arial"/>
          <w:sz w:val="16"/>
          <w:szCs w:val="16"/>
          <w:color w:val="auto"/>
        </w:rPr>
        <w:t>. The Plan shall be administered by the Committee, except to the extent the Board elects to administer the Plan,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w:t>
      </w:r>
    </w:p>
    <w:p>
      <w:pPr>
        <w:spacing w:after="0" w:line="109" w:lineRule="exact"/>
        <w:rPr>
          <w:rFonts w:ascii="Arial" w:cs="Arial" w:eastAsia="Arial" w:hAnsi="Arial"/>
          <w:sz w:val="16"/>
          <w:szCs w:val="16"/>
          <w:color w:val="auto"/>
        </w:rPr>
      </w:pPr>
    </w:p>
    <w:p>
      <w:pPr>
        <w:ind w:right="60" w:firstLine="443"/>
        <w:spacing w:after="0" w:line="301" w:lineRule="auto"/>
        <w:tabs>
          <w:tab w:leader="none" w:pos="687" w:val="left"/>
        </w:tabs>
        <w:numPr>
          <w:ilvl w:val="1"/>
          <w:numId w:val="62"/>
        </w:numPr>
        <w:rPr>
          <w:rFonts w:ascii="Arial" w:cs="Arial" w:eastAsia="Arial" w:hAnsi="Arial"/>
          <w:sz w:val="15"/>
          <w:szCs w:val="15"/>
          <w:color w:val="auto"/>
        </w:rPr>
      </w:pPr>
      <w:r>
        <w:rPr>
          <w:rFonts w:ascii="Arial" w:cs="Arial" w:eastAsia="Arial" w:hAnsi="Arial"/>
          <w:sz w:val="15"/>
          <w:szCs w:val="15"/>
          <w:b w:val="1"/>
          <w:bCs w:val="1"/>
          <w:i w:val="1"/>
          <w:iCs w:val="1"/>
          <w:color w:val="auto"/>
        </w:rPr>
        <w:t>Manner of Exercise of Committee Authority</w:t>
      </w:r>
      <w:r>
        <w:rPr>
          <w:rFonts w:ascii="Arial" w:cs="Arial" w:eastAsia="Arial" w:hAnsi="Arial"/>
          <w:sz w:val="15"/>
          <w:szCs w:val="15"/>
          <w:color w:val="auto"/>
        </w:rPr>
        <w:t>. The Committee, and not the Board, shall exercise sole and exclusive discretion on any matter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relating to a Participant then subject to Section 16 of the Exchange Act with respect to the Company to the extent necessary in order that transactions by such Participant shall be exempt under Rule 16b-3 under the Exchange Act. Any action of the Committee shall be final, conclusive and binding on all persons, including the Company, its Related Entities,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officers or managers of the Company or any Related Entity, or committees thereof, the authority, subject to such terms as the Committee shall determine, to perform such functions, including administrative functions as the Committee may determine to the extent that such delegation will not result in the loss of an exemption under Rule 16b-3(d)</w:t>
      </w:r>
    </w:p>
    <w:p>
      <w:pPr>
        <w:spacing w:after="0" w:line="4" w:lineRule="exact"/>
        <w:rPr>
          <w:rFonts w:ascii="Arial" w:cs="Arial" w:eastAsia="Arial" w:hAnsi="Arial"/>
          <w:sz w:val="15"/>
          <w:szCs w:val="15"/>
          <w:color w:val="auto"/>
        </w:rPr>
      </w:pPr>
    </w:p>
    <w:p>
      <w:pPr>
        <w:jc w:val="both"/>
        <w:ind w:right="80"/>
        <w:spacing w:after="0" w:line="255" w:lineRule="auto"/>
        <w:rPr>
          <w:rFonts w:ascii="Arial" w:cs="Arial" w:eastAsia="Arial" w:hAnsi="Arial"/>
          <w:sz w:val="15"/>
          <w:szCs w:val="15"/>
          <w:color w:val="auto"/>
        </w:rPr>
      </w:pPr>
      <w:r>
        <w:rPr>
          <w:rFonts w:ascii="Arial" w:cs="Arial" w:eastAsia="Arial" w:hAnsi="Arial"/>
          <w:sz w:val="18"/>
          <w:szCs w:val="18"/>
          <w:color w:val="auto"/>
        </w:rPr>
        <w:t>(1)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130" w:lineRule="exact"/>
        <w:rPr>
          <w:rFonts w:ascii="Arial" w:cs="Arial" w:eastAsia="Arial" w:hAnsi="Arial"/>
          <w:sz w:val="15"/>
          <w:szCs w:val="15"/>
          <w:color w:val="auto"/>
        </w:rPr>
      </w:pPr>
    </w:p>
    <w:p>
      <w:pPr>
        <w:ind w:right="20" w:firstLine="443"/>
        <w:spacing w:after="0" w:line="294" w:lineRule="auto"/>
        <w:tabs>
          <w:tab w:leader="none" w:pos="677" w:val="left"/>
        </w:tabs>
        <w:numPr>
          <w:ilvl w:val="1"/>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of Liability</w:t>
      </w:r>
      <w:r>
        <w:rPr>
          <w:rFonts w:ascii="Arial" w:cs="Arial" w:eastAsia="Arial" w:hAnsi="Arial"/>
          <w:sz w:val="16"/>
          <w:szCs w:val="16"/>
          <w:color w:val="auto"/>
        </w:rPr>
        <w:t>. The Committee and the Board, and each member thereof, shall be entitled to, in good faith, rely or act upon any report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40"/>
          </w:cols>
          <w:pgMar w:left="700" w:top="280" w:right="259" w:bottom="1440" w:gutter="0" w:footer="0" w:header="0"/>
        </w:sectPr>
      </w:pPr>
    </w:p>
    <w:bookmarkStart w:id="61" w:name="page62"/>
    <w:bookmarkEnd w:id="61"/>
    <w:p>
      <w:pPr>
        <w:ind w:left="640" w:hanging="176"/>
        <w:spacing w:after="0"/>
        <w:tabs>
          <w:tab w:leader="none" w:pos="640" w:val="left"/>
        </w:tabs>
        <w:numPr>
          <w:ilvl w:val="1"/>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Subject to Plan</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460" w:firstLine="443"/>
        <w:spacing w:after="0" w:line="284" w:lineRule="auto"/>
        <w:tabs>
          <w:tab w:leader="none" w:pos="1137" w:val="left"/>
        </w:tabs>
        <w:numPr>
          <w:ilvl w:val="2"/>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on Overall Number of Shares Available for Delivery Under Plan</w:t>
      </w:r>
      <w:r>
        <w:rPr>
          <w:rFonts w:ascii="Arial" w:cs="Arial" w:eastAsia="Arial" w:hAnsi="Arial"/>
          <w:sz w:val="16"/>
          <w:szCs w:val="16"/>
          <w:color w:val="auto"/>
        </w:rPr>
        <w:t>. Subject to adjustment as provided in Section 10(c) hereof, the total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number of Shares reserved and available for delivery under the Plan shall be </w:t>
      </w:r>
      <w:r>
        <w:rPr>
          <w:rFonts w:ascii="Arial" w:cs="Arial" w:eastAsia="Arial" w:hAnsi="Arial"/>
          <w:sz w:val="16"/>
          <w:szCs w:val="16"/>
          <w:color w:val="auto"/>
          <w:strike w:val="1"/>
        </w:rPr>
        <w:t>3,250,000</w:t>
      </w:r>
      <w:r>
        <w:rPr>
          <w:rFonts w:ascii="Arial" w:cs="Arial" w:eastAsia="Arial" w:hAnsi="Arial"/>
          <w:sz w:val="16"/>
          <w:szCs w:val="16"/>
          <w:u w:val="single" w:color="auto"/>
          <w:color w:val="auto"/>
        </w:rPr>
        <w:t>5,750,000*</w:t>
      </w:r>
      <w:r>
        <w:rPr>
          <w:rFonts w:ascii="Arial" w:cs="Arial" w:eastAsia="Arial" w:hAnsi="Arial"/>
          <w:sz w:val="16"/>
          <w:szCs w:val="16"/>
          <w:color w:val="auto"/>
        </w:rPr>
        <w:t>; provided, however, that the maximum number of Shares issued or available for issuance under the Plan with respect to Awards other than Options and Stock Appreciation Rights shall not exceed</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strike w:val="1"/>
        </w:rPr>
        <w:t>1,250,000.</w:t>
      </w:r>
      <w:r>
        <w:rPr>
          <w:rFonts w:ascii="Arial" w:cs="Arial" w:eastAsia="Arial" w:hAnsi="Arial"/>
          <w:sz w:val="16"/>
          <w:szCs w:val="16"/>
          <w:u w:val="single" w:color="auto"/>
          <w:color w:val="auto"/>
        </w:rPr>
        <w:t>3,750,000.*</w:t>
      </w:r>
      <w:r>
        <w:rPr>
          <w:rFonts w:ascii="Arial" w:cs="Arial" w:eastAsia="Arial" w:hAnsi="Arial"/>
          <w:sz w:val="16"/>
          <w:szCs w:val="16"/>
          <w:color w:val="auto"/>
        </w:rPr>
        <w:t xml:space="preserve"> Any Shares delivered under the Plan may consist, in whole or in part, of authorized and unissued shares or treasury shares.</w:t>
      </w:r>
    </w:p>
    <w:p>
      <w:pPr>
        <w:spacing w:after="0" w:line="174" w:lineRule="exact"/>
        <w:rPr>
          <w:rFonts w:ascii="Arial" w:cs="Arial" w:eastAsia="Arial" w:hAnsi="Arial"/>
          <w:sz w:val="16"/>
          <w:szCs w:val="16"/>
          <w:color w:val="auto"/>
        </w:rPr>
      </w:pPr>
    </w:p>
    <w:p>
      <w:pPr>
        <w:ind w:left="460" w:right="60" w:firstLine="443"/>
        <w:spacing w:after="0" w:line="291" w:lineRule="auto"/>
        <w:tabs>
          <w:tab w:leader="none" w:pos="1147" w:val="left"/>
        </w:tabs>
        <w:numPr>
          <w:ilvl w:val="2"/>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Application of Limitation to Grants of Award</w:t>
      </w:r>
      <w:r>
        <w:rPr>
          <w:rFonts w:ascii="Arial" w:cs="Arial" w:eastAsia="Arial" w:hAnsi="Arial"/>
          <w:sz w:val="16"/>
          <w:szCs w:val="16"/>
          <w:color w:val="auto"/>
        </w:rPr>
        <w:t>. No Award may be granted if the number of Shares to be delivered in connection with such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or, in the case of an Award relating to Shares but settled only in cash (such as cash-only Stock Appreciation Rights), the number of Shares to which such Award relates, exceeds the number of Shares remaining available for delivery under the Plan, minus the number of Shares deliverable in settlement of or relating to then outstanding Awards.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106" w:lineRule="exact"/>
        <w:rPr>
          <w:rFonts w:ascii="Arial" w:cs="Arial" w:eastAsia="Arial" w:hAnsi="Arial"/>
          <w:sz w:val="16"/>
          <w:szCs w:val="16"/>
          <w:color w:val="auto"/>
        </w:rPr>
      </w:pPr>
    </w:p>
    <w:p>
      <w:pPr>
        <w:ind w:left="1140" w:hanging="237"/>
        <w:spacing w:after="0"/>
        <w:tabs>
          <w:tab w:leader="none" w:pos="1140" w:val="left"/>
        </w:tabs>
        <w:numPr>
          <w:ilvl w:val="2"/>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920" w:right="220" w:firstLine="421"/>
        <w:spacing w:after="0" w:line="335" w:lineRule="auto"/>
        <w:tabs>
          <w:tab w:leader="none" w:pos="1549" w:val="left"/>
        </w:tabs>
        <w:numPr>
          <w:ilvl w:val="3"/>
          <w:numId w:val="63"/>
        </w:numPr>
        <w:rPr>
          <w:rFonts w:ascii="Arial" w:cs="Arial" w:eastAsia="Arial" w:hAnsi="Arial"/>
          <w:sz w:val="15"/>
          <w:szCs w:val="15"/>
          <w:color w:val="auto"/>
        </w:rPr>
      </w:pPr>
      <w:r>
        <w:rPr>
          <w:rFonts w:ascii="Arial" w:cs="Arial" w:eastAsia="Arial" w:hAnsi="Arial"/>
          <w:sz w:val="15"/>
          <w:szCs w:val="15"/>
          <w:color w:val="auto"/>
        </w:rPr>
        <w:t>If any Shares subject to an Award are forfeited, expire or otherwise terminate without issuance of such Shares, or any Award is settled for cash or otherwise does not result in the issuance of all or a portion of the Shares subject to such Award, the Shares shall, to the extent of such forfeiture, expiration, termination, cash settlement or non-issuance, again be available for Awards under the Plan, subject to Section 4(c)(v) below.</w:t>
      </w:r>
    </w:p>
    <w:p>
      <w:pPr>
        <w:spacing w:after="0" w:line="74" w:lineRule="exact"/>
        <w:rPr>
          <w:rFonts w:ascii="Arial" w:cs="Arial" w:eastAsia="Arial" w:hAnsi="Arial"/>
          <w:sz w:val="15"/>
          <w:szCs w:val="15"/>
          <w:color w:val="auto"/>
        </w:rPr>
      </w:pPr>
    </w:p>
    <w:p>
      <w:pPr>
        <w:ind w:left="920" w:right="460" w:firstLine="421"/>
        <w:spacing w:after="0" w:line="332" w:lineRule="auto"/>
        <w:tabs>
          <w:tab w:leader="none" w:pos="1598" w:val="left"/>
        </w:tabs>
        <w:numPr>
          <w:ilvl w:val="3"/>
          <w:numId w:val="63"/>
        </w:numPr>
        <w:rPr>
          <w:rFonts w:ascii="Arial" w:cs="Arial" w:eastAsia="Arial" w:hAnsi="Arial"/>
          <w:sz w:val="16"/>
          <w:szCs w:val="16"/>
          <w:color w:val="auto"/>
        </w:rPr>
      </w:pPr>
      <w:r>
        <w:rPr>
          <w:rFonts w:ascii="Arial" w:cs="Arial" w:eastAsia="Arial" w:hAnsi="Arial"/>
          <w:sz w:val="16"/>
          <w:szCs w:val="16"/>
          <w:color w:val="auto"/>
        </w:rPr>
        <w:t>Awards that are settled or exercised through the payment of Shares shall be counted in full against the number of Shares available for award under the Plan, regardless of the number of Shares actually issued upon settlement or exercise of any such Award.</w:t>
      </w:r>
    </w:p>
    <w:p>
      <w:pPr>
        <w:spacing w:after="0" w:line="71" w:lineRule="exact"/>
        <w:rPr>
          <w:rFonts w:ascii="Arial" w:cs="Arial" w:eastAsia="Arial" w:hAnsi="Arial"/>
          <w:sz w:val="16"/>
          <w:szCs w:val="16"/>
          <w:color w:val="auto"/>
        </w:rPr>
      </w:pPr>
    </w:p>
    <w:p>
      <w:pPr>
        <w:ind w:left="920" w:right="20" w:firstLine="421"/>
        <w:spacing w:after="0" w:line="288" w:lineRule="auto"/>
        <w:tabs>
          <w:tab w:leader="none" w:pos="1647" w:val="left"/>
        </w:tabs>
        <w:numPr>
          <w:ilvl w:val="3"/>
          <w:numId w:val="63"/>
        </w:numPr>
        <w:rPr>
          <w:rFonts w:ascii="Arial" w:cs="Arial" w:eastAsia="Arial" w:hAnsi="Arial"/>
          <w:sz w:val="16"/>
          <w:szCs w:val="16"/>
          <w:color w:val="auto"/>
        </w:rPr>
      </w:pPr>
      <w:r>
        <w:rPr>
          <w:rFonts w:ascii="Arial" w:cs="Arial" w:eastAsia="Arial" w:hAnsi="Arial"/>
          <w:sz w:val="16"/>
          <w:szCs w:val="16"/>
          <w:color w:val="auto"/>
        </w:rPr>
        <w:t>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06" w:lineRule="exact"/>
        <w:rPr>
          <w:rFonts w:ascii="Arial" w:cs="Arial" w:eastAsia="Arial" w:hAnsi="Arial"/>
          <w:sz w:val="16"/>
          <w:szCs w:val="16"/>
          <w:color w:val="auto"/>
        </w:rPr>
      </w:pPr>
    </w:p>
    <w:p>
      <w:pPr>
        <w:ind w:left="1640" w:hanging="299"/>
        <w:spacing w:after="0"/>
        <w:tabs>
          <w:tab w:leader="none" w:pos="1640" w:val="left"/>
        </w:tabs>
        <w:numPr>
          <w:ilvl w:val="3"/>
          <w:numId w:val="63"/>
        </w:numPr>
        <w:rPr>
          <w:rFonts w:ascii="Arial" w:cs="Arial" w:eastAsia="Arial" w:hAnsi="Arial"/>
          <w:sz w:val="16"/>
          <w:szCs w:val="16"/>
          <w:color w:val="auto"/>
        </w:rPr>
      </w:pPr>
      <w:r>
        <w:rPr>
          <w:rFonts w:ascii="Arial" w:cs="Arial" w:eastAsia="Arial" w:hAnsi="Arial"/>
          <w:sz w:val="16"/>
          <w:szCs w:val="16"/>
          <w:color w:val="auto"/>
        </w:rPr>
        <w:t xml:space="preserve">Any </w:t>
      </w:r>
      <w:r>
        <w:rPr>
          <w:rFonts w:ascii="Arial" w:cs="Arial" w:eastAsia="Arial" w:hAnsi="Arial"/>
          <w:sz w:val="16"/>
          <w:szCs w:val="16"/>
          <w:color w:val="auto"/>
          <w:strike w:val="1"/>
        </w:rPr>
        <w:t>Shares</w:t>
      </w:r>
      <w:r>
        <w:rPr>
          <w:rFonts w:ascii="Arial" w:cs="Arial" w:eastAsia="Arial" w:hAnsi="Arial"/>
          <w:sz w:val="16"/>
          <w:szCs w:val="16"/>
          <w:u w:val="single" w:color="auto"/>
          <w:color w:val="auto"/>
        </w:rPr>
        <w:t>Share</w:t>
      </w:r>
      <w:r>
        <w:rPr>
          <w:rFonts w:ascii="Arial" w:cs="Arial" w:eastAsia="Arial" w:hAnsi="Arial"/>
          <w:sz w:val="16"/>
          <w:szCs w:val="16"/>
          <w:color w:val="auto"/>
        </w:rPr>
        <w:t xml:space="preserve"> that again </w:t>
      </w:r>
      <w:r>
        <w:rPr>
          <w:rFonts w:ascii="Arial" w:cs="Arial" w:eastAsia="Arial" w:hAnsi="Arial"/>
          <w:sz w:val="16"/>
          <w:szCs w:val="16"/>
          <w:color w:val="auto"/>
          <w:strike w:val="1"/>
        </w:rPr>
        <w:t>become</w:t>
      </w:r>
      <w:r>
        <w:rPr>
          <w:rFonts w:ascii="Arial" w:cs="Arial" w:eastAsia="Arial" w:hAnsi="Arial"/>
          <w:sz w:val="16"/>
          <w:szCs w:val="16"/>
          <w:u w:val="single" w:color="auto"/>
          <w:color w:val="auto"/>
        </w:rPr>
        <w:t>becomes</w:t>
      </w:r>
      <w:r>
        <w:rPr>
          <w:rFonts w:ascii="Arial" w:cs="Arial" w:eastAsia="Arial" w:hAnsi="Arial"/>
          <w:sz w:val="16"/>
          <w:szCs w:val="16"/>
          <w:color w:val="auto"/>
        </w:rPr>
        <w:t xml:space="preserve"> available for delivery pursuant to this Section 4(c) shall be added back as one (1) Share.</w:t>
      </w:r>
    </w:p>
    <w:p>
      <w:pPr>
        <w:spacing w:after="0" w:line="180" w:lineRule="exact"/>
        <w:rPr>
          <w:rFonts w:ascii="Arial" w:cs="Arial" w:eastAsia="Arial" w:hAnsi="Arial"/>
          <w:sz w:val="16"/>
          <w:szCs w:val="16"/>
          <w:color w:val="auto"/>
        </w:rPr>
      </w:pPr>
    </w:p>
    <w:p>
      <w:pPr>
        <w:ind w:left="920" w:right="240" w:firstLine="421"/>
        <w:spacing w:after="0" w:line="259" w:lineRule="auto"/>
        <w:tabs>
          <w:tab w:leader="none" w:pos="1588" w:val="left"/>
        </w:tabs>
        <w:numPr>
          <w:ilvl w:val="3"/>
          <w:numId w:val="63"/>
        </w:numPr>
        <w:rPr>
          <w:rFonts w:ascii="Arial" w:cs="Arial" w:eastAsia="Arial" w:hAnsi="Arial"/>
          <w:sz w:val="18"/>
          <w:szCs w:val="18"/>
          <w:color w:val="auto"/>
        </w:rPr>
      </w:pPr>
      <w:r>
        <w:rPr>
          <w:rFonts w:ascii="Arial" w:cs="Arial" w:eastAsia="Arial" w:hAnsi="Arial"/>
          <w:sz w:val="18"/>
          <w:szCs w:val="18"/>
          <w:color w:val="auto"/>
        </w:rPr>
        <w:t>Notwithstanding anything in this Section 4(c) to the contrary and solely for purposes of determining whether Shares are available for the delivery of Incentive Stock Options, the maximum aggregate number of shares that may be granted under this Plan shall be determined without regard to</w:t>
      </w:r>
    </w:p>
    <w:p>
      <w:pPr>
        <w:spacing w:after="0" w:line="12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These changes will be made if Proposal 2 is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280" w:right="239" w:bottom="1440" w:gutter="0" w:footer="0" w:header="0"/>
        </w:sectPr>
      </w:pPr>
    </w:p>
    <w:bookmarkStart w:id="62" w:name="page63"/>
    <w:bookmarkEnd w:id="62"/>
    <w:p>
      <w:pPr>
        <w:ind w:left="912"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Shares restored pursuant to this Section 4(c) that, if taken into account, would cause the Plan to fail the requirement under Code Section 422 that the Plan designate a maximum aggregate number of shares that may be issued.</w:t>
      </w:r>
    </w:p>
    <w:p>
      <w:pPr>
        <w:spacing w:after="0" w:line="118" w:lineRule="exact"/>
        <w:rPr>
          <w:sz w:val="20"/>
          <w:szCs w:val="20"/>
          <w:color w:val="auto"/>
        </w:rPr>
      </w:pPr>
    </w:p>
    <w:p>
      <w:pPr>
        <w:ind w:left="452" w:right="660" w:firstLine="443"/>
        <w:spacing w:after="0" w:line="268" w:lineRule="auto"/>
        <w:tabs>
          <w:tab w:leader="none" w:pos="1139" w:val="left"/>
        </w:tabs>
        <w:numPr>
          <w:ilvl w:val="2"/>
          <w:numId w:val="64"/>
        </w:numPr>
        <w:rPr>
          <w:rFonts w:ascii="Arial" w:cs="Arial" w:eastAsia="Arial" w:hAnsi="Arial"/>
          <w:sz w:val="18"/>
          <w:szCs w:val="18"/>
          <w:color w:val="auto"/>
        </w:rPr>
      </w:pPr>
      <w:r>
        <w:rPr>
          <w:rFonts w:ascii="Arial" w:cs="Arial" w:eastAsia="Arial" w:hAnsi="Arial"/>
          <w:sz w:val="18"/>
          <w:szCs w:val="18"/>
          <w:i w:val="1"/>
          <w:iCs w:val="1"/>
          <w:color w:val="auto"/>
        </w:rPr>
        <w:t>No Further Awards Under Prior Plan</w:t>
      </w:r>
      <w:r>
        <w:rPr>
          <w:rFonts w:ascii="Arial" w:cs="Arial" w:eastAsia="Arial" w:hAnsi="Arial"/>
          <w:sz w:val="18"/>
          <w:szCs w:val="18"/>
          <w:color w:val="auto"/>
        </w:rPr>
        <w:t>. In light of the adoption of this Plan, no further awards shall be made under the Prior Plan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Date.</w:t>
      </w:r>
    </w:p>
    <w:p>
      <w:pPr>
        <w:spacing w:after="0" w:line="118" w:lineRule="exact"/>
        <w:rPr>
          <w:rFonts w:ascii="Arial" w:cs="Arial" w:eastAsia="Arial" w:hAnsi="Arial"/>
          <w:sz w:val="18"/>
          <w:szCs w:val="18"/>
          <w:color w:val="auto"/>
        </w:rPr>
      </w:pPr>
    </w:p>
    <w:p>
      <w:pPr>
        <w:ind w:left="-8" w:right="40" w:firstLine="464"/>
        <w:spacing w:after="0" w:line="291" w:lineRule="auto"/>
        <w:tabs>
          <w:tab w:leader="none" w:pos="624" w:val="left"/>
        </w:tabs>
        <w:numPr>
          <w:ilvl w:val="1"/>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Eligibility; Per-Person Award Limitations</w:t>
      </w:r>
      <w:r>
        <w:rPr>
          <w:rFonts w:ascii="Arial" w:cs="Arial" w:eastAsia="Arial" w:hAnsi="Arial"/>
          <w:sz w:val="16"/>
          <w:szCs w:val="16"/>
          <w:color w:val="auto"/>
        </w:rPr>
        <w:t>. Awards may be granted under the Plan only to Eligible Persons. Subject to adjustment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Section 10(c), in any fiscal year of the Company during any part of which the Plan is in effect, no Participant may be granted Awards </w:t>
      </w:r>
      <w:r>
        <w:rPr>
          <w:rFonts w:ascii="Arial" w:cs="Arial" w:eastAsia="Arial" w:hAnsi="Arial"/>
          <w:sz w:val="16"/>
          <w:szCs w:val="16"/>
          <w:u w:val="single" w:color="auto"/>
          <w:color w:val="auto"/>
        </w:rPr>
        <w:t>that are not Performance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Units**</w:t>
      </w:r>
      <w:r>
        <w:rPr>
          <w:rFonts w:ascii="Arial" w:cs="Arial" w:eastAsia="Arial" w:hAnsi="Arial"/>
          <w:sz w:val="16"/>
          <w:szCs w:val="16"/>
          <w:color w:val="auto"/>
        </w:rPr>
        <w:t xml:space="preserve"> with respect to more than </w:t>
      </w:r>
      <w:r>
        <w:rPr>
          <w:rFonts w:ascii="Arial" w:cs="Arial" w:eastAsia="Arial" w:hAnsi="Arial"/>
          <w:sz w:val="16"/>
          <w:szCs w:val="16"/>
          <w:color w:val="auto"/>
          <w:strike w:val="1"/>
        </w:rPr>
        <w:t>500,000</w:t>
      </w:r>
      <w:r>
        <w:rPr>
          <w:rFonts w:ascii="Arial" w:cs="Arial" w:eastAsia="Arial" w:hAnsi="Arial"/>
          <w:sz w:val="16"/>
          <w:szCs w:val="16"/>
          <w:u w:val="single" w:color="auto"/>
          <w:color w:val="auto"/>
        </w:rPr>
        <w:t>1,000,000**</w:t>
      </w:r>
      <w:r>
        <w:rPr>
          <w:rFonts w:ascii="Arial" w:cs="Arial" w:eastAsia="Arial" w:hAnsi="Arial"/>
          <w:sz w:val="16"/>
          <w:szCs w:val="16"/>
          <w:color w:val="auto"/>
        </w:rPr>
        <w:t xml:space="preserve"> Shares. In addition, the maximum dollar value payable to any one Participant with respect to Performance Units is (x) $</w:t>
      </w:r>
      <w:r>
        <w:rPr>
          <w:rFonts w:ascii="Arial" w:cs="Arial" w:eastAsia="Arial" w:hAnsi="Arial"/>
          <w:sz w:val="16"/>
          <w:szCs w:val="16"/>
          <w:color w:val="auto"/>
          <w:strike w:val="1"/>
        </w:rPr>
        <w:t>1,000,000</w:t>
      </w:r>
      <w:r>
        <w:rPr>
          <w:rFonts w:ascii="Arial" w:cs="Arial" w:eastAsia="Arial" w:hAnsi="Arial"/>
          <w:sz w:val="16"/>
          <w:szCs w:val="16"/>
          <w:u w:val="single" w:color="auto"/>
          <w:color w:val="auto"/>
        </w:rPr>
        <w:t>3,000,000**</w:t>
      </w:r>
      <w:r>
        <w:rPr>
          <w:rFonts w:ascii="Arial" w:cs="Arial" w:eastAsia="Arial" w:hAnsi="Arial"/>
          <w:sz w:val="16"/>
          <w:szCs w:val="16"/>
          <w:color w:val="auto"/>
        </w:rPr>
        <w:t xml:space="preserve"> with respect to any 12 month Performance Period (pro-rated for any Performance Period that is less than 12 months based upon the ratio of the number of days in the Performance Period as compared to 365), and (y) with respect to any Performance Period that is more than 12 months, $</w:t>
      </w:r>
      <w:r>
        <w:rPr>
          <w:rFonts w:ascii="Arial" w:cs="Arial" w:eastAsia="Arial" w:hAnsi="Arial"/>
          <w:sz w:val="16"/>
          <w:szCs w:val="16"/>
          <w:color w:val="auto"/>
          <w:strike w:val="1"/>
        </w:rPr>
        <w:t>2,000,000.</w:t>
      </w:r>
      <w:r>
        <w:rPr>
          <w:rFonts w:ascii="Arial" w:cs="Arial" w:eastAsia="Arial" w:hAnsi="Arial"/>
          <w:sz w:val="16"/>
          <w:szCs w:val="16"/>
          <w:color w:val="auto"/>
        </w:rPr>
        <w:t xml:space="preserve"> </w:t>
      </w:r>
      <w:r>
        <w:rPr>
          <w:rFonts w:ascii="Arial" w:cs="Arial" w:eastAsia="Arial" w:hAnsi="Arial"/>
          <w:sz w:val="16"/>
          <w:szCs w:val="16"/>
          <w:u w:val="single" w:color="auto"/>
          <w:color w:val="auto"/>
        </w:rPr>
        <w:t>3,000,000 multiplied by the number of full 12 month periods that are in the Performance Period.**</w:t>
      </w:r>
    </w:p>
    <w:p>
      <w:pPr>
        <w:spacing w:after="0" w:line="106" w:lineRule="exact"/>
        <w:rPr>
          <w:rFonts w:ascii="Arial" w:cs="Arial" w:eastAsia="Arial" w:hAnsi="Arial"/>
          <w:sz w:val="16"/>
          <w:szCs w:val="16"/>
          <w:color w:val="auto"/>
        </w:rPr>
      </w:pPr>
    </w:p>
    <w:p>
      <w:pPr>
        <w:ind w:left="632" w:hanging="176"/>
        <w:spacing w:after="0"/>
        <w:tabs>
          <w:tab w:leader="none" w:pos="632" w:val="left"/>
        </w:tabs>
        <w:numPr>
          <w:ilvl w:val="1"/>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Specific Terms of Awards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52" w:firstLine="443"/>
        <w:spacing w:after="0" w:line="290" w:lineRule="auto"/>
        <w:tabs>
          <w:tab w:leader="none" w:pos="1129" w:val="left"/>
        </w:tabs>
        <w:numPr>
          <w:ilvl w:val="2"/>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color w:val="auto"/>
        </w:rPr>
        <w:t>. Awards may be granted on the terms and conditions set forth in this Section 6. In addition, the Committee may impose on any Award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w:t>
      </w:r>
    </w:p>
    <w:p>
      <w:pPr>
        <w:spacing w:after="0" w:line="104" w:lineRule="exact"/>
        <w:rPr>
          <w:rFonts w:ascii="Arial" w:cs="Arial" w:eastAsia="Arial" w:hAnsi="Arial"/>
          <w:sz w:val="16"/>
          <w:szCs w:val="16"/>
          <w:color w:val="auto"/>
        </w:rPr>
      </w:pPr>
    </w:p>
    <w:p>
      <w:pPr>
        <w:ind w:left="1152" w:hanging="257"/>
        <w:spacing w:after="0"/>
        <w:tabs>
          <w:tab w:leader="none" w:pos="1152" w:val="left"/>
        </w:tabs>
        <w:numPr>
          <w:ilvl w:val="2"/>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Options</w:t>
      </w:r>
      <w:r>
        <w:rPr>
          <w:rFonts w:ascii="Arial" w:cs="Arial" w:eastAsia="Arial" w:hAnsi="Arial"/>
          <w:sz w:val="18"/>
          <w:szCs w:val="18"/>
          <w:color w:val="auto"/>
        </w:rPr>
        <w:t>. The Committee is authorized to grant Options to any Eligible Person on the following terms and conditions:</w:t>
      </w:r>
    </w:p>
    <w:p>
      <w:pPr>
        <w:spacing w:after="0" w:line="157" w:lineRule="exact"/>
        <w:rPr>
          <w:rFonts w:ascii="Arial" w:cs="Arial" w:eastAsia="Arial" w:hAnsi="Arial"/>
          <w:sz w:val="18"/>
          <w:szCs w:val="18"/>
          <w:color w:val="auto"/>
        </w:rPr>
      </w:pPr>
    </w:p>
    <w:p>
      <w:pPr>
        <w:ind w:left="912" w:firstLine="421"/>
        <w:spacing w:after="0" w:line="286" w:lineRule="auto"/>
        <w:tabs>
          <w:tab w:leader="none" w:pos="1541" w:val="left"/>
        </w:tabs>
        <w:numPr>
          <w:ilvl w:val="3"/>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Other than in connection with Substitute Awards, the exercise price per Share purchasable under an Option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10(c), </w:t>
      </w:r>
      <w:r>
        <w:rPr>
          <w:rFonts w:ascii="Arial" w:cs="Arial" w:eastAsia="Arial" w:hAnsi="Arial"/>
          <w:sz w:val="16"/>
          <w:szCs w:val="16"/>
          <w:u w:val="single" w:color="auto"/>
          <w:color w:val="auto"/>
        </w:rPr>
        <w:t>(A) the terms of outstanding Options may not be amended to reduce the exercise price per Share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such Options, (B) an outstanding Option may not be cancelled, exchanged, substituted, bought out or surrendered in exchange for (i) cash or other Awards, in each case, having a Fair Market Value in excess of the amount by which the Fair Market Value of the Shares underlying such Option exceeds the aggregate exercise price of such Option or (ii) Options with an exercise price per Share that is less than the exercise price per Share of the original Option and (C)</w:t>
      </w:r>
      <w:r>
        <w:rPr>
          <w:rFonts w:ascii="Arial" w:cs="Arial" w:eastAsia="Arial" w:hAnsi="Arial"/>
          <w:sz w:val="16"/>
          <w:szCs w:val="16"/>
          <w:color w:val="auto"/>
        </w:rPr>
        <w:t xml:space="preserve"> the Committee shall not be permitted to </w:t>
      </w:r>
      <w:r>
        <w:rPr>
          <w:rFonts w:ascii="Arial" w:cs="Arial" w:eastAsia="Arial" w:hAnsi="Arial"/>
          <w:sz w:val="16"/>
          <w:szCs w:val="16"/>
          <w:color w:val="auto"/>
          <w:strike w:val="1"/>
        </w:rPr>
        <w:t>(A) lower the exercise price per</w:t>
      </w:r>
    </w:p>
    <w:p>
      <w:pPr>
        <w:spacing w:after="0" w:line="110" w:lineRule="exact"/>
        <w:rPr>
          <w:rFonts w:ascii="Arial" w:cs="Arial" w:eastAsia="Arial" w:hAnsi="Arial"/>
          <w:sz w:val="16"/>
          <w:szCs w:val="16"/>
          <w:color w:val="auto"/>
        </w:rPr>
      </w:pPr>
    </w:p>
    <w:p>
      <w:pPr>
        <w:ind w:left="452" w:hanging="452"/>
        <w:spacing w:after="0"/>
        <w:tabs>
          <w:tab w:leader="none" w:pos="4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These changes will be made if Proposal 3 is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12"/>
          </w:cols>
          <w:pgMar w:left="248" w:top="280" w:right="239" w:bottom="1440" w:gutter="0" w:footer="0" w:header="0"/>
        </w:sectPr>
      </w:pPr>
    </w:p>
    <w:bookmarkStart w:id="63" w:name="page64"/>
    <w:bookmarkEnd w:id="63"/>
    <w:p>
      <w:pPr>
        <w:jc w:val="both"/>
        <w:ind w:left="920" w:right="20"/>
        <w:spacing w:after="0" w:line="259" w:lineRule="auto"/>
        <w:rPr>
          <w:sz w:val="20"/>
          <w:szCs w:val="20"/>
          <w:color w:val="auto"/>
        </w:rPr>
      </w:pPr>
      <w:r>
        <w:rPr>
          <w:rFonts w:ascii="Arial" w:cs="Arial" w:eastAsia="Arial" w:hAnsi="Arial"/>
          <w:sz w:val="18"/>
          <w:szCs w:val="18"/>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Share of an Option after it is granted, (B) cancel an Option when the exercise price per Share exceeds the Fair Market Value of the underlying Shares in exchange for another Award (other than in connection with Substitute Awards), or (C) take any other action with respect to an Option that may be treated as a repricing, </w:t>
      </w:r>
      <w:r>
        <w:rPr>
          <w:rFonts w:ascii="Arial" w:cs="Arial" w:eastAsia="Arial" w:hAnsi="Arial"/>
          <w:sz w:val="18"/>
          <w:szCs w:val="18"/>
          <w:u w:val="single" w:color="auto"/>
          <w:color w:val="auto"/>
          <w:strike w:val="1"/>
        </w:rPr>
        <w:t>in each case,</w:t>
      </w:r>
      <w:r>
        <w:rPr>
          <w:rFonts w:ascii="Arial" w:cs="Arial" w:eastAsia="Arial" w:hAnsi="Arial"/>
          <w:sz w:val="18"/>
          <w:szCs w:val="18"/>
          <w:color w:val="auto"/>
          <w:strike w:val="1"/>
        </w:rPr>
        <w:t xml:space="preserve"> without approval of the Company</w:t>
      </w:r>
      <w:r>
        <w:rPr>
          <w:rFonts w:ascii="Arial" w:cs="Arial" w:eastAsia="Arial" w:hAnsi="Arial"/>
          <w:sz w:val="18"/>
          <w:szCs w:val="18"/>
          <w:u w:val="single" w:color="auto"/>
          <w:color w:val="auto"/>
          <w:strike w:val="1"/>
        </w:rPr>
        <w:t>’</w:t>
      </w:r>
      <w:r>
        <w:rPr>
          <w:rFonts w:ascii="Arial" w:cs="Arial" w:eastAsia="Arial" w:hAnsi="Arial"/>
          <w:sz w:val="18"/>
          <w:szCs w:val="18"/>
          <w:color w:val="auto"/>
          <w:strike w:val="1"/>
        </w:rPr>
        <w:t>s shareholders.*</w:t>
      </w:r>
    </w:p>
    <w:p>
      <w:pPr>
        <w:spacing w:after="0" w:line="127" w:lineRule="exact"/>
        <w:rPr>
          <w:sz w:val="20"/>
          <w:szCs w:val="20"/>
          <w:color w:val="auto"/>
        </w:rPr>
      </w:pPr>
    </w:p>
    <w:p>
      <w:pPr>
        <w:ind w:left="920" w:right="40" w:firstLine="421"/>
        <w:spacing w:after="0" w:line="288" w:lineRule="auto"/>
        <w:tabs>
          <w:tab w:leader="none" w:pos="1598" w:val="left"/>
        </w:tabs>
        <w:numPr>
          <w:ilvl w:val="2"/>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Time and Method of Exercise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strike w:val="1"/>
        </w:rPr>
        <w:t>The</w:t>
      </w:r>
      <w:r>
        <w:rPr>
          <w:rFonts w:ascii="Arial" w:cs="Arial" w:eastAsia="Arial" w:hAnsi="Arial"/>
          <w:sz w:val="16"/>
          <w:szCs w:val="16"/>
          <w:u w:val="single" w:color="auto"/>
          <w:color w:val="auto"/>
        </w:rPr>
        <w:t>Subject to the maximum term of any Option set forth in Section 7(b),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shall determine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time or times at which or the circumstances under which an Option may be exercised in whole or in part (including based on achievement of performance goals and/or future service requirements),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other Awards or Awards granted under other plans of the Company or a Related Entity, or other property (including notes or other contractual obligations of Participants to make payment on a deferred basis provided that such deferred payments are not in violation of the Sarbanes-Oxley Act of 2002, or any rule or regulation adopted thereunder or any other applicable law), and the methods by or forms in which Shares will be delivered or deemed to be delivered to Participants.</w:t>
      </w:r>
    </w:p>
    <w:p>
      <w:pPr>
        <w:spacing w:after="0" w:line="106" w:lineRule="exact"/>
        <w:rPr>
          <w:rFonts w:ascii="Arial" w:cs="Arial" w:eastAsia="Arial" w:hAnsi="Arial"/>
          <w:sz w:val="16"/>
          <w:szCs w:val="16"/>
          <w:color w:val="auto"/>
        </w:rPr>
      </w:pPr>
    </w:p>
    <w:p>
      <w:pPr>
        <w:ind w:left="920" w:right="120" w:firstLine="421"/>
        <w:spacing w:after="0" w:line="291" w:lineRule="auto"/>
        <w:tabs>
          <w:tab w:leader="none" w:pos="1647" w:val="left"/>
        </w:tabs>
        <w:numPr>
          <w:ilvl w:val="2"/>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The terms of any Incentive Stock Option granted under the Plan shall comply in all respects with the provisions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106" w:lineRule="exact"/>
        <w:rPr>
          <w:rFonts w:ascii="Arial" w:cs="Arial" w:eastAsia="Arial" w:hAnsi="Arial"/>
          <w:sz w:val="16"/>
          <w:szCs w:val="16"/>
          <w:color w:val="auto"/>
        </w:rPr>
      </w:pPr>
    </w:p>
    <w:p>
      <w:pPr>
        <w:ind w:left="1500" w:right="40" w:firstLine="389"/>
        <w:spacing w:after="0" w:line="254" w:lineRule="auto"/>
        <w:tabs>
          <w:tab w:leader="none" w:pos="2185" w:val="left"/>
        </w:tabs>
        <w:numPr>
          <w:ilvl w:val="3"/>
          <w:numId w:val="66"/>
        </w:numPr>
        <w:rPr>
          <w:rFonts w:ascii="Arial" w:cs="Arial" w:eastAsia="Arial" w:hAnsi="Arial"/>
          <w:sz w:val="18"/>
          <w:szCs w:val="18"/>
          <w:color w:val="auto"/>
        </w:rPr>
      </w:pPr>
      <w:r>
        <w:rPr>
          <w:rFonts w:ascii="Arial" w:cs="Arial" w:eastAsia="Arial" w:hAnsi="Arial"/>
          <w:sz w:val="18"/>
          <w:szCs w:val="18"/>
          <w:color w:val="auto"/>
        </w:rPr>
        <w:t>the Option shall not be exercisable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130" w:lineRule="exact"/>
        <w:rPr>
          <w:rFonts w:ascii="Arial" w:cs="Arial" w:eastAsia="Arial" w:hAnsi="Arial"/>
          <w:sz w:val="18"/>
          <w:szCs w:val="18"/>
          <w:color w:val="auto"/>
        </w:rPr>
      </w:pPr>
    </w:p>
    <w:p>
      <w:pPr>
        <w:ind w:left="1500" w:right="40" w:firstLine="389"/>
        <w:spacing w:after="0" w:line="255" w:lineRule="auto"/>
        <w:tabs>
          <w:tab w:leader="none" w:pos="2175" w:val="left"/>
        </w:tabs>
        <w:numPr>
          <w:ilvl w:val="3"/>
          <w:numId w:val="66"/>
        </w:numPr>
        <w:rPr>
          <w:rFonts w:ascii="Arial" w:cs="Arial" w:eastAsia="Arial" w:hAnsi="Arial"/>
          <w:sz w:val="18"/>
          <w:szCs w:val="18"/>
          <w:color w:val="auto"/>
        </w:rPr>
      </w:pPr>
      <w:r>
        <w:rPr>
          <w:rFonts w:ascii="Arial" w:cs="Arial" w:eastAsia="Arial" w:hAnsi="Arial"/>
          <w:sz w:val="18"/>
          <w:szCs w:val="18"/>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during any calendar year exercisable for the first time by the Participant during any calendar year shall not (to the extent required by the Code at the time of the grant) exceed $100,000.</w:t>
      </w:r>
    </w:p>
    <w:p>
      <w:pPr>
        <w:spacing w:after="0" w:line="129" w:lineRule="exact"/>
        <w:rPr>
          <w:rFonts w:ascii="Arial" w:cs="Arial" w:eastAsia="Arial" w:hAnsi="Arial"/>
          <w:sz w:val="18"/>
          <w:szCs w:val="18"/>
          <w:color w:val="auto"/>
        </w:rPr>
      </w:pPr>
    </w:p>
    <w:p>
      <w:pPr>
        <w:ind w:left="460" w:right="40" w:firstLine="443"/>
        <w:spacing w:after="0" w:line="256" w:lineRule="auto"/>
        <w:tabs>
          <w:tab w:leader="none" w:pos="1137" w:val="left"/>
        </w:tabs>
        <w:numPr>
          <w:ilvl w:val="1"/>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Committee may grant Stock Appreciation Rights to any Eligible Person in conjunction with all or part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granted under the Plan or at any subsequent time during the term of such Option (a “Tandem Stock Appreciation Right”), or without regard to any Option (a “Freestanding Stock Appreciation Right”), in each case upon such terms and conditions as the Committee may establish in its sole discretion, not inconsistent with the provisions of the Plan, including the following:</w:t>
      </w:r>
    </w:p>
    <w:p>
      <w:pPr>
        <w:spacing w:after="0" w:line="129" w:lineRule="exact"/>
        <w:rPr>
          <w:rFonts w:ascii="Arial" w:cs="Arial" w:eastAsia="Arial" w:hAnsi="Arial"/>
          <w:sz w:val="18"/>
          <w:szCs w:val="18"/>
          <w:color w:val="auto"/>
        </w:rPr>
      </w:pPr>
    </w:p>
    <w:p>
      <w:pPr>
        <w:ind w:left="920" w:firstLine="421"/>
        <w:spacing w:after="0" w:line="268" w:lineRule="auto"/>
        <w:tabs>
          <w:tab w:leader="none" w:pos="1549" w:val="left"/>
        </w:tabs>
        <w:numPr>
          <w:ilvl w:val="2"/>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Right to Payment</w:t>
      </w:r>
      <w:r>
        <w:rPr>
          <w:rFonts w:ascii="Arial" w:cs="Arial" w:eastAsia="Arial" w:hAnsi="Arial"/>
          <w:sz w:val="18"/>
          <w:szCs w:val="18"/>
          <w:color w:val="auto"/>
        </w:rPr>
        <w:t>. A Stock Appreciation Right shall confer on the Participant to whom it is granted a right to receive, upon exercise thereof,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excess of (A) the Fair Market Value of one Share</w:t>
      </w:r>
    </w:p>
    <w:p>
      <w:pPr>
        <w:spacing w:after="0" w:line="11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These changes will be made if Proposal 2 is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280" w:right="239" w:bottom="1440" w:gutter="0" w:footer="0" w:header="0"/>
        </w:sectPr>
      </w:pPr>
    </w:p>
    <w:bookmarkStart w:id="64" w:name="page65"/>
    <w:bookmarkEnd w:id="64"/>
    <w:p>
      <w:pPr>
        <w:ind w:left="920" w:right="32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the date of exercise over (B) the grant price of the Stock Appreciation Right as determined by the Committee. The grant price of a Stock Appreciation Right shall not be less than the Fair Market Value of a Share on the date of grant, in the case of a Freestanding Stock Appreciation Right, or less than the associated Option exercise price, in the case of a Tandem Stock Appreciation Right. Other than pursuant to Section 10(c),</w:t>
      </w:r>
    </w:p>
    <w:p>
      <w:pPr>
        <w:spacing w:after="0" w:line="1" w:lineRule="exact"/>
        <w:rPr>
          <w:sz w:val="20"/>
          <w:szCs w:val="20"/>
          <w:color w:val="auto"/>
        </w:rPr>
      </w:pPr>
    </w:p>
    <w:p>
      <w:pPr>
        <w:ind w:left="920" w:right="400" w:firstLine="1"/>
        <w:spacing w:after="0" w:line="300" w:lineRule="auto"/>
        <w:tabs>
          <w:tab w:leader="none" w:pos="1207" w:val="left"/>
        </w:tabs>
        <w:numPr>
          <w:ilvl w:val="2"/>
          <w:numId w:val="68"/>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the terms of outstanding Stock Appreciation Rights may not be amended to reduce the exercise price per Share of such Stock Appreciation Rights, (B) an outstanding Stock Appreciation Right may not be cancelled, exchanged, substituted, bought out or surrendered in exchange for</w:t>
      </w:r>
    </w:p>
    <w:p>
      <w:pPr>
        <w:ind w:left="920" w:right="60"/>
        <w:spacing w:after="0" w:line="288" w:lineRule="auto"/>
        <w:rPr>
          <w:rFonts w:ascii="Arial" w:cs="Arial" w:eastAsia="Arial" w:hAnsi="Arial"/>
          <w:sz w:val="15"/>
          <w:szCs w:val="15"/>
          <w:u w:val="single" w:color="auto"/>
          <w:color w:val="auto"/>
        </w:rPr>
      </w:pPr>
      <w:r>
        <w:rPr>
          <w:rFonts w:ascii="Arial" w:cs="Arial" w:eastAsia="Arial" w:hAnsi="Arial"/>
          <w:sz w:val="16"/>
          <w:szCs w:val="16"/>
          <w:u w:val="single" w:color="auto"/>
          <w:color w:val="auto"/>
        </w:rPr>
        <w:t>(i) cash or other Awards, in each case, having a Fair Market Value in excess of the amount by which the Fair Market Value of the Shares underlying such Stock Appreciation Right exceeds the aggregate exercise price of such Stock Appreciation Right or (ii) Stock Appreciation Rights with an exercise price per Share that is less than the exercise price per Share of the original Stock Appreciation Right and (C)</w:t>
      </w:r>
      <w:r>
        <w:rPr>
          <w:rFonts w:ascii="Arial" w:cs="Arial" w:eastAsia="Arial" w:hAnsi="Arial"/>
          <w:sz w:val="16"/>
          <w:szCs w:val="16"/>
          <w:color w:val="auto"/>
        </w:rPr>
        <w:t xml:space="preserve"> the Committee shall not be permitted to </w:t>
      </w:r>
      <w:r>
        <w:rPr>
          <w:rFonts w:ascii="Arial" w:cs="Arial" w:eastAsia="Arial" w:hAnsi="Arial"/>
          <w:sz w:val="16"/>
          <w:szCs w:val="16"/>
          <w:color w:val="auto"/>
          <w:strike w:val="1"/>
        </w:rPr>
        <w:t>(A) lower the grant price per Share of a Stock Appreciation Right after it is granted, (B) cancel a Stock Appreciation Right when the</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grant price per Share exceeds the Fair Market Value of the underlying Shares in exchange for another Award (other than in connection with Substitute Awards), or (C) take any other action with respect to a Stock Appreciation Right that may be treated as a repricing, </w:t>
      </w:r>
      <w:r>
        <w:rPr>
          <w:rFonts w:ascii="Arial" w:cs="Arial" w:eastAsia="Arial" w:hAnsi="Arial"/>
          <w:sz w:val="16"/>
          <w:szCs w:val="16"/>
          <w:u w:val="single" w:color="auto"/>
          <w:color w:val="auto"/>
          <w:strike w:val="1"/>
        </w:rPr>
        <w:t>in each case,</w:t>
      </w:r>
      <w:r>
        <w:rPr>
          <w:rFonts w:ascii="Arial" w:cs="Arial" w:eastAsia="Arial" w:hAnsi="Arial"/>
          <w:sz w:val="16"/>
          <w:szCs w:val="16"/>
          <w:color w:val="auto"/>
          <w:strike w:val="1"/>
        </w:rPr>
        <w:t xml:space="preserve"> without shareholder approval </w:t>
      </w:r>
      <w:r>
        <w:rPr>
          <w:rFonts w:ascii="Arial" w:cs="Arial" w:eastAsia="Arial" w:hAnsi="Arial"/>
          <w:sz w:val="16"/>
          <w:szCs w:val="16"/>
          <w:u w:val="single" w:color="auto"/>
          <w:color w:val="auto"/>
          <w:strike w:val="1"/>
        </w:rPr>
        <w:t>of the Company’s shareholders</w:t>
      </w:r>
      <w:r>
        <w:rPr>
          <w:rFonts w:ascii="Arial" w:cs="Arial" w:eastAsia="Arial" w:hAnsi="Arial"/>
          <w:sz w:val="16"/>
          <w:szCs w:val="16"/>
          <w:color w:val="auto"/>
          <w:strike w:val="1"/>
        </w:rPr>
        <w:t>.*</w:t>
      </w:r>
    </w:p>
    <w:p>
      <w:pPr>
        <w:spacing w:after="0" w:line="109" w:lineRule="exact"/>
        <w:rPr>
          <w:rFonts w:ascii="Arial" w:cs="Arial" w:eastAsia="Arial" w:hAnsi="Arial"/>
          <w:sz w:val="15"/>
          <w:szCs w:val="15"/>
          <w:u w:val="single" w:color="auto"/>
          <w:color w:val="auto"/>
        </w:rPr>
      </w:pPr>
    </w:p>
    <w:p>
      <w:pPr>
        <w:ind w:left="920" w:firstLine="421"/>
        <w:spacing w:after="0" w:line="290" w:lineRule="auto"/>
        <w:tabs>
          <w:tab w:leader="none" w:pos="1598" w:val="left"/>
        </w:tabs>
        <w:numPr>
          <w:ilvl w:val="3"/>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Other Terms</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strike w:val="1"/>
        </w:rPr>
        <w:t>The</w:t>
      </w:r>
      <w:r>
        <w:rPr>
          <w:rFonts w:ascii="Arial" w:cs="Arial" w:eastAsia="Arial" w:hAnsi="Arial"/>
          <w:sz w:val="16"/>
          <w:szCs w:val="16"/>
          <w:u w:val="single" w:color="auto"/>
          <w:color w:val="auto"/>
        </w:rPr>
        <w:t>Subject to the maximum term of any Stock Appreciation Right set forth in Section 7(b),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shall determine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the date of grant or thereafter, the time or times 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04" w:lineRule="exact"/>
        <w:rPr>
          <w:rFonts w:ascii="Arial" w:cs="Arial" w:eastAsia="Arial" w:hAnsi="Arial"/>
          <w:sz w:val="16"/>
          <w:szCs w:val="16"/>
          <w:color w:val="auto"/>
        </w:rPr>
      </w:pPr>
    </w:p>
    <w:p>
      <w:pPr>
        <w:ind w:left="920" w:right="20" w:firstLine="421"/>
        <w:spacing w:after="0" w:line="288" w:lineRule="auto"/>
        <w:tabs>
          <w:tab w:leader="none" w:pos="1647" w:val="left"/>
        </w:tabs>
        <w:numPr>
          <w:ilvl w:val="3"/>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Tandem Stock Appreciation Rights</w:t>
      </w:r>
      <w:r>
        <w:rPr>
          <w:rFonts w:ascii="Arial" w:cs="Arial" w:eastAsia="Arial" w:hAnsi="Arial"/>
          <w:sz w:val="16"/>
          <w:szCs w:val="16"/>
          <w:color w:val="auto"/>
        </w:rPr>
        <w:t>. Any Tandem Stock Appreciation Right may be granted at the same time as the related Option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or, for Options that are not Incentive Stock Options, at any time thereafter before exercise or expiration of such Option. Any Tandem Stock Appreciation Right related to an Option may be exercised only when the related Option would be exercisable and the Fair Market Value of the Shares subject to the related Option exceeds the exercise price at which Shares can be acquired pursuant to the Option. In addition, if a Tandem Stock Appreciation Right exists with respect to less than the full number of Shares covered by a related Option, then an exercise or termination of such Option shall not reduce the number of Shares to which the Tandem Stock Appreciation Right applies until the number of Shares then exercisable under such Option equals the number of Shares to which the Tandem Stock Appreciation Right applies. Any Option related to a Tandem Stock Appreciation Right shall no longer be exercisable to the extent the Tandem Stock Appreciation Right has been exercised, and any Tandem Stock Appreciation Right shall no longer be exercisable to the extent the related Option has been exercised.</w:t>
      </w:r>
    </w:p>
    <w:p>
      <w:pPr>
        <w:spacing w:after="0" w:line="106" w:lineRule="exact"/>
        <w:rPr>
          <w:rFonts w:ascii="Arial" w:cs="Arial" w:eastAsia="Arial" w:hAnsi="Arial"/>
          <w:sz w:val="16"/>
          <w:szCs w:val="16"/>
          <w:color w:val="auto"/>
        </w:rPr>
      </w:pPr>
    </w:p>
    <w:p>
      <w:pPr>
        <w:ind w:left="460" w:right="440" w:firstLine="443"/>
        <w:spacing w:after="0" w:line="268" w:lineRule="auto"/>
        <w:tabs>
          <w:tab w:leader="none" w:pos="1147" w:val="left"/>
        </w:tabs>
        <w:numPr>
          <w:ilvl w:val="1"/>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color w:val="auto"/>
        </w:rPr>
        <w:t>. The Committee is authorized to grant Restricted Stock Awards to any Eligible Person on the following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w:t>
      </w:r>
    </w:p>
    <w:p>
      <w:pPr>
        <w:spacing w:after="0" w:line="118" w:lineRule="exact"/>
        <w:rPr>
          <w:rFonts w:ascii="Arial" w:cs="Arial" w:eastAsia="Arial" w:hAnsi="Arial"/>
          <w:sz w:val="18"/>
          <w:szCs w:val="18"/>
          <w:color w:val="auto"/>
        </w:rPr>
      </w:pPr>
    </w:p>
    <w:p>
      <w:pPr>
        <w:ind w:left="920" w:right="160" w:firstLine="421"/>
        <w:spacing w:after="0" w:line="306" w:lineRule="auto"/>
        <w:tabs>
          <w:tab w:leader="none" w:pos="1549" w:val="left"/>
        </w:tabs>
        <w:numPr>
          <w:ilvl w:val="3"/>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Grant and Restrictions</w:t>
      </w:r>
      <w:r>
        <w:rPr>
          <w:rFonts w:ascii="Arial" w:cs="Arial" w:eastAsia="Arial" w:hAnsi="Arial"/>
          <w:sz w:val="16"/>
          <w:szCs w:val="16"/>
          <w:color w:val="auto"/>
        </w:rPr>
        <w:t>. Restricted Stock Awards shall be subject to such restrictions on transferability, risk of forfeiture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if any, as the Committee may impose, or as otherwise provided in this Plan, covering a period of time specified by the Committee (the “Restriction Period”). The terms of any Restricted Stock Award granted under the Plan shall be set forth in a written</w:t>
      </w:r>
    </w:p>
    <w:p>
      <w:pPr>
        <w:spacing w:after="0" w:line="9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These changes will be made if Proposal 2 is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360"/>
          </w:cols>
          <w:pgMar w:left="240" w:top="280" w:right="299" w:bottom="1440" w:gutter="0" w:footer="0" w:header="0"/>
        </w:sectPr>
      </w:pPr>
    </w:p>
    <w:bookmarkStart w:id="65" w:name="page66"/>
    <w:bookmarkEnd w:id="65"/>
    <w:p>
      <w:pPr>
        <w:ind w:left="460" w:right="1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Restriction Period, subject to Section 10(b) below, the Restricted Stock may not be sold, transferred, pledged, hypothecated, margined or otherwise encumbered by the Participant.</w:t>
      </w:r>
    </w:p>
    <w:p>
      <w:pPr>
        <w:spacing w:after="0" w:line="105" w:lineRule="exact"/>
        <w:rPr>
          <w:sz w:val="20"/>
          <w:szCs w:val="20"/>
          <w:color w:val="auto"/>
        </w:rPr>
      </w:pPr>
    </w:p>
    <w:p>
      <w:pPr>
        <w:ind w:left="1140" w:hanging="259"/>
        <w:spacing w:after="0"/>
        <w:tabs>
          <w:tab w:leader="none" w:pos="1140" w:val="left"/>
        </w:tabs>
        <w:numPr>
          <w:ilvl w:val="1"/>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Forfeiture</w:t>
      </w:r>
      <w:r>
        <w:rPr>
          <w:rFonts w:ascii="Arial" w:cs="Arial" w:eastAsia="Arial" w:hAnsi="Arial"/>
          <w:sz w:val="16"/>
          <w:szCs w:val="16"/>
          <w:color w:val="auto"/>
        </w:rPr>
        <w:t>. Except as otherwise determined by the Committee, upon termination of a Participant’s Continuous Service during the</w:t>
      </w:r>
    </w:p>
    <w:p>
      <w:pPr>
        <w:spacing w:after="0" w:line="38" w:lineRule="exact"/>
        <w:rPr>
          <w:rFonts w:ascii="Arial" w:cs="Arial" w:eastAsia="Arial" w:hAnsi="Arial"/>
          <w:sz w:val="16"/>
          <w:szCs w:val="16"/>
          <w:color w:val="auto"/>
        </w:rPr>
      </w:pPr>
    </w:p>
    <w:p>
      <w:pPr>
        <w:ind w:left="460" w:right="40"/>
        <w:spacing w:after="0" w:line="254" w:lineRule="auto"/>
        <w:rPr>
          <w:rFonts w:ascii="Arial" w:cs="Arial" w:eastAsia="Arial" w:hAnsi="Arial"/>
          <w:sz w:val="16"/>
          <w:szCs w:val="16"/>
          <w:color w:val="auto"/>
        </w:rPr>
      </w:pPr>
      <w:r>
        <w:rPr>
          <w:rFonts w:ascii="Arial" w:cs="Arial" w:eastAsia="Arial" w:hAnsi="Arial"/>
          <w:sz w:val="18"/>
          <w:szCs w:val="18"/>
          <w:color w:val="auto"/>
        </w:rPr>
        <w:t>applicable Restriction Period, the Participant’s Restricted Stock that is at that time subject to a risk of forfeiture that has not lapsed or otherwise been satisfied shall be forfeited and reacquired by the Company; provided that the Committee may provide, by rule or regulation or in any Award Agreement, or may determine in any individual case, that forfeiture conditions relating to Restricted Stock Awards shall be waived in whole or in part in the event of terminations resulting from specified causes.</w:t>
      </w:r>
    </w:p>
    <w:p>
      <w:pPr>
        <w:spacing w:after="0" w:line="130" w:lineRule="exact"/>
        <w:rPr>
          <w:rFonts w:ascii="Arial" w:cs="Arial" w:eastAsia="Arial" w:hAnsi="Arial"/>
          <w:sz w:val="16"/>
          <w:szCs w:val="16"/>
          <w:color w:val="auto"/>
        </w:rPr>
      </w:pPr>
    </w:p>
    <w:p>
      <w:pPr>
        <w:ind w:left="460" w:firstLine="421"/>
        <w:spacing w:after="0" w:line="298" w:lineRule="auto"/>
        <w:tabs>
          <w:tab w:leader="none" w:pos="1187" w:val="left"/>
        </w:tabs>
        <w:numPr>
          <w:ilvl w:val="1"/>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Certificates for Stock</w:t>
      </w:r>
      <w:r>
        <w:rPr>
          <w:rFonts w:ascii="Arial" w:cs="Arial" w:eastAsia="Arial" w:hAnsi="Arial"/>
          <w:sz w:val="16"/>
          <w:szCs w:val="16"/>
          <w:color w:val="auto"/>
        </w:rPr>
        <w:t>. Restricted Stock granted under the Plan may be evidenced in such manner as the Committee shall determine.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99" w:lineRule="exact"/>
        <w:rPr>
          <w:rFonts w:ascii="Arial" w:cs="Arial" w:eastAsia="Arial" w:hAnsi="Arial"/>
          <w:sz w:val="16"/>
          <w:szCs w:val="16"/>
          <w:color w:val="auto"/>
        </w:rPr>
      </w:pPr>
    </w:p>
    <w:p>
      <w:pPr>
        <w:ind w:left="460" w:firstLine="421"/>
        <w:spacing w:after="0" w:line="294" w:lineRule="auto"/>
        <w:tabs>
          <w:tab w:leader="none" w:pos="1177" w:val="left"/>
        </w:tabs>
        <w:numPr>
          <w:ilvl w:val="1"/>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Dividends and Splits</w:t>
      </w:r>
      <w:r>
        <w:rPr>
          <w:rFonts w:ascii="Arial" w:cs="Arial" w:eastAsia="Arial" w:hAnsi="Arial"/>
          <w:sz w:val="16"/>
          <w:szCs w:val="16"/>
          <w:color w:val="auto"/>
        </w:rPr>
        <w:t>. As a condition to the grant of a Restricted Stock Award, the Committee may require or permit a Participant to elect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any cash dividends paid on a Share of Restricted Stock be automatically reinvested in additional Shares of Restricted Stock or applied to the purchase of additional Awards under the Plan.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02" w:lineRule="exact"/>
        <w:rPr>
          <w:rFonts w:ascii="Arial" w:cs="Arial" w:eastAsia="Arial" w:hAnsi="Arial"/>
          <w:sz w:val="16"/>
          <w:szCs w:val="16"/>
          <w:color w:val="auto"/>
        </w:rPr>
      </w:pPr>
    </w:p>
    <w:p>
      <w:pPr>
        <w:ind w:right="740" w:firstLine="443"/>
        <w:spacing w:after="0" w:line="268" w:lineRule="auto"/>
        <w:tabs>
          <w:tab w:leader="none" w:pos="677"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Deferred Stock Award</w:t>
      </w:r>
      <w:r>
        <w:rPr>
          <w:rFonts w:ascii="Arial" w:cs="Arial" w:eastAsia="Arial" w:hAnsi="Arial"/>
          <w:sz w:val="18"/>
          <w:szCs w:val="18"/>
          <w:color w:val="auto"/>
        </w:rPr>
        <w:t>. The Committee is authorized to grant Deferred Stock Awards to any Eligible Person on the following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w:t>
      </w:r>
    </w:p>
    <w:p>
      <w:pPr>
        <w:spacing w:after="0" w:line="118" w:lineRule="exact"/>
        <w:rPr>
          <w:rFonts w:ascii="Arial" w:cs="Arial" w:eastAsia="Arial" w:hAnsi="Arial"/>
          <w:sz w:val="18"/>
          <w:szCs w:val="18"/>
          <w:color w:val="auto"/>
        </w:rPr>
      </w:pPr>
    </w:p>
    <w:p>
      <w:pPr>
        <w:ind w:left="460" w:right="40" w:firstLine="421"/>
        <w:spacing w:after="0" w:line="289" w:lineRule="auto"/>
        <w:tabs>
          <w:tab w:leader="none" w:pos="1089" w:val="left"/>
        </w:tabs>
        <w:numPr>
          <w:ilvl w:val="1"/>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Award and Restrictions</w:t>
      </w:r>
      <w:r>
        <w:rPr>
          <w:rFonts w:ascii="Arial" w:cs="Arial" w:eastAsia="Arial" w:hAnsi="Arial"/>
          <w:sz w:val="16"/>
          <w:szCs w:val="16"/>
          <w:color w:val="auto"/>
        </w:rPr>
        <w:t>. Satisfaction of a Deferred Stock Award shall occur upon expiration of the deferral period specified for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Stock Award by the Committee (or, if permitted by the Committee, as elected by the Participant). In addition, a Deferred Stock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Stock Award may be satisfied by delivery of Shares, cash equal to the Fair Market Value of the specified number of Shares covered by the Deferred Stock, or a combination thereof, as determined by the Committee at the date of grant or thereafter. Prior to satisfaction of a Deferred Stock Award, a Deferred Stock Award carries no voting or dividend or other rights associated with Share ownership.</w:t>
      </w:r>
    </w:p>
    <w:p>
      <w:pPr>
        <w:spacing w:after="0" w:line="104" w:lineRule="exact"/>
        <w:rPr>
          <w:rFonts w:ascii="Arial" w:cs="Arial" w:eastAsia="Arial" w:hAnsi="Arial"/>
          <w:sz w:val="16"/>
          <w:szCs w:val="16"/>
          <w:color w:val="auto"/>
        </w:rPr>
      </w:pPr>
    </w:p>
    <w:p>
      <w:pPr>
        <w:ind w:left="460" w:right="740" w:firstLine="421"/>
        <w:spacing w:after="0" w:line="268" w:lineRule="auto"/>
        <w:tabs>
          <w:tab w:leader="none" w:pos="1138" w:val="left"/>
        </w:tabs>
        <w:numPr>
          <w:ilvl w:val="1"/>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Forfeiture</w:t>
      </w:r>
      <w:r>
        <w:rPr>
          <w:rFonts w:ascii="Arial" w:cs="Arial" w:eastAsia="Arial" w:hAnsi="Arial"/>
          <w:sz w:val="18"/>
          <w:szCs w:val="18"/>
          <w:color w:val="auto"/>
        </w:rPr>
        <w:t>. 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deferral period or portion thereof to which</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0960"/>
          </w:cols>
          <w:pgMar w:left="700" w:top="280" w:right="239" w:bottom="1440" w:gutter="0" w:footer="0" w:header="0"/>
        </w:sectPr>
      </w:pPr>
    </w:p>
    <w:bookmarkStart w:id="66" w:name="page67"/>
    <w:bookmarkEnd w:id="66"/>
    <w:p>
      <w:pPr>
        <w:ind w:left="9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forfeiture conditions apply (as provided in the Award Agreement evidencing the Deferred Stock Award), the Participant’s Deferred Stock Award that is at that time subject to a risk of forfeiture that has not lapsed or otherwise been satisfied shall be forfeited; provided that the Committee may provide, by rule or regulation or in any Award Agreement, or may determine in any individual case, that forfeiture conditions relating to a Deferred Stock Award shall be waived in whole or in part in the event of terminations resulting from specified causes, and the Committee may in other cases waive in whole or in part the forfeiture of any Deferred Stock Award.</w:t>
      </w:r>
    </w:p>
    <w:p>
      <w:pPr>
        <w:spacing w:after="0" w:line="102" w:lineRule="exact"/>
        <w:rPr>
          <w:sz w:val="20"/>
          <w:szCs w:val="20"/>
          <w:color w:val="auto"/>
        </w:rPr>
      </w:pPr>
    </w:p>
    <w:p>
      <w:pPr>
        <w:ind w:left="920" w:right="40" w:firstLine="421"/>
        <w:spacing w:after="0" w:line="294" w:lineRule="auto"/>
        <w:tabs>
          <w:tab w:leader="none" w:pos="1647" w:val="left"/>
        </w:tabs>
        <w:numPr>
          <w:ilvl w:val="2"/>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Unless otherwise determined by the Committee at date of grant, any Dividend Equivalents that are granted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any Deferred Stock Award shall be either (A) paid with respect to such Deferred Stock Award at the dividend payment date in cash or in Shares of unrestricted stock having a Fair Market Value equal to the amount of such dividends, or (B) deferred with respect to such Deferred Stock Award and the amount or value thereof automatically deemed reinvested in additional Deferred Stock, other Awards or other investment vehicles, as the Committee shall determine or permit the Participant to elect.</w:t>
      </w:r>
    </w:p>
    <w:p>
      <w:pPr>
        <w:spacing w:after="0" w:line="102" w:lineRule="exact"/>
        <w:rPr>
          <w:rFonts w:ascii="Arial" w:cs="Arial" w:eastAsia="Arial" w:hAnsi="Arial"/>
          <w:sz w:val="16"/>
          <w:szCs w:val="16"/>
          <w:color w:val="auto"/>
        </w:rPr>
      </w:pPr>
    </w:p>
    <w:p>
      <w:pPr>
        <w:ind w:left="460" w:firstLine="443"/>
        <w:spacing w:after="0" w:line="294" w:lineRule="auto"/>
        <w:tabs>
          <w:tab w:leader="none" w:pos="1117" w:val="left"/>
        </w:tabs>
        <w:numPr>
          <w:ilvl w:val="1"/>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Bonus Stock and Awards in Lieu of Obligations</w:t>
      </w:r>
      <w:r>
        <w:rPr>
          <w:rFonts w:ascii="Arial" w:cs="Arial" w:eastAsia="Arial" w:hAnsi="Arial"/>
          <w:sz w:val="16"/>
          <w:szCs w:val="16"/>
          <w:color w:val="auto"/>
        </w:rPr>
        <w:t>. The Committee is authorized to grant Shares to any Eligible Persons as a bonus, or to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02" w:lineRule="exact"/>
        <w:rPr>
          <w:rFonts w:ascii="Arial" w:cs="Arial" w:eastAsia="Arial" w:hAnsi="Arial"/>
          <w:sz w:val="16"/>
          <w:szCs w:val="16"/>
          <w:color w:val="auto"/>
        </w:rPr>
      </w:pPr>
    </w:p>
    <w:p>
      <w:pPr>
        <w:ind w:left="460" w:right="20" w:firstLine="443"/>
        <w:spacing w:after="0" w:line="290" w:lineRule="auto"/>
        <w:tabs>
          <w:tab w:leader="none" w:pos="1147" w:val="left"/>
        </w:tabs>
        <w:numPr>
          <w:ilvl w:val="1"/>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The Committee is authorized to grant Dividend Equivalents to any Eligible Person entitling the Eligible Person to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cash, Shares, other Awards, or other property equal in value to the dividends paid with respect to a specified number of Shares, or other periodic payments. Dividend Equivalents may be Awarded on a free-standing basis or in connection with another Award. The Committee may provide that Dividend Equivalents shall be paid or distributed when accrued or shall be deemed to have been reinvested in additional Shares, Awards, or other investment vehicles, and subject to such restrictions on transferability and risks of forfeiture, as the Committee may specify. </w:t>
      </w:r>
      <w:r>
        <w:rPr>
          <w:rFonts w:ascii="Arial" w:cs="Arial" w:eastAsia="Arial" w:hAnsi="Arial"/>
          <w:sz w:val="16"/>
          <w:szCs w:val="16"/>
          <w:u w:val="single" w:color="auto"/>
          <w:color w:val="auto"/>
        </w:rPr>
        <w:t>Notwithstanding the foregoing, in no</w:t>
      </w:r>
      <w:r>
        <w:rPr>
          <w:rFonts w:ascii="Arial" w:cs="Arial" w:eastAsia="Arial" w:hAnsi="Arial"/>
          <w:sz w:val="16"/>
          <w:szCs w:val="16"/>
          <w:color w:val="auto"/>
        </w:rPr>
        <w:t xml:space="preserve"> </w:t>
      </w:r>
      <w:r>
        <w:rPr>
          <w:rFonts w:ascii="Arial" w:cs="Arial" w:eastAsia="Arial" w:hAnsi="Arial"/>
          <w:sz w:val="16"/>
          <w:szCs w:val="16"/>
          <w:u w:val="single" w:color="auto"/>
          <w:color w:val="auto"/>
        </w:rPr>
        <w:t>event shall Dividend Equivalents be paid in connection with the grant of a Performance Award until such time as the Committee has certified that the performance goals with respect to such Performance Award have been achieved for the relevant Performance Period.*</w:t>
      </w:r>
    </w:p>
    <w:p>
      <w:pPr>
        <w:spacing w:after="0" w:line="104" w:lineRule="exact"/>
        <w:rPr>
          <w:rFonts w:ascii="Arial" w:cs="Arial" w:eastAsia="Arial" w:hAnsi="Arial"/>
          <w:sz w:val="16"/>
          <w:szCs w:val="16"/>
          <w:color w:val="auto"/>
        </w:rPr>
      </w:pPr>
    </w:p>
    <w:p>
      <w:pPr>
        <w:ind w:left="460" w:right="40" w:firstLine="443"/>
        <w:spacing w:after="0" w:line="287" w:lineRule="auto"/>
        <w:tabs>
          <w:tab w:leader="none" w:pos="1147" w:val="left"/>
        </w:tabs>
        <w:numPr>
          <w:ilvl w:val="1"/>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Awards</w:t>
      </w:r>
      <w:r>
        <w:rPr>
          <w:rFonts w:ascii="Arial" w:cs="Arial" w:eastAsia="Arial" w:hAnsi="Arial"/>
          <w:sz w:val="16"/>
          <w:szCs w:val="16"/>
          <w:color w:val="auto"/>
        </w:rPr>
        <w:t>. The Committee is authorized to grant Performance Awards to any Eligible Person payable in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on terms and conditions established by the Committee, subject to the provisions of Section 8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Except as provided in Section 9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8(b), or in the case of an Award that the Committee determines shall not be subject to Section 8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w:t>
      </w:r>
    </w:p>
    <w:p>
      <w:pPr>
        <w:spacing w:after="0" w:line="10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These changes will be made if Proposal 2 is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380"/>
          </w:cols>
          <w:pgMar w:left="240" w:top="280" w:right="279" w:bottom="1440" w:gutter="0" w:footer="0" w:header="0"/>
        </w:sectPr>
      </w:pPr>
    </w:p>
    <w:bookmarkStart w:id="67" w:name="page68"/>
    <w:bookmarkEnd w:id="67"/>
    <w:p>
      <w:pPr>
        <w:ind w:right="40" w:firstLine="443"/>
        <w:spacing w:after="0" w:line="288" w:lineRule="auto"/>
        <w:tabs>
          <w:tab w:leader="none" w:pos="648" w:val="left"/>
        </w:tabs>
        <w:numPr>
          <w:ilvl w:val="1"/>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Stock-Based Awards</w:t>
      </w:r>
      <w:r>
        <w:rPr>
          <w:rFonts w:ascii="Arial" w:cs="Arial" w:eastAsia="Arial" w:hAnsi="Arial"/>
          <w:sz w:val="16"/>
          <w:szCs w:val="16"/>
          <w:color w:val="auto"/>
        </w:rPr>
        <w:t>. The Committee is authorized, subject to limitations under applicable law, to grant to any Eligible Person such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The Committee shall determine the terms and conditions of such Awards. Shares delivered pursuant to an Award in the nature of a purchase right granted under this Section 6(i)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w:t>
      </w:r>
    </w:p>
    <w:p>
      <w:pPr>
        <w:spacing w:after="0" w:line="106" w:lineRule="exact"/>
        <w:rPr>
          <w:rFonts w:ascii="Arial" w:cs="Arial" w:eastAsia="Arial" w:hAnsi="Arial"/>
          <w:sz w:val="16"/>
          <w:szCs w:val="16"/>
          <w:color w:val="auto"/>
        </w:rPr>
      </w:pPr>
    </w:p>
    <w:p>
      <w:pPr>
        <w:ind w:left="180" w:hanging="176"/>
        <w:spacing w:after="0"/>
        <w:tabs>
          <w:tab w:leader="none" w:pos="18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40" w:firstLine="443"/>
        <w:spacing w:after="0" w:line="287" w:lineRule="auto"/>
        <w:tabs>
          <w:tab w:leader="none" w:pos="677" w:val="left"/>
        </w:tabs>
        <w:numPr>
          <w:ilvl w:val="1"/>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Stand-Alone, Additional, Tandem, and Substitute Awards</w:t>
      </w:r>
      <w:r>
        <w:rPr>
          <w:rFonts w:ascii="Arial" w:cs="Arial" w:eastAsia="Arial" w:hAnsi="Arial"/>
          <w:sz w:val="16"/>
          <w:szCs w:val="16"/>
          <w:color w:val="auto"/>
        </w:rPr>
        <w:t>. Awards granted under the Plan may, in the discretion of the Committee, be granted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Stock minus the value of the cash compensation surrendered (for example, Options or Stock Appreciation Right granted with an exercise price or grant price “discounted” by the amount of the cash compensation surrendered).</w:t>
      </w:r>
    </w:p>
    <w:p>
      <w:pPr>
        <w:spacing w:after="0" w:line="109" w:lineRule="exact"/>
        <w:rPr>
          <w:rFonts w:ascii="Arial" w:cs="Arial" w:eastAsia="Arial" w:hAnsi="Arial"/>
          <w:sz w:val="16"/>
          <w:szCs w:val="16"/>
          <w:color w:val="auto"/>
        </w:rPr>
      </w:pPr>
    </w:p>
    <w:p>
      <w:pPr>
        <w:ind w:right="280" w:firstLine="443"/>
        <w:spacing w:after="0" w:line="259" w:lineRule="auto"/>
        <w:tabs>
          <w:tab w:leader="none" w:pos="687" w:val="left"/>
        </w:tabs>
        <w:numPr>
          <w:ilvl w:val="1"/>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Term of Awards</w:t>
      </w:r>
      <w:r>
        <w:rPr>
          <w:rFonts w:ascii="Arial" w:cs="Arial" w:eastAsia="Arial" w:hAnsi="Arial"/>
          <w:sz w:val="18"/>
          <w:szCs w:val="18"/>
          <w:color w:val="auto"/>
        </w:rPr>
        <w:t>. The term of each Award shall be for such period as may be determined by the Committee; provided that in no event shall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of any Option or Stock Appreciation Right exceed a period of ten years (or in the case of an Incentive Stock Option such shorter term as may be required under Section 422 of the Code).</w:t>
      </w:r>
    </w:p>
    <w:p>
      <w:pPr>
        <w:spacing w:after="0" w:line="126" w:lineRule="exact"/>
        <w:rPr>
          <w:rFonts w:ascii="Arial" w:cs="Arial" w:eastAsia="Arial" w:hAnsi="Arial"/>
          <w:sz w:val="18"/>
          <w:szCs w:val="18"/>
          <w:color w:val="auto"/>
        </w:rPr>
      </w:pPr>
    </w:p>
    <w:p>
      <w:pPr>
        <w:ind w:firstLine="443"/>
        <w:spacing w:after="0" w:line="286" w:lineRule="auto"/>
        <w:tabs>
          <w:tab w:leader="none" w:pos="677" w:val="left"/>
        </w:tabs>
        <w:numPr>
          <w:ilvl w:val="1"/>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Form and Timing of Payment Under Awards; Deferrals</w:t>
      </w:r>
      <w:r>
        <w:rPr>
          <w:rFonts w:ascii="Arial" w:cs="Arial" w:eastAsia="Arial" w:hAnsi="Arial"/>
          <w:sz w:val="16"/>
          <w:szCs w:val="16"/>
          <w:color w:val="auto"/>
        </w:rPr>
        <w:t>. Subject to the terms of the Plan and any applicable Award Agreement, payments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Any installment or deferral provided for in the preceding sentence shall, however, be subject to the Company’s compliance with the provisions of the Sarbanes-Oxley Act of 2002, the rules and regulations adopted by the Securities and Exchange Commission thereunder, and all applicable rules of the Nasdaq Stock Market or any national securities exchange on which the Company’s securities are listed for trading and, if not listed for trading on either the Nasdaq Stock Market or a national securities exchange, then the rules of the Nasdaq Stock Market. The settlement of any Award may be accelerated, and cash paid in lieu of Shares in connection with such settlement, in the discretion of the Committee or upon occurrence of one or more specified events (in addition to a Change in Control). Installment or deferred payments may be required by the Committee (subject to Section 10(e) of the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0960"/>
          </w:cols>
          <w:pgMar w:left="700" w:top="280" w:right="239" w:bottom="1440" w:gutter="0" w:footer="0" w:header="0"/>
        </w:sectPr>
      </w:pPr>
    </w:p>
    <w:bookmarkStart w:id="68" w:name="page69"/>
    <w:bookmarkEnd w:id="68"/>
    <w:p>
      <w:pPr>
        <w:ind w:left="460"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or crediting of a reasonable interest rate on installment or deferred payments or the grant or crediting of Dividend Equivalents or other amounts in respect of installment or deferred payments denominated in Shares.</w:t>
      </w:r>
    </w:p>
    <w:p>
      <w:pPr>
        <w:spacing w:after="0" w:line="118" w:lineRule="exact"/>
        <w:rPr>
          <w:sz w:val="20"/>
          <w:szCs w:val="20"/>
          <w:color w:val="auto"/>
        </w:rPr>
      </w:pPr>
    </w:p>
    <w:p>
      <w:pPr>
        <w:ind w:left="460" w:firstLine="443"/>
        <w:spacing w:after="0" w:line="294" w:lineRule="auto"/>
        <w:tabs>
          <w:tab w:leader="none" w:pos="1147"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Exemptions from Section 16(b) Liability</w:t>
      </w:r>
      <w:r>
        <w:rPr>
          <w:rFonts w:ascii="Arial" w:cs="Arial" w:eastAsia="Arial" w:hAnsi="Arial"/>
          <w:sz w:val="16"/>
          <w:szCs w:val="16"/>
          <w:color w:val="auto"/>
        </w:rPr>
        <w:t>. It is the intent of the Company that the grant of any Awards to or other transaction by a Participant who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02" w:lineRule="exact"/>
        <w:rPr>
          <w:rFonts w:ascii="Arial" w:cs="Arial" w:eastAsia="Arial" w:hAnsi="Arial"/>
          <w:sz w:val="16"/>
          <w:szCs w:val="16"/>
          <w:color w:val="auto"/>
        </w:rPr>
      </w:pPr>
    </w:p>
    <w:p>
      <w:pPr>
        <w:ind w:left="1140" w:hanging="237"/>
        <w:spacing w:after="0"/>
        <w:tabs>
          <w:tab w:leader="none" w:pos="1140" w:val="left"/>
        </w:tabs>
        <w:numPr>
          <w:ilvl w:val="0"/>
          <w:numId w:val="76"/>
        </w:numPr>
        <w:rPr>
          <w:rFonts w:ascii="Arial" w:cs="Arial" w:eastAsia="Arial" w:hAnsi="Arial"/>
          <w:sz w:val="18"/>
          <w:szCs w:val="18"/>
          <w:color w:val="auto"/>
          <w:strike w:val="1"/>
        </w:rPr>
      </w:pP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 xml:space="preserve"> </w:t>
      </w:r>
      <w:r>
        <w:rPr>
          <w:rFonts w:ascii="Arial" w:cs="Arial" w:eastAsia="Arial" w:hAnsi="Arial"/>
          <w:sz w:val="18"/>
          <w:szCs w:val="18"/>
          <w:color w:val="auto"/>
          <w:strike w:val="1"/>
        </w:rPr>
        <w:t>If and to the extent that the Committee believes that any Awards may constitute a “nonqualified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following provisions shall apply to any Award that is or may potentially be subject to the requirements of Section 409A of the Code.</w:t>
      </w:r>
    </w:p>
    <w:p>
      <w:pPr>
        <w:spacing w:after="0" w:line="158" w:lineRule="exact"/>
        <w:rPr>
          <w:sz w:val="20"/>
          <w:szCs w:val="20"/>
          <w:color w:val="auto"/>
        </w:rPr>
      </w:pPr>
    </w:p>
    <w:p>
      <w:pPr>
        <w:ind w:left="920" w:right="40" w:firstLine="421"/>
        <w:spacing w:after="0" w:line="314" w:lineRule="auto"/>
        <w:tabs>
          <w:tab w:leader="none" w:pos="1549" w:val="left"/>
        </w:tabs>
        <w:numPr>
          <w:ilvl w:val="0"/>
          <w:numId w:val="77"/>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The Award Agreement for any Award that the Committee reasonably determines to be a “non-qualified</w:t>
      </w:r>
      <w:r>
        <w:rPr>
          <w:rFonts w:ascii="Arial" w:cs="Arial" w:eastAsia="Arial" w:hAnsi="Arial"/>
          <w:sz w:val="15"/>
          <w:szCs w:val="15"/>
          <w:color w:val="auto"/>
        </w:rPr>
        <w:t xml:space="preserve"> deferred compensation plan” under Section 409A of the Code</w:t>
      </w:r>
      <w:r>
        <w:rPr>
          <w:rFonts w:ascii="Arial" w:cs="Arial" w:eastAsia="Arial" w:hAnsi="Arial"/>
          <w:sz w:val="15"/>
          <w:szCs w:val="15"/>
          <w:color w:val="auto"/>
          <w:strike w:val="1"/>
        </w:rPr>
        <w:t>, the terms and conditions set forth in the Award Agreement for that Award shall be drafted in a manner that is intended to</w:t>
      </w:r>
      <w:r>
        <w:rPr>
          <w:rFonts w:ascii="Arial" w:cs="Arial" w:eastAsia="Arial" w:hAnsi="Arial"/>
          <w:sz w:val="15"/>
          <w:szCs w:val="15"/>
          <w:color w:val="auto"/>
        </w:rPr>
        <w:t xml:space="preserve"> </w:t>
      </w:r>
      <w:r>
        <w:rPr>
          <w:rFonts w:ascii="Arial" w:cs="Arial" w:eastAsia="Arial" w:hAnsi="Arial"/>
          <w:sz w:val="15"/>
          <w:szCs w:val="15"/>
          <w:color w:val="auto"/>
          <w:strike w:val="1"/>
        </w:rPr>
        <w:t>comply with, and those provisions</w:t>
      </w:r>
      <w:r>
        <w:rPr>
          <w:rFonts w:ascii="Arial" w:cs="Arial" w:eastAsia="Arial" w:hAnsi="Arial"/>
          <w:sz w:val="15"/>
          <w:szCs w:val="15"/>
          <w:color w:val="auto"/>
        </w:rPr>
        <w:t xml:space="preserve"> (</w:t>
      </w:r>
      <w:r>
        <w:rPr>
          <w:rFonts w:ascii="Arial" w:cs="Arial" w:eastAsia="Arial" w:hAnsi="Arial"/>
          <w:sz w:val="15"/>
          <w:szCs w:val="15"/>
          <w:u w:val="single" w:color="auto"/>
          <w:color w:val="auto"/>
        </w:rPr>
        <w:t>a “Section 409A Plan”),</w:t>
      </w:r>
      <w:r>
        <w:rPr>
          <w:rFonts w:ascii="Arial" w:cs="Arial" w:eastAsia="Arial" w:hAnsi="Arial"/>
          <w:sz w:val="15"/>
          <w:szCs w:val="15"/>
          <w:color w:val="auto"/>
        </w:rPr>
        <w:t xml:space="preserve"> and the provisions of the Plan applicable </w:t>
      </w:r>
      <w:r>
        <w:rPr>
          <w:rFonts w:ascii="Arial" w:cs="Arial" w:eastAsia="Arial" w:hAnsi="Arial"/>
          <w:sz w:val="15"/>
          <w:szCs w:val="15"/>
          <w:color w:val="auto"/>
          <w:strike w:val="1"/>
        </w:rPr>
        <w:t>thereto)</w:t>
      </w:r>
      <w:r>
        <w:rPr>
          <w:rFonts w:ascii="Arial" w:cs="Arial" w:eastAsia="Arial" w:hAnsi="Arial"/>
          <w:sz w:val="15"/>
          <w:szCs w:val="15"/>
          <w:u w:val="single" w:color="auto"/>
          <w:color w:val="auto"/>
        </w:rPr>
        <w:t>to that Award,</w:t>
      </w:r>
      <w:r>
        <w:rPr>
          <w:rFonts w:ascii="Arial" w:cs="Arial" w:eastAsia="Arial" w:hAnsi="Arial"/>
          <w:sz w:val="15"/>
          <w:szCs w:val="15"/>
          <w:color w:val="auto"/>
        </w:rPr>
        <w:t xml:space="preserve"> shall be </w:t>
      </w:r>
      <w:r>
        <w:rPr>
          <w:rFonts w:ascii="Arial" w:cs="Arial" w:eastAsia="Arial" w:hAnsi="Arial"/>
          <w:sz w:val="15"/>
          <w:szCs w:val="15"/>
          <w:color w:val="auto"/>
          <w:strike w:val="1"/>
        </w:rPr>
        <w:t>interpreted</w:t>
      </w:r>
      <w:r>
        <w:rPr>
          <w:rFonts w:ascii="Arial" w:cs="Arial" w:eastAsia="Arial" w:hAnsi="Arial"/>
          <w:sz w:val="15"/>
          <w:szCs w:val="15"/>
          <w:u w:val="single" w:color="auto"/>
          <w:color w:val="auto"/>
        </w:rPr>
        <w:t>construed</w:t>
      </w:r>
      <w:r>
        <w:rPr>
          <w:rFonts w:ascii="Arial" w:cs="Arial" w:eastAsia="Arial" w:hAnsi="Arial"/>
          <w:sz w:val="15"/>
          <w:szCs w:val="15"/>
          <w:color w:val="auto"/>
        </w:rPr>
        <w:t xml:space="preserve"> in a manner consistent with</w:t>
      </w:r>
      <w:r>
        <w:rPr>
          <w:rFonts w:ascii="Arial" w:cs="Arial" w:eastAsia="Arial" w:hAnsi="Arial"/>
          <w:sz w:val="15"/>
          <w:szCs w:val="15"/>
          <w:color w:val="auto"/>
          <w:strike w:val="1"/>
        </w:rPr>
        <w:t>,</w:t>
      </w:r>
      <w:r>
        <w:rPr>
          <w:rFonts w:ascii="Arial" w:cs="Arial" w:eastAsia="Arial" w:hAnsi="Arial"/>
          <w:sz w:val="15"/>
          <w:szCs w:val="15"/>
          <w:color w:val="auto"/>
        </w:rPr>
        <w:t xml:space="preserve"> the applicable requirements of Section 409A of the Code</w:t>
      </w:r>
      <w:r>
        <w:rPr>
          <w:rFonts w:ascii="Arial" w:cs="Arial" w:eastAsia="Arial" w:hAnsi="Arial"/>
          <w:sz w:val="15"/>
          <w:szCs w:val="15"/>
          <w:color w:val="auto"/>
          <w:strike w:val="1"/>
        </w:rPr>
        <w:t>.</w:t>
      </w:r>
      <w:r>
        <w:rPr>
          <w:rFonts w:ascii="Arial" w:cs="Arial" w:eastAsia="Arial" w:hAnsi="Arial"/>
          <w:sz w:val="15"/>
          <w:szCs w:val="15"/>
          <w:u w:val="single" w:color="auto"/>
          <w:color w:val="auto"/>
        </w:rPr>
        <w:t>, and the Committee, in its sole discretion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91" w:lineRule="exact"/>
        <w:rPr>
          <w:rFonts w:ascii="Arial" w:cs="Arial" w:eastAsia="Arial" w:hAnsi="Arial"/>
          <w:sz w:val="15"/>
          <w:szCs w:val="15"/>
          <w:u w:val="single" w:color="auto"/>
          <w:color w:val="auto"/>
        </w:rPr>
      </w:pPr>
    </w:p>
    <w:p>
      <w:pPr>
        <w:ind w:left="920" w:right="60" w:firstLine="421"/>
        <w:spacing w:after="0" w:line="268" w:lineRule="auto"/>
        <w:tabs>
          <w:tab w:leader="none" w:pos="1598" w:val="left"/>
        </w:tabs>
        <w:numPr>
          <w:ilvl w:val="0"/>
          <w:numId w:val="7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If any Award constitutes a Section 409A Plan, then the Award shall be subject to the following additional requirements, if and to the extent required to comply with Section 409A of the Code:</w:t>
      </w:r>
    </w:p>
    <w:p>
      <w:pPr>
        <w:spacing w:after="0" w:line="118" w:lineRule="exact"/>
        <w:rPr>
          <w:rFonts w:ascii="Arial" w:cs="Arial" w:eastAsia="Arial" w:hAnsi="Arial"/>
          <w:sz w:val="18"/>
          <w:szCs w:val="18"/>
          <w:u w:val="single" w:color="auto"/>
          <w:color w:val="auto"/>
        </w:rPr>
      </w:pPr>
    </w:p>
    <w:p>
      <w:pPr>
        <w:ind w:left="1500" w:right="80" w:firstLine="389"/>
        <w:spacing w:after="0" w:line="255" w:lineRule="auto"/>
        <w:tabs>
          <w:tab w:leader="none" w:pos="2185" w:val="left"/>
        </w:tabs>
        <w:numPr>
          <w:ilvl w:val="1"/>
          <w:numId w:val="7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Payments under the Section 409A Plan may not be made earlier than the first to occur of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129" w:lineRule="exact"/>
        <w:rPr>
          <w:rFonts w:ascii="Arial" w:cs="Arial" w:eastAsia="Arial" w:hAnsi="Arial"/>
          <w:sz w:val="18"/>
          <w:szCs w:val="18"/>
          <w:u w:val="single" w:color="auto"/>
          <w:color w:val="auto"/>
        </w:rPr>
      </w:pPr>
    </w:p>
    <w:p>
      <w:pPr>
        <w:ind w:left="1500" w:right="520" w:firstLine="389"/>
        <w:spacing w:after="0" w:line="332" w:lineRule="auto"/>
        <w:tabs>
          <w:tab w:leader="none" w:pos="2175" w:val="left"/>
        </w:tabs>
        <w:numPr>
          <w:ilvl w:val="1"/>
          <w:numId w:val="77"/>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The time or schedule for any payment of the deferred compensation may not be accelerated, except to the extent provided in applicable Treasury Regulations or other applicable guidance issued by the Internal Revenue Service;</w:t>
      </w:r>
    </w:p>
    <w:p>
      <w:pPr>
        <w:spacing w:after="0" w:line="71" w:lineRule="exact"/>
        <w:rPr>
          <w:rFonts w:ascii="Arial" w:cs="Arial" w:eastAsia="Arial" w:hAnsi="Arial"/>
          <w:sz w:val="16"/>
          <w:szCs w:val="16"/>
          <w:u w:val="single" w:color="auto"/>
          <w:color w:val="auto"/>
        </w:rPr>
      </w:pPr>
    </w:p>
    <w:p>
      <w:pPr>
        <w:ind w:left="1500" w:right="40" w:firstLine="389"/>
        <w:spacing w:after="0" w:line="268" w:lineRule="auto"/>
        <w:tabs>
          <w:tab w:leader="none" w:pos="2175" w:val="left"/>
        </w:tabs>
        <w:numPr>
          <w:ilvl w:val="1"/>
          <w:numId w:val="7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Any elections with respect to the deferral of such compensation or the time and form of distribution of such deferred compensation shall comply with the requirements of Section 409A(a)(4) of the Code; and</w:t>
      </w:r>
    </w:p>
    <w:p>
      <w:pPr>
        <w:spacing w:after="0" w:line="118" w:lineRule="exact"/>
        <w:rPr>
          <w:rFonts w:ascii="Arial" w:cs="Arial" w:eastAsia="Arial" w:hAnsi="Arial"/>
          <w:sz w:val="18"/>
          <w:szCs w:val="18"/>
          <w:u w:val="single" w:color="auto"/>
          <w:color w:val="auto"/>
        </w:rPr>
      </w:pPr>
    </w:p>
    <w:p>
      <w:pPr>
        <w:ind w:left="1500" w:right="320" w:firstLine="389"/>
        <w:spacing w:after="0" w:line="259" w:lineRule="auto"/>
        <w:tabs>
          <w:tab w:leader="none" w:pos="2185" w:val="left"/>
        </w:tabs>
        <w:numPr>
          <w:ilvl w:val="1"/>
          <w:numId w:val="7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280" w:right="239" w:bottom="1440" w:gutter="0" w:footer="0" w:header="0"/>
        </w:sectPr>
      </w:pPr>
    </w:p>
    <w:bookmarkStart w:id="69" w:name="page70"/>
    <w:bookmarkEnd w:id="69"/>
    <w:p>
      <w:pPr>
        <w:ind w:left="920" w:right="20" w:firstLine="421"/>
        <w:spacing w:after="0" w:line="294" w:lineRule="auto"/>
        <w:tabs>
          <w:tab w:leader="none" w:pos="1647" w:val="left"/>
        </w:tabs>
        <w:numPr>
          <w:ilvl w:val="3"/>
          <w:numId w:val="78"/>
        </w:numPr>
        <w:rPr>
          <w:rFonts w:ascii="Arial" w:cs="Arial" w:eastAsia="Arial" w:hAnsi="Arial"/>
          <w:sz w:val="16"/>
          <w:szCs w:val="16"/>
          <w:u w:val="single" w:color="auto"/>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the Company does not make any representation to any Participant or Beneficiary that any Awards made pursuant to this Plan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w:t>
      </w:r>
    </w:p>
    <w:p>
      <w:pPr>
        <w:spacing w:after="0" w:line="102" w:lineRule="exact"/>
        <w:rPr>
          <w:rFonts w:ascii="Arial" w:cs="Arial" w:eastAsia="Arial" w:hAnsi="Arial"/>
          <w:sz w:val="16"/>
          <w:szCs w:val="16"/>
          <w:u w:val="single" w:color="auto"/>
          <w:color w:val="auto"/>
        </w:rPr>
      </w:pPr>
    </w:p>
    <w:p>
      <w:pPr>
        <w:ind w:left="640" w:hanging="176"/>
        <w:spacing w:after="0"/>
        <w:tabs>
          <w:tab w:leader="none" w:pos="640" w:val="left"/>
        </w:tabs>
        <w:numPr>
          <w:ilvl w:val="1"/>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60" w:right="100" w:firstLine="443"/>
        <w:spacing w:after="0" w:line="259" w:lineRule="auto"/>
        <w:tabs>
          <w:tab w:leader="none" w:pos="1137" w:val="left"/>
        </w:tabs>
        <w:numPr>
          <w:ilvl w:val="2"/>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Covered Employees</w:t>
      </w:r>
      <w:r>
        <w:rPr>
          <w:rFonts w:ascii="Arial" w:cs="Arial" w:eastAsia="Arial" w:hAnsi="Arial"/>
          <w:sz w:val="18"/>
          <w:szCs w:val="18"/>
          <w:color w:val="auto"/>
        </w:rPr>
        <w:t>. The Committee, in its discretion, may determine at the time an Award is granted to an Eligible Person who is, or is likely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as of the end of the tax year in which the Company would claim a tax deduction in connection with such Award, a Covered Employee, that the provisions of this Section 8 shall be applicable to such Award.</w:t>
      </w:r>
    </w:p>
    <w:p>
      <w:pPr>
        <w:spacing w:after="0" w:line="126" w:lineRule="exact"/>
        <w:rPr>
          <w:rFonts w:ascii="Arial" w:cs="Arial" w:eastAsia="Arial" w:hAnsi="Arial"/>
          <w:sz w:val="18"/>
          <w:szCs w:val="18"/>
          <w:color w:val="auto"/>
        </w:rPr>
      </w:pPr>
    </w:p>
    <w:p>
      <w:pPr>
        <w:ind w:left="460" w:firstLine="443"/>
        <w:spacing w:after="0" w:line="284" w:lineRule="auto"/>
        <w:tabs>
          <w:tab w:leader="none" w:pos="1147" w:val="left"/>
        </w:tabs>
        <w:numPr>
          <w:ilvl w:val="2"/>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If an Award is subject to this Section 8, then the lapsing of restrictions thereon and the distribution of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and (13) debt reduction.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w:t>
      </w:r>
      <w:r>
        <w:rPr>
          <w:rFonts w:ascii="Arial" w:cs="Arial" w:eastAsia="Arial" w:hAnsi="Arial"/>
          <w:sz w:val="16"/>
          <w:szCs w:val="16"/>
          <w:color w:val="auto"/>
          <w:strike w:val="1"/>
        </w:rPr>
        <w:t>The</w:t>
      </w:r>
      <w:r>
        <w:rPr>
          <w:rFonts w:ascii="Arial" w:cs="Arial" w:eastAsia="Arial" w:hAnsi="Arial"/>
          <w:sz w:val="16"/>
          <w:szCs w:val="16"/>
          <w:u w:val="single" w:color="auto"/>
          <w:color w:val="auto"/>
        </w:rPr>
        <w:t>Except as otherwise specified by the Committee at the time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goals are set, the</w:t>
      </w:r>
      <w:r>
        <w:rPr>
          <w:rFonts w:ascii="Arial" w:cs="Arial" w:eastAsia="Arial" w:hAnsi="Arial"/>
          <w:sz w:val="16"/>
          <w:szCs w:val="16"/>
          <w:color w:val="auto"/>
        </w:rPr>
        <w:t xml:space="preserve"> Committee shall exclude the impact of an event or occurrence which the Committee determines should appropriately be excluded, </w:t>
      </w:r>
      <w:r>
        <w:rPr>
          <w:rFonts w:ascii="Arial" w:cs="Arial" w:eastAsia="Arial" w:hAnsi="Arial"/>
          <w:sz w:val="16"/>
          <w:szCs w:val="16"/>
          <w:color w:val="auto"/>
          <w:strike w:val="1"/>
        </w:rPr>
        <w:t>including without limitation</w:t>
      </w:r>
      <w:r>
        <w:rPr>
          <w:rFonts w:ascii="Arial" w:cs="Arial" w:eastAsia="Arial" w:hAnsi="Arial"/>
          <w:sz w:val="16"/>
          <w:szCs w:val="16"/>
          <w:u w:val="single" w:color="auto"/>
          <w:color w:val="auto"/>
        </w:rPr>
        <w:t>:</w:t>
      </w:r>
      <w:r>
        <w:rPr>
          <w:rFonts w:ascii="Arial" w:cs="Arial" w:eastAsia="Arial" w:hAnsi="Arial"/>
          <w:sz w:val="16"/>
          <w:szCs w:val="16"/>
          <w:color w:val="auto"/>
        </w:rPr>
        <w:t xml:space="preserve"> (i) restructurings, discontinued operations, extraordinary items, and other unusual or non-recurring charges, (ii) an event either not directly related to the operations of the Company or not within the reasonable control of the Company’s management, </w:t>
      </w:r>
      <w:r>
        <w:rPr>
          <w:rFonts w:ascii="Arial" w:cs="Arial" w:eastAsia="Arial" w:hAnsi="Arial"/>
          <w:sz w:val="16"/>
          <w:szCs w:val="16"/>
          <w:color w:val="auto"/>
          <w:strike w:val="1"/>
        </w:rPr>
        <w:t>or</w:t>
      </w:r>
      <w:r>
        <w:rPr>
          <w:rFonts w:ascii="Arial" w:cs="Arial" w:eastAsia="Arial" w:hAnsi="Arial"/>
          <w:sz w:val="16"/>
          <w:szCs w:val="16"/>
          <w:color w:val="auto"/>
        </w:rPr>
        <w:t xml:space="preserve"> (iii) a change in accounting standards required by generally accepted accounting principles</w:t>
      </w:r>
      <w:r>
        <w:rPr>
          <w:rFonts w:ascii="Arial" w:cs="Arial" w:eastAsia="Arial" w:hAnsi="Arial"/>
          <w:sz w:val="16"/>
          <w:szCs w:val="16"/>
          <w:color w:val="auto"/>
          <w:strike w:val="1"/>
        </w:rPr>
        <w:t>.</w:t>
      </w:r>
      <w:r>
        <w:rPr>
          <w:rFonts w:ascii="Arial" w:cs="Arial" w:eastAsia="Arial" w:hAnsi="Arial"/>
          <w:sz w:val="16"/>
          <w:szCs w:val="16"/>
          <w:u w:val="single" w:color="auto"/>
          <w:color w:val="auto"/>
        </w:rPr>
        <w:t>, or (iv) any other item or event specified by the Committee at the time the goals are set.**</w:t>
      </w:r>
    </w:p>
    <w:p>
      <w:pPr>
        <w:spacing w:after="0" w:line="117" w:lineRule="exact"/>
        <w:rPr>
          <w:rFonts w:ascii="Arial" w:cs="Arial" w:eastAsia="Arial" w:hAnsi="Arial"/>
          <w:sz w:val="16"/>
          <w:szCs w:val="16"/>
          <w:color w:val="auto"/>
        </w:rPr>
      </w:pPr>
    </w:p>
    <w:p>
      <w:pPr>
        <w:ind w:left="460" w:firstLine="443"/>
        <w:spacing w:after="0" w:line="298" w:lineRule="auto"/>
        <w:tabs>
          <w:tab w:leader="none" w:pos="1137" w:val="left"/>
        </w:tabs>
        <w:numPr>
          <w:ilvl w:val="2"/>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Period; Timing For Establishing Performance Goals</w:t>
      </w:r>
      <w:r>
        <w:rPr>
          <w:rFonts w:ascii="Arial" w:cs="Arial" w:eastAsia="Arial" w:hAnsi="Arial"/>
          <w:sz w:val="16"/>
          <w:szCs w:val="16"/>
          <w:color w:val="auto"/>
        </w:rPr>
        <w:t>. Achievement of performance goals in respect of such Performance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measured over a Performance Period no shorter than 12 months and no longer than 5 years, as specified by the Committee. Performance goals shall be established not later than 90 days after the beginning of any Performance Period applicable to such Performance Awards, or at such other date as may be required or permitted for “performance-based compensation” under Code Section 162(m).</w:t>
      </w:r>
    </w:p>
    <w:p>
      <w:pPr>
        <w:spacing w:after="0" w:line="9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These changes will be made if Proposal 2 is approved.</w:t>
      </w:r>
    </w:p>
    <w:p>
      <w:pPr>
        <w:spacing w:after="0" w:line="15" w:lineRule="exact"/>
        <w:rPr>
          <w:rFonts w:ascii="Arial" w:cs="Arial" w:eastAsia="Arial" w:hAnsi="Arial"/>
          <w:sz w:val="16"/>
          <w:szCs w:val="16"/>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changes will be made if Proposal 3 is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-1484630</wp:posOffset>
            </wp:positionV>
            <wp:extent cx="40830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83050" cy="8890"/>
                    </a:xfrm>
                    <a:prstGeom prst="rect">
                      <a:avLst/>
                    </a:prstGeom>
                    <a:noFill/>
                  </pic:spPr>
                </pic:pic>
              </a:graphicData>
            </a:graphic>
          </wp:anchor>
        </w:drawing>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280" w:right="239" w:bottom="1440" w:gutter="0" w:footer="0" w:header="0"/>
        </w:sectPr>
      </w:pPr>
    </w:p>
    <w:bookmarkStart w:id="70" w:name="page71"/>
    <w:bookmarkEnd w:id="70"/>
    <w:p>
      <w:pPr>
        <w:jc w:val="both"/>
        <w:ind w:firstLine="443"/>
        <w:spacing w:after="0" w:line="256" w:lineRule="auto"/>
        <w:tabs>
          <w:tab w:leader="none" w:pos="687" w:val="left"/>
        </w:tabs>
        <w:numPr>
          <w:ilvl w:val="1"/>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Adjustments</w:t>
      </w:r>
      <w:r>
        <w:rPr>
          <w:rFonts w:ascii="Arial" w:cs="Arial" w:eastAsia="Arial" w:hAnsi="Arial"/>
          <w:sz w:val="18"/>
          <w:szCs w:val="18"/>
          <w:color w:val="auto"/>
        </w:rPr>
        <w:t>. The Committee may, in its discretion, reduce the amount of a settlement otherwise to be made in connection with Awards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Section 8, but may not exercise discretion to increase any such amount payable to a Covered Employee in respect of an Award subject to this Section 8. The Committee shall specify the circumstances in which such Awards shall be paid or forfeited in the event of termination of Continuous Service by the Participant prior to the end of a Performance Period or settlement of Awards.</w:t>
      </w:r>
    </w:p>
    <w:p>
      <w:pPr>
        <w:spacing w:after="0" w:line="129" w:lineRule="exact"/>
        <w:rPr>
          <w:rFonts w:ascii="Arial" w:cs="Arial" w:eastAsia="Arial" w:hAnsi="Arial"/>
          <w:sz w:val="18"/>
          <w:szCs w:val="18"/>
          <w:color w:val="auto"/>
        </w:rPr>
      </w:pPr>
    </w:p>
    <w:p>
      <w:pPr>
        <w:jc w:val="both"/>
        <w:ind w:firstLine="443"/>
        <w:spacing w:after="0" w:line="335" w:lineRule="auto"/>
        <w:tabs>
          <w:tab w:leader="none" w:pos="677" w:val="left"/>
        </w:tabs>
        <w:numPr>
          <w:ilvl w:val="1"/>
          <w:numId w:val="81"/>
        </w:numPr>
        <w:rPr>
          <w:rFonts w:ascii="Arial" w:cs="Arial" w:eastAsia="Arial" w:hAnsi="Arial"/>
          <w:sz w:val="15"/>
          <w:szCs w:val="15"/>
          <w:color w:val="auto"/>
        </w:rPr>
      </w:pPr>
      <w:r>
        <w:rPr>
          <w:rFonts w:ascii="Arial" w:cs="Arial" w:eastAsia="Arial" w:hAnsi="Arial"/>
          <w:sz w:val="15"/>
          <w:szCs w:val="15"/>
          <w:b w:val="1"/>
          <w:bCs w:val="1"/>
          <w:i w:val="1"/>
          <w:iCs w:val="1"/>
          <w:color w:val="auto"/>
        </w:rPr>
        <w:t>Committee Certification</w:t>
      </w:r>
      <w:r>
        <w:rPr>
          <w:rFonts w:ascii="Arial" w:cs="Arial" w:eastAsia="Arial" w:hAnsi="Arial"/>
          <w:sz w:val="15"/>
          <w:szCs w:val="15"/>
          <w:color w:val="auto"/>
        </w:rPr>
        <w:t>. No Participant shall receive any payment under the Plan that is subject to this Section 8 unless the Committee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Code Section 162(m).</w:t>
      </w:r>
    </w:p>
    <w:p>
      <w:pPr>
        <w:spacing w:after="0" w:line="74" w:lineRule="exact"/>
        <w:rPr>
          <w:rFonts w:ascii="Arial" w:cs="Arial" w:eastAsia="Arial" w:hAnsi="Arial"/>
          <w:sz w:val="15"/>
          <w:szCs w:val="15"/>
          <w:color w:val="auto"/>
        </w:rPr>
      </w:pPr>
    </w:p>
    <w:p>
      <w:pPr>
        <w:ind w:left="180" w:hanging="176"/>
        <w:spacing w:after="0"/>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680" w:firstLine="443"/>
        <w:spacing w:after="0" w:line="268" w:lineRule="auto"/>
        <w:tabs>
          <w:tab w:leader="none" w:pos="677" w:val="left"/>
        </w:tabs>
        <w:numPr>
          <w:ilvl w:val="1"/>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Effect of “Change in Control.” </w:t>
      </w:r>
      <w:r>
        <w:rPr>
          <w:rFonts w:ascii="Arial" w:cs="Arial" w:eastAsia="Arial" w:hAnsi="Arial"/>
          <w:sz w:val="18"/>
          <w:szCs w:val="18"/>
          <w:color w:val="auto"/>
        </w:rPr>
        <w:t>If and only to the extent provided in the Award Agreement, or to the extent otherwise determined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upon the occurrence of a “Change in Control,” as defined in Section 9(b):</w:t>
      </w:r>
    </w:p>
    <w:p>
      <w:pPr>
        <w:spacing w:after="0" w:line="118" w:lineRule="exact"/>
        <w:rPr>
          <w:rFonts w:ascii="Arial" w:cs="Arial" w:eastAsia="Arial" w:hAnsi="Arial"/>
          <w:sz w:val="18"/>
          <w:szCs w:val="18"/>
          <w:color w:val="auto"/>
        </w:rPr>
      </w:pPr>
    </w:p>
    <w:p>
      <w:pPr>
        <w:ind w:left="460" w:right="520" w:firstLine="421"/>
        <w:spacing w:after="0" w:line="332" w:lineRule="auto"/>
        <w:tabs>
          <w:tab w:leader="none" w:pos="1089" w:val="left"/>
        </w:tabs>
        <w:numPr>
          <w:ilvl w:val="3"/>
          <w:numId w:val="82"/>
        </w:numPr>
        <w:rPr>
          <w:rFonts w:ascii="Arial" w:cs="Arial" w:eastAsia="Arial" w:hAnsi="Arial"/>
          <w:sz w:val="16"/>
          <w:szCs w:val="16"/>
          <w:color w:val="auto"/>
        </w:rPr>
      </w:pPr>
      <w:r>
        <w:rPr>
          <w:rFonts w:ascii="Arial" w:cs="Arial" w:eastAsia="Arial" w:hAnsi="Arial"/>
          <w:sz w:val="16"/>
          <w:szCs w:val="16"/>
          <w:color w:val="auto"/>
        </w:rPr>
        <w:t>Any Option or Stock Appreciation Right that was not previously vested and exercisable as of the time of the Change in Control, shall become immediately vested and exercisable, subject to applicable restrictions set forth in Section 10(a) hereof.</w:t>
      </w:r>
    </w:p>
    <w:p>
      <w:pPr>
        <w:spacing w:after="0" w:line="71" w:lineRule="exact"/>
        <w:rPr>
          <w:rFonts w:ascii="Arial" w:cs="Arial" w:eastAsia="Arial" w:hAnsi="Arial"/>
          <w:sz w:val="16"/>
          <w:szCs w:val="16"/>
          <w:color w:val="auto"/>
        </w:rPr>
      </w:pPr>
    </w:p>
    <w:p>
      <w:pPr>
        <w:ind w:left="460" w:firstLine="421"/>
        <w:spacing w:after="0" w:line="284" w:lineRule="auto"/>
        <w:tabs>
          <w:tab w:leader="none" w:pos="1138" w:val="left"/>
        </w:tabs>
        <w:numPr>
          <w:ilvl w:val="3"/>
          <w:numId w:val="82"/>
        </w:numPr>
        <w:rPr>
          <w:rFonts w:ascii="Arial" w:cs="Arial" w:eastAsia="Arial" w:hAnsi="Arial"/>
          <w:sz w:val="16"/>
          <w:szCs w:val="16"/>
          <w:color w:val="auto"/>
        </w:rPr>
      </w:pPr>
      <w:r>
        <w:rPr>
          <w:rFonts w:ascii="Arial" w:cs="Arial" w:eastAsia="Arial" w:hAnsi="Arial"/>
          <w:sz w:val="16"/>
          <w:szCs w:val="16"/>
          <w:color w:val="auto"/>
        </w:rPr>
        <w:t>Any restrictions, deferral of settlement, and forfeiture conditions applicable to a Restricted Stock Award, Deferred Stock Award or an Other Stock-Based Award subject only to future service requirements granted under the Plan shall lapse and such Awards shall be deemed fully vested as of the time of the Change in Control, except to the extent of any waiver by the Participant and subject to applicable restrictions set forth in</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Section 10(a) hereof.</w:t>
      </w:r>
    </w:p>
    <w:p>
      <w:pPr>
        <w:spacing w:after="0" w:line="151" w:lineRule="exact"/>
        <w:rPr>
          <w:rFonts w:ascii="Arial" w:cs="Arial" w:eastAsia="Arial" w:hAnsi="Arial"/>
          <w:sz w:val="16"/>
          <w:szCs w:val="16"/>
          <w:color w:val="auto"/>
        </w:rPr>
      </w:pPr>
    </w:p>
    <w:p>
      <w:pPr>
        <w:ind w:left="460" w:right="40" w:firstLine="421"/>
        <w:spacing w:after="0" w:line="332" w:lineRule="auto"/>
        <w:tabs>
          <w:tab w:leader="none" w:pos="1187" w:val="left"/>
        </w:tabs>
        <w:numPr>
          <w:ilvl w:val="3"/>
          <w:numId w:val="82"/>
        </w:numPr>
        <w:rPr>
          <w:rFonts w:ascii="Arial" w:cs="Arial" w:eastAsia="Arial" w:hAnsi="Arial"/>
          <w:sz w:val="16"/>
          <w:szCs w:val="16"/>
          <w:color w:val="auto"/>
        </w:rPr>
      </w:pPr>
      <w:r>
        <w:rPr>
          <w:rFonts w:ascii="Arial" w:cs="Arial" w:eastAsia="Arial" w:hAnsi="Arial"/>
          <w:sz w:val="16"/>
          <w:szCs w:val="16"/>
          <w:color w:val="auto"/>
        </w:rPr>
        <w:t>With respect to any outstanding Award subject to achievement of performance goals and conditions under the Plan, the Committee may, in its discretion, deem such performance goals and conditions as having been met as of the date of the Change in Control.</w:t>
      </w:r>
    </w:p>
    <w:p>
      <w:pPr>
        <w:spacing w:after="0" w:line="71" w:lineRule="exact"/>
        <w:rPr>
          <w:rFonts w:ascii="Arial" w:cs="Arial" w:eastAsia="Arial" w:hAnsi="Arial"/>
          <w:sz w:val="16"/>
          <w:szCs w:val="16"/>
          <w:color w:val="auto"/>
        </w:rPr>
      </w:pPr>
    </w:p>
    <w:p>
      <w:pPr>
        <w:ind w:right="40" w:firstLine="443"/>
        <w:spacing w:after="0" w:line="268" w:lineRule="auto"/>
        <w:tabs>
          <w:tab w:leader="none" w:pos="687" w:val="left"/>
        </w:tabs>
        <w:numPr>
          <w:ilvl w:val="1"/>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 of “Change in Control”</w:t>
      </w:r>
      <w:r>
        <w:rPr>
          <w:rFonts w:ascii="Arial" w:cs="Arial" w:eastAsia="Arial" w:hAnsi="Arial"/>
          <w:sz w:val="18"/>
          <w:szCs w:val="18"/>
          <w:color w:val="auto"/>
        </w:rPr>
        <w:t>. Unless otherwise specified in an Award Agreement, a “Change in Control” shall mean the occurrence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following:</w:t>
      </w:r>
    </w:p>
    <w:p>
      <w:pPr>
        <w:spacing w:after="0" w:line="118" w:lineRule="exact"/>
        <w:rPr>
          <w:rFonts w:ascii="Arial" w:cs="Arial" w:eastAsia="Arial" w:hAnsi="Arial"/>
          <w:sz w:val="18"/>
          <w:szCs w:val="18"/>
          <w:color w:val="auto"/>
        </w:rPr>
      </w:pPr>
    </w:p>
    <w:p>
      <w:pPr>
        <w:ind w:left="460" w:firstLine="421"/>
        <w:spacing w:after="0" w:line="286" w:lineRule="auto"/>
        <w:tabs>
          <w:tab w:leader="none" w:pos="1089" w:val="left"/>
        </w:tabs>
        <w:numPr>
          <w:ilvl w:val="3"/>
          <w:numId w:val="82"/>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Exchange Act) of more than fifty percent (50%) of either (A) the then outstanding shares of common stock of the Company (the “Outstanding Company Common Stock”) or</w:t>
      </w:r>
    </w:p>
    <w:p>
      <w:pPr>
        <w:ind w:left="460" w:right="100" w:firstLine="1"/>
        <w:spacing w:after="0" w:line="252" w:lineRule="auto"/>
        <w:tabs>
          <w:tab w:leader="none" w:pos="738" w:val="left"/>
        </w:tabs>
        <w:numPr>
          <w:ilvl w:val="2"/>
          <w:numId w:val="82"/>
        </w:numPr>
        <w:rPr>
          <w:rFonts w:ascii="Arial" w:cs="Arial" w:eastAsia="Arial" w:hAnsi="Arial"/>
          <w:sz w:val="18"/>
          <w:szCs w:val="18"/>
          <w:color w:val="auto"/>
        </w:rPr>
      </w:pPr>
      <w:r>
        <w:rPr>
          <w:rFonts w:ascii="Arial" w:cs="Arial" w:eastAsia="Arial" w:hAnsi="Arial"/>
          <w:sz w:val="18"/>
          <w:szCs w:val="18"/>
          <w:color w:val="auto"/>
        </w:rPr>
        <w:t>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9(b), the following acquisitions shall not constitute or result in a Change of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corporation pursuant to a transaction which complies with clauses (A), (B) and (C) of subsection (iii) below; or</w:t>
      </w:r>
    </w:p>
    <w:p>
      <w:pPr>
        <w:spacing w:after="0" w:line="133" w:lineRule="exact"/>
        <w:rPr>
          <w:rFonts w:ascii="Arial" w:cs="Arial" w:eastAsia="Arial" w:hAnsi="Arial"/>
          <w:sz w:val="18"/>
          <w:szCs w:val="18"/>
          <w:color w:val="auto"/>
        </w:rPr>
      </w:pPr>
    </w:p>
    <w:p>
      <w:pPr>
        <w:ind w:left="460" w:right="100" w:firstLine="421"/>
        <w:spacing w:after="0" w:line="259" w:lineRule="auto"/>
        <w:tabs>
          <w:tab w:leader="none" w:pos="1138" w:val="left"/>
        </w:tabs>
        <w:numPr>
          <w:ilvl w:val="3"/>
          <w:numId w:val="83"/>
        </w:numPr>
        <w:rPr>
          <w:rFonts w:ascii="Arial" w:cs="Arial" w:eastAsia="Arial" w:hAnsi="Arial"/>
          <w:sz w:val="18"/>
          <w:szCs w:val="18"/>
          <w:color w:val="auto"/>
        </w:rPr>
      </w:pPr>
      <w:r>
        <w:rPr>
          <w:rFonts w:ascii="Arial" w:cs="Arial" w:eastAsia="Arial" w:hAnsi="Arial"/>
          <w:sz w:val="18"/>
          <w:szCs w:val="18"/>
          <w:color w:val="auto"/>
        </w:rPr>
        <w:t>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0960"/>
          </w:cols>
          <w:pgMar w:left="700" w:top="280" w:right="239" w:bottom="1440" w:gutter="0" w:footer="0" w:header="0"/>
        </w:sectPr>
      </w:pPr>
    </w:p>
    <w:bookmarkStart w:id="71" w:name="page72"/>
    <w:bookmarkEnd w:id="71"/>
    <w:p>
      <w:pPr>
        <w:jc w:val="both"/>
        <w:ind w:left="460"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29" w:lineRule="exact"/>
        <w:rPr>
          <w:sz w:val="20"/>
          <w:szCs w:val="20"/>
          <w:color w:val="auto"/>
        </w:rPr>
      </w:pPr>
    </w:p>
    <w:p>
      <w:pPr>
        <w:ind w:left="460" w:firstLine="421"/>
        <w:spacing w:after="0" w:line="282" w:lineRule="auto"/>
        <w:tabs>
          <w:tab w:leader="none" w:pos="1187" w:val="left"/>
        </w:tabs>
        <w:numPr>
          <w:ilvl w:val="2"/>
          <w:numId w:val="84"/>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fifty percent (50%) of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employee benefit plan (or related trust) of the Company or such corporation resulting from such Business Combination or any Person that as of the Effective Date owns Beneficial Ownership of a Controlling Interest) beneficially owns, directly or indirectly, fifty percent</w:t>
      </w:r>
    </w:p>
    <w:p>
      <w:pPr>
        <w:spacing w:after="0" w:line="5" w:lineRule="exact"/>
        <w:rPr>
          <w:rFonts w:ascii="Arial" w:cs="Arial" w:eastAsia="Arial" w:hAnsi="Arial"/>
          <w:sz w:val="16"/>
          <w:szCs w:val="16"/>
          <w:color w:val="auto"/>
        </w:rPr>
      </w:pPr>
    </w:p>
    <w:p>
      <w:pPr>
        <w:ind w:left="460" w:right="20"/>
        <w:spacing w:after="0" w:line="253" w:lineRule="auto"/>
        <w:rPr>
          <w:rFonts w:ascii="Arial" w:cs="Arial" w:eastAsia="Arial" w:hAnsi="Arial"/>
          <w:sz w:val="16"/>
          <w:szCs w:val="16"/>
          <w:color w:val="auto"/>
        </w:rPr>
      </w:pPr>
      <w:r>
        <w:rPr>
          <w:rFonts w:ascii="Arial" w:cs="Arial" w:eastAsia="Arial" w:hAnsi="Arial"/>
          <w:sz w:val="18"/>
          <w:szCs w:val="18"/>
          <w:color w:val="auto"/>
        </w:rPr>
        <w:t>(50%) or more of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31" w:lineRule="exact"/>
        <w:rPr>
          <w:rFonts w:ascii="Arial" w:cs="Arial" w:eastAsia="Arial" w:hAnsi="Arial"/>
          <w:sz w:val="16"/>
          <w:szCs w:val="16"/>
          <w:color w:val="auto"/>
        </w:rPr>
      </w:pPr>
    </w:p>
    <w:p>
      <w:pPr>
        <w:ind w:left="1180" w:hanging="299"/>
        <w:spacing w:after="0"/>
        <w:tabs>
          <w:tab w:leader="none" w:pos="1180" w:val="left"/>
        </w:tabs>
        <w:numPr>
          <w:ilvl w:val="2"/>
          <w:numId w:val="84"/>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157" w:lineRule="exact"/>
        <w:rPr>
          <w:rFonts w:ascii="Arial" w:cs="Arial" w:eastAsia="Arial" w:hAnsi="Arial"/>
          <w:sz w:val="18"/>
          <w:szCs w:val="18"/>
          <w:color w:val="auto"/>
        </w:rPr>
      </w:pPr>
    </w:p>
    <w:p>
      <w:pPr>
        <w:ind w:left="260" w:hanging="256"/>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100" w:firstLine="443"/>
        <w:spacing w:after="0" w:line="290" w:lineRule="auto"/>
        <w:tabs>
          <w:tab w:leader="none" w:pos="677" w:val="left"/>
        </w:tabs>
        <w:numPr>
          <w:ilvl w:val="1"/>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Compliance With Legal and Other Requirements</w:t>
      </w:r>
      <w:r>
        <w:rPr>
          <w:rFonts w:ascii="Arial" w:cs="Arial" w:eastAsia="Arial" w:hAnsi="Arial"/>
          <w:sz w:val="16"/>
          <w:szCs w:val="16"/>
          <w:color w:val="auto"/>
        </w:rPr>
        <w:t>. The Company may, to the extent deemed necessary or advisable by the Committee, postpone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issuance or delivery of Shares or payment of other benefits under any Award until completion of such registration or qualification of such Shares or other required action under any federal or state law, rule or regulation, listing or other required action with respect to any stock exchange or automated quotation system upon which the Shares or other Company securities are listed or quoted,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04" w:lineRule="exact"/>
        <w:rPr>
          <w:rFonts w:ascii="Arial" w:cs="Arial" w:eastAsia="Arial" w:hAnsi="Arial"/>
          <w:sz w:val="16"/>
          <w:szCs w:val="16"/>
          <w:color w:val="auto"/>
        </w:rPr>
      </w:pPr>
    </w:p>
    <w:p>
      <w:pPr>
        <w:ind w:right="100" w:firstLine="443"/>
        <w:spacing w:after="0" w:line="259" w:lineRule="auto"/>
        <w:tabs>
          <w:tab w:leader="none" w:pos="687" w:val="left"/>
        </w:tabs>
        <w:numPr>
          <w:ilvl w:val="1"/>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Limits on Transferability; Beneficiaries</w:t>
      </w:r>
      <w:r>
        <w:rPr>
          <w:rFonts w:ascii="Arial" w:cs="Arial" w:eastAsia="Arial" w:hAnsi="Arial"/>
          <w:sz w:val="18"/>
          <w:szCs w:val="18"/>
          <w:color w:val="auto"/>
        </w:rPr>
        <w:t>. No Award or other right or interest granted under the Plan shall be pledged, hypothecated or otherwise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encumbered or subject to any lien, obligation or liability of such Participant to any party, or assigned or transferred by such Participant otherwise than by will or the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0940"/>
          </w:cols>
          <w:pgMar w:left="700" w:top="280" w:right="259" w:bottom="1440" w:gutter="0" w:footer="0" w:header="0"/>
        </w:sectPr>
      </w:pPr>
    </w:p>
    <w:bookmarkStart w:id="72" w:name="page73"/>
    <w:bookmarkEnd w:id="72"/>
    <w:p>
      <w:pPr>
        <w:ind w:left="460"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05" w:lineRule="exact"/>
        <w:rPr>
          <w:sz w:val="20"/>
          <w:szCs w:val="20"/>
          <w:color w:val="auto"/>
        </w:rPr>
      </w:pPr>
    </w:p>
    <w:p>
      <w:pPr>
        <w:ind w:left="1140" w:hanging="237"/>
        <w:spacing w:after="0"/>
        <w:tabs>
          <w:tab w:leader="none" w:pos="1140" w:val="left"/>
        </w:tabs>
        <w:numPr>
          <w:ilvl w:val="1"/>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920" w:right="100" w:firstLine="421"/>
        <w:spacing w:after="0" w:line="302" w:lineRule="auto"/>
        <w:tabs>
          <w:tab w:leader="none" w:pos="1549" w:val="left"/>
        </w:tabs>
        <w:numPr>
          <w:ilvl w:val="3"/>
          <w:numId w:val="86"/>
        </w:numPr>
        <w:rPr>
          <w:rFonts w:ascii="Arial" w:cs="Arial" w:eastAsia="Arial" w:hAnsi="Arial"/>
          <w:sz w:val="15"/>
          <w:szCs w:val="15"/>
          <w:color w:val="auto"/>
        </w:rPr>
      </w:pPr>
      <w:r>
        <w:rPr>
          <w:rFonts w:ascii="Arial" w:cs="Arial" w:eastAsia="Arial" w:hAnsi="Arial"/>
          <w:sz w:val="15"/>
          <w:szCs w:val="15"/>
          <w:b w:val="1"/>
          <w:bCs w:val="1"/>
          <w:i w:val="1"/>
          <w:iCs w:val="1"/>
          <w:color w:val="auto"/>
        </w:rPr>
        <w:t>Adjustments to Awards</w:t>
      </w:r>
      <w:r>
        <w:rPr>
          <w:rFonts w:ascii="Arial" w:cs="Arial" w:eastAsia="Arial" w:hAnsi="Arial"/>
          <w:sz w:val="15"/>
          <w:szCs w:val="15"/>
          <w:color w:val="auto"/>
        </w:rPr>
        <w:t>. In the event that any extraordinary dividend or other distribution (whether in the form of cash, Shares, or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such that a substitution, exchange, or adjustment is determined by the Committee to be appropriate, then the Committee shall, in such manner as it may deem equitable, substitute, exchange or adjust any or all of (A) the number and kind of Shares which may be delivered in connection with Awards granted thereafter, (B) the number and kind of Shares by which annual per-person Award limitations are measured under Section 5 hereof,</w:t>
      </w:r>
    </w:p>
    <w:p>
      <w:pPr>
        <w:ind w:left="920" w:firstLine="1"/>
        <w:spacing w:after="0" w:line="286" w:lineRule="auto"/>
        <w:tabs>
          <w:tab w:leader="none" w:pos="1198" w:val="left"/>
        </w:tabs>
        <w:numPr>
          <w:ilvl w:val="2"/>
          <w:numId w:val="86"/>
        </w:numPr>
        <w:rPr>
          <w:rFonts w:ascii="Arial" w:cs="Arial" w:eastAsia="Arial" w:hAnsi="Arial"/>
          <w:sz w:val="16"/>
          <w:szCs w:val="16"/>
          <w:color w:val="auto"/>
        </w:rPr>
      </w:pPr>
      <w:r>
        <w:rPr>
          <w:rFonts w:ascii="Arial" w:cs="Arial" w:eastAsia="Arial" w:hAnsi="Arial"/>
          <w:sz w:val="16"/>
          <w:szCs w:val="16"/>
          <w:color w:val="auto"/>
        </w:rPr>
        <w:t xml:space="preserve">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w:t>
      </w:r>
      <w:r>
        <w:rPr>
          <w:rFonts w:ascii="Arial" w:cs="Arial" w:eastAsia="Arial" w:hAnsi="Arial"/>
          <w:sz w:val="16"/>
          <w:szCs w:val="16"/>
          <w:u w:val="single" w:color="auto"/>
          <w:color w:val="auto"/>
        </w:rPr>
        <w:t>Notwithstanding the foregoing, in the case of any “equity restructuring” (within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meaning of Financial Accounting Standards Board Accounting Standards Codification Topic 718, Compensation—Stock Compensation, formerly known as Financial Accounting Standards Board Statement of Financial Accounting Standards No. 123 (revised 2004) or any other applicable accounting standard), the Committee shall make such adjustments to Awards on account of such equity restructuring as shall be necessary in order that the “fair value” of the adjusted Award immediately following the equity restructuring shall be equal to the “fair value” of the original Award immediately prior to the equity restructuring, based on the Share price and other pertinent factors on the effective date of the equity restructuring. For purposes of the preceding sentence, “fair value” shall be determined in accordance with the provisions of Financial Accounting Standards Board Accounting Standards Codification Topic 718, Compensation—Stock Compensation or any other applicable accounting standard.*</w:t>
      </w:r>
    </w:p>
    <w:p>
      <w:pPr>
        <w:spacing w:after="0" w:line="110" w:lineRule="exact"/>
        <w:rPr>
          <w:rFonts w:ascii="Arial" w:cs="Arial" w:eastAsia="Arial" w:hAnsi="Arial"/>
          <w:sz w:val="16"/>
          <w:szCs w:val="16"/>
          <w:color w:val="auto"/>
        </w:rPr>
      </w:pPr>
    </w:p>
    <w:p>
      <w:pPr>
        <w:ind w:left="1600" w:hanging="259"/>
        <w:spacing w:after="0"/>
        <w:tabs>
          <w:tab w:leader="none" w:pos="1600" w:val="left"/>
        </w:tabs>
        <w:numPr>
          <w:ilvl w:val="3"/>
          <w:numId w:val="87"/>
        </w:numPr>
        <w:rPr>
          <w:rFonts w:ascii="Arial" w:cs="Arial" w:eastAsia="Arial" w:hAnsi="Arial"/>
          <w:sz w:val="18"/>
          <w:szCs w:val="18"/>
          <w:u w:val="single" w:color="auto"/>
          <w:color w:val="auto"/>
        </w:rPr>
      </w:pPr>
      <w:r>
        <w:rPr>
          <w:rFonts w:ascii="Arial" w:cs="Arial" w:eastAsia="Arial" w:hAnsi="Arial"/>
          <w:sz w:val="18"/>
          <w:szCs w:val="18"/>
          <w:b w:val="1"/>
          <w:bCs w:val="1"/>
          <w:i w:val="1"/>
          <w:iCs w:val="1"/>
          <w:u w:val="single" w:color="auto"/>
          <w:color w:val="auto"/>
        </w:rPr>
        <w:t>Adjustments in Case of Certain Corporate Transactions.</w:t>
      </w:r>
    </w:p>
    <w:p>
      <w:pPr>
        <w:spacing w:after="0" w:line="157" w:lineRule="exact"/>
        <w:rPr>
          <w:rFonts w:ascii="Arial" w:cs="Arial" w:eastAsia="Arial" w:hAnsi="Arial"/>
          <w:sz w:val="18"/>
          <w:szCs w:val="18"/>
          <w:u w:val="single" w:color="auto"/>
          <w:color w:val="auto"/>
        </w:rPr>
      </w:pPr>
    </w:p>
    <w:p>
      <w:pPr>
        <w:ind w:left="1500" w:right="100" w:firstLine="389"/>
        <w:spacing w:after="0" w:line="290" w:lineRule="auto"/>
        <w:tabs>
          <w:tab w:leader="none" w:pos="2184" w:val="left"/>
        </w:tabs>
        <w:numPr>
          <w:ilvl w:val="4"/>
          <w:numId w:val="87"/>
        </w:numPr>
        <w:rPr>
          <w:rFonts w:ascii="Arial" w:cs="Arial" w:eastAsia="Arial" w:hAnsi="Arial"/>
          <w:sz w:val="16"/>
          <w:szCs w:val="16"/>
          <w:u w:val="single" w:color="auto"/>
          <w:color w:val="auto"/>
        </w:rPr>
      </w:pPr>
      <w:r>
        <w:rPr>
          <w:rFonts w:ascii="Arial" w:cs="Arial" w:eastAsia="Arial" w:hAnsi="Arial"/>
          <w:sz w:val="16"/>
          <w:szCs w:val="16"/>
          <w:color w:val="auto"/>
          <w:strike w:val="1"/>
        </w:rPr>
        <w:t>(ii)</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strike w:val="1"/>
        </w:rPr>
        <w:t>Adjustments in Case of Certain Corporate Transactions</w:t>
      </w:r>
      <w:r>
        <w:rPr>
          <w:rFonts w:ascii="Arial" w:cs="Arial" w:eastAsia="Arial" w:hAnsi="Arial"/>
          <w:sz w:val="16"/>
          <w:szCs w:val="16"/>
          <w:color w:val="auto"/>
          <w:strike w:val="1"/>
        </w:rPr>
        <w:t>.</w:t>
      </w:r>
      <w:r>
        <w:rPr>
          <w:rFonts w:ascii="Arial" w:cs="Arial" w:eastAsia="Arial" w:hAnsi="Arial"/>
          <w:sz w:val="16"/>
          <w:szCs w:val="16"/>
          <w:color w:val="auto"/>
        </w:rPr>
        <w:t xml:space="preserve"> In the event of any merger, consolidation or other reorganization in which the Company does not survive, or in the event of any Change in Control, any outstanding Awards may be dealt with in accordance with any of the following approaches, as determined by the agreement effectuating the transaction or, if and to the extent not so determined, as determined by the Committee: (</w:t>
      </w:r>
      <w:r>
        <w:rPr>
          <w:rFonts w:ascii="Arial" w:cs="Arial" w:eastAsia="Arial" w:hAnsi="Arial"/>
          <w:sz w:val="16"/>
          <w:szCs w:val="16"/>
          <w:color w:val="auto"/>
          <w:strike w:val="1"/>
        </w:rPr>
        <w:t>a</w:t>
      </w:r>
      <w:r>
        <w:rPr>
          <w:rFonts w:ascii="Arial" w:cs="Arial" w:eastAsia="Arial" w:hAnsi="Arial"/>
          <w:sz w:val="16"/>
          <w:szCs w:val="16"/>
          <w:u w:val="single" w:color="auto"/>
          <w:color w:val="auto"/>
        </w:rPr>
        <w:t>1</w:t>
      </w:r>
      <w:r>
        <w:rPr>
          <w:rFonts w:ascii="Arial" w:cs="Arial" w:eastAsia="Arial" w:hAnsi="Arial"/>
          <w:sz w:val="16"/>
          <w:szCs w:val="16"/>
          <w:color w:val="auto"/>
        </w:rPr>
        <w:t>) the continuation of the outstanding Awards by the Company, if the Company is a surviving corporation, (</w:t>
      </w:r>
      <w:r>
        <w:rPr>
          <w:rFonts w:ascii="Arial" w:cs="Arial" w:eastAsia="Arial" w:hAnsi="Arial"/>
          <w:sz w:val="16"/>
          <w:szCs w:val="16"/>
          <w:color w:val="auto"/>
          <w:strike w:val="1"/>
        </w:rPr>
        <w:t>b</w:t>
      </w:r>
      <w:r>
        <w:rPr>
          <w:rFonts w:ascii="Arial" w:cs="Arial" w:eastAsia="Arial" w:hAnsi="Arial"/>
          <w:sz w:val="16"/>
          <w:szCs w:val="16"/>
          <w:u w:val="single" w:color="auto"/>
          <w:color w:val="auto"/>
        </w:rPr>
        <w:t>2</w:t>
      </w:r>
      <w:r>
        <w:rPr>
          <w:rFonts w:ascii="Arial" w:cs="Arial" w:eastAsia="Arial" w:hAnsi="Arial"/>
          <w:sz w:val="16"/>
          <w:szCs w:val="16"/>
          <w:color w:val="auto"/>
        </w:rPr>
        <w:t>) the assumption or substitution for</w:t>
      </w:r>
      <w:r>
        <w:rPr>
          <w:rFonts w:ascii="Arial" w:cs="Arial" w:eastAsia="Arial" w:hAnsi="Arial"/>
          <w:sz w:val="16"/>
          <w:szCs w:val="16"/>
          <w:color w:val="auto"/>
          <w:strike w:val="1"/>
        </w:rPr>
        <w:t>, as those terms are defined in Section 9(b)(iv) hereof</w:t>
      </w:r>
      <w:r>
        <w:rPr>
          <w:rFonts w:ascii="Arial" w:cs="Arial" w:eastAsia="Arial" w:hAnsi="Arial"/>
          <w:sz w:val="16"/>
          <w:szCs w:val="16"/>
          <w:color w:val="auto"/>
        </w:rPr>
        <w:t>, the outstanding Awards by the surviving corporation or its parent or subsidiary, (</w:t>
      </w:r>
      <w:r>
        <w:rPr>
          <w:rFonts w:ascii="Arial" w:cs="Arial" w:eastAsia="Arial" w:hAnsi="Arial"/>
          <w:sz w:val="16"/>
          <w:szCs w:val="16"/>
          <w:color w:val="auto"/>
          <w:strike w:val="1"/>
        </w:rPr>
        <w:t>c</w:t>
      </w:r>
      <w:r>
        <w:rPr>
          <w:rFonts w:ascii="Arial" w:cs="Arial" w:eastAsia="Arial" w:hAnsi="Arial"/>
          <w:sz w:val="16"/>
          <w:szCs w:val="16"/>
          <w:u w:val="single" w:color="auto"/>
          <w:color w:val="auto"/>
        </w:rPr>
        <w:t>3</w:t>
      </w:r>
      <w:r>
        <w:rPr>
          <w:rFonts w:ascii="Arial" w:cs="Arial" w:eastAsia="Arial" w:hAnsi="Arial"/>
          <w:sz w:val="16"/>
          <w:szCs w:val="16"/>
          <w:color w:val="auto"/>
        </w:rPr>
        <w:t>) full exercisability or vesting and accelerated expiration of the outstanding Awards, or (</w:t>
      </w:r>
      <w:r>
        <w:rPr>
          <w:rFonts w:ascii="Arial" w:cs="Arial" w:eastAsia="Arial" w:hAnsi="Arial"/>
          <w:sz w:val="16"/>
          <w:szCs w:val="16"/>
          <w:color w:val="auto"/>
          <w:strike w:val="1"/>
        </w:rPr>
        <w:t>d</w:t>
      </w:r>
      <w:r>
        <w:rPr>
          <w:rFonts w:ascii="Arial" w:cs="Arial" w:eastAsia="Arial" w:hAnsi="Arial"/>
          <w:sz w:val="16"/>
          <w:szCs w:val="16"/>
          <w:u w:val="single" w:color="auto"/>
          <w:color w:val="auto"/>
        </w:rPr>
        <w:t>4</w:t>
      </w:r>
      <w:r>
        <w:rPr>
          <w:rFonts w:ascii="Arial" w:cs="Arial" w:eastAsia="Arial" w:hAnsi="Arial"/>
          <w:sz w:val="16"/>
          <w:szCs w:val="16"/>
          <w:color w:val="auto"/>
        </w:rPr>
        <w:t>) settlement of the value of</w:t>
      </w:r>
    </w:p>
    <w:p>
      <w:pPr>
        <w:spacing w:after="0" w:line="104" w:lineRule="exact"/>
        <w:rPr>
          <w:rFonts w:ascii="Arial" w:cs="Arial" w:eastAsia="Arial" w:hAnsi="Arial"/>
          <w:sz w:val="16"/>
          <w:szCs w:val="16"/>
          <w:u w:val="single" w:color="auto"/>
          <w:color w:val="auto"/>
        </w:rPr>
      </w:pPr>
    </w:p>
    <w:p>
      <w:pPr>
        <w:spacing w:after="0"/>
        <w:rPr>
          <w:rFonts w:ascii="Arial" w:cs="Arial" w:eastAsia="Arial" w:hAnsi="Arial"/>
          <w:sz w:val="16"/>
          <w:szCs w:val="16"/>
          <w:u w:val="single" w:color="auto"/>
          <w:color w:val="auto"/>
        </w:rPr>
      </w:pPr>
      <w:r>
        <w:rPr>
          <w:rFonts w:ascii="Arial" w:cs="Arial" w:eastAsia="Arial" w:hAnsi="Arial"/>
          <w:sz w:val="18"/>
          <w:szCs w:val="18"/>
          <w:color w:val="auto"/>
        </w:rPr>
        <w:t>*  These changes will be made if Proposal 2 is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280" w:right="239" w:bottom="1440" w:gutter="0" w:footer="0" w:header="0"/>
        </w:sectPr>
      </w:pPr>
    </w:p>
    <w:bookmarkStart w:id="73" w:name="page74"/>
    <w:bookmarkEnd w:id="73"/>
    <w:p>
      <w:pPr>
        <w:ind w:left="1500" w:right="1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05" w:lineRule="exact"/>
        <w:rPr>
          <w:sz w:val="20"/>
          <w:szCs w:val="20"/>
          <w:color w:val="auto"/>
        </w:rPr>
      </w:pPr>
    </w:p>
    <w:p>
      <w:pPr>
        <w:ind w:left="1500" w:firstLine="389"/>
        <w:spacing w:after="0" w:line="285" w:lineRule="auto"/>
        <w:tabs>
          <w:tab w:leader="none" w:pos="2175" w:val="left"/>
        </w:tabs>
        <w:numPr>
          <w:ilvl w:val="2"/>
          <w:numId w:val="88"/>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For purposes of this Section 10(c)(ii), an Option, Stock Appreciation Right, Restricted Stock Award, Deferred Stock Award or Other Stock-Based Award shall be considered assumed or substituted for if following the Change in Control the Award confers the right to purchase or receive, for each Share subject to the Option, Stock Appreciation Right, Restricted Stock Award, Deferred Stock Award or Other Stock-Based Award immediately prior to the Change in Control, on substantially the same vesting and other terms and conditions as were applicable to the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Deferred Stock Award or Other Stock-Based Award, for each Share subject thereto, will be solely common stock of the successor company or its parent or subsidiary substantially equal in fair market value to the per share consideration received by holders of Shares in the transaction constituting a Change in Control. The determination of such substantial equality of value of consideration shall be made by the Committee in its sole discretion and its determination shall be conclusive and binding.*</w:t>
      </w:r>
    </w:p>
    <w:p>
      <w:pPr>
        <w:spacing w:after="0" w:line="114" w:lineRule="exact"/>
        <w:rPr>
          <w:rFonts w:ascii="Arial" w:cs="Arial" w:eastAsia="Arial" w:hAnsi="Arial"/>
          <w:sz w:val="16"/>
          <w:szCs w:val="16"/>
          <w:u w:val="single" w:color="auto"/>
          <w:color w:val="auto"/>
        </w:rPr>
      </w:pPr>
    </w:p>
    <w:p>
      <w:pPr>
        <w:ind w:left="920" w:right="60" w:firstLine="421"/>
        <w:spacing w:after="0" w:line="286" w:lineRule="auto"/>
        <w:tabs>
          <w:tab w:leader="none" w:pos="1647" w:val="left"/>
        </w:tabs>
        <w:numPr>
          <w:ilvl w:val="1"/>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Other Adjustments</w:t>
      </w:r>
      <w:r>
        <w:rPr>
          <w:rFonts w:ascii="Arial" w:cs="Arial" w:eastAsia="Arial" w:hAnsi="Arial"/>
          <w:sz w:val="16"/>
          <w:szCs w:val="16"/>
          <w:color w:val="auto"/>
        </w:rPr>
        <w:t>. The Committee (and the Board if and only to the extent such authority is not required to be exercised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to comply with Section 162(m) of the Code) is authorized to make adjustments in the terms 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8(b)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w:t>
      </w:r>
    </w:p>
    <w:p>
      <w:pPr>
        <w:spacing w:after="0" w:line="1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These changes will be made if Proposal 2 is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00"/>
          </w:cols>
          <w:pgMar w:left="240" w:top="280" w:right="259" w:bottom="1440" w:gutter="0" w:footer="0" w:header="0"/>
        </w:sectPr>
      </w:pPr>
    </w:p>
    <w:bookmarkStart w:id="74" w:name="page75"/>
    <w:bookmarkEnd w:id="74"/>
    <w:p>
      <w:pPr>
        <w:ind w:left="460" w:right="20" w:firstLine="443"/>
        <w:spacing w:after="0" w:line="253" w:lineRule="auto"/>
        <w:tabs>
          <w:tab w:leader="none" w:pos="1147" w:val="left"/>
        </w:tabs>
        <w:numPr>
          <w:ilvl w:val="2"/>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Taxes</w:t>
      </w:r>
      <w:r>
        <w:rPr>
          <w:rFonts w:ascii="Arial" w:cs="Arial" w:eastAsia="Arial" w:hAnsi="Arial"/>
          <w:sz w:val="18"/>
          <w:szCs w:val="18"/>
          <w:color w:val="auto"/>
        </w:rPr>
        <w:t>. The Company and any Related Entity are authorized to withhold from any Award granted, any payment relating to an Award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w:t>
      </w:r>
      <w:r>
        <w:rPr>
          <w:rFonts w:ascii="Arial" w:cs="Arial" w:eastAsia="Arial" w:hAnsi="Arial"/>
          <w:sz w:val="18"/>
          <w:szCs w:val="18"/>
          <w:color w:val="auto"/>
          <w:strike w:val="1"/>
        </w:rPr>
        <w:t>in respect thereof</w:t>
      </w:r>
      <w:r>
        <w:rPr>
          <w:rFonts w:ascii="Arial" w:cs="Arial" w:eastAsia="Arial" w:hAnsi="Arial"/>
          <w:sz w:val="18"/>
          <w:szCs w:val="18"/>
          <w:u w:val="single" w:color="auto"/>
          <w:color w:val="auto"/>
        </w:rPr>
        <w:t>equal in value to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 withheld or received from the Participant*</w:t>
      </w:r>
      <w:r>
        <w:rPr>
          <w:rFonts w:ascii="Arial" w:cs="Arial" w:eastAsia="Arial" w:hAnsi="Arial"/>
          <w:sz w:val="18"/>
          <w:szCs w:val="18"/>
          <w:color w:val="auto"/>
        </w:rPr>
        <w:t xml:space="preserve"> in satisfaction of a Participant’s tax obligations, either on a mandatory or elective basis in the discretion of the Committee.</w:t>
      </w:r>
    </w:p>
    <w:p>
      <w:pPr>
        <w:spacing w:after="0" w:line="133" w:lineRule="exact"/>
        <w:rPr>
          <w:rFonts w:ascii="Arial" w:cs="Arial" w:eastAsia="Arial" w:hAnsi="Arial"/>
          <w:sz w:val="18"/>
          <w:szCs w:val="18"/>
          <w:color w:val="auto"/>
        </w:rPr>
      </w:pPr>
    </w:p>
    <w:p>
      <w:pPr>
        <w:ind w:left="460" w:right="40" w:firstLine="443"/>
        <w:spacing w:after="0" w:line="287" w:lineRule="auto"/>
        <w:tabs>
          <w:tab w:leader="none" w:pos="1137" w:val="left"/>
        </w:tabs>
        <w:numPr>
          <w:ilvl w:val="2"/>
          <w:numId w:val="90"/>
        </w:numPr>
        <w:rPr>
          <w:rFonts w:ascii="Arial" w:cs="Arial" w:eastAsia="Arial" w:hAnsi="Arial"/>
          <w:sz w:val="16"/>
          <w:szCs w:val="16"/>
          <w:color w:val="auto"/>
        </w:rPr>
      </w:pPr>
      <w:r>
        <w:rPr>
          <w:rFonts w:ascii="Arial" w:cs="Arial" w:eastAsia="Arial" w:hAnsi="Arial"/>
          <w:sz w:val="16"/>
          <w:szCs w:val="16"/>
          <w:b w:val="1"/>
          <w:bCs w:val="1"/>
          <w:i w:val="1"/>
          <w:iCs w:val="1"/>
          <w:color w:val="auto"/>
        </w:rPr>
        <w:t>Changes to the Plan and Awards</w:t>
      </w:r>
      <w:r>
        <w:rPr>
          <w:rFonts w:ascii="Arial" w:cs="Arial" w:eastAsia="Arial" w:hAnsi="Arial"/>
          <w:sz w:val="16"/>
          <w:szCs w:val="16"/>
          <w:color w:val="auto"/>
        </w:rPr>
        <w:t>. The Board may amend, alter, suspend, discontinue or terminate the Plan, or the Committee’s authority to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any stock exchange or automated quotation system on which the Shares may then be listed or quoted,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w:t>
      </w:r>
    </w:p>
    <w:p>
      <w:pPr>
        <w:spacing w:after="0" w:line="109" w:lineRule="exact"/>
        <w:rPr>
          <w:rFonts w:ascii="Arial" w:cs="Arial" w:eastAsia="Arial" w:hAnsi="Arial"/>
          <w:sz w:val="16"/>
          <w:szCs w:val="16"/>
          <w:color w:val="auto"/>
        </w:rPr>
      </w:pPr>
    </w:p>
    <w:p>
      <w:pPr>
        <w:jc w:val="both"/>
        <w:ind w:left="460" w:right="40" w:firstLine="443"/>
        <w:spacing w:after="0" w:line="305" w:lineRule="auto"/>
        <w:tabs>
          <w:tab w:leader="none" w:pos="1117" w:val="left"/>
        </w:tabs>
        <w:numPr>
          <w:ilvl w:val="2"/>
          <w:numId w:val="90"/>
        </w:numPr>
        <w:rPr>
          <w:rFonts w:ascii="Arial" w:cs="Arial" w:eastAsia="Arial" w:hAnsi="Arial"/>
          <w:sz w:val="15"/>
          <w:szCs w:val="15"/>
          <w:color w:val="auto"/>
        </w:rPr>
      </w:pPr>
      <w:r>
        <w:rPr>
          <w:rFonts w:ascii="Arial" w:cs="Arial" w:eastAsia="Arial" w:hAnsi="Arial"/>
          <w:sz w:val="15"/>
          <w:szCs w:val="15"/>
          <w:b w:val="1"/>
          <w:bCs w:val="1"/>
          <w:i w:val="1"/>
          <w:iCs w:val="1"/>
          <w:color w:val="auto"/>
        </w:rPr>
        <w:t>Limitation on Rights Conferred Under Plan</w:t>
      </w:r>
      <w:r>
        <w:rPr>
          <w:rFonts w:ascii="Arial" w:cs="Arial" w:eastAsia="Arial" w:hAnsi="Arial"/>
          <w:sz w:val="15"/>
          <w:szCs w:val="15"/>
          <w:color w:val="auto"/>
        </w:rPr>
        <w:t>. Neither the Plan nor any action taken hereunder or under any Award shall be construed as (i) giving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any Eligible Person or Participant the right to continue as an Eligible Person or Participant or in the employ or service of the Company or a Related Entity;</w:t>
      </w:r>
    </w:p>
    <w:p>
      <w:pPr>
        <w:ind w:left="460" w:firstLine="4"/>
        <w:spacing w:after="0" w:line="286" w:lineRule="auto"/>
        <w:tabs>
          <w:tab w:leader="none" w:pos="719" w:val="left"/>
        </w:tabs>
        <w:numPr>
          <w:ilvl w:val="1"/>
          <w:numId w:val="91"/>
        </w:numPr>
        <w:rPr>
          <w:rFonts w:ascii="Arial" w:cs="Arial" w:eastAsia="Arial" w:hAnsi="Arial"/>
          <w:sz w:val="16"/>
          <w:szCs w:val="16"/>
          <w:color w:val="auto"/>
        </w:rPr>
      </w:pPr>
      <w:r>
        <w:rPr>
          <w:rFonts w:ascii="Arial" w:cs="Arial" w:eastAsia="Arial" w:hAnsi="Arial"/>
          <w:sz w:val="16"/>
          <w:szCs w:val="16"/>
          <w:color w:val="auto"/>
        </w:rPr>
        <w:t>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including, without limitation, any right to receive dividends or distributions, any right to vote or act by written consent, any right to attend meetings of shareholders or any right to receive any information concerning the Company’s business, financial condition, results of operation or prospects, unless and until such time as the Participant is duly issued Shares on the stock books of the Company in accordance with the terms of an Award. None of the Company, its officers or its directors shall have any fiduciary obligation to the Participant with respect to any Shares awarded pursuant to this Plan unless and until the Participant is duly issued Shares on the stock books of the Company in accordance with the terms of an Award. Neither the Company nor any of the Company’s officers, directors, representatives or agents are granting any rights under the Plan to the Participant whatsoever, oral or written, express or implied, other than those rights expressly set forth in this Plan or the Award Agreement.</w:t>
      </w:r>
    </w:p>
    <w:p>
      <w:pPr>
        <w:spacing w:after="0" w:line="110" w:lineRule="exact"/>
        <w:rPr>
          <w:rFonts w:ascii="Arial" w:cs="Arial" w:eastAsia="Arial" w:hAnsi="Arial"/>
          <w:sz w:val="16"/>
          <w:szCs w:val="16"/>
          <w:color w:val="auto"/>
        </w:rPr>
      </w:pPr>
    </w:p>
    <w:p>
      <w:pPr>
        <w:ind w:left="460" w:right="80" w:firstLine="443"/>
        <w:spacing w:after="0" w:line="318" w:lineRule="auto"/>
        <w:tabs>
          <w:tab w:leader="none" w:pos="1147" w:val="left"/>
        </w:tabs>
        <w:numPr>
          <w:ilvl w:val="2"/>
          <w:numId w:val="91"/>
        </w:numPr>
        <w:rPr>
          <w:rFonts w:ascii="Arial" w:cs="Arial" w:eastAsia="Arial" w:hAnsi="Arial"/>
          <w:sz w:val="15"/>
          <w:szCs w:val="15"/>
          <w:color w:val="auto"/>
        </w:rPr>
      </w:pPr>
      <w:r>
        <w:rPr>
          <w:rFonts w:ascii="Arial" w:cs="Arial" w:eastAsia="Arial" w:hAnsi="Arial"/>
          <w:sz w:val="15"/>
          <w:szCs w:val="15"/>
          <w:b w:val="1"/>
          <w:bCs w:val="1"/>
          <w:i w:val="1"/>
          <w:iCs w:val="1"/>
          <w:color w:val="auto"/>
        </w:rPr>
        <w:t>Unfunded Status of Awards; Creation of Trusts</w:t>
      </w:r>
      <w:r>
        <w:rPr>
          <w:rFonts w:ascii="Arial" w:cs="Arial" w:eastAsia="Arial" w:hAnsi="Arial"/>
          <w:sz w:val="15"/>
          <w:szCs w:val="15"/>
          <w:color w:val="auto"/>
        </w:rPr>
        <w:t>. The Plan is intended to constitute an “unfunded” plan for incentive and deferred compensation.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respect to any payments not yet made to a Participant or obligation to deliver Shares pursuant to an Award, nothing contained in the Plan or any Award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w:t>
      </w:r>
    </w:p>
    <w:p>
      <w:pPr>
        <w:spacing w:after="0" w:line="8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  These changes will be made if Proposal 2 is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280" w:right="239" w:bottom="1440" w:gutter="0" w:footer="0" w:header="0"/>
        </w:sectPr>
      </w:pPr>
    </w:p>
    <w:bookmarkStart w:id="75" w:name="page76"/>
    <w:bookmarkEnd w:id="75"/>
    <w:p>
      <w:pPr>
        <w:ind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72" w:lineRule="exact"/>
        <w:rPr>
          <w:sz w:val="20"/>
          <w:szCs w:val="20"/>
          <w:color w:val="auto"/>
        </w:rPr>
      </w:pPr>
    </w:p>
    <w:p>
      <w:pPr>
        <w:ind w:right="80" w:firstLine="443"/>
        <w:spacing w:after="0" w:line="306" w:lineRule="auto"/>
        <w:tabs>
          <w:tab w:leader="none" w:pos="687" w:val="left"/>
        </w:tabs>
        <w:numPr>
          <w:ilvl w:val="0"/>
          <w:numId w:val="92"/>
        </w:numPr>
        <w:rPr>
          <w:rFonts w:ascii="Arial" w:cs="Arial" w:eastAsia="Arial" w:hAnsi="Arial"/>
          <w:sz w:val="16"/>
          <w:szCs w:val="16"/>
          <w:color w:val="auto"/>
        </w:rPr>
      </w:pPr>
      <w:r>
        <w:rPr>
          <w:rFonts w:ascii="Arial" w:cs="Arial" w:eastAsia="Arial" w:hAnsi="Arial"/>
          <w:sz w:val="16"/>
          <w:szCs w:val="16"/>
          <w:b w:val="1"/>
          <w:bCs w:val="1"/>
          <w:i w:val="1"/>
          <w:iCs w:val="1"/>
          <w:color w:val="auto"/>
        </w:rPr>
        <w:t>Nonexclusivity of the Plan</w:t>
      </w:r>
      <w:r>
        <w:rPr>
          <w:rFonts w:ascii="Arial" w:cs="Arial" w:eastAsia="Arial" w:hAnsi="Arial"/>
          <w:sz w:val="16"/>
          <w:szCs w:val="16"/>
          <w:color w:val="auto"/>
        </w:rPr>
        <w:t>. Neither the adoption of the Plan by the Board nor its submission to the shareholders of the Company for approval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93" w:lineRule="exact"/>
        <w:rPr>
          <w:rFonts w:ascii="Arial" w:cs="Arial" w:eastAsia="Arial" w:hAnsi="Arial"/>
          <w:sz w:val="16"/>
          <w:szCs w:val="16"/>
          <w:color w:val="auto"/>
        </w:rPr>
      </w:pPr>
    </w:p>
    <w:p>
      <w:pPr>
        <w:ind w:right="140" w:firstLine="443"/>
        <w:spacing w:after="0" w:line="255" w:lineRule="auto"/>
        <w:tabs>
          <w:tab w:leader="none" w:pos="648"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Payments in the Event of Forfeitures; Fractional Shares</w:t>
      </w:r>
      <w:r>
        <w:rPr>
          <w:rFonts w:ascii="Arial" w:cs="Arial" w:eastAsia="Arial" w:hAnsi="Arial"/>
          <w:sz w:val="18"/>
          <w:szCs w:val="18"/>
          <w:color w:val="auto"/>
        </w:rPr>
        <w:t>. Unless otherwise determined by the Committee, in the event of a forfeiture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29" w:lineRule="exact"/>
        <w:rPr>
          <w:rFonts w:ascii="Arial" w:cs="Arial" w:eastAsia="Arial" w:hAnsi="Arial"/>
          <w:sz w:val="18"/>
          <w:szCs w:val="18"/>
          <w:color w:val="auto"/>
        </w:rPr>
      </w:pPr>
    </w:p>
    <w:p>
      <w:pPr>
        <w:ind w:right="260" w:firstLine="443"/>
        <w:spacing w:after="0" w:line="332" w:lineRule="auto"/>
        <w:tabs>
          <w:tab w:leader="none" w:pos="648" w:val="left"/>
        </w:tabs>
        <w:numPr>
          <w:ilvl w:val="0"/>
          <w:numId w:val="92"/>
        </w:numPr>
        <w:rPr>
          <w:rFonts w:ascii="Arial" w:cs="Arial" w:eastAsia="Arial" w:hAnsi="Arial"/>
          <w:sz w:val="16"/>
          <w:szCs w:val="16"/>
          <w:color w:val="auto"/>
        </w:rPr>
      </w:pPr>
      <w:r>
        <w:rPr>
          <w:rFonts w:ascii="Arial" w:cs="Arial" w:eastAsia="Arial" w:hAnsi="Arial"/>
          <w:sz w:val="16"/>
          <w:szCs w:val="16"/>
          <w:b w:val="1"/>
          <w:bCs w:val="1"/>
          <w:i w:val="1"/>
          <w:iCs w:val="1"/>
          <w:color w:val="auto"/>
        </w:rPr>
        <w:t>Governing Law</w:t>
      </w:r>
      <w:r>
        <w:rPr>
          <w:rFonts w:ascii="Arial" w:cs="Arial" w:eastAsia="Arial" w:hAnsi="Arial"/>
          <w:sz w:val="16"/>
          <w:szCs w:val="16"/>
          <w:color w:val="auto"/>
        </w:rPr>
        <w:t>. The validity, construction and effect of the Plan, any rules and regulations under the Plan, and any Award Agreement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in accordance with the laws of the State of Delaware without giving effect to principles of conflict of laws, and applicable federal law.</w:t>
      </w:r>
    </w:p>
    <w:p>
      <w:pPr>
        <w:spacing w:after="0" w:line="71" w:lineRule="exact"/>
        <w:rPr>
          <w:rFonts w:ascii="Arial" w:cs="Arial" w:eastAsia="Arial" w:hAnsi="Arial"/>
          <w:sz w:val="16"/>
          <w:szCs w:val="16"/>
          <w:color w:val="auto"/>
        </w:rPr>
      </w:pPr>
    </w:p>
    <w:p>
      <w:pPr>
        <w:jc w:val="both"/>
        <w:ind w:firstLine="443"/>
        <w:spacing w:after="0" w:line="306" w:lineRule="auto"/>
        <w:tabs>
          <w:tab w:leader="none" w:pos="687" w:val="left"/>
        </w:tabs>
        <w:numPr>
          <w:ilvl w:val="0"/>
          <w:numId w:val="92"/>
        </w:numPr>
        <w:rPr>
          <w:rFonts w:ascii="Arial" w:cs="Arial" w:eastAsia="Arial" w:hAnsi="Arial"/>
          <w:sz w:val="16"/>
          <w:szCs w:val="16"/>
          <w:color w:val="auto"/>
        </w:rPr>
      </w:pPr>
      <w:r>
        <w:rPr>
          <w:rFonts w:ascii="Arial" w:cs="Arial" w:eastAsia="Arial" w:hAnsi="Arial"/>
          <w:sz w:val="16"/>
          <w:szCs w:val="16"/>
          <w:b w:val="1"/>
          <w:bCs w:val="1"/>
          <w:i w:val="1"/>
          <w:iCs w:val="1"/>
          <w:color w:val="auto"/>
        </w:rPr>
        <w:t>Non-U.S. Laws</w:t>
      </w:r>
      <w:r>
        <w:rPr>
          <w:rFonts w:ascii="Arial" w:cs="Arial" w:eastAsia="Arial" w:hAnsi="Arial"/>
          <w:sz w:val="16"/>
          <w:szCs w:val="16"/>
          <w:color w:val="auto"/>
        </w:rPr>
        <w:t>. The Committee shall have the authority to adopt such modifications, procedures, and subplans as may be necessary or desirable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comply with provisions of the laws of foreign countries in which the Company or its Subsidiaries may operate to assure the viability of the benefits from Awards granted to Participants performing services in such countries and to meet the objectives of the Plan.</w:t>
      </w:r>
    </w:p>
    <w:p>
      <w:pPr>
        <w:spacing w:after="0" w:line="93" w:lineRule="exact"/>
        <w:rPr>
          <w:rFonts w:ascii="Arial" w:cs="Arial" w:eastAsia="Arial" w:hAnsi="Arial"/>
          <w:sz w:val="16"/>
          <w:szCs w:val="16"/>
          <w:color w:val="auto"/>
        </w:rPr>
      </w:pPr>
    </w:p>
    <w:p>
      <w:pPr>
        <w:ind w:right="20" w:firstLine="443"/>
        <w:spacing w:after="0" w:line="289" w:lineRule="auto"/>
        <w:tabs>
          <w:tab w:leader="none" w:pos="648" w:val="left"/>
        </w:tabs>
        <w:numPr>
          <w:ilvl w:val="0"/>
          <w:numId w:val="92"/>
        </w:numPr>
        <w:rPr>
          <w:rFonts w:ascii="Arial" w:cs="Arial" w:eastAsia="Arial" w:hAnsi="Arial"/>
          <w:sz w:val="16"/>
          <w:szCs w:val="16"/>
          <w:color w:val="auto"/>
        </w:rPr>
      </w:pPr>
      <w:r>
        <w:rPr>
          <w:rFonts w:ascii="Arial" w:cs="Arial" w:eastAsia="Arial" w:hAnsi="Arial"/>
          <w:sz w:val="16"/>
          <w:szCs w:val="16"/>
          <w:b w:val="1"/>
          <w:bCs w:val="1"/>
          <w:i w:val="1"/>
          <w:iCs w:val="1"/>
          <w:color w:val="auto"/>
        </w:rPr>
        <w:t>Plan Effective Date and Shareholder Approval; Termination of Plan</w:t>
      </w:r>
      <w:r>
        <w:rPr>
          <w:rFonts w:ascii="Arial" w:cs="Arial" w:eastAsia="Arial" w:hAnsi="Arial"/>
          <w:sz w:val="16"/>
          <w:szCs w:val="16"/>
          <w:color w:val="auto"/>
        </w:rPr>
        <w:t>. The Plan shall become effective on the Effective Date, which is the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Plan was approved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0920"/>
          </w:cols>
          <w:pgMar w:left="700" w:top="280" w:right="279" w:bottom="1440" w:gutter="0" w:footer="0" w:header="0"/>
        </w:sectPr>
      </w:pPr>
    </w:p>
    <w:bookmarkStart w:id="76" w:name="page77"/>
    <w:bookmarkEnd w:id="76"/>
    <w:p>
      <w:pPr>
        <w:ind w:left="4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CASUAL MALE RETAIL GROUP, INC.</w:t>
      </w:r>
    </w:p>
    <w:p>
      <w:pPr>
        <w:spacing w:after="0" w:line="44"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Notice of 2010 Annual Meeting of</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Stockholders and Proxy Statement</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Thursday, August 5, 2010</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9:00 A.M. CST</w:t>
      </w:r>
    </w:p>
    <w:p>
      <w:pPr>
        <w:spacing w:after="0" w:line="145"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Hyatt Regency Woodfield Schaumburg</w:t>
      </w:r>
    </w:p>
    <w:p>
      <w:pPr>
        <w:spacing w:after="0" w:line="44"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1800 East Golf Road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Schaumburg, IL 60173</w:t>
      </w:r>
    </w:p>
    <w:p>
      <w:pPr>
        <w:spacing w:after="0" w:line="14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Please sign your proxy and</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return it in the enclosed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postage-paid envelope so</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that you may be represented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at the Annual Meeting.</w:t>
      </w:r>
    </w:p>
    <w:p>
      <w:pPr>
        <w:sectPr>
          <w:pgSz w:w="11900" w:h="16838" w:orient="portrait"/>
          <w:cols w:equalWidth="0" w:num="1">
            <w:col w:w="9019"/>
          </w:cols>
          <w:pgMar w:left="1440" w:top="274" w:right="1440" w:bottom="1440" w:gutter="0" w:footer="0" w:header="0"/>
        </w:sectPr>
      </w:pPr>
    </w:p>
    <w:bookmarkStart w:id="77" w:name="page78"/>
    <w:bookmarkEnd w:id="77"/>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ANNUAL MEETING OF STOCKHOLDERS OF</w:t>
      </w:r>
    </w:p>
    <w:p>
      <w:pPr>
        <w:spacing w:after="0" w:line="15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CASUAL MALE RETAIL GROUP, INC.</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August 5, 2010</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u w:val="single" w:color="auto"/>
          <w:color w:val="auto"/>
        </w:rPr>
        <w:t>Important Notice Regarding Internet Availability of Proxy Materials for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Annual Meeting of Stockholders to be Held on August 5,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Proxy Statement and 2010 Annual Report to Stockholders are available at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www.casualmale.com/proxymaterials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sign, date and mail</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your proxy card in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envelope provided as soon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possible.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160" w:type="dxa"/>
            <w:vAlign w:val="bottom"/>
            <w:gridSpan w:val="3"/>
          </w:tcPr>
          <w:p>
            <w:pPr>
              <w:ind w:left="720"/>
              <w:spacing w:after="0"/>
              <w:rPr>
                <w:sz w:val="20"/>
                <w:szCs w:val="20"/>
                <w:color w:val="auto"/>
              </w:rPr>
            </w:pPr>
            <w:r>
              <w:rPr>
                <w:rFonts w:ascii="Arial" w:cs="Arial" w:eastAsia="Arial" w:hAnsi="Arial"/>
                <w:sz w:val="18"/>
                <w:szCs w:val="18"/>
                <w:color w:val="auto"/>
              </w:rPr>
              <w:t>¯ Please detach along perforated line and mail in the envelope provided. ¯</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rPr>
              <w:t>20830003003000001000</w:t>
            </w:r>
          </w:p>
        </w:tc>
        <w:tc>
          <w:tcPr>
            <w:tcW w:w="3060" w:type="dxa"/>
            <w:vAlign w:val="bottom"/>
            <w:vMerge w:val="restart"/>
          </w:tcPr>
          <w:p>
            <w:pPr>
              <w:ind w:left="8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3"/>
                <w:szCs w:val="13"/>
                <w:color w:val="auto"/>
              </w:rPr>
            </w:pPr>
          </w:p>
        </w:tc>
        <w:tc>
          <w:tcPr>
            <w:tcW w:w="3640" w:type="dxa"/>
            <w:vAlign w:val="bottom"/>
            <w:vMerge w:val="restart"/>
          </w:tcPr>
          <w:p>
            <w:pPr>
              <w:ind w:left="1320"/>
              <w:spacing w:after="0"/>
              <w:rPr>
                <w:sz w:val="20"/>
                <w:szCs w:val="20"/>
                <w:color w:val="auto"/>
              </w:rPr>
            </w:pPr>
            <w:r>
              <w:rPr>
                <w:rFonts w:ascii="Arial" w:cs="Arial" w:eastAsia="Arial" w:hAnsi="Arial"/>
                <w:sz w:val="18"/>
                <w:szCs w:val="18"/>
                <w:color w:val="auto"/>
              </w:rPr>
              <w:t>080510</w:t>
            </w: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 w:type="dxa"/>
            <w:vAlign w:val="bottom"/>
            <w:shd w:val="clear" w:color="auto" w:fill="000000"/>
          </w:tcPr>
          <w:p>
            <w:pPr>
              <w:spacing w:after="0"/>
              <w:rPr>
                <w:sz w:val="18"/>
                <w:szCs w:val="18"/>
                <w:color w:val="auto"/>
              </w:rPr>
            </w:pPr>
          </w:p>
        </w:tc>
        <w:tc>
          <w:tcPr>
            <w:tcW w:w="2140" w:type="dxa"/>
            <w:vAlign w:val="bottom"/>
            <w:gridSpan w:val="2"/>
            <w:vMerge w:val="continue"/>
          </w:tcPr>
          <w:p>
            <w:pPr>
              <w:spacing w:after="0"/>
              <w:rPr>
                <w:sz w:val="18"/>
                <w:szCs w:val="18"/>
                <w:color w:val="auto"/>
              </w:rPr>
            </w:pPr>
          </w:p>
        </w:tc>
        <w:tc>
          <w:tcPr>
            <w:tcW w:w="30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880" w:type="dxa"/>
            <w:vAlign w:val="bottom"/>
            <w:tcBorders>
              <w:bottom w:val="single" w:sz="8" w:color="auto"/>
            </w:tcBorders>
            <w:gridSpan w:val="5"/>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80" w:type="dxa"/>
            <w:vAlign w:val="bottom"/>
            <w:gridSpan w:val="5"/>
          </w:tcPr>
          <w:p>
            <w:pPr>
              <w:jc w:val="center"/>
              <w:ind w:left="312"/>
              <w:spacing w:after="0"/>
              <w:rPr>
                <w:sz w:val="20"/>
                <w:szCs w:val="20"/>
                <w:color w:val="auto"/>
              </w:rPr>
            </w:pPr>
            <w:r>
              <w:rPr>
                <w:rFonts w:ascii="Arial" w:cs="Arial" w:eastAsia="Arial" w:hAnsi="Arial"/>
                <w:sz w:val="14"/>
                <w:szCs w:val="14"/>
                <w:b w:val="1"/>
                <w:bCs w:val="1"/>
                <w:color w:val="auto"/>
                <w:w w:val="95"/>
              </w:rPr>
              <w:t>THE BOARD OF DIRECTORS RECOMMENDS A VOTE “FOR” THE ELECTION OF DIRECTORS AND “FOR” PROPOSALS 2, 3 AND 4.</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520" w:type="dxa"/>
            <w:vAlign w:val="bottom"/>
            <w:tcBorders>
              <w:bottom w:val="single" w:sz="8" w:color="auto"/>
            </w:tcBorders>
            <w:gridSpan w:val="7"/>
          </w:tcPr>
          <w:p>
            <w:pPr>
              <w:jc w:val="center"/>
              <w:ind w:left="342"/>
              <w:spacing w:after="0" w:line="161" w:lineRule="exact"/>
              <w:rPr>
                <w:sz w:val="20"/>
                <w:szCs w:val="20"/>
                <w:color w:val="auto"/>
              </w:rPr>
            </w:pPr>
            <w:r>
              <w:rPr>
                <w:rFonts w:ascii="Arial" w:cs="Arial" w:eastAsia="Arial" w:hAnsi="Arial"/>
                <w:sz w:val="14"/>
                <w:szCs w:val="14"/>
                <w:b w:val="1"/>
                <w:bCs w:val="1"/>
                <w:color w:val="auto"/>
                <w:w w:val="96"/>
              </w:rPr>
              <w:t xml:space="preserve">PLEASE SIGN, DATE AND RETURN PROMPTLY IN THE ENCLOSED ENVELOPE. PLEASE MARK YOUR VOTE IN BLUE OR BLACK INK AS SHOWN HERE </w:t>
            </w:r>
            <w:r>
              <w:rPr>
                <w:rFonts w:ascii="MS PGothic" w:cs="MS PGothic" w:eastAsia="MS PGothic" w:hAnsi="MS PGothic"/>
                <w:sz w:val="14"/>
                <w:szCs w:val="14"/>
                <w:color w:val="auto"/>
                <w:highlight w:val="black"/>
                <w:w w:val="96"/>
              </w:rPr>
              <w:t>☒</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440" w:type="dxa"/>
            <w:vAlign w:val="bottom"/>
            <w:gridSpan w:val="5"/>
          </w:tcPr>
          <w:p>
            <w:pPr>
              <w:spacing w:after="0" w:line="158" w:lineRule="exact"/>
              <w:rPr>
                <w:sz w:val="20"/>
                <w:szCs w:val="20"/>
                <w:color w:val="auto"/>
              </w:rPr>
            </w:pPr>
            <w:r>
              <w:rPr>
                <w:rFonts w:ascii="Arial" w:cs="Arial" w:eastAsia="Arial" w:hAnsi="Arial"/>
                <w:sz w:val="14"/>
                <w:szCs w:val="14"/>
                <w:color w:val="auto"/>
                <w:w w:val="97"/>
              </w:rPr>
              <w:t xml:space="preserve">1. </w:t>
            </w:r>
            <w:r>
              <w:rPr>
                <w:rFonts w:ascii="Arial" w:cs="Arial" w:eastAsia="Arial" w:hAnsi="Arial"/>
                <w:sz w:val="14"/>
                <w:szCs w:val="14"/>
                <w:b w:val="1"/>
                <w:bCs w:val="1"/>
                <w:color w:val="auto"/>
                <w:w w:val="97"/>
              </w:rPr>
              <w:t>Election of Directors:</w:t>
            </w:r>
            <w:r>
              <w:rPr>
                <w:rFonts w:ascii="Arial" w:cs="Arial" w:eastAsia="Arial" w:hAnsi="Arial"/>
                <w:sz w:val="14"/>
                <w:szCs w:val="14"/>
                <w:color w:val="auto"/>
                <w:w w:val="97"/>
              </w:rPr>
              <w:t xml:space="preserve"> THE BOARD OF DIRECTORS RECOMMENDS A VOTE “FOR”</w:t>
            </w:r>
          </w:p>
        </w:tc>
        <w:tc>
          <w:tcPr>
            <w:tcW w:w="4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420" w:type="dxa"/>
            <w:vAlign w:val="bottom"/>
          </w:tcPr>
          <w:p>
            <w:pPr>
              <w:jc w:val="center"/>
              <w:spacing w:after="0" w:line="158" w:lineRule="exact"/>
              <w:rPr>
                <w:sz w:val="20"/>
                <w:szCs w:val="20"/>
                <w:color w:val="auto"/>
              </w:rPr>
            </w:pPr>
            <w:r>
              <w:rPr>
                <w:rFonts w:ascii="Arial" w:cs="Arial" w:eastAsia="Arial" w:hAnsi="Arial"/>
                <w:sz w:val="14"/>
                <w:szCs w:val="14"/>
                <w:color w:val="auto"/>
                <w:w w:val="87"/>
              </w:rPr>
              <w:t>FOR</w:t>
            </w:r>
          </w:p>
        </w:tc>
        <w:tc>
          <w:tcPr>
            <w:tcW w:w="800" w:type="dxa"/>
            <w:vAlign w:val="bottom"/>
          </w:tcPr>
          <w:p>
            <w:pPr>
              <w:jc w:val="center"/>
              <w:ind w:right="32"/>
              <w:spacing w:after="0" w:line="158" w:lineRule="exact"/>
              <w:rPr>
                <w:sz w:val="20"/>
                <w:szCs w:val="20"/>
                <w:color w:val="auto"/>
              </w:rPr>
            </w:pPr>
            <w:r>
              <w:rPr>
                <w:rFonts w:ascii="Arial" w:cs="Arial" w:eastAsia="Arial" w:hAnsi="Arial"/>
                <w:sz w:val="14"/>
                <w:szCs w:val="14"/>
                <w:color w:val="auto"/>
                <w:w w:val="94"/>
              </w:rPr>
              <w:t>AGAINST</w:t>
            </w:r>
          </w:p>
        </w:tc>
        <w:tc>
          <w:tcPr>
            <w:tcW w:w="660" w:type="dxa"/>
            <w:vAlign w:val="bottom"/>
          </w:tcPr>
          <w:p>
            <w:pPr>
              <w:jc w:val="center"/>
              <w:spacing w:after="0" w:line="158" w:lineRule="exact"/>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gridSpan w:val="3"/>
          </w:tcPr>
          <w:p>
            <w:pPr>
              <w:ind w:left="200"/>
              <w:spacing w:after="0"/>
              <w:rPr>
                <w:sz w:val="20"/>
                <w:szCs w:val="20"/>
                <w:color w:val="auto"/>
              </w:rPr>
            </w:pPr>
            <w:r>
              <w:rPr>
                <w:rFonts w:ascii="Arial" w:cs="Arial" w:eastAsia="Arial" w:hAnsi="Arial"/>
                <w:sz w:val="14"/>
                <w:szCs w:val="14"/>
                <w:color w:val="auto"/>
                <w:w w:val="98"/>
              </w:rPr>
              <w:t>ALL NOMINEES NAMED BELOW.</w:t>
            </w:r>
          </w:p>
        </w:tc>
        <w:tc>
          <w:tcPr>
            <w:tcW w:w="3060" w:type="dxa"/>
            <w:vAlign w:val="bottom"/>
          </w:tcPr>
          <w:p>
            <w:pPr>
              <w:spacing w:after="0"/>
              <w:rPr>
                <w:sz w:val="14"/>
                <w:szCs w:val="14"/>
                <w:color w:val="auto"/>
              </w:rPr>
            </w:pPr>
          </w:p>
        </w:tc>
        <w:tc>
          <w:tcPr>
            <w:tcW w:w="460" w:type="dxa"/>
            <w:vAlign w:val="bottom"/>
            <w:vMerge w:val="restart"/>
          </w:tcPr>
          <w:p>
            <w:pPr>
              <w:ind w:left="300"/>
              <w:spacing w:after="0"/>
              <w:rPr>
                <w:sz w:val="20"/>
                <w:szCs w:val="20"/>
                <w:color w:val="auto"/>
              </w:rPr>
            </w:pPr>
            <w:r>
              <w:rPr>
                <w:rFonts w:ascii="Arial" w:cs="Arial" w:eastAsia="Arial" w:hAnsi="Arial"/>
                <w:sz w:val="14"/>
                <w:szCs w:val="14"/>
                <w:color w:val="auto"/>
              </w:rPr>
              <w:t>2.</w:t>
            </w:r>
          </w:p>
        </w:tc>
        <w:tc>
          <w:tcPr>
            <w:tcW w:w="36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Approval of the amendment to the Company’s 2006</w:t>
            </w:r>
          </w:p>
        </w:tc>
        <w:tc>
          <w:tcPr>
            <w:tcW w:w="4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vMerge w:val="restart"/>
          </w:tcPr>
          <w:p>
            <w:pPr>
              <w:jc w:val="center"/>
              <w:ind w:right="1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NOMINEES:</w:t>
            </w:r>
          </w:p>
        </w:tc>
        <w:tc>
          <w:tcPr>
            <w:tcW w:w="46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380" w:type="dxa"/>
            <w:vAlign w:val="bottom"/>
            <w:gridSpan w:val="4"/>
            <w:vMerge w:val="restart"/>
          </w:tcPr>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FOR ALL NOMINEES</w:t>
            </w:r>
          </w:p>
        </w:tc>
        <w:tc>
          <w:tcPr>
            <w:tcW w:w="30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64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w w:val="88"/>
              </w:rPr>
              <w:t>Incentive Compensation Plan to (i) increase the total number</w:t>
            </w: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380" w:type="dxa"/>
            <w:vAlign w:val="bottom"/>
            <w:gridSpan w:val="4"/>
            <w:vMerge w:val="continue"/>
          </w:tcPr>
          <w:p>
            <w:pPr>
              <w:spacing w:after="0"/>
              <w:rPr>
                <w:sz w:val="6"/>
                <w:szCs w:val="6"/>
                <w:color w:val="auto"/>
              </w:rPr>
            </w:pPr>
          </w:p>
        </w:tc>
        <w:tc>
          <w:tcPr>
            <w:tcW w:w="306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O Seymour Holtzman</w:t>
            </w:r>
          </w:p>
        </w:tc>
        <w:tc>
          <w:tcPr>
            <w:tcW w:w="460" w:type="dxa"/>
            <w:vAlign w:val="bottom"/>
          </w:tcPr>
          <w:p>
            <w:pPr>
              <w:spacing w:after="0"/>
              <w:rPr>
                <w:sz w:val="6"/>
                <w:szCs w:val="6"/>
                <w:color w:val="auto"/>
              </w:rPr>
            </w:pPr>
          </w:p>
        </w:tc>
        <w:tc>
          <w:tcPr>
            <w:tcW w:w="36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380" w:type="dxa"/>
            <w:vAlign w:val="bottom"/>
            <w:gridSpan w:val="4"/>
            <w:vMerge w:val="continue"/>
          </w:tcPr>
          <w:p>
            <w:pPr>
              <w:spacing w:after="0"/>
              <w:rPr>
                <w:sz w:val="6"/>
                <w:szCs w:val="6"/>
                <w:color w:val="auto"/>
              </w:rPr>
            </w:pPr>
          </w:p>
        </w:tc>
        <w:tc>
          <w:tcPr>
            <w:tcW w:w="30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64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w w:val="86"/>
              </w:rPr>
              <w:t>of shares of common stock authorized for issuance under the</w:t>
            </w: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06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O David A. Levin</w:t>
            </w:r>
          </w:p>
        </w:tc>
        <w:tc>
          <w:tcPr>
            <w:tcW w:w="460" w:type="dxa"/>
            <w:vAlign w:val="bottom"/>
          </w:tcPr>
          <w:p>
            <w:pPr>
              <w:spacing w:after="0"/>
              <w:rPr>
                <w:sz w:val="6"/>
                <w:szCs w:val="6"/>
                <w:color w:val="auto"/>
              </w:rPr>
            </w:pPr>
          </w:p>
        </w:tc>
        <w:tc>
          <w:tcPr>
            <w:tcW w:w="36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380" w:type="dxa"/>
            <w:vAlign w:val="bottom"/>
            <w:gridSpan w:val="4"/>
            <w:vMerge w:val="restart"/>
          </w:tcPr>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WITHHOLD AUTHORITY</w:t>
            </w:r>
          </w:p>
        </w:tc>
        <w:tc>
          <w:tcPr>
            <w:tcW w:w="30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64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w w:val="88"/>
              </w:rPr>
              <w:t>plan (ii) as a sub-limit under the plan, increase the maximum</w:t>
            </w: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380" w:type="dxa"/>
            <w:vAlign w:val="bottom"/>
            <w:gridSpan w:val="4"/>
            <w:vMerge w:val="continue"/>
          </w:tcPr>
          <w:p>
            <w:pPr>
              <w:spacing w:after="0"/>
              <w:rPr>
                <w:sz w:val="6"/>
                <w:szCs w:val="6"/>
                <w:color w:val="auto"/>
              </w:rPr>
            </w:pPr>
          </w:p>
        </w:tc>
        <w:tc>
          <w:tcPr>
            <w:tcW w:w="3060" w:type="dxa"/>
            <w:vAlign w:val="bottom"/>
            <w:vMerge w:val="restart"/>
          </w:tcPr>
          <w:p>
            <w:pPr>
              <w:ind w:left="100"/>
              <w:spacing w:after="0" w:line="147" w:lineRule="exact"/>
              <w:rPr>
                <w:sz w:val="20"/>
                <w:szCs w:val="20"/>
                <w:color w:val="auto"/>
              </w:rPr>
            </w:pPr>
            <w:r>
              <w:rPr>
                <w:rFonts w:ascii="Arial" w:cs="Arial" w:eastAsia="Arial" w:hAnsi="Arial"/>
                <w:sz w:val="14"/>
                <w:szCs w:val="14"/>
                <w:color w:val="auto"/>
              </w:rPr>
              <w:t>O Alan S. Bernikow</w:t>
            </w:r>
          </w:p>
        </w:tc>
        <w:tc>
          <w:tcPr>
            <w:tcW w:w="460" w:type="dxa"/>
            <w:vAlign w:val="bottom"/>
          </w:tcPr>
          <w:p>
            <w:pPr>
              <w:spacing w:after="0"/>
              <w:rPr>
                <w:sz w:val="6"/>
                <w:szCs w:val="6"/>
                <w:color w:val="auto"/>
              </w:rPr>
            </w:pPr>
          </w:p>
        </w:tc>
        <w:tc>
          <w:tcPr>
            <w:tcW w:w="36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380" w:type="dxa"/>
            <w:vAlign w:val="bottom"/>
            <w:gridSpan w:val="4"/>
            <w:vMerge w:val="continue"/>
          </w:tcPr>
          <w:p>
            <w:pPr>
              <w:spacing w:after="0"/>
              <w:rPr>
                <w:sz w:val="5"/>
                <w:szCs w:val="5"/>
                <w:color w:val="auto"/>
              </w:rPr>
            </w:pPr>
          </w:p>
        </w:tc>
        <w:tc>
          <w:tcPr>
            <w:tcW w:w="30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64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w w:val="90"/>
              </w:rPr>
              <w:t>number of those shares that may be subject to the granting</w:t>
            </w: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360" w:type="dxa"/>
            <w:vAlign w:val="bottom"/>
            <w:gridSpan w:val="3"/>
            <w:vMerge w:val="restart"/>
          </w:tcPr>
          <w:p>
            <w:pPr>
              <w:ind w:left="200"/>
              <w:spacing w:after="0" w:line="151" w:lineRule="exact"/>
              <w:rPr>
                <w:sz w:val="20"/>
                <w:szCs w:val="20"/>
                <w:color w:val="auto"/>
              </w:rPr>
            </w:pPr>
            <w:r>
              <w:rPr>
                <w:rFonts w:ascii="Arial" w:cs="Arial" w:eastAsia="Arial" w:hAnsi="Arial"/>
                <w:sz w:val="14"/>
                <w:szCs w:val="14"/>
                <w:b w:val="1"/>
                <w:bCs w:val="1"/>
                <w:color w:val="auto"/>
              </w:rPr>
              <w:t>FOR ALL NOMINEES</w:t>
            </w:r>
          </w:p>
        </w:tc>
        <w:tc>
          <w:tcPr>
            <w:tcW w:w="3060" w:type="dxa"/>
            <w:vAlign w:val="bottom"/>
            <w:vMerge w:val="restart"/>
          </w:tcPr>
          <w:p>
            <w:pPr>
              <w:ind w:left="100"/>
              <w:spacing w:after="0" w:line="151" w:lineRule="exact"/>
              <w:rPr>
                <w:sz w:val="20"/>
                <w:szCs w:val="20"/>
                <w:color w:val="auto"/>
              </w:rPr>
            </w:pPr>
            <w:r>
              <w:rPr>
                <w:rFonts w:ascii="Arial" w:cs="Arial" w:eastAsia="Arial" w:hAnsi="Arial"/>
                <w:sz w:val="14"/>
                <w:szCs w:val="14"/>
                <w:color w:val="auto"/>
              </w:rPr>
              <w:t>O Jesse Choper</w:t>
            </w:r>
          </w:p>
        </w:tc>
        <w:tc>
          <w:tcPr>
            <w:tcW w:w="46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30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64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w w:val="91"/>
              </w:rPr>
              <w:t>of awards other than stock options and stock appreciation</w:t>
            </w: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06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O John E. Kyees</w:t>
            </w:r>
          </w:p>
        </w:tc>
        <w:tc>
          <w:tcPr>
            <w:tcW w:w="460" w:type="dxa"/>
            <w:vAlign w:val="bottom"/>
          </w:tcPr>
          <w:p>
            <w:pPr>
              <w:spacing w:after="0"/>
              <w:rPr>
                <w:sz w:val="6"/>
                <w:szCs w:val="6"/>
                <w:color w:val="auto"/>
              </w:rPr>
            </w:pPr>
          </w:p>
        </w:tc>
        <w:tc>
          <w:tcPr>
            <w:tcW w:w="36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380" w:type="dxa"/>
            <w:vAlign w:val="bottom"/>
            <w:gridSpan w:val="4"/>
            <w:vMerge w:val="restart"/>
          </w:tcPr>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FOR ALL EXCEPT</w:t>
            </w:r>
          </w:p>
        </w:tc>
        <w:tc>
          <w:tcPr>
            <w:tcW w:w="30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640" w:type="dxa"/>
            <w:vAlign w:val="bottom"/>
            <w:vMerge w:val="restart"/>
          </w:tcPr>
          <w:p>
            <w:pPr>
              <w:ind w:left="60"/>
              <w:spacing w:after="0" w:line="151" w:lineRule="exact"/>
              <w:rPr>
                <w:sz w:val="20"/>
                <w:szCs w:val="20"/>
                <w:color w:val="auto"/>
              </w:rPr>
            </w:pPr>
            <w:r>
              <w:rPr>
                <w:rFonts w:ascii="Arial" w:cs="Arial" w:eastAsia="Arial" w:hAnsi="Arial"/>
                <w:sz w:val="14"/>
                <w:szCs w:val="14"/>
                <w:b w:val="1"/>
                <w:bCs w:val="1"/>
                <w:color w:val="auto"/>
                <w:w w:val="94"/>
              </w:rPr>
              <w:t>rights and (iii) clarify and revise certain other provisions.</w:t>
            </w: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380" w:type="dxa"/>
            <w:vAlign w:val="bottom"/>
            <w:gridSpan w:val="4"/>
            <w:vMerge w:val="continue"/>
          </w:tcPr>
          <w:p>
            <w:pPr>
              <w:spacing w:after="0"/>
              <w:rPr>
                <w:sz w:val="7"/>
                <w:szCs w:val="7"/>
                <w:color w:val="auto"/>
              </w:rPr>
            </w:pPr>
          </w:p>
        </w:tc>
        <w:tc>
          <w:tcPr>
            <w:tcW w:w="306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O Ward K. Mooney</w:t>
            </w:r>
          </w:p>
        </w:tc>
        <w:tc>
          <w:tcPr>
            <w:tcW w:w="46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380" w:type="dxa"/>
            <w:vAlign w:val="bottom"/>
            <w:gridSpan w:val="4"/>
            <w:vMerge w:val="continue"/>
          </w:tcPr>
          <w:p>
            <w:pPr>
              <w:spacing w:after="0"/>
              <w:rPr>
                <w:sz w:val="5"/>
                <w:szCs w:val="5"/>
                <w:color w:val="auto"/>
              </w:rPr>
            </w:pPr>
          </w:p>
        </w:tc>
        <w:tc>
          <w:tcPr>
            <w:tcW w:w="30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640" w:type="dxa"/>
            <w:vAlign w:val="bottom"/>
            <w:vMerge w:val="restart"/>
          </w:tcPr>
          <w:p>
            <w:pPr>
              <w:ind w:left="60"/>
              <w:spacing w:after="0" w:line="149" w:lineRule="exact"/>
              <w:rPr>
                <w:sz w:val="20"/>
                <w:szCs w:val="20"/>
                <w:color w:val="auto"/>
              </w:rPr>
            </w:pPr>
            <w:r>
              <w:rPr>
                <w:rFonts w:ascii="Arial" w:cs="Arial" w:eastAsia="Arial" w:hAnsi="Arial"/>
                <w:sz w:val="14"/>
                <w:szCs w:val="14"/>
                <w:color w:val="auto"/>
              </w:rPr>
              <w:t>THE BOARD OF DIRECTORS RECOMMENDS A VOTE</w:t>
            </w: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360" w:type="dxa"/>
            <w:vAlign w:val="bottom"/>
            <w:gridSpan w:val="3"/>
            <w:vMerge w:val="restart"/>
          </w:tcPr>
          <w:p>
            <w:pPr>
              <w:ind w:left="200"/>
              <w:spacing w:after="0" w:line="149" w:lineRule="exact"/>
              <w:rPr>
                <w:sz w:val="20"/>
                <w:szCs w:val="20"/>
                <w:color w:val="auto"/>
              </w:rPr>
            </w:pPr>
            <w:r>
              <w:rPr>
                <w:rFonts w:ascii="Arial" w:cs="Arial" w:eastAsia="Arial" w:hAnsi="Arial"/>
                <w:sz w:val="14"/>
                <w:szCs w:val="14"/>
                <w:color w:val="auto"/>
              </w:rPr>
              <w:t>(See instructions below)</w:t>
            </w:r>
          </w:p>
        </w:tc>
        <w:tc>
          <w:tcPr>
            <w:tcW w:w="306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O George T. Porter, Jr.</w:t>
            </w:r>
          </w:p>
        </w:tc>
        <w:tc>
          <w:tcPr>
            <w:tcW w:w="46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30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640" w:type="dxa"/>
            <w:vAlign w:val="bottom"/>
            <w:vMerge w:val="restart"/>
          </w:tcPr>
          <w:p>
            <w:pPr>
              <w:ind w:left="60"/>
              <w:spacing w:after="0"/>
              <w:rPr>
                <w:sz w:val="20"/>
                <w:szCs w:val="20"/>
                <w:color w:val="auto"/>
              </w:rPr>
            </w:pPr>
            <w:r>
              <w:rPr>
                <w:rFonts w:ascii="Arial" w:cs="Arial" w:eastAsia="Arial" w:hAnsi="Arial"/>
                <w:sz w:val="14"/>
                <w:szCs w:val="14"/>
                <w:color w:val="auto"/>
              </w:rPr>
              <w:t>“FOR” PROPOSAL 2.</w:t>
            </w: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60" w:type="dxa"/>
            <w:vAlign w:val="bottom"/>
            <w:vMerge w:val="restart"/>
          </w:tcPr>
          <w:p>
            <w:pPr>
              <w:ind w:left="100"/>
              <w:spacing w:after="0"/>
              <w:rPr>
                <w:sz w:val="20"/>
                <w:szCs w:val="20"/>
                <w:color w:val="auto"/>
              </w:rPr>
            </w:pPr>
            <w:r>
              <w:rPr>
                <w:rFonts w:ascii="Arial" w:cs="Arial" w:eastAsia="Arial" w:hAnsi="Arial"/>
                <w:sz w:val="14"/>
                <w:szCs w:val="14"/>
                <w:color w:val="auto"/>
              </w:rPr>
              <w:t>O Mitchell S. Presser</w:t>
            </w:r>
          </w:p>
        </w:tc>
        <w:tc>
          <w:tcPr>
            <w:tcW w:w="460" w:type="dxa"/>
            <w:vAlign w:val="bottom"/>
          </w:tcPr>
          <w:p>
            <w:pPr>
              <w:spacing w:after="0"/>
              <w:rPr>
                <w:sz w:val="9"/>
                <w:szCs w:val="9"/>
                <w:color w:val="auto"/>
              </w:rPr>
            </w:pPr>
          </w:p>
        </w:tc>
        <w:tc>
          <w:tcPr>
            <w:tcW w:w="36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060" w:type="dxa"/>
            <w:vAlign w:val="bottom"/>
            <w:vMerge w:val="continue"/>
          </w:tcPr>
          <w:p>
            <w:pPr>
              <w:spacing w:after="0"/>
              <w:rPr>
                <w:sz w:val="5"/>
                <w:szCs w:val="5"/>
                <w:color w:val="auto"/>
              </w:rPr>
            </w:pPr>
          </w:p>
        </w:tc>
        <w:tc>
          <w:tcPr>
            <w:tcW w:w="460" w:type="dxa"/>
            <w:vAlign w:val="bottom"/>
            <w:vMerge w:val="restart"/>
          </w:tcPr>
          <w:p>
            <w:pPr>
              <w:ind w:left="300"/>
              <w:spacing w:after="0"/>
              <w:rPr>
                <w:sz w:val="20"/>
                <w:szCs w:val="20"/>
                <w:color w:val="auto"/>
              </w:rPr>
            </w:pPr>
            <w:r>
              <w:rPr>
                <w:rFonts w:ascii="Arial" w:cs="Arial" w:eastAsia="Arial" w:hAnsi="Arial"/>
                <w:sz w:val="14"/>
                <w:szCs w:val="14"/>
                <w:color w:val="auto"/>
              </w:rPr>
              <w:t>3.</w:t>
            </w:r>
          </w:p>
        </w:tc>
        <w:tc>
          <w:tcPr>
            <w:tcW w:w="36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0"/>
              </w:rPr>
              <w:t>In order to preserve tax deductability under Section 162(m)</w:t>
            </w:r>
          </w:p>
        </w:tc>
        <w:tc>
          <w:tcPr>
            <w:tcW w:w="4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vMerge w:val="restart"/>
          </w:tcPr>
          <w:p>
            <w:pPr>
              <w:jc w:val="center"/>
              <w:ind w:right="1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4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5"/>
              </w:rPr>
              <w:t>of the Internal Revenue Code, reapproval of the material</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4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87"/>
              </w:rPr>
              <w:t>terms of the 2006 Incentive Compensation Plan and approval</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4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87"/>
              </w:rPr>
              <w:t>of the amendment to the plan to increase the Section 162(m)-</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40" w:type="dxa"/>
            <w:vAlign w:val="bottom"/>
          </w:tcPr>
          <w:p>
            <w:pPr>
              <w:ind w:left="60"/>
              <w:spacing w:after="0" w:line="151" w:lineRule="exact"/>
              <w:rPr>
                <w:sz w:val="20"/>
                <w:szCs w:val="20"/>
                <w:color w:val="auto"/>
              </w:rPr>
            </w:pPr>
            <w:r>
              <w:rPr>
                <w:rFonts w:ascii="Arial" w:cs="Arial" w:eastAsia="Arial" w:hAnsi="Arial"/>
                <w:sz w:val="14"/>
                <w:szCs w:val="14"/>
                <w:b w:val="1"/>
                <w:bCs w:val="1"/>
                <w:color w:val="auto"/>
                <w:w w:val="88"/>
              </w:rPr>
              <w:t>based individual limitations on the amount of certain awards</w:t>
            </w: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40" w:type="dxa"/>
            <w:vAlign w:val="bottom"/>
          </w:tcPr>
          <w:p>
            <w:pPr>
              <w:ind w:left="60"/>
              <w:spacing w:after="0" w:line="149" w:lineRule="exact"/>
              <w:rPr>
                <w:sz w:val="20"/>
                <w:szCs w:val="20"/>
                <w:color w:val="auto"/>
              </w:rPr>
            </w:pPr>
            <w:r>
              <w:rPr>
                <w:rFonts w:ascii="Arial" w:cs="Arial" w:eastAsia="Arial" w:hAnsi="Arial"/>
                <w:sz w:val="14"/>
                <w:szCs w:val="14"/>
                <w:color w:val="auto"/>
              </w:rPr>
              <w:t>THE BOARD OF DIRECTORS RECOMMENDS A VOTE</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40" w:type="dxa"/>
            <w:vAlign w:val="bottom"/>
          </w:tcPr>
          <w:p>
            <w:pPr>
              <w:ind w:left="60"/>
              <w:spacing w:after="0"/>
              <w:rPr>
                <w:sz w:val="20"/>
                <w:szCs w:val="20"/>
                <w:color w:val="auto"/>
              </w:rPr>
            </w:pPr>
            <w:r>
              <w:rPr>
                <w:rFonts w:ascii="Arial" w:cs="Arial" w:eastAsia="Arial" w:hAnsi="Arial"/>
                <w:sz w:val="14"/>
                <w:szCs w:val="14"/>
                <w:color w:val="auto"/>
              </w:rPr>
              <w:t>“FOR” PROPOSAL 3.</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60" w:type="dxa"/>
            <w:vAlign w:val="bottom"/>
          </w:tcPr>
          <w:p>
            <w:pPr>
              <w:ind w:left="300"/>
              <w:spacing w:after="0"/>
              <w:rPr>
                <w:sz w:val="20"/>
                <w:szCs w:val="20"/>
                <w:color w:val="auto"/>
              </w:rPr>
            </w:pPr>
            <w:r>
              <w:rPr>
                <w:rFonts w:ascii="Arial" w:cs="Arial" w:eastAsia="Arial" w:hAnsi="Arial"/>
                <w:sz w:val="14"/>
                <w:szCs w:val="14"/>
                <w:color w:val="auto"/>
              </w:rPr>
              <w:t>4.</w:t>
            </w:r>
          </w:p>
        </w:tc>
        <w:tc>
          <w:tcPr>
            <w:tcW w:w="3640" w:type="dxa"/>
            <w:vAlign w:val="bottom"/>
          </w:tcPr>
          <w:p>
            <w:pPr>
              <w:ind w:left="60"/>
              <w:spacing w:after="0"/>
              <w:rPr>
                <w:sz w:val="20"/>
                <w:szCs w:val="20"/>
                <w:color w:val="auto"/>
              </w:rPr>
            </w:pPr>
            <w:r>
              <w:rPr>
                <w:rFonts w:ascii="Arial" w:cs="Arial" w:eastAsia="Arial" w:hAnsi="Arial"/>
                <w:sz w:val="14"/>
                <w:szCs w:val="14"/>
                <w:b w:val="1"/>
                <w:bCs w:val="1"/>
                <w:color w:val="auto"/>
                <w:w w:val="89"/>
              </w:rPr>
              <w:t>Ratification of the appointment of Ernst &amp; Young LLP as the</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jc w:val="center"/>
              <w:ind w:right="1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4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1"/>
              </w:rPr>
              <w:t>Company’s independent registered public accounting firm</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40" w:type="dxa"/>
            <w:vAlign w:val="bottom"/>
          </w:tcPr>
          <w:p>
            <w:pPr>
              <w:ind w:left="60"/>
              <w:spacing w:after="0" w:line="151" w:lineRule="exact"/>
              <w:rPr>
                <w:sz w:val="20"/>
                <w:szCs w:val="20"/>
                <w:color w:val="auto"/>
              </w:rPr>
            </w:pPr>
            <w:r>
              <w:rPr>
                <w:rFonts w:ascii="Arial" w:cs="Arial" w:eastAsia="Arial" w:hAnsi="Arial"/>
                <w:sz w:val="14"/>
                <w:szCs w:val="14"/>
                <w:b w:val="1"/>
                <w:bCs w:val="1"/>
                <w:color w:val="auto"/>
                <w:w w:val="96"/>
              </w:rPr>
              <w:t xml:space="preserve">for fiscal year ending January 29, 2011. </w:t>
            </w:r>
            <w:r>
              <w:rPr>
                <w:rFonts w:ascii="Arial" w:cs="Arial" w:eastAsia="Arial" w:hAnsi="Arial"/>
                <w:sz w:val="14"/>
                <w:szCs w:val="14"/>
                <w:color w:val="auto"/>
                <w:w w:val="96"/>
              </w:rPr>
              <w:t>THE BOARD OF</w:t>
            </w: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40" w:type="dxa"/>
            <w:vAlign w:val="bottom"/>
          </w:tcPr>
          <w:p>
            <w:pPr>
              <w:ind w:left="60"/>
              <w:spacing w:after="0" w:line="149" w:lineRule="exact"/>
              <w:rPr>
                <w:sz w:val="20"/>
                <w:szCs w:val="20"/>
                <w:color w:val="auto"/>
              </w:rPr>
            </w:pPr>
            <w:r>
              <w:rPr>
                <w:rFonts w:ascii="Arial" w:cs="Arial" w:eastAsia="Arial" w:hAnsi="Arial"/>
                <w:sz w:val="14"/>
                <w:szCs w:val="14"/>
                <w:color w:val="auto"/>
                <w:w w:val="96"/>
              </w:rPr>
              <w:t>DIRECTORS RECOMMENDS A VOTE “FOR” PROPOSAL</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40" w:type="dxa"/>
            <w:vAlign w:val="bottom"/>
          </w:tcPr>
          <w:p>
            <w:pPr>
              <w:ind w:left="60"/>
              <w:spacing w:after="0"/>
              <w:rPr>
                <w:sz w:val="20"/>
                <w:szCs w:val="20"/>
                <w:color w:val="auto"/>
              </w:rPr>
            </w:pPr>
            <w:r>
              <w:rPr>
                <w:rFonts w:ascii="Arial" w:cs="Arial" w:eastAsia="Arial" w:hAnsi="Arial"/>
                <w:sz w:val="14"/>
                <w:szCs w:val="14"/>
                <w:color w:val="auto"/>
              </w:rPr>
              <w:t>4.</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5980" w:type="dxa"/>
            <w:vAlign w:val="bottom"/>
            <w:gridSpan w:val="5"/>
          </w:tcPr>
          <w:p>
            <w:pPr>
              <w:ind w:left="300"/>
              <w:spacing w:after="0"/>
              <w:rPr>
                <w:sz w:val="20"/>
                <w:szCs w:val="20"/>
                <w:color w:val="auto"/>
              </w:rPr>
            </w:pPr>
            <w:r>
              <w:rPr>
                <w:rFonts w:ascii="Arial" w:cs="Arial" w:eastAsia="Arial" w:hAnsi="Arial"/>
                <w:sz w:val="14"/>
                <w:szCs w:val="14"/>
                <w:color w:val="auto"/>
              </w:rPr>
              <w:t>IF THIS PROXY IS PROPERLY EXECUTED AND RETURNED IT WILL BE VOTED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980" w:type="dxa"/>
            <w:vAlign w:val="bottom"/>
            <w:gridSpan w:val="5"/>
          </w:tcPr>
          <w:p>
            <w:pPr>
              <w:ind w:left="300"/>
              <w:spacing w:after="0" w:line="149" w:lineRule="exact"/>
              <w:rPr>
                <w:sz w:val="20"/>
                <w:szCs w:val="20"/>
                <w:color w:val="auto"/>
              </w:rPr>
            </w:pPr>
            <w:r>
              <w:rPr>
                <w:rFonts w:ascii="Arial" w:cs="Arial" w:eastAsia="Arial" w:hAnsi="Arial"/>
                <w:sz w:val="14"/>
                <w:szCs w:val="14"/>
                <w:color w:val="auto"/>
              </w:rPr>
              <w:t>SPECIFIED HEREIN. IF NO SPECIFIC DIRECTION IS GIVEN, IT WILL BE VOTED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980" w:type="dxa"/>
            <w:vAlign w:val="bottom"/>
            <w:gridSpan w:val="5"/>
          </w:tcPr>
          <w:p>
            <w:pPr>
              <w:ind w:left="300"/>
              <w:spacing w:after="0" w:line="149" w:lineRule="exact"/>
              <w:rPr>
                <w:sz w:val="20"/>
                <w:szCs w:val="20"/>
                <w:color w:val="auto"/>
              </w:rPr>
            </w:pPr>
            <w:r>
              <w:rPr>
                <w:rFonts w:ascii="Arial" w:cs="Arial" w:eastAsia="Arial" w:hAnsi="Arial"/>
                <w:sz w:val="14"/>
                <w:szCs w:val="14"/>
                <w:color w:val="auto"/>
                <w:w w:val="95"/>
              </w:rPr>
              <w:t>EACH OF THE PROPOSALS. RECEIPT IS HEREBY ACKNOWLEDGED OF THE NOTICE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980" w:type="dxa"/>
            <w:vAlign w:val="bottom"/>
            <w:gridSpan w:val="5"/>
          </w:tcPr>
          <w:p>
            <w:pPr>
              <w:ind w:left="300"/>
              <w:spacing w:after="0" w:line="149" w:lineRule="exact"/>
              <w:rPr>
                <w:sz w:val="20"/>
                <w:szCs w:val="20"/>
                <w:color w:val="auto"/>
              </w:rPr>
            </w:pPr>
            <w:r>
              <w:rPr>
                <w:rFonts w:ascii="Arial" w:cs="Arial" w:eastAsia="Arial" w:hAnsi="Arial"/>
                <w:sz w:val="14"/>
                <w:szCs w:val="14"/>
                <w:color w:val="auto"/>
                <w:w w:val="99"/>
              </w:rPr>
              <w:t>ANNUAL MEETING AND PROXY STATEMENT OF CASUAL MALE RETAIL GROUP, INC.</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100" w:type="dxa"/>
            <w:vAlign w:val="bottom"/>
            <w:gridSpan w:val="2"/>
          </w:tcPr>
          <w:p>
            <w:pPr>
              <w:ind w:left="300"/>
              <w:spacing w:after="0"/>
              <w:rPr>
                <w:sz w:val="20"/>
                <w:szCs w:val="20"/>
                <w:color w:val="auto"/>
              </w:rPr>
            </w:pPr>
            <w:r>
              <w:rPr>
                <w:rFonts w:ascii="Arial" w:cs="Arial" w:eastAsia="Arial" w:hAnsi="Arial"/>
                <w:sz w:val="14"/>
                <w:szCs w:val="14"/>
                <w:color w:val="auto"/>
              </w:rPr>
              <w:t>DATED JUNE 25, 2010.</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9"/>
        </w:trPr>
        <w:tc>
          <w:tcPr>
            <w:tcW w:w="5440" w:type="dxa"/>
            <w:vAlign w:val="bottom"/>
            <w:gridSpan w:val="5"/>
          </w:tcPr>
          <w:p>
            <w:pPr>
              <w:spacing w:after="0"/>
              <w:rPr>
                <w:sz w:val="20"/>
                <w:szCs w:val="20"/>
                <w:color w:val="auto"/>
              </w:rPr>
            </w:pPr>
            <w:r>
              <w:rPr>
                <w:rFonts w:ascii="Arial" w:cs="Arial" w:eastAsia="Arial" w:hAnsi="Arial"/>
                <w:sz w:val="14"/>
                <w:szCs w:val="14"/>
                <w:b w:val="1"/>
                <w:bCs w:val="1"/>
                <w:color w:val="auto"/>
                <w:w w:val="98"/>
              </w:rPr>
              <w:t xml:space="preserve">INSTRUCTIONS: </w:t>
            </w:r>
            <w:r>
              <w:rPr>
                <w:rFonts w:ascii="Arial" w:cs="Arial" w:eastAsia="Arial" w:hAnsi="Arial"/>
                <w:sz w:val="14"/>
                <w:szCs w:val="14"/>
                <w:color w:val="auto"/>
                <w:w w:val="98"/>
              </w:rPr>
              <w:t>To withhold authority to vote for any individual nominee(s), mark</w:t>
            </w:r>
            <w:r>
              <w:rPr>
                <w:rFonts w:ascii="Arial" w:cs="Arial" w:eastAsia="Arial" w:hAnsi="Arial"/>
                <w:sz w:val="14"/>
                <w:szCs w:val="14"/>
                <w:b w:val="1"/>
                <w:bCs w:val="1"/>
                <w:color w:val="auto"/>
                <w:w w:val="98"/>
              </w:rPr>
              <w:t xml:space="preserve"> “FOR</w:t>
            </w:r>
          </w:p>
        </w:tc>
        <w:tc>
          <w:tcPr>
            <w:tcW w:w="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360" w:type="dxa"/>
            <w:vAlign w:val="bottom"/>
            <w:gridSpan w:val="2"/>
          </w:tcPr>
          <w:p>
            <w:pPr>
              <w:ind w:left="120"/>
              <w:spacing w:after="0" w:line="131" w:lineRule="exact"/>
              <w:rPr>
                <w:sz w:val="20"/>
                <w:szCs w:val="20"/>
                <w:color w:val="auto"/>
              </w:rPr>
            </w:pPr>
            <w:r>
              <w:rPr>
                <w:rFonts w:ascii="Arial" w:cs="Arial" w:eastAsia="Arial" w:hAnsi="Arial"/>
                <w:sz w:val="14"/>
                <w:szCs w:val="14"/>
                <w:b w:val="1"/>
                <w:bCs w:val="1"/>
                <w:color w:val="auto"/>
                <w:w w:val="99"/>
              </w:rPr>
              <w:t xml:space="preserve">ALL EXCEPT” </w:t>
            </w:r>
            <w:r>
              <w:rPr>
                <w:rFonts w:ascii="Arial" w:cs="Arial" w:eastAsia="Arial" w:hAnsi="Arial"/>
                <w:sz w:val="14"/>
                <w:szCs w:val="14"/>
                <w:color w:val="auto"/>
                <w:w w:val="99"/>
              </w:rPr>
              <w:t>and fill in the circle next to each nominee you wish to</w:t>
            </w:r>
          </w:p>
        </w:tc>
        <w:tc>
          <w:tcPr>
            <w:tcW w:w="4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360" w:type="dxa"/>
            <w:vAlign w:val="bottom"/>
            <w:gridSpan w:val="2"/>
          </w:tcPr>
          <w:p>
            <w:pPr>
              <w:ind w:left="120"/>
              <w:spacing w:after="0"/>
              <w:rPr>
                <w:sz w:val="20"/>
                <w:szCs w:val="20"/>
                <w:color w:val="auto"/>
              </w:rPr>
            </w:pPr>
            <w:r>
              <w:rPr>
                <w:rFonts w:ascii="Arial" w:cs="Arial" w:eastAsia="Arial" w:hAnsi="Arial"/>
                <w:sz w:val="14"/>
                <w:szCs w:val="14"/>
                <w:color w:val="auto"/>
              </w:rPr>
              <w:t>withhold, as shown here: l</w:t>
            </w:r>
          </w:p>
        </w:tc>
        <w:tc>
          <w:tcPr>
            <w:tcW w:w="460" w:type="dxa"/>
            <w:vAlign w:val="bottom"/>
          </w:tcPr>
          <w:p>
            <w:pPr>
              <w:spacing w:after="0"/>
              <w:rPr>
                <w:sz w:val="14"/>
                <w:szCs w:val="14"/>
                <w:color w:val="auto"/>
              </w:rPr>
            </w:pPr>
          </w:p>
        </w:tc>
        <w:tc>
          <w:tcPr>
            <w:tcW w:w="4860" w:type="dxa"/>
            <w:vAlign w:val="bottom"/>
            <w:gridSpan w:val="3"/>
            <w:vMerge w:val="restart"/>
          </w:tcPr>
          <w:p>
            <w:pPr>
              <w:ind w:left="780"/>
              <w:spacing w:after="0" w:line="161" w:lineRule="exact"/>
              <w:rPr>
                <w:sz w:val="20"/>
                <w:szCs w:val="20"/>
                <w:color w:val="auto"/>
              </w:rPr>
            </w:pPr>
            <w:r>
              <w:rPr>
                <w:rFonts w:ascii="Arial" w:cs="Arial" w:eastAsia="Arial" w:hAnsi="Arial"/>
                <w:sz w:val="14"/>
                <w:szCs w:val="14"/>
                <w:color w:val="auto"/>
              </w:rPr>
              <w:t xml:space="preserve">MARK “X” HERE IF YOU PLAN TO ATTEND THE MEETING </w:t>
            </w:r>
            <w:r>
              <w:rPr>
                <w:rFonts w:ascii="MS PGothic" w:cs="MS PGothic" w:eastAsia="MS PGothic" w:hAnsi="MS PGothic"/>
                <w:sz w:val="14"/>
                <w:szCs w:val="14"/>
                <w:color w:val="auto"/>
              </w:rPr>
              <w: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60" w:type="dxa"/>
            <w:vAlign w:val="bottom"/>
            <w:gridSpan w:val="3"/>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-3343910</wp:posOffset>
            </wp:positionV>
            <wp:extent cx="3507740" cy="45021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07740" cy="450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2"/>
          <w:szCs w:val="12"/>
          <w:color w:val="auto"/>
        </w:rPr>
        <w:t>To change the address on your account, please check the box at right and indicate your new</w:t>
      </w:r>
    </w:p>
    <w:p>
      <w:pPr>
        <w:spacing w:after="0" w:line="18" w:lineRule="exact"/>
        <w:rPr>
          <w:sz w:val="20"/>
          <w:szCs w:val="20"/>
          <w:color w:val="auto"/>
        </w:rPr>
      </w:pPr>
    </w:p>
    <w:p>
      <w:pPr>
        <w:spacing w:after="0" w:line="138" w:lineRule="exact"/>
        <w:tabs>
          <w:tab w:leader="none" w:pos="5380" w:val="left"/>
        </w:tabs>
        <w:rPr>
          <w:sz w:val="20"/>
          <w:szCs w:val="20"/>
          <w:color w:val="auto"/>
        </w:rPr>
      </w:pPr>
      <w:r>
        <w:rPr>
          <w:rFonts w:ascii="Arial" w:cs="Arial" w:eastAsia="Arial" w:hAnsi="Arial"/>
          <w:sz w:val="12"/>
          <w:szCs w:val="12"/>
          <w:color w:val="auto"/>
        </w:rPr>
        <w:t>address in the address space above. Please note that changes to the registered name(s) on the</w:t>
      </w:r>
      <w:r>
        <w:rPr>
          <w:sz w:val="20"/>
          <w:szCs w:val="20"/>
          <w:color w:val="auto"/>
        </w:rPr>
        <w:tab/>
      </w:r>
      <w:r>
        <w:rPr>
          <w:rFonts w:ascii="MS PGothic" w:cs="MS PGothic" w:eastAsia="MS PGothic" w:hAnsi="MS PGothic"/>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account may not be submitted via this method.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Signature of Shareholder</w:t>
            </w:r>
          </w:p>
        </w:tc>
        <w:tc>
          <w:tcPr>
            <w:tcW w:w="2440" w:type="dxa"/>
            <w:vAlign w:val="bottom"/>
            <w:tcBorders>
              <w:top w:val="single" w:sz="8" w:color="auto"/>
              <w:bottom w:val="single" w:sz="8" w:color="auto"/>
              <w:right w:val="single" w:sz="8" w:color="auto"/>
            </w:tcBorders>
          </w:tcPr>
          <w:p>
            <w:pPr>
              <w:spacing w:after="0"/>
              <w:rPr>
                <w:sz w:val="14"/>
                <w:szCs w:val="14"/>
                <w:color w:val="auto"/>
              </w:rPr>
            </w:pPr>
          </w:p>
        </w:tc>
        <w:tc>
          <w:tcPr>
            <w:tcW w:w="5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Date:</w:t>
            </w:r>
          </w:p>
        </w:tc>
        <w:tc>
          <w:tcPr>
            <w:tcW w:w="1120" w:type="dxa"/>
            <w:vAlign w:val="bottom"/>
            <w:tcBorders>
              <w:top w:val="single" w:sz="8" w:color="auto"/>
              <w:bottom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w w:val="93"/>
              </w:rPr>
              <w:t>Signature of Shareholder</w:t>
            </w:r>
          </w:p>
        </w:tc>
        <w:tc>
          <w:tcPr>
            <w:tcW w:w="2560" w:type="dxa"/>
            <w:vAlign w:val="bottom"/>
            <w:tcBorders>
              <w:top w:val="single" w:sz="8" w:color="auto"/>
              <w:bottom w:val="single" w:sz="8" w:color="auto"/>
              <w:right w:val="single" w:sz="8" w:color="auto"/>
            </w:tcBorders>
          </w:tcPr>
          <w:p>
            <w:pPr>
              <w:spacing w:after="0"/>
              <w:rPr>
                <w:sz w:val="14"/>
                <w:szCs w:val="14"/>
                <w:color w:val="auto"/>
              </w:rPr>
            </w:pPr>
          </w:p>
        </w:tc>
        <w:tc>
          <w:tcPr>
            <w:tcW w:w="5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Date:</w:t>
            </w:r>
          </w:p>
        </w:tc>
        <w:tc>
          <w:tcPr>
            <w:tcW w:w="6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180" w:type="dxa"/>
            <w:vAlign w:val="bottom"/>
          </w:tcPr>
          <w:p>
            <w:pPr>
              <w:spacing w:after="0"/>
              <w:rPr>
                <w:sz w:val="24"/>
                <w:szCs w:val="24"/>
                <w:color w:val="auto"/>
              </w:rPr>
            </w:pPr>
          </w:p>
        </w:tc>
        <w:tc>
          <w:tcPr>
            <w:tcW w:w="10980" w:type="dxa"/>
            <w:vAlign w:val="bottom"/>
            <w:gridSpan w:val="8"/>
          </w:tcPr>
          <w:p>
            <w:pPr>
              <w:ind w:left="80"/>
              <w:spacing w:after="0"/>
              <w:rPr>
                <w:sz w:val="20"/>
                <w:szCs w:val="20"/>
                <w:color w:val="auto"/>
              </w:rPr>
            </w:pPr>
            <w:r>
              <w:rPr>
                <w:rFonts w:ascii="Arial" w:cs="Arial" w:eastAsia="Arial" w:hAnsi="Arial"/>
                <w:sz w:val="14"/>
                <w:szCs w:val="14"/>
                <w:b w:val="1"/>
                <w:bCs w:val="1"/>
                <w:color w:val="auto"/>
                <w:w w:val="88"/>
              </w:rPr>
              <w:t xml:space="preserve">Note: </w:t>
            </w:r>
            <w:r>
              <w:rPr>
                <w:rFonts w:ascii="Arial" w:cs="Arial" w:eastAsia="Arial" w:hAnsi="Arial"/>
                <w:sz w:val="14"/>
                <w:szCs w:val="14"/>
                <w:color w:val="auto"/>
                <w:w w:val="88"/>
              </w:rPr>
              <w:t>Please sign exactly as your name or names appear on this Proxy. When shares are held jointly, each holder should sign. When signing as executor, administrator, attorney, trustee or guardian,</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0" w:type="dxa"/>
            <w:vAlign w:val="bottom"/>
            <w:vMerge w:val="restart"/>
          </w:tcPr>
          <w:p>
            <w:pPr>
              <w:spacing w:after="0"/>
              <w:rPr>
                <w:sz w:val="20"/>
                <w:szCs w:val="20"/>
                <w:color w:val="auto"/>
              </w:rPr>
            </w:pPr>
            <w:r>
              <w:rPr>
                <w:rFonts w:ascii="Arial" w:cs="Arial" w:eastAsia="Arial" w:hAnsi="Arial"/>
                <w:sz w:val="18"/>
                <w:szCs w:val="18"/>
                <w:color w:val="auto"/>
              </w:rPr>
              <w:t>n</w:t>
            </w:r>
          </w:p>
        </w:tc>
        <w:tc>
          <w:tcPr>
            <w:tcW w:w="10980" w:type="dxa"/>
            <w:vAlign w:val="bottom"/>
            <w:gridSpan w:val="8"/>
          </w:tcPr>
          <w:p>
            <w:pPr>
              <w:ind w:left="400"/>
              <w:spacing w:after="0" w:line="149" w:lineRule="exact"/>
              <w:rPr>
                <w:sz w:val="20"/>
                <w:szCs w:val="20"/>
                <w:color w:val="auto"/>
              </w:rPr>
            </w:pPr>
            <w:r>
              <w:rPr>
                <w:rFonts w:ascii="Arial" w:cs="Arial" w:eastAsia="Arial" w:hAnsi="Arial"/>
                <w:sz w:val="14"/>
                <w:szCs w:val="14"/>
                <w:color w:val="auto"/>
                <w:w w:val="89"/>
              </w:rPr>
              <w:t>please give full title as such. If the signer is a corporation, please sign full corporate name by duly authorized officer, giving full title as such. If signer is a partnership, please sign in partnership</w:t>
            </w:r>
          </w:p>
        </w:tc>
        <w:tc>
          <w:tcPr>
            <w:tcW w:w="260" w:type="dxa"/>
            <w:vAlign w:val="bottom"/>
            <w:vMerge w:val="restart"/>
          </w:tcPr>
          <w:p>
            <w:pPr>
              <w:ind w:left="180"/>
              <w:spacing w:after="0"/>
              <w:rPr>
                <w:sz w:val="20"/>
                <w:szCs w:val="20"/>
                <w:color w:val="auto"/>
              </w:rPr>
            </w:pPr>
            <w:r>
              <w:rPr>
                <w:rFonts w:ascii="Arial" w:cs="Arial" w:eastAsia="Arial" w:hAnsi="Arial"/>
                <w:sz w:val="10"/>
                <w:szCs w:val="10"/>
                <w:color w:val="auto"/>
                <w:w w:val="71"/>
              </w:rPr>
              <w:t>n</w:t>
            </w:r>
          </w:p>
        </w:tc>
        <w:tc>
          <w:tcPr>
            <w:tcW w:w="0" w:type="dxa"/>
            <w:vAlign w:val="bottom"/>
          </w:tcPr>
          <w:p>
            <w:pPr>
              <w:spacing w:after="0"/>
              <w:rPr>
                <w:sz w:val="1"/>
                <w:szCs w:val="1"/>
                <w:color w:val="auto"/>
              </w:rPr>
            </w:pPr>
          </w:p>
        </w:tc>
      </w:tr>
      <w:tr>
        <w:trPr>
          <w:trHeight w:val="172"/>
        </w:trPr>
        <w:tc>
          <w:tcPr>
            <w:tcW w:w="180" w:type="dxa"/>
            <w:vAlign w:val="bottom"/>
            <w:vMerge w:val="continue"/>
          </w:tcPr>
          <w:p>
            <w:pPr>
              <w:spacing w:after="0"/>
              <w:rPr>
                <w:sz w:val="14"/>
                <w:szCs w:val="14"/>
                <w:color w:val="auto"/>
              </w:rPr>
            </w:pPr>
          </w:p>
        </w:tc>
        <w:tc>
          <w:tcPr>
            <w:tcW w:w="3860" w:type="dxa"/>
            <w:vAlign w:val="bottom"/>
            <w:gridSpan w:val="2"/>
          </w:tcPr>
          <w:p>
            <w:pPr>
              <w:ind w:left="400"/>
              <w:spacing w:after="0"/>
              <w:rPr>
                <w:sz w:val="20"/>
                <w:szCs w:val="20"/>
                <w:color w:val="auto"/>
              </w:rPr>
            </w:pPr>
            <w:r>
              <w:rPr>
                <w:rFonts w:ascii="Arial" w:cs="Arial" w:eastAsia="Arial" w:hAnsi="Arial"/>
                <w:sz w:val="14"/>
                <w:szCs w:val="14"/>
                <w:color w:val="auto"/>
              </w:rPr>
              <w:t>name by authorized person.</w:t>
            </w: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8" w:name="page79"/>
    <w:bookmarkEnd w:id="78"/>
    <w:p>
      <w:pPr>
        <w:jc w:val="both"/>
        <w:ind w:left="10300"/>
        <w:spacing w:after="0"/>
        <w:tabs>
          <w:tab w:leader="none" w:pos="11260" w:val="left"/>
        </w:tabs>
        <w:rPr>
          <w:sz w:val="20"/>
          <w:szCs w:val="20"/>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sz w:val="20"/>
          <w:szCs w:val="20"/>
          <w:color w:val="auto"/>
        </w:rPr>
        <w:tab/>
      </w:r>
      <w:r>
        <w:rPr>
          <w:rFonts w:ascii="Arial" w:cs="Arial" w:eastAsia="Arial" w:hAnsi="Arial"/>
          <w:sz w:val="18"/>
          <w:szCs w:val="18"/>
          <w:color w:val="auto"/>
        </w:rPr>
        <w:t>n</w:t>
      </w:r>
    </w:p>
    <w:p>
      <w:pPr>
        <w:spacing w:after="0" w:line="18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CASUAL MALE RETAIL GROUP, INC.</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555 Turnpike Street</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Canton, Massachusetts 02021</w:t>
      </w:r>
    </w:p>
    <w:p>
      <w:pPr>
        <w:spacing w:after="0" w:line="14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Annual Meeting Of Stockholders To Be Held On August 5, 2010</w:t>
      </w:r>
    </w:p>
    <w:p>
      <w:pPr>
        <w:spacing w:after="0" w:line="15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undersigned stockholder of Casual Male Retail Group, Inc. (the “Company”), hereby appoints Seymour Holtzman and David A. Levin, and each of them,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Thursday, August 5, 2010, at 9:00 A.M. local time, at the Hyatt Regency Woodfield Schaumburg, 1800 East Golf Road, Schaumburg, Illinois, and at any adjournment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n</w:t>
            </w:r>
          </w:p>
        </w:tc>
        <w:tc>
          <w:tcPr>
            <w:tcW w:w="5940" w:type="dxa"/>
            <w:vAlign w:val="bottom"/>
          </w:tcPr>
          <w:p>
            <w:pPr>
              <w:ind w:left="5300"/>
              <w:spacing w:after="0"/>
              <w:rPr>
                <w:sz w:val="20"/>
                <w:szCs w:val="20"/>
                <w:color w:val="auto"/>
              </w:rPr>
            </w:pPr>
            <w:r>
              <w:rPr>
                <w:rFonts w:ascii="Arial" w:cs="Arial" w:eastAsia="Arial" w:hAnsi="Arial"/>
                <w:sz w:val="18"/>
                <w:szCs w:val="18"/>
                <w:color w:val="auto"/>
                <w:w w:val="95"/>
              </w:rPr>
              <w:t>14475 n</w:t>
            </w:r>
          </w:p>
        </w:tc>
      </w:tr>
    </w:tbl>
    <w:p>
      <w:pPr>
        <w:spacing w:after="0" w:line="1" w:lineRule="exact"/>
        <w:rPr>
          <w:sz w:val="20"/>
          <w:szCs w:val="20"/>
          <w:color w:val="auto"/>
        </w:rPr>
      </w:pPr>
    </w:p>
    <w:sectPr>
      <w:pgSz w:w="11900" w:h="16838" w:orient="portrait"/>
      <w:cols w:equalWidth="0" w:num="1">
        <w:col w:w="11360"/>
      </w:cols>
      <w:pgMar w:left="240" w:top="69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lvl w:ilvl="1">
      <w:lvlJc w:val="left"/>
      <w:lvlText w:val="(%2)"/>
      <w:numFmt w:val="decimal"/>
      <w:start w:val="1"/>
    </w:lvl>
  </w:abstractNum>
  <w:abstractNum w:abstractNumId="5">
    <w:nsid w:val="684A481A"/>
    <w:multiLevelType w:val="hybridMultilevel"/>
    <w:lvl w:ilvl="0">
      <w:lvlJc w:val="left"/>
      <w:lvlText w:val="☐"/>
      <w:numFmt w:val="bullet"/>
      <w:start w:val="1"/>
    </w:lvl>
    <w:lvl w:ilvl="1">
      <w:lvlJc w:val="left"/>
      <w:lvlText w:val="(%2)"/>
      <w:numFmt w:val="decimal"/>
      <w:start w:val="5"/>
    </w:lvl>
  </w:abstractNum>
  <w:abstractNum w:abstractNumId="6">
    <w:nsid w:val="579478FE"/>
    <w:multiLevelType w:val="hybridMultilevel"/>
    <w:lvl w:ilvl="0">
      <w:lvlJc w:val="left"/>
      <w:lvlText w:val="☐"/>
      <w:numFmt w:val="bullet"/>
      <w:start w:val="1"/>
    </w:lvl>
    <w:lvl w:ilvl="1">
      <w:lvlJc w:val="left"/>
      <w:lvlText w:val="(%2)"/>
      <w:numFmt w:val="decimal"/>
      <w:start w:val="1"/>
    </w:lvl>
  </w:abstractNum>
  <w:abstractNum w:abstractNumId="7">
    <w:nsid w:val="749ABB43"/>
    <w:multiLevelType w:val="hybridMultilevel"/>
    <w:lvl w:ilvl="0">
      <w:lvlJc w:val="left"/>
      <w:lvlText w:val="%1."/>
      <w:numFmt w:val="decimal"/>
      <w:start w:val="1"/>
    </w:lvl>
  </w:abstractNum>
  <w:abstractNum w:abstractNumId="8">
    <w:nsid w:val="3DC240FB"/>
    <w:multiLevelType w:val="hybridMultilevel"/>
    <w:lvl w:ilvl="0">
      <w:lvlJc w:val="left"/>
      <w:lvlText w:val="(%1)"/>
      <w:numFmt w:val="decimal"/>
      <w:start w:val="1"/>
    </w:lvl>
  </w:abstractNum>
  <w:abstractNum w:abstractNumId="9">
    <w:nsid w:val="1BA026FA"/>
    <w:multiLevelType w:val="hybridMultilevel"/>
    <w:lvl w:ilvl="0">
      <w:lvlJc w:val="left"/>
      <w:lvlText w:val="(%1)"/>
      <w:numFmt w:val="decimal"/>
      <w:start w:val="6"/>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1)"/>
      <w:numFmt w:val="decimal"/>
      <w:start w:val="1"/>
    </w:lvl>
  </w:abstractNum>
  <w:abstractNum w:abstractNumId="12">
    <w:nsid w:val="12E685FB"/>
    <w:multiLevelType w:val="hybridMultilevel"/>
    <w:lvl w:ilvl="0">
      <w:lvlJc w:val="left"/>
      <w:lvlText w:val="(%1)"/>
      <w:numFmt w:val="decimal"/>
      <w:start w:val="2"/>
    </w:lvl>
  </w:abstractNum>
  <w:abstractNum w:abstractNumId="13">
    <w:nsid w:val="70C6A529"/>
    <w:multiLevelType w:val="hybridMultilevel"/>
    <w:lvl w:ilvl="0">
      <w:lvlJc w:val="left"/>
      <w:lvlText w:val="(%1)"/>
      <w:numFmt w:val="decimal"/>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7">
    <w:nsid w:val="23F9C13C"/>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7"/>
    </w:lvl>
  </w:abstractNum>
  <w:abstractNum w:abstractNumId="18">
    <w:nsid w:val="649BB77C"/>
    <w:multiLevelType w:val="hybridMultilevel"/>
    <w:lvl w:ilvl="0">
      <w:lvlJc w:val="left"/>
      <w:lvlText w:val="(%1)"/>
      <w:numFmt w:val="lowerRoman"/>
      <w:start w:val="3"/>
    </w:lvl>
  </w:abstractNum>
  <w:abstractNum w:abstractNumId="19">
    <w:nsid w:val="275AC794"/>
    <w:multiLevelType w:val="hybridMultilevel"/>
    <w:lvl w:ilvl="0">
      <w:lvlJc w:val="left"/>
      <w:lvlText w:val="(%1)"/>
      <w:numFmt w:val="decimal"/>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1)"/>
      <w:numFmt w:val="decimal"/>
      <w:start w:val="1"/>
    </w:lvl>
  </w:abstractNum>
  <w:abstractNum w:abstractNumId="33">
    <w:nsid w:val="77AE35EB"/>
    <w:multiLevelType w:val="hybridMultilevel"/>
    <w:lvl w:ilvl="0">
      <w:lvlJc w:val="left"/>
      <w:lvlText w:val="(%1)"/>
      <w:numFmt w:val="decimal"/>
      <w:start w:val="4"/>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1)"/>
      <w:numFmt w:val="decimal"/>
      <w:start w:val="1"/>
    </w:lvl>
  </w:abstractNum>
  <w:abstractNum w:abstractNumId="38">
    <w:nsid w:val="25A70BF7"/>
    <w:multiLevelType w:val="hybridMultilevel"/>
    <w:lvl w:ilvl="0">
      <w:lvlJc w:val="left"/>
      <w:lvlText w:val="(%1)"/>
      <w:numFmt w:val="decimal"/>
      <w:start w:val="1"/>
    </w:lvl>
  </w:abstractNum>
  <w:abstractNum w:abstractNumId="39">
    <w:nsid w:val="1DBABF00"/>
    <w:multiLevelType w:val="hybridMultilevel"/>
    <w:lvl w:ilvl="0">
      <w:lvlJc w:val="left"/>
      <w:lvlText w:val="(%1)"/>
      <w:numFmt w:val="decimal"/>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1)"/>
      <w:numFmt w:val="decimal"/>
      <w:start w:val="1"/>
    </w:lvl>
  </w:abstractNum>
  <w:abstractNum w:abstractNumId="42">
    <w:nsid w:val="1381823A"/>
    <w:multiLevelType w:val="hybridMultilevel"/>
    <w:lvl w:ilvl="0">
      <w:lvlJc w:val="left"/>
      <w:lvlText w:val="(%1)"/>
      <w:numFmt w:val="decimal"/>
      <w:start w:val="3"/>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1)"/>
      <w:numFmt w:val="decimal"/>
      <w:start w:val="5"/>
    </w:lvl>
  </w:abstractNum>
  <w:abstractNum w:abstractNumId="48">
    <w:nsid w:val="98A3148"/>
    <w:multiLevelType w:val="hybridMultilevel"/>
    <w:lvl w:ilvl="0">
      <w:lvlJc w:val="left"/>
      <w:lvlText w:val="(%1)"/>
      <w:numFmt w:val="decimal"/>
      <w:start w:val="12"/>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1)"/>
      <w:numFmt w:val="lowerRoman"/>
      <w:start w:val="2"/>
    </w:lvl>
  </w:abstractNum>
  <w:abstractNum w:abstractNumId="51">
    <w:nsid w:val="42C296BD"/>
    <w:multiLevelType w:val="hybridMultilevel"/>
    <w:lvl w:ilvl="0">
      <w:lvlJc w:val="left"/>
      <w:lvlText w:val="%1."/>
      <w:numFmt w:val="decimal"/>
      <w:start w:val="1"/>
    </w:lvl>
  </w:abstractNum>
  <w:abstractNum w:abstractNumId="52">
    <w:nsid w:val="168E121F"/>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53">
    <w:nsid w:val="1EBA5D23"/>
    <w:multiLevelType w:val="hybridMultilevel"/>
    <w:lvl w:ilvl="0">
      <w:lvlJc w:val="left"/>
      <w:lvlText w:val="%1"/>
      <w:numFmt w:val="lowerLetter"/>
      <w:start w:val="1"/>
    </w:lvl>
    <w:lvl w:ilvl="1">
      <w:lvlJc w:val="left"/>
      <w:lvlText w:val="(%2)"/>
      <w:numFmt w:val="lowerLetter"/>
      <w:start w:val="7"/>
    </w:lvl>
  </w:abstractNum>
  <w:abstractNum w:abstractNumId="54">
    <w:nsid w:val="661E3F1E"/>
    <w:multiLevelType w:val="hybridMultilevel"/>
    <w:lvl w:ilvl="0">
      <w:lvlJc w:val="left"/>
      <w:lvlText w:val="(%1)"/>
      <w:numFmt w:val="lowerLetter"/>
      <w:start w:val="61"/>
    </w:lvl>
    <w:lvl w:ilvl="1">
      <w:lvlJc w:val="left"/>
      <w:lvlText w:val="(%2)"/>
      <w:numFmt w:val="lowerLetter"/>
      <w:start w:val="10"/>
    </w:lvl>
  </w:abstractNum>
  <w:abstractNum w:abstractNumId="55">
    <w:nsid w:val="5DC79EA8"/>
    <w:multiLevelType w:val="hybridMultilevel"/>
    <w:lvl w:ilvl="0">
      <w:lvlJc w:val="left"/>
      <w:lvlText w:val="(%1)"/>
      <w:numFmt w:val="lowerLetter"/>
      <w:start w:val="35"/>
    </w:lvl>
    <w:lvl w:ilvl="1">
      <w:lvlJc w:val="left"/>
      <w:lvlText w:val="(%2)"/>
      <w:numFmt w:val="lowerLetter"/>
      <w:start w:val="12"/>
    </w:lvl>
  </w:abstractNum>
  <w:abstractNum w:abstractNumId="56">
    <w:nsid w:val="540A471C"/>
    <w:multiLevelType w:val="hybridMultilevel"/>
    <w:lvl w:ilvl="0">
      <w:lvlJc w:val="left"/>
      <w:lvlText w:val="%1"/>
      <w:numFmt w:val="lowerLetter"/>
      <w:start w:val="1"/>
    </w:lvl>
    <w:lvl w:ilvl="1">
      <w:lvlJc w:val="left"/>
      <w:lvlText w:val="(%2)"/>
      <w:numFmt w:val="lowerLetter"/>
      <w:start w:val="20"/>
    </w:lvl>
  </w:abstractNum>
  <w:abstractNum w:abstractNumId="57">
    <w:nsid w:val="7BD3EE7B"/>
    <w:multiLevelType w:val="hybridMultilevel"/>
    <w:lvl w:ilvl="0">
      <w:lvlJc w:val="left"/>
      <w:lvlText w:val="(%1)"/>
      <w:numFmt w:val="lowerLetter"/>
      <w:start w:val="35"/>
    </w:lvl>
    <w:lvl w:ilvl="1">
      <w:lvlJc w:val="left"/>
      <w:lvlText w:val="(%2)"/>
      <w:numFmt w:val="lowerLetter"/>
      <w:start w:val="24"/>
    </w:lvl>
  </w:abstractNum>
  <w:abstractNum w:abstractNumId="58">
    <w:nsid w:val="51D9C564"/>
    <w:multiLevelType w:val="hybridMultilevel"/>
    <w:lvl w:ilvl="0">
      <w:lvlJc w:val="left"/>
      <w:lvlText w:val="(%1)"/>
      <w:numFmt w:val="lowerLetter"/>
      <w:start w:val="27"/>
    </w:lvl>
  </w:abstractNum>
  <w:abstractNum w:abstractNumId="59">
    <w:nsid w:val="613EFDC5"/>
    <w:multiLevelType w:val="hybridMultilevel"/>
    <w:lvl w:ilvl="0">
      <w:lvlJc w:val="left"/>
      <w:lvlText w:val="(%1)"/>
      <w:numFmt w:val="lowerLetter"/>
      <w:start w:val="31"/>
    </w:lvl>
  </w:abstractNum>
  <w:abstractNum w:abstractNumId="60">
    <w:nsid w:val="BF72B14"/>
    <w:multiLevelType w:val="hybridMultilevel"/>
    <w:lvl w:ilvl="0">
      <w:lvlJc w:val="left"/>
      <w:lvlText w:val="%1"/>
      <w:numFmt w:val="decimal"/>
      <w:start w:val="1"/>
    </w:lvl>
    <w:lvl w:ilvl="1">
      <w:lvlJc w:val="left"/>
      <w:lvlText w:val="(%2)"/>
      <w:numFmt w:val="lowerLetter"/>
      <w:start w:val="44"/>
    </w:lvl>
  </w:abstractNum>
  <w:abstractNum w:abstractNumId="61">
    <w:nsid w:val="11447B73"/>
    <w:multiLevelType w:val="hybridMultilevel"/>
    <w:lvl w:ilvl="0">
      <w:lvlJc w:val="left"/>
      <w:lvlText w:val="%1."/>
      <w:numFmt w:val="decimal"/>
      <w:start w:val="3"/>
    </w:lvl>
    <w:lvl w:ilvl="1">
      <w:lvlJc w:val="left"/>
      <w:lvlText w:val="(%2)"/>
      <w:numFmt w:val="lowerLetter"/>
      <w:start w:val="1"/>
    </w:lvl>
  </w:abstractNum>
  <w:abstractNum w:abstractNumId="62">
    <w:nsid w:val="42963E5A"/>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63">
    <w:nsid w:val="A0382C5"/>
    <w:multiLevelType w:val="hybridMultilevel"/>
    <w:lvl w:ilvl="0">
      <w:lvlJc w:val="left"/>
      <w:lvlText w:val="**"/>
      <w:numFmt w:val="bullet"/>
      <w:start w:val="1"/>
    </w:lvl>
    <w:lvl w:ilvl="1">
      <w:lvlJc w:val="left"/>
      <w:lvlText w:val="%2"/>
      <w:numFmt w:val="decimal"/>
      <w:start w:val="1"/>
    </w:lvl>
    <w:lvl w:ilvl="2">
      <w:lvlJc w:val="left"/>
      <w:lvlText w:val="(%3)"/>
      <w:numFmt w:val="lowerLetter"/>
      <w:start w:val="4"/>
    </w:lvl>
    <w:lvl w:ilvl="3">
      <w:lvlJc w:val="left"/>
      <w:lvlText w:val="%4"/>
      <w:numFmt w:val="lowerLetter"/>
      <w:start w:val="1"/>
    </w:lvl>
  </w:abstractNum>
  <w:abstractNum w:abstractNumId="64">
    <w:nsid w:val="8F2B15E"/>
    <w:multiLevelType w:val="hybridMultilevel"/>
    <w:lvl w:ilvl="0">
      <w:lvlJc w:val="left"/>
      <w:lvlText w:val="**"/>
      <w:numFmt w:val="bullet"/>
      <w:start w:val="1"/>
    </w:lvl>
    <w:lvl w:ilvl="1">
      <w:lvlJc w:val="left"/>
      <w:lvlText w:val="%2."/>
      <w:numFmt w:val="decimal"/>
      <w:start w:val="5"/>
    </w:lvl>
    <w:lvl w:ilvl="2">
      <w:lvlJc w:val="left"/>
      <w:lvlText w:val="(%3)"/>
      <w:numFmt w:val="lowerLetter"/>
      <w:start w:val="1"/>
    </w:lvl>
    <w:lvl w:ilvl="3">
      <w:lvlJc w:val="left"/>
      <w:lvlText w:val="(%4)"/>
      <w:numFmt w:val="lowerLetter"/>
      <w:start w:val="9"/>
    </w:lvl>
  </w:abstractNum>
  <w:abstractNum w:abstractNumId="65">
    <w:nsid w:val="1A32234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66">
    <w:nsid w:val="3B0FD379"/>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67">
    <w:nsid w:val="68EB2F63"/>
    <w:multiLevelType w:val="hybridMultilevel"/>
    <w:lvl w:ilvl="0">
      <w:lvlJc w:val="left"/>
      <w:lvlText w:val="*"/>
      <w:numFmt w:val="bullet"/>
      <w:start w:val="1"/>
    </w:lvl>
    <w:lvl w:ilvl="1">
      <w:lvlJc w:val="left"/>
      <w:lvlText w:val="%2"/>
      <w:numFmt w:val="lowerLetter"/>
      <w:start w:val="1"/>
    </w:lvl>
    <w:lvl w:ilvl="2">
      <w:lvlJc w:val="left"/>
      <w:lvlText w:val="(%3)"/>
      <w:numFmt w:val="upperLetter"/>
      <w:start w:val="1"/>
    </w:lvl>
    <w:lvl w:ilvl="3">
      <w:lvlJc w:val="left"/>
      <w:lvlText w:val="(%4)"/>
      <w:numFmt w:val="lowerRoman"/>
      <w:start w:val="2"/>
    </w:lvl>
  </w:abstractNum>
  <w:abstractNum w:abstractNumId="68">
    <w:nsid w:val="4962813B"/>
    <w:multiLevelType w:val="hybridMultilevel"/>
    <w:lvl w:ilvl="0">
      <w:lvlJc w:val="left"/>
      <w:lvlText w:val="*"/>
      <w:numFmt w:val="bullet"/>
      <w:start w:val="1"/>
    </w:lvl>
    <w:lvl w:ilvl="1">
      <w:lvlJc w:val="left"/>
      <w:lvlText w:val="(%2)"/>
      <w:numFmt w:val="lowerLetter"/>
      <w:start w:val="4"/>
    </w:lvl>
    <w:lvl w:ilvl="2">
      <w:lvlJc w:val="left"/>
      <w:lvlText w:val="%3"/>
      <w:numFmt w:val="upperLetter"/>
      <w:start w:val="1"/>
    </w:lvl>
    <w:lvl w:ilvl="3">
      <w:lvlJc w:val="left"/>
      <w:lvlText w:val="(%4)"/>
      <w:numFmt w:val="lowerRoman"/>
      <w:start w:val="1"/>
    </w:lvl>
  </w:abstractNum>
  <w:abstractNum w:abstractNumId="69">
    <w:nsid w:val="60B6DF70"/>
    <w:multiLevelType w:val="hybridMultilevel"/>
    <w:lvl w:ilvl="0">
      <w:lvlJc w:val="left"/>
      <w:lvlText w:val="%1"/>
      <w:numFmt w:val="lowerLetter"/>
      <w:start w:val="1"/>
    </w:lvl>
    <w:lvl w:ilvl="1">
      <w:lvlJc w:val="left"/>
      <w:lvlText w:val="(%2)"/>
      <w:numFmt w:val="lowerRoman"/>
      <w:start w:val="2"/>
    </w:lvl>
  </w:abstractNum>
  <w:abstractNum w:abstractNumId="70">
    <w:nsid w:val="6A5EE64"/>
    <w:multiLevelType w:val="hybridMultilevel"/>
    <w:lvl w:ilvl="0">
      <w:lvlJc w:val="left"/>
      <w:lvlText w:val="(%1)"/>
      <w:numFmt w:val="lowerLetter"/>
      <w:start w:val="5"/>
    </w:lvl>
    <w:lvl w:ilvl="1">
      <w:lvlJc w:val="left"/>
      <w:lvlText w:val="(%2)"/>
      <w:numFmt w:val="lowerRoman"/>
      <w:start w:val="1"/>
    </w:lvl>
  </w:abstractNum>
  <w:abstractNum w:abstractNumId="71">
    <w:nsid w:val="14330624"/>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61"/>
    </w:lvl>
  </w:abstractNum>
  <w:abstractNum w:abstractNumId="72">
    <w:nsid w:val="7FFFCA11"/>
    <w:multiLevelType w:val="hybridMultilevel"/>
    <w:lvl w:ilvl="0">
      <w:lvlJc w:val="left"/>
      <w:lvlText w:val="*"/>
      <w:numFmt w:val="bullet"/>
      <w:start w:val="1"/>
    </w:lvl>
    <w:lvl w:ilvl="1">
      <w:lvlJc w:val="left"/>
      <w:lvlText w:val="(%2)"/>
      <w:numFmt w:val="lowerLetter"/>
      <w:start w:val="6"/>
    </w:lvl>
    <w:lvl w:ilvl="2">
      <w:lvlJc w:val="left"/>
      <w:lvlText w:val="%3"/>
      <w:numFmt w:val="lowerLetter"/>
      <w:start w:val="1"/>
    </w:lvl>
  </w:abstractNum>
  <w:abstractNum w:abstractNumId="73">
    <w:nsid w:val="1A27709E"/>
    <w:multiLevelType w:val="hybridMultilevel"/>
    <w:lvl w:ilvl="0">
      <w:lvlJc w:val="left"/>
      <w:lvlText w:val="%1"/>
      <w:numFmt w:val="decimal"/>
      <w:start w:val="1"/>
    </w:lvl>
    <w:lvl w:ilvl="1">
      <w:lvlJc w:val="left"/>
      <w:lvlText w:val="(%2)"/>
      <w:numFmt w:val="lowerLetter"/>
      <w:start w:val="9"/>
    </w:lvl>
  </w:abstractNum>
  <w:abstractNum w:abstractNumId="74">
    <w:nsid w:val="71EA1109"/>
    <w:multiLevelType w:val="hybridMultilevel"/>
    <w:lvl w:ilvl="0">
      <w:lvlJc w:val="left"/>
      <w:lvlText w:val="%1."/>
      <w:numFmt w:val="decimal"/>
      <w:start w:val="7"/>
    </w:lvl>
    <w:lvl w:ilvl="1">
      <w:lvlJc w:val="left"/>
      <w:lvlText w:val="(%2)"/>
      <w:numFmt w:val="lowerLetter"/>
      <w:start w:val="1"/>
    </w:lvl>
  </w:abstractNum>
  <w:abstractNum w:abstractNumId="75">
    <w:nsid w:val="100F59DC"/>
    <w:multiLevelType w:val="hybridMultilevel"/>
    <w:lvl w:ilvl="0">
      <w:lvlJc w:val="left"/>
      <w:lvlText w:val="(%1)"/>
      <w:numFmt w:val="lowerLetter"/>
      <w:start w:val="4"/>
    </w:lvl>
  </w:abstractNum>
  <w:abstractNum w:abstractNumId="76">
    <w:nsid w:val="7FB7E0AA"/>
    <w:multiLevelType w:val="hybridMultilevel"/>
    <w:lvl w:ilvl="0">
      <w:lvlJc w:val="left"/>
      <w:lvlText w:val="(%1)"/>
      <w:numFmt w:val="lowerRoman"/>
      <w:start w:val="1"/>
    </w:lvl>
    <w:lvl w:ilvl="1">
      <w:lvlJc w:val="left"/>
      <w:lvlText w:val="(%2)"/>
      <w:numFmt w:val="upperLetter"/>
      <w:start w:val="1"/>
    </w:lvl>
  </w:abstractNum>
  <w:abstractNum w:abstractNumId="77">
    <w:nsid w:val="6EB5BD4"/>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78">
    <w:nsid w:val="6F6DD9AC"/>
    <w:multiLevelType w:val="hybridMultilevel"/>
    <w:lvl w:ilvl="0">
      <w:lvlJc w:val="left"/>
      <w:lvlText w:val="*"/>
      <w:numFmt w:val="bullet"/>
      <w:start w:val="1"/>
    </w:lvl>
    <w:lvl w:ilvl="1">
      <w:lvlJc w:val="left"/>
      <w:lvlText w:val="%2."/>
      <w:numFmt w:val="decimal"/>
      <w:start w:val="8"/>
    </w:lvl>
    <w:lvl w:ilvl="2">
      <w:lvlJc w:val="left"/>
      <w:lvlText w:val="(%3)"/>
      <w:numFmt w:val="lowerLetter"/>
      <w:start w:val="1"/>
    </w:lvl>
    <w:lvl w:ilvl="3">
      <w:lvlJc w:val="left"/>
      <w:lvlText w:val="%4"/>
      <w:numFmt w:val="lowerLetter"/>
      <w:start w:val="1"/>
    </w:lvl>
  </w:abstractNum>
  <w:abstractNum w:abstractNumId="79">
    <w:nsid w:val="94211F2"/>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80">
    <w:nsid w:val="885E1B"/>
    <w:multiLevelType w:val="hybridMultilevel"/>
    <w:lvl w:ilvl="0">
      <w:lvlJc w:val="left"/>
      <w:lvlText w:val="%1"/>
      <w:numFmt w:val="decimal"/>
      <w:start w:val="1"/>
    </w:lvl>
    <w:lvl w:ilvl="1">
      <w:lvlJc w:val="left"/>
      <w:lvlText w:val="(%2)"/>
      <w:numFmt w:val="lowerLetter"/>
      <w:start w:val="4"/>
    </w:lvl>
    <w:lvl w:ilvl="2">
      <w:lvlJc w:val="left"/>
      <w:lvlText w:val="%3"/>
      <w:numFmt w:val="upperLetter"/>
      <w:start w:val="1"/>
    </w:lvl>
    <w:lvl w:ilvl="3">
      <w:lvlJc w:val="left"/>
      <w:lvlText w:val="%4"/>
      <w:numFmt w:val="lowerRoman"/>
      <w:start w:val="1"/>
    </w:lvl>
  </w:abstractNum>
  <w:abstractNum w:abstractNumId="81">
    <w:nsid w:val="76272110"/>
    <w:multiLevelType w:val="hybridMultilevel"/>
    <w:lvl w:ilvl="0">
      <w:lvlJc w:val="left"/>
      <w:lvlText w:val="%1."/>
      <w:numFmt w:val="decimal"/>
      <w:start w:val="9"/>
    </w:lvl>
    <w:lvl w:ilvl="1">
      <w:lvlJc w:val="left"/>
      <w:lvlText w:val="(%2)"/>
      <w:numFmt w:val="lowerLetter"/>
      <w:start w:val="1"/>
    </w:lvl>
    <w:lvl w:ilvl="2">
      <w:lvlJc w:val="left"/>
      <w:lvlText w:val="(%3)"/>
      <w:numFmt w:val="upperLetter"/>
      <w:start w:val="1"/>
    </w:lvl>
    <w:lvl w:ilvl="3">
      <w:lvlJc w:val="left"/>
      <w:lvlText w:val="(%4)"/>
      <w:numFmt w:val="lowerRoman"/>
      <w:start w:val="1"/>
    </w:lvl>
  </w:abstractNum>
  <w:abstractNum w:abstractNumId="82">
    <w:nsid w:val="4C04A8AF"/>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4)"/>
      <w:numFmt w:val="lowerRoman"/>
      <w:start w:val="2"/>
    </w:lvl>
  </w:abstractNum>
  <w:abstractNum w:abstractNumId="83">
    <w:nsid w:val="171670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84">
    <w:nsid w:val="14E17E33"/>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85">
    <w:nsid w:val="3222E7CD"/>
    <w:multiLevelType w:val="hybridMultilevel"/>
    <w:lvl w:ilvl="0">
      <w:lvlJc w:val="left"/>
      <w:lvlText w:val="*"/>
      <w:numFmt w:val="bullet"/>
      <w:start w:val="1"/>
    </w:lvl>
    <w:lvl w:ilvl="1">
      <w:lvlJc w:val="left"/>
      <w:lvlText w:val="(%2)"/>
      <w:numFmt w:val="lowerLetter"/>
      <w:start w:val="3"/>
    </w:lvl>
    <w:lvl w:ilvl="2">
      <w:lvlJc w:val="left"/>
      <w:lvlText w:val="(%3)"/>
      <w:numFmt w:val="upperLetter"/>
      <w:start w:val="2"/>
    </w:lvl>
    <w:lvl w:ilvl="3">
      <w:lvlJc w:val="left"/>
      <w:lvlText w:val="(%4)"/>
      <w:numFmt w:val="lowerRoman"/>
      <w:start w:val="1"/>
    </w:lvl>
    <w:lvl w:ilvl="4">
      <w:lvlJc w:val="left"/>
      <w:lvlText w:val="%5"/>
      <w:numFmt w:val="upperLetter"/>
      <w:start w:val="1"/>
    </w:lvl>
  </w:abstractNum>
  <w:abstractNum w:abstractNumId="86">
    <w:nsid w:val="74DE0EE3"/>
    <w:multiLevelType w:val="hybridMultilevel"/>
    <w:lvl w:ilvl="0">
      <w:lvlJc w:val="left"/>
      <w:lvlText w:val="*"/>
      <w:numFmt w:val="bullet"/>
      <w:start w:val="1"/>
    </w:lvl>
    <w:lvl w:ilvl="1">
      <w:lvlJc w:val="left"/>
      <w:lvlText w:val="%2"/>
      <w:numFmt w:val="lowerLetter"/>
      <w:start w:val="1"/>
    </w:lvl>
    <w:lvl w:ilvl="2">
      <w:lvlJc w:val="left"/>
      <w:lvlText w:val="%3"/>
      <w:numFmt w:val="upperLetter"/>
      <w:start w:val="1"/>
    </w:lvl>
    <w:lvl w:ilvl="3">
      <w:lvlJc w:val="left"/>
      <w:lvlText w:val="(%4)"/>
      <w:numFmt w:val="lowerRoman"/>
      <w:start w:val="2"/>
    </w:lvl>
    <w:lvl w:ilvl="4">
      <w:lvlJc w:val="left"/>
      <w:lvlText w:val="(%5)"/>
      <w:numFmt w:val="upperLetter"/>
      <w:start w:val="1"/>
    </w:lvl>
  </w:abstractNum>
  <w:abstractNum w:abstractNumId="87">
    <w:nsid w:val="68EBC550"/>
    <w:multiLevelType w:val="hybridMultilevel"/>
    <w:lvl w:ilvl="0">
      <w:lvlJc w:val="left"/>
      <w:lvlText w:val="*"/>
      <w:numFmt w:val="bullet"/>
      <w:start w:val="1"/>
    </w:lvl>
    <w:lvl w:ilvl="1">
      <w:lvlJc w:val="left"/>
      <w:lvlText w:val="%2"/>
      <w:numFmt w:val="lowerRoman"/>
      <w:start w:val="1"/>
    </w:lvl>
    <w:lvl w:ilvl="2">
      <w:lvlJc w:val="left"/>
      <w:lvlText w:val="(%3)"/>
      <w:numFmt w:val="upperLetter"/>
      <w:start w:val="2"/>
    </w:lvl>
  </w:abstractNum>
  <w:abstractNum w:abstractNumId="88">
    <w:nsid w:val="2DF6D648"/>
    <w:multiLevelType w:val="hybridMultilevel"/>
    <w:lvl w:ilvl="0">
      <w:lvlJc w:val="left"/>
      <w:lvlText w:val="*"/>
      <w:numFmt w:val="bullet"/>
      <w:start w:val="1"/>
    </w:lvl>
    <w:lvl w:ilvl="1">
      <w:lvlJc w:val="left"/>
      <w:lvlText w:val="(%2)"/>
      <w:numFmt w:val="lowerRoman"/>
      <w:start w:val="3"/>
    </w:lvl>
    <w:lvl w:ilvl="2">
      <w:lvlJc w:val="left"/>
      <w:lvlText w:val="%3"/>
      <w:numFmt w:val="upperLetter"/>
      <w:start w:val="1"/>
    </w:lvl>
  </w:abstractNum>
  <w:abstractNum w:abstractNumId="89">
    <w:nsid w:val="46B7D447"/>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4"/>
    </w:lvl>
  </w:abstractNum>
  <w:abstractNum w:abstractNumId="90">
    <w:nsid w:val="4A2AC315"/>
    <w:multiLevelType w:val="hybridMultilevel"/>
    <w:lvl w:ilvl="0">
      <w:lvlJc w:val="left"/>
      <w:lvlText w:val="*"/>
      <w:numFmt w:val="bullet"/>
      <w:start w:val="1"/>
    </w:lvl>
    <w:lvl w:ilvl="1">
      <w:lvlJc w:val="left"/>
      <w:lvlText w:val="(%2)"/>
      <w:numFmt w:val="lowerLetter"/>
      <w:start w:val="35"/>
    </w:lvl>
    <w:lvl w:ilvl="2">
      <w:lvlJc w:val="left"/>
      <w:lvlText w:val="(%3)"/>
      <w:numFmt w:val="lowerLetter"/>
      <w:start w:val="7"/>
    </w:lvl>
  </w:abstractNum>
  <w:abstractNum w:abstractNumId="91">
    <w:nsid w:val="39EE015C"/>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2019-12-10T07:37:02Z</dcterms:created>
  <dcterms:modified xsi:type="dcterms:W3CDTF">2019-12-10T07:37:02Z</dcterms:modified>
</cp:coreProperties>
</file>